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9D94B">
      <w:pPr>
        <w:pStyle w:val="49"/>
        <w:rPr>
          <w:rFonts w:ascii="Times New Roman" w:hAnsi="Times New Roman"/>
        </w:rPr>
        <w:sectPr>
          <w:headerReference r:id="rId7" w:type="first"/>
          <w:headerReference r:id="rId5" w:type="default"/>
          <w:headerReference r:id="rId6" w:type="even"/>
          <w:footerReference r:id="rId8" w:type="even"/>
          <w:type w:val="evenPage"/>
          <w:pgSz w:w="11907" w:h="16839"/>
          <w:pgMar w:top="567" w:right="851" w:bottom="1134" w:left="1418" w:header="0" w:footer="0" w:gutter="0"/>
          <w:pgNumType w:start="1"/>
          <w:cols w:space="0" w:num="1"/>
          <w:titlePg/>
          <w:docGrid w:type="lines" w:linePitch="312" w:charSpace="0"/>
        </w:sectPr>
      </w:pPr>
      <w:bookmarkStart w:id="0" w:name="SectionMark0"/>
      <w:r>
        <w:rPr>
          <w:rFonts w:ascii="Times New Roman" w:hAnsi="Times New Roman"/>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8889365</wp:posOffset>
                </wp:positionV>
                <wp:extent cx="6121400" cy="0"/>
                <wp:effectExtent l="0" t="0" r="31750" b="19050"/>
                <wp:wrapNone/>
                <wp:docPr id="10" name="直接连接符 10"/>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chemeClr val="tx1"/>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699.95pt;height:0pt;width:482pt;z-index:251668480;mso-width-relative:page;mso-height-relative:page;" filled="f" stroked="t" coordsize="21600,21600" o:gfxdata="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bYJ&#10;StYAAAAKAQAADwAAAAAAAAABACAAAAAiAAAAZHJzL2Rvd25yZXYueG1sUEsBAhQAFAAAAAgAh07i&#10;QJk/xRjrAQAA2wMAAA4AAAAAAAAAAQAgAAAAJQEAAGRycy9lMm9Eb2MueG1sUEsFBgAAAAAGAAYA&#10;WQEAAIIFAAAAAA==&#10;">
                <v:fill on="f" focussize="0,0"/>
                <v:stroke weight="1pt" color="#000000 [3213]"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2272665</wp:posOffset>
                </wp:positionV>
                <wp:extent cx="6121400" cy="0"/>
                <wp:effectExtent l="0" t="0" r="31750" b="19050"/>
                <wp:wrapNone/>
                <wp:docPr id="9" name="直接连接符 9"/>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chemeClr val="tx1"/>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78.95pt;height:0pt;width:482pt;z-index:251667456;mso-width-relative:page;mso-height-relative:page;" filled="f" stroked="t" coordsize="21600,21600" o:gfxdata="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I&#10;+RsJ1wAAAAgBAAAPAAAAAAAAAAEAIAAAACIAAABkcnMvZG93bnJldi54bWxQSwECFAAUAAAACACH&#10;TuJAXJbv4OwBAADZAwAADgAAAAAAAAABACAAAAAmAQAAZHJzL2Uyb0RvYy54bWxQSwUGAAAAAAYA&#10;BgBZAQAAhAUAAAAA&#10;">
                <v:fill on="f" focussize="0,0"/>
                <v:stroke weight="1pt" color="#000000 [3213]"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66432" behindDoc="0" locked="1" layoutInCell="1" allowOverlap="1">
                <wp:simplePos x="0" y="0"/>
                <wp:positionH relativeFrom="margin">
                  <wp:posOffset>0</wp:posOffset>
                </wp:positionH>
                <wp:positionV relativeFrom="margin">
                  <wp:posOffset>9354820</wp:posOffset>
                </wp:positionV>
                <wp:extent cx="6120130" cy="264160"/>
                <wp:effectExtent l="0" t="0" r="0" b="2540"/>
                <wp:wrapNone/>
                <wp:docPr id="8" name="文本框 8"/>
                <wp:cNvGraphicFramePr/>
                <a:graphic xmlns:a="http://schemas.openxmlformats.org/drawingml/2006/main">
                  <a:graphicData uri="http://schemas.microsoft.com/office/word/2010/wordprocessingShape">
                    <wps:wsp>
                      <wps:cNvSpPr txBox="1"/>
                      <wps:spPr>
                        <a:xfrm>
                          <a:off x="0" y="0"/>
                          <a:ext cx="6120130" cy="264160"/>
                        </a:xfrm>
                        <a:prstGeom prst="rect">
                          <a:avLst/>
                        </a:prstGeom>
                        <a:solidFill>
                          <a:srgbClr val="FFFFFF"/>
                        </a:solidFill>
                        <a:ln>
                          <a:noFill/>
                        </a:ln>
                      </wps:spPr>
                      <wps:txbx>
                        <w:txbxContent>
                          <w:p w14:paraId="36521AE2">
                            <w:pPr>
                              <w:pStyle w:val="56"/>
                              <w:rPr>
                                <w:spacing w:val="0"/>
                                <w:w w:val="100"/>
                              </w:rPr>
                            </w:pPr>
                            <w:r>
                              <w:rPr>
                                <w:rFonts w:hint="eastAsia"/>
                                <w:spacing w:val="0"/>
                                <w:w w:val="100"/>
                              </w:rPr>
                              <w:t xml:space="preserve">中华人民共和国应急管理部   </w:t>
                            </w:r>
                            <w:r>
                              <w:rPr>
                                <w:rStyle w:val="47"/>
                                <w:rFonts w:hint="eastAsia"/>
                                <w:spacing w:val="0"/>
                              </w:rPr>
                              <w:t>发 布</w:t>
                            </w:r>
                          </w:p>
                        </w:txbxContent>
                      </wps:txbx>
                      <wps:bodyPr wrap="square" lIns="0" tIns="0" rIns="0" bIns="0" upright="1"/>
                    </wps:wsp>
                  </a:graphicData>
                </a:graphic>
              </wp:anchor>
            </w:drawing>
          </mc:Choice>
          <mc:Fallback>
            <w:pict>
              <v:shape id="_x0000_s1026" o:spid="_x0000_s1026" o:spt="202" type="#_x0000_t202" style="position:absolute;left:0pt;margin-left:0pt;margin-top:736.6pt;height:20.8pt;width:481.9pt;mso-position-horizontal-relative:margin;mso-position-vertical-relative:margin;z-index:251666432;mso-width-relative:page;mso-height-relative:page;" fillcolor="#FFFFFF" filled="t" stroked="f" coordsize="21600,21600" o:gfxdata="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5irQf2QAAAAoBAAAPAAAAAAAA&#10;AAEAIAAAACIAAABkcnMvZG93bnJldi54bWxQSwECFAAUAAAACACHTuJAn4hqT9gBAACpAwAADgAA&#10;AAAAAAABACAAAAAoAQAAZHJzL2Uyb0RvYy54bWxQSwUGAAAAAAYABgBZAQAAcgUAAAAA&#10;">
                <v:fill on="t" focussize="0,0"/>
                <v:stroke on="f"/>
                <v:imagedata o:title=""/>
                <o:lock v:ext="edit" aspectratio="f"/>
                <v:textbox inset="0mm,0mm,0mm,0mm">
                  <w:txbxContent>
                    <w:p w14:paraId="36521AE2">
                      <w:pPr>
                        <w:pStyle w:val="56"/>
                        <w:rPr>
                          <w:spacing w:val="0"/>
                          <w:w w:val="100"/>
                        </w:rPr>
                      </w:pPr>
                      <w:r>
                        <w:rPr>
                          <w:rFonts w:hint="eastAsia"/>
                          <w:spacing w:val="0"/>
                          <w:w w:val="100"/>
                        </w:rPr>
                        <w:t xml:space="preserve">中华人民共和国应急管理部   </w:t>
                      </w:r>
                      <w:r>
                        <w:rPr>
                          <w:rStyle w:val="47"/>
                          <w:rFonts w:hint="eastAsia"/>
                          <w:spacing w:val="0"/>
                        </w:rPr>
                        <w:t>发 布</w:t>
                      </w:r>
                    </w:p>
                  </w:txbxContent>
                </v:textbox>
                <w10:anchorlock/>
              </v:shape>
            </w:pict>
          </mc:Fallback>
        </mc:AlternateContent>
      </w:r>
      <w:r>
        <w:rPr>
          <w:rFonts w:ascii="Times New Roman" w:hAnsi="Times New Roman"/>
        </w:rPr>
        <mc:AlternateContent>
          <mc:Choice Requires="wps">
            <w:drawing>
              <wp:anchor distT="0" distB="0" distL="114300" distR="114300" simplePos="0" relativeHeight="251665408" behindDoc="0" locked="1" layoutInCell="1" allowOverlap="1">
                <wp:simplePos x="0" y="0"/>
                <wp:positionH relativeFrom="margin">
                  <wp:posOffset>4100830</wp:posOffset>
                </wp:positionH>
                <wp:positionV relativeFrom="margin">
                  <wp:posOffset>8563610</wp:posOffset>
                </wp:positionV>
                <wp:extent cx="2019300" cy="31242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0414BD22">
                            <w:pPr>
                              <w:pStyle w:val="57"/>
                            </w:pPr>
                            <w:r>
                              <w:rPr>
                                <w:rFonts w:hint="eastAsia"/>
                              </w:rPr>
                              <w:t>××××-××-××实施</w:t>
                            </w:r>
                          </w:p>
                        </w:txbxContent>
                      </wps:txbx>
                      <wps:bodyPr wrap="square" lIns="0" tIns="0" rIns="0" bIns="0" upright="1"/>
                    </wps:wsp>
                  </a:graphicData>
                </a:graphic>
              </wp:anchor>
            </w:drawing>
          </mc:Choice>
          <mc:Fallback>
            <w:pict>
              <v:shape id="_x0000_s1026" o:spid="_x0000_s1026" o:spt="202" type="#_x0000_t202" style="position:absolute;left:0pt;margin-left:322.9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L9qtfaAAAADQEAAA8AAAAA&#10;AAAAAQAgAAAAIgAAAGRycy9kb3ducmV2LnhtbFBLAQIUABQAAAAIAIdO4kDgb/ah2QEAAKkDAAAO&#10;AAAAAAAAAAEAIAAAACkBAABkcnMvZTJvRG9jLnhtbFBLBQYAAAAABgAGAFkBAAB0BQAAAAA=&#10;">
                <v:fill on="t" focussize="0,0"/>
                <v:stroke on="f"/>
                <v:imagedata o:title=""/>
                <o:lock v:ext="edit" aspectratio="f"/>
                <v:textbox inset="0mm,0mm,0mm,0mm">
                  <w:txbxContent>
                    <w:p w14:paraId="0414BD22">
                      <w:pPr>
                        <w:pStyle w:val="57"/>
                      </w:pPr>
                      <w:r>
                        <w:rPr>
                          <w:rFonts w:hint="eastAsia"/>
                        </w:rPr>
                        <w:t>××××-××-××实施</w:t>
                      </w:r>
                    </w:p>
                  </w:txbxContent>
                </v:textbox>
                <w10:anchorlock/>
              </v:shape>
            </w:pict>
          </mc:Fallback>
        </mc:AlternateContent>
      </w:r>
      <w:r>
        <w:rPr>
          <w:rFonts w:ascii="Times New Roman" w:hAnsi="Times New Roman"/>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8563610</wp:posOffset>
                </wp:positionV>
                <wp:extent cx="2019300" cy="3124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632D441A">
                            <w:pPr>
                              <w:pStyle w:val="51"/>
                            </w:pPr>
                            <w:r>
                              <w:rPr>
                                <w:rFonts w:hint="eastAsia"/>
                              </w:rPr>
                              <w:t>××××-××-××发布</w:t>
                            </w:r>
                          </w:p>
                        </w:txbxContent>
                      </wps:txbx>
                      <wps:bodyPr wrap="square" lIns="0" tIns="0" rIns="0" bIns="0" upright="1"/>
                    </wps:wsp>
                  </a:graphicData>
                </a:graphic>
              </wp:anchor>
            </w:drawing>
          </mc:Choice>
          <mc:Fallback>
            <w:pict>
              <v:shape id="_x0000_s1026" o:spid="_x0000_s1026" o:spt="202" type="#_x0000_t202" style="position:absolute;left:0pt;margin-left:0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82yojYAAAACgEAAA8AAAAAAAAA&#10;AQAgAAAAIgAAAGRycy9kb3ducmV2LnhtbFBLAQIUABQAAAAIAIdO4kD9Sst12AEAAKkDAAAOAAAA&#10;AAAAAAEAIAAAACcBAABkcnMvZTJvRG9jLnhtbFBLBQYAAAAABgAGAFkBAABxBQAAAAA=&#10;">
                <v:fill on="t" focussize="0,0"/>
                <v:stroke on="f"/>
                <v:imagedata o:title=""/>
                <o:lock v:ext="edit" aspectratio="f"/>
                <v:textbox inset="0mm,0mm,0mm,0mm">
                  <w:txbxContent>
                    <w:p w14:paraId="632D441A">
                      <w:pPr>
                        <w:pStyle w:val="51"/>
                      </w:pPr>
                      <w:r>
                        <w:rPr>
                          <w:rFonts w:hint="eastAsia"/>
                        </w:rPr>
                        <w:t>××××-××-××发布</w:t>
                      </w:r>
                    </w:p>
                  </w:txbxContent>
                </v:textbox>
                <w10:anchorlock/>
              </v:shape>
            </w:pict>
          </mc:Fallback>
        </mc:AlternateContent>
      </w:r>
      <w:r>
        <w:rPr>
          <w:rFonts w:ascii="Times New Roman" w:hAnsi="Times New Roman"/>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681220"/>
                <wp:effectExtent l="0" t="0" r="0" b="5080"/>
                <wp:wrapNone/>
                <wp:docPr id="5" name="文本框 5"/>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02E4FF52">
                            <w:pPr>
                              <w:pStyle w:val="50"/>
                            </w:pPr>
                            <w:r>
                              <w:rPr>
                                <w:rFonts w:hint="eastAsia"/>
                              </w:rPr>
                              <w:t>陆上石油天然气开采建设项目（地下储气库）安全设施设计导则</w:t>
                            </w:r>
                          </w:p>
                          <w:p w14:paraId="212E3E78">
                            <w:pPr>
                              <w:pStyle w:val="50"/>
                            </w:pPr>
                          </w:p>
                          <w:p w14:paraId="02552BE3">
                            <w:pPr>
                              <w:pStyle w:val="54"/>
                              <w:spacing w:before="0" w:line="360" w:lineRule="exact"/>
                              <w:textAlignment w:val="bottom"/>
                              <w:rPr>
                                <w:rFonts w:ascii="Times New Roman" w:hAnsi="Times New Roman" w:eastAsia="黑体"/>
                                <w:szCs w:val="28"/>
                              </w:rPr>
                            </w:pPr>
                            <w:r>
                              <w:rPr>
                                <w:rFonts w:ascii="Times New Roman" w:hAnsi="Times New Roman" w:eastAsia="黑体"/>
                                <w:szCs w:val="28"/>
                              </w:rPr>
                              <w:t xml:space="preserve">Guidelines for </w:t>
                            </w:r>
                            <w:r>
                              <w:rPr>
                                <w:rFonts w:hint="eastAsia" w:ascii="Times New Roman" w:hAnsi="Times New Roman" w:eastAsia="黑体"/>
                                <w:szCs w:val="28"/>
                              </w:rPr>
                              <w:t>s</w:t>
                            </w:r>
                            <w:r>
                              <w:rPr>
                                <w:rFonts w:ascii="Times New Roman" w:hAnsi="Times New Roman" w:eastAsia="黑体"/>
                                <w:szCs w:val="28"/>
                              </w:rPr>
                              <w:t xml:space="preserve">afety </w:t>
                            </w:r>
                            <w:r>
                              <w:rPr>
                                <w:rFonts w:hint="eastAsia" w:ascii="Times New Roman" w:hAnsi="Times New Roman" w:eastAsia="黑体"/>
                                <w:szCs w:val="28"/>
                              </w:rPr>
                              <w:t>f</w:t>
                            </w:r>
                            <w:r>
                              <w:rPr>
                                <w:rFonts w:ascii="Times New Roman" w:hAnsi="Times New Roman" w:eastAsia="黑体"/>
                                <w:szCs w:val="28"/>
                              </w:rPr>
                              <w:t xml:space="preserve">acilities </w:t>
                            </w:r>
                            <w:r>
                              <w:rPr>
                                <w:rFonts w:hint="eastAsia" w:ascii="Times New Roman" w:hAnsi="Times New Roman" w:eastAsia="黑体"/>
                                <w:szCs w:val="28"/>
                              </w:rPr>
                              <w:t>d</w:t>
                            </w:r>
                            <w:r>
                              <w:rPr>
                                <w:rFonts w:ascii="Times New Roman" w:hAnsi="Times New Roman" w:eastAsia="黑体"/>
                                <w:szCs w:val="28"/>
                              </w:rPr>
                              <w:t xml:space="preserve">esign of </w:t>
                            </w:r>
                            <w:r>
                              <w:rPr>
                                <w:rFonts w:hint="eastAsia" w:ascii="Times New Roman" w:hAnsi="Times New Roman" w:eastAsia="黑体"/>
                                <w:szCs w:val="28"/>
                              </w:rPr>
                              <w:t>o</w:t>
                            </w:r>
                            <w:r>
                              <w:rPr>
                                <w:rFonts w:ascii="Times New Roman" w:hAnsi="Times New Roman" w:eastAsia="黑体"/>
                                <w:szCs w:val="28"/>
                              </w:rPr>
                              <w:t xml:space="preserve">nshore </w:t>
                            </w:r>
                            <w:r>
                              <w:rPr>
                                <w:rFonts w:hint="eastAsia" w:ascii="Times New Roman" w:hAnsi="Times New Roman" w:eastAsia="黑体"/>
                                <w:szCs w:val="28"/>
                              </w:rPr>
                              <w:t>o</w:t>
                            </w:r>
                            <w:r>
                              <w:rPr>
                                <w:rFonts w:ascii="Times New Roman" w:hAnsi="Times New Roman" w:eastAsia="黑体"/>
                                <w:szCs w:val="28"/>
                              </w:rPr>
                              <w:t xml:space="preserve">il and </w:t>
                            </w:r>
                            <w:r>
                              <w:rPr>
                                <w:rFonts w:hint="eastAsia" w:ascii="Times New Roman" w:hAnsi="Times New Roman" w:eastAsia="黑体"/>
                                <w:szCs w:val="28"/>
                              </w:rPr>
                              <w:t>g</w:t>
                            </w:r>
                            <w:r>
                              <w:rPr>
                                <w:rFonts w:ascii="Times New Roman" w:hAnsi="Times New Roman" w:eastAsia="黑体"/>
                                <w:szCs w:val="28"/>
                              </w:rPr>
                              <w:t xml:space="preserve">as </w:t>
                            </w:r>
                          </w:p>
                          <w:p w14:paraId="4E1D48D7">
                            <w:pPr>
                              <w:pStyle w:val="54"/>
                              <w:spacing w:before="0" w:line="360" w:lineRule="exact"/>
                              <w:textAlignment w:val="bottom"/>
                              <w:rPr>
                                <w:rFonts w:ascii="Times New Roman" w:hAnsi="Times New Roman" w:eastAsia="黑体"/>
                                <w:szCs w:val="28"/>
                              </w:rPr>
                            </w:pPr>
                            <w:r>
                              <w:rPr>
                                <w:rFonts w:hint="eastAsia" w:ascii="Times New Roman" w:hAnsi="Times New Roman" w:eastAsia="黑体"/>
                                <w:szCs w:val="28"/>
                              </w:rPr>
                              <w:t>e</w:t>
                            </w:r>
                            <w:r>
                              <w:rPr>
                                <w:rFonts w:ascii="Times New Roman" w:hAnsi="Times New Roman" w:eastAsia="黑体"/>
                                <w:szCs w:val="28"/>
                              </w:rPr>
                              <w:t xml:space="preserve">xploration </w:t>
                            </w:r>
                            <w:r>
                              <w:rPr>
                                <w:rFonts w:hint="eastAsia" w:ascii="Times New Roman" w:hAnsi="Times New Roman" w:eastAsia="黑体"/>
                                <w:szCs w:val="28"/>
                              </w:rPr>
                              <w:t>c</w:t>
                            </w:r>
                            <w:r>
                              <w:rPr>
                                <w:rFonts w:ascii="Times New Roman" w:hAnsi="Times New Roman" w:eastAsia="黑体"/>
                                <w:szCs w:val="28"/>
                              </w:rPr>
                              <w:t xml:space="preserve">onstruction </w:t>
                            </w:r>
                            <w:r>
                              <w:rPr>
                                <w:rFonts w:hint="eastAsia" w:ascii="Times New Roman" w:hAnsi="Times New Roman" w:eastAsia="黑体"/>
                                <w:szCs w:val="28"/>
                              </w:rPr>
                              <w:t>p</w:t>
                            </w:r>
                            <w:r>
                              <w:rPr>
                                <w:rFonts w:ascii="Times New Roman" w:hAnsi="Times New Roman" w:eastAsia="黑体"/>
                                <w:szCs w:val="28"/>
                              </w:rPr>
                              <w:t>rojects</w:t>
                            </w:r>
                          </w:p>
                          <w:p w14:paraId="2B1E5A3D">
                            <w:pPr>
                              <w:pStyle w:val="54"/>
                              <w:spacing w:before="0" w:line="360" w:lineRule="exact"/>
                              <w:textAlignment w:val="bottom"/>
                              <w:rPr>
                                <w:rFonts w:ascii="Times New Roman" w:hAnsi="Times New Roman" w:eastAsia="黑体"/>
                                <w:szCs w:val="28"/>
                              </w:rPr>
                            </w:pPr>
                            <w:r>
                              <w:rPr>
                                <w:rFonts w:ascii="Times New Roman" w:hAnsi="Times New Roman" w:eastAsia="黑体"/>
                                <w:szCs w:val="28"/>
                              </w:rPr>
                              <w:t>(Underground gas storage)</w:t>
                            </w:r>
                          </w:p>
                          <w:p w14:paraId="08972162">
                            <w:pPr>
                              <w:pStyle w:val="48"/>
                            </w:pPr>
                            <w:r>
                              <w:rPr>
                                <w:rFonts w:hint="eastAsia"/>
                              </w:rPr>
                              <w:t>（征求意见</w:t>
                            </w:r>
                            <w:r>
                              <w:t>稿</w:t>
                            </w:r>
                            <w:r>
                              <w:rPr>
                                <w:rFonts w:hint="eastAsia"/>
                              </w:rPr>
                              <w:t>）</w:t>
                            </w:r>
                          </w:p>
                        </w:txbxContent>
                      </wps:txbx>
                      <wps:bodyPr wrap="square" lIns="0" tIns="0" rIns="0" bIns="0" upright="1"/>
                    </wps:wsp>
                  </a:graphicData>
                </a:graphic>
              </wp:anchor>
            </w:drawing>
          </mc:Choice>
          <mc:Fallback>
            <w:pict>
              <v:shape id="_x0000_s1026" o:spid="_x0000_s1026" o:spt="202" type="#_x0000_t202" style="position:absolute;left:0pt;margin-left:0pt;margin-top:286.25pt;height:368.6pt;width:470pt;mso-position-horizontal-relative:margin;mso-position-vertical-relative:margin;z-index:251663360;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RXn3HYAAAACQEAAA8AAAAA&#10;AAAAAQAgAAAAIgAAAGRycy9kb3ducmV2LnhtbFBLAQIUABQAAAAIAIdO4kBkbOIz2wEAAKoDAAAO&#10;AAAAAAAAAAEAIAAAACcBAABkcnMvZTJvRG9jLnhtbFBLBQYAAAAABgAGAFkBAAB0BQAAAAA=&#10;">
                <v:fill on="t" focussize="0,0"/>
                <v:stroke on="f"/>
                <v:imagedata o:title=""/>
                <o:lock v:ext="edit" aspectratio="f"/>
                <v:textbox inset="0mm,0mm,0mm,0mm">
                  <w:txbxContent>
                    <w:p w14:paraId="02E4FF52">
                      <w:pPr>
                        <w:pStyle w:val="50"/>
                      </w:pPr>
                      <w:r>
                        <w:rPr>
                          <w:rFonts w:hint="eastAsia"/>
                        </w:rPr>
                        <w:t>陆上石油天然气开采建设项目（地下储气库）安全设施设计导则</w:t>
                      </w:r>
                    </w:p>
                    <w:p w14:paraId="212E3E78">
                      <w:pPr>
                        <w:pStyle w:val="50"/>
                      </w:pPr>
                    </w:p>
                    <w:p w14:paraId="02552BE3">
                      <w:pPr>
                        <w:pStyle w:val="54"/>
                        <w:spacing w:before="0" w:line="360" w:lineRule="exact"/>
                        <w:textAlignment w:val="bottom"/>
                        <w:rPr>
                          <w:rFonts w:ascii="Times New Roman" w:hAnsi="Times New Roman" w:eastAsia="黑体"/>
                          <w:szCs w:val="28"/>
                        </w:rPr>
                      </w:pPr>
                      <w:r>
                        <w:rPr>
                          <w:rFonts w:ascii="Times New Roman" w:hAnsi="Times New Roman" w:eastAsia="黑体"/>
                          <w:szCs w:val="28"/>
                        </w:rPr>
                        <w:t xml:space="preserve">Guidelines for </w:t>
                      </w:r>
                      <w:r>
                        <w:rPr>
                          <w:rFonts w:hint="eastAsia" w:ascii="Times New Roman" w:hAnsi="Times New Roman" w:eastAsia="黑体"/>
                          <w:szCs w:val="28"/>
                        </w:rPr>
                        <w:t>s</w:t>
                      </w:r>
                      <w:r>
                        <w:rPr>
                          <w:rFonts w:ascii="Times New Roman" w:hAnsi="Times New Roman" w:eastAsia="黑体"/>
                          <w:szCs w:val="28"/>
                        </w:rPr>
                        <w:t xml:space="preserve">afety </w:t>
                      </w:r>
                      <w:r>
                        <w:rPr>
                          <w:rFonts w:hint="eastAsia" w:ascii="Times New Roman" w:hAnsi="Times New Roman" w:eastAsia="黑体"/>
                          <w:szCs w:val="28"/>
                        </w:rPr>
                        <w:t>f</w:t>
                      </w:r>
                      <w:r>
                        <w:rPr>
                          <w:rFonts w:ascii="Times New Roman" w:hAnsi="Times New Roman" w:eastAsia="黑体"/>
                          <w:szCs w:val="28"/>
                        </w:rPr>
                        <w:t xml:space="preserve">acilities </w:t>
                      </w:r>
                      <w:r>
                        <w:rPr>
                          <w:rFonts w:hint="eastAsia" w:ascii="Times New Roman" w:hAnsi="Times New Roman" w:eastAsia="黑体"/>
                          <w:szCs w:val="28"/>
                        </w:rPr>
                        <w:t>d</w:t>
                      </w:r>
                      <w:r>
                        <w:rPr>
                          <w:rFonts w:ascii="Times New Roman" w:hAnsi="Times New Roman" w:eastAsia="黑体"/>
                          <w:szCs w:val="28"/>
                        </w:rPr>
                        <w:t xml:space="preserve">esign of </w:t>
                      </w:r>
                      <w:r>
                        <w:rPr>
                          <w:rFonts w:hint="eastAsia" w:ascii="Times New Roman" w:hAnsi="Times New Roman" w:eastAsia="黑体"/>
                          <w:szCs w:val="28"/>
                        </w:rPr>
                        <w:t>o</w:t>
                      </w:r>
                      <w:r>
                        <w:rPr>
                          <w:rFonts w:ascii="Times New Roman" w:hAnsi="Times New Roman" w:eastAsia="黑体"/>
                          <w:szCs w:val="28"/>
                        </w:rPr>
                        <w:t xml:space="preserve">nshore </w:t>
                      </w:r>
                      <w:r>
                        <w:rPr>
                          <w:rFonts w:hint="eastAsia" w:ascii="Times New Roman" w:hAnsi="Times New Roman" w:eastAsia="黑体"/>
                          <w:szCs w:val="28"/>
                        </w:rPr>
                        <w:t>o</w:t>
                      </w:r>
                      <w:r>
                        <w:rPr>
                          <w:rFonts w:ascii="Times New Roman" w:hAnsi="Times New Roman" w:eastAsia="黑体"/>
                          <w:szCs w:val="28"/>
                        </w:rPr>
                        <w:t xml:space="preserve">il and </w:t>
                      </w:r>
                      <w:r>
                        <w:rPr>
                          <w:rFonts w:hint="eastAsia" w:ascii="Times New Roman" w:hAnsi="Times New Roman" w:eastAsia="黑体"/>
                          <w:szCs w:val="28"/>
                        </w:rPr>
                        <w:t>g</w:t>
                      </w:r>
                      <w:r>
                        <w:rPr>
                          <w:rFonts w:ascii="Times New Roman" w:hAnsi="Times New Roman" w:eastAsia="黑体"/>
                          <w:szCs w:val="28"/>
                        </w:rPr>
                        <w:t xml:space="preserve">as </w:t>
                      </w:r>
                    </w:p>
                    <w:p w14:paraId="4E1D48D7">
                      <w:pPr>
                        <w:pStyle w:val="54"/>
                        <w:spacing w:before="0" w:line="360" w:lineRule="exact"/>
                        <w:textAlignment w:val="bottom"/>
                        <w:rPr>
                          <w:rFonts w:ascii="Times New Roman" w:hAnsi="Times New Roman" w:eastAsia="黑体"/>
                          <w:szCs w:val="28"/>
                        </w:rPr>
                      </w:pPr>
                      <w:r>
                        <w:rPr>
                          <w:rFonts w:hint="eastAsia" w:ascii="Times New Roman" w:hAnsi="Times New Roman" w:eastAsia="黑体"/>
                          <w:szCs w:val="28"/>
                        </w:rPr>
                        <w:t>e</w:t>
                      </w:r>
                      <w:r>
                        <w:rPr>
                          <w:rFonts w:ascii="Times New Roman" w:hAnsi="Times New Roman" w:eastAsia="黑体"/>
                          <w:szCs w:val="28"/>
                        </w:rPr>
                        <w:t xml:space="preserve">xploration </w:t>
                      </w:r>
                      <w:r>
                        <w:rPr>
                          <w:rFonts w:hint="eastAsia" w:ascii="Times New Roman" w:hAnsi="Times New Roman" w:eastAsia="黑体"/>
                          <w:szCs w:val="28"/>
                        </w:rPr>
                        <w:t>c</w:t>
                      </w:r>
                      <w:r>
                        <w:rPr>
                          <w:rFonts w:ascii="Times New Roman" w:hAnsi="Times New Roman" w:eastAsia="黑体"/>
                          <w:szCs w:val="28"/>
                        </w:rPr>
                        <w:t xml:space="preserve">onstruction </w:t>
                      </w:r>
                      <w:r>
                        <w:rPr>
                          <w:rFonts w:hint="eastAsia" w:ascii="Times New Roman" w:hAnsi="Times New Roman" w:eastAsia="黑体"/>
                          <w:szCs w:val="28"/>
                        </w:rPr>
                        <w:t>p</w:t>
                      </w:r>
                      <w:r>
                        <w:rPr>
                          <w:rFonts w:ascii="Times New Roman" w:hAnsi="Times New Roman" w:eastAsia="黑体"/>
                          <w:szCs w:val="28"/>
                        </w:rPr>
                        <w:t>rojects</w:t>
                      </w:r>
                    </w:p>
                    <w:p w14:paraId="2B1E5A3D">
                      <w:pPr>
                        <w:pStyle w:val="54"/>
                        <w:spacing w:before="0" w:line="360" w:lineRule="exact"/>
                        <w:textAlignment w:val="bottom"/>
                        <w:rPr>
                          <w:rFonts w:ascii="Times New Roman" w:hAnsi="Times New Roman" w:eastAsia="黑体"/>
                          <w:szCs w:val="28"/>
                        </w:rPr>
                      </w:pPr>
                      <w:r>
                        <w:rPr>
                          <w:rFonts w:ascii="Times New Roman" w:hAnsi="Times New Roman" w:eastAsia="黑体"/>
                          <w:szCs w:val="28"/>
                        </w:rPr>
                        <w:t>(Underground gas storage)</w:t>
                      </w:r>
                    </w:p>
                    <w:p w14:paraId="08972162">
                      <w:pPr>
                        <w:pStyle w:val="48"/>
                      </w:pPr>
                      <w:r>
                        <w:rPr>
                          <w:rFonts w:hint="eastAsia"/>
                        </w:rPr>
                        <w:t>（征求意见</w:t>
                      </w:r>
                      <w:r>
                        <w:t>稿</w:t>
                      </w:r>
                      <w:r>
                        <w:rPr>
                          <w:rFonts w:hint="eastAsia"/>
                        </w:rPr>
                        <w:t>）</w:t>
                      </w:r>
                    </w:p>
                  </w:txbxContent>
                </v:textbox>
                <w10:anchorlock/>
              </v:shape>
            </w:pict>
          </mc:Fallback>
        </mc:AlternateContent>
      </w:r>
      <w:r>
        <w:rPr>
          <w:rFonts w:ascii="Times New Roman" w:hAnsi="Times New Roman"/>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1401445</wp:posOffset>
                </wp:positionV>
                <wp:extent cx="5934075" cy="860425"/>
                <wp:effectExtent l="0" t="0" r="9525" b="0"/>
                <wp:wrapNone/>
                <wp:docPr id="4" name="文本框 4"/>
                <wp:cNvGraphicFramePr/>
                <a:graphic xmlns:a="http://schemas.openxmlformats.org/drawingml/2006/main">
                  <a:graphicData uri="http://schemas.microsoft.com/office/word/2010/wordprocessingShape">
                    <wps:wsp>
                      <wps:cNvSpPr txBox="1"/>
                      <wps:spPr>
                        <a:xfrm>
                          <a:off x="0" y="0"/>
                          <a:ext cx="5934075" cy="860425"/>
                        </a:xfrm>
                        <a:prstGeom prst="rect">
                          <a:avLst/>
                        </a:prstGeom>
                        <a:solidFill>
                          <a:srgbClr val="FFFFFF"/>
                        </a:solidFill>
                        <a:ln>
                          <a:noFill/>
                        </a:ln>
                      </wps:spPr>
                      <wps:txbx>
                        <w:txbxContent>
                          <w:p w14:paraId="29867F1C">
                            <w:pPr>
                              <w:pStyle w:val="52"/>
                              <w:rPr>
                                <w:b/>
                                <w:bCs/>
                              </w:rPr>
                            </w:pPr>
                            <w:r>
                              <w:rPr>
                                <w:b/>
                                <w:bCs/>
                              </w:rPr>
                              <w:t xml:space="preserve">AQ </w:t>
                            </w:r>
                            <w:r>
                              <w:rPr>
                                <w:rFonts w:hint="eastAsia"/>
                                <w:b/>
                                <w:bCs/>
                              </w:rPr>
                              <w:t>××××</w:t>
                            </w:r>
                            <w:r>
                              <w:rPr>
                                <w:b/>
                                <w:bCs/>
                              </w:rPr>
                              <w:t>—</w:t>
                            </w:r>
                            <w:r>
                              <w:rPr>
                                <w:rFonts w:hint="eastAsia"/>
                                <w:b/>
                                <w:bCs/>
                              </w:rPr>
                              <w:t>××××</w:t>
                            </w:r>
                          </w:p>
                        </w:txbxContent>
                      </wps:txbx>
                      <wps:bodyPr wrap="square" lIns="0" tIns="0" rIns="0" bIns="0" upright="1"/>
                    </wps:wsp>
                  </a:graphicData>
                </a:graphic>
              </wp:anchor>
            </w:drawing>
          </mc:Choice>
          <mc:Fallback>
            <w:pict>
              <v:shape id="_x0000_s1026" o:spid="_x0000_s1026" o:spt="202" type="#_x0000_t202" style="position:absolute;left:0pt;margin-left:0pt;margin-top:110.35pt;height:67.75pt;width:467.25pt;mso-position-horizontal-relative:margin;mso-position-vertical-relative:margin;z-index:251662336;mso-width-relative:page;mso-height-relative:page;" fillcolor="#FFFFFF" filled="t" stroked="f" coordsize="21600,21600" o:gfxdata="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L8572AAAAAgBAAAPAAAAAAAA&#10;AAEAIAAAACIAAABkcnMvZG93bnJldi54bWxQSwECFAAUAAAACACHTuJAP7D7LdkBAACpAwAADgAA&#10;AAAAAAABACAAAAAnAQAAZHJzL2Uyb0RvYy54bWxQSwUGAAAAAAYABgBZAQAAcgUAAAAA&#10;">
                <v:fill on="t" focussize="0,0"/>
                <v:stroke on="f"/>
                <v:imagedata o:title=""/>
                <o:lock v:ext="edit" aspectratio="f"/>
                <v:textbox inset="0mm,0mm,0mm,0mm">
                  <w:txbxContent>
                    <w:p w14:paraId="29867F1C">
                      <w:pPr>
                        <w:pStyle w:val="52"/>
                        <w:rPr>
                          <w:b/>
                          <w:bCs/>
                        </w:rPr>
                      </w:pPr>
                      <w:r>
                        <w:rPr>
                          <w:b/>
                          <w:bCs/>
                        </w:rPr>
                        <w:t xml:space="preserve">AQ </w:t>
                      </w:r>
                      <w:r>
                        <w:rPr>
                          <w:rFonts w:hint="eastAsia"/>
                          <w:b/>
                          <w:bCs/>
                        </w:rPr>
                        <w:t>××××</w:t>
                      </w:r>
                      <w:r>
                        <w:rPr>
                          <w:b/>
                          <w:bCs/>
                        </w:rPr>
                        <w:t>—</w:t>
                      </w:r>
                      <w:r>
                        <w:rPr>
                          <w:rFonts w:hint="eastAsia"/>
                          <w:b/>
                          <w:bCs/>
                        </w:rPr>
                        <w:t>××××</w:t>
                      </w:r>
                    </w:p>
                  </w:txbxContent>
                </v:textbox>
                <w10:anchorlock/>
              </v:shape>
            </w:pict>
          </mc:Fallback>
        </mc:AlternateContent>
      </w:r>
      <w:r>
        <w:rPr>
          <w:rFonts w:ascii="Times New Roman" w:hAnsi="Times New Roman"/>
        </w:rPr>
        <mc:AlternateContent>
          <mc:Choice Requires="wps">
            <w:drawing>
              <wp:anchor distT="0" distB="0" distL="114300" distR="114300" simplePos="0" relativeHeight="251661312" behindDoc="0" locked="1" layoutInCell="1" allowOverlap="1">
                <wp:simplePos x="0" y="0"/>
                <wp:positionH relativeFrom="margin">
                  <wp:posOffset>2549525</wp:posOffset>
                </wp:positionH>
                <wp:positionV relativeFrom="margin">
                  <wp:posOffset>-99060</wp:posOffset>
                </wp:positionV>
                <wp:extent cx="3175000" cy="926465"/>
                <wp:effectExtent l="0" t="0" r="6350" b="6985"/>
                <wp:wrapNone/>
                <wp:docPr id="3" name="文本框 3"/>
                <wp:cNvGraphicFramePr/>
                <a:graphic xmlns:a="http://schemas.openxmlformats.org/drawingml/2006/main">
                  <a:graphicData uri="http://schemas.microsoft.com/office/word/2010/wordprocessingShape">
                    <wps:wsp>
                      <wps:cNvSpPr txBox="1"/>
                      <wps:spPr>
                        <a:xfrm>
                          <a:off x="0" y="0"/>
                          <a:ext cx="3175000" cy="926465"/>
                        </a:xfrm>
                        <a:prstGeom prst="rect">
                          <a:avLst/>
                        </a:prstGeom>
                        <a:solidFill>
                          <a:srgbClr val="FFFFFF"/>
                        </a:solidFill>
                        <a:ln>
                          <a:noFill/>
                        </a:ln>
                      </wps:spPr>
                      <wps:txbx>
                        <w:txbxContent>
                          <w:p w14:paraId="3CE302BB">
                            <w:pPr>
                              <w:pStyle w:val="53"/>
                              <w:rPr>
                                <w:rFonts w:ascii="黑体"/>
                                <w:w w:val="150"/>
                                <w:sz w:val="144"/>
                              </w:rPr>
                            </w:pPr>
                            <w:r>
                              <w:rPr>
                                <w:rFonts w:ascii="黑体"/>
                                <w:w w:val="150"/>
                                <w:sz w:val="144"/>
                              </w:rPr>
                              <w:t>AQ</w:t>
                            </w:r>
                          </w:p>
                        </w:txbxContent>
                      </wps:txbx>
                      <wps:bodyPr wrap="square" lIns="0" tIns="0" rIns="0" bIns="0" upright="1"/>
                    </wps:wsp>
                  </a:graphicData>
                </a:graphic>
              </wp:anchor>
            </w:drawing>
          </mc:Choice>
          <mc:Fallback>
            <w:pict>
              <v:shape id="_x0000_s1026" o:spid="_x0000_s1026" o:spt="202" type="#_x0000_t202" style="position:absolute;left:0pt;margin-left:200.75pt;margin-top:-7.8pt;height:72.95pt;width:250pt;mso-position-horizontal-relative:margin;mso-position-vertical-relative:margin;z-index:251661312;mso-width-relative:page;mso-height-relative:page;" fillcolor="#FFFFFF" filled="t" stroked="f" coordsize="21600,21600" o:gfxdata="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j7h2j2QAAAAsBAAAPAAAAAAAA&#10;AAEAIAAAACIAAABkcnMvZG93bnJldi54bWxQSwECFAAUAAAACACHTuJA9O7ZedgBAACpAwAADgAA&#10;AAAAAAABACAAAAAoAQAAZHJzL2Uyb0RvYy54bWxQSwUGAAAAAAYABgBZAQAAcgUAAAAA&#10;">
                <v:fill on="t" focussize="0,0"/>
                <v:stroke on="f"/>
                <v:imagedata o:title=""/>
                <o:lock v:ext="edit" aspectratio="f"/>
                <v:textbox inset="0mm,0mm,0mm,0mm">
                  <w:txbxContent>
                    <w:p w14:paraId="3CE302BB">
                      <w:pPr>
                        <w:pStyle w:val="53"/>
                        <w:rPr>
                          <w:rFonts w:ascii="黑体"/>
                          <w:w w:val="150"/>
                          <w:sz w:val="144"/>
                        </w:rPr>
                      </w:pPr>
                      <w:r>
                        <w:rPr>
                          <w:rFonts w:ascii="黑体"/>
                          <w:w w:val="150"/>
                          <w:sz w:val="144"/>
                        </w:rPr>
                        <w:t>AQ</w:t>
                      </w:r>
                    </w:p>
                  </w:txbxContent>
                </v:textbox>
                <w10:anchorlock/>
              </v:shape>
            </w:pict>
          </mc:Fallback>
        </mc:AlternateContent>
      </w:r>
      <w:r>
        <w:rPr>
          <w:rFonts w:ascii="Times New Roman" w:hAnsi="Times New Roman"/>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0" b="8890"/>
                <wp:wrapNone/>
                <wp:docPr id="2" name="文本框 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753A4BBB">
                            <w:pPr>
                              <w:pStyle w:val="58"/>
                            </w:pPr>
                            <w:r>
                              <w:rPr>
                                <w:rFonts w:hint="eastAsia"/>
                              </w:rPr>
                              <w:t>中华人民共和国安全生产行业标准</w:t>
                            </w:r>
                          </w:p>
                        </w:txbxContent>
                      </wps:txbx>
                      <wps:bodyPr wrap="square" lIns="0" tIns="0" rIns="0" bIns="0" upright="1"/>
                    </wps:wsp>
                  </a:graphicData>
                </a:graphic>
              </wp:anchor>
            </w:drawing>
          </mc:Choice>
          <mc:Fallback>
            <w:pict>
              <v:shape id="_x0000_s1026"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g5HBdcAAAAIAQAADwAAAAAAAAAB&#10;ACAAAAAiAAAAZHJzL2Rvd25yZXYueG1sUEsBAhQAFAAAAAgAh07iQBoJoQLYAQAAqQMAAA4AAAAA&#10;AAAAAQAgAAAAJgEAAGRycy9lMm9Eb2MueG1sUEsFBgAAAAAGAAYAWQEAAHAFAAAAAA==&#10;">
                <v:fill on="t" focussize="0,0"/>
                <v:stroke on="f"/>
                <v:imagedata o:title=""/>
                <o:lock v:ext="edit" aspectratio="f"/>
                <v:textbox inset="0mm,0mm,0mm,0mm">
                  <w:txbxContent>
                    <w:p w14:paraId="753A4BBB">
                      <w:pPr>
                        <w:pStyle w:val="58"/>
                      </w:pPr>
                      <w:r>
                        <w:rPr>
                          <w:rFonts w:hint="eastAsia"/>
                        </w:rPr>
                        <w:t>中华人民共和国安全生产行业标准</w:t>
                      </w:r>
                    </w:p>
                  </w:txbxContent>
                </v:textbox>
                <w10:anchorlock/>
              </v:shape>
            </w:pict>
          </mc:Fallback>
        </mc:AlternateContent>
      </w:r>
      <w:r>
        <w:rPr>
          <w:rFonts w:ascii="Times New Roman" w:hAnsi="Times New Roman"/>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0" b="8890"/>
                <wp:wrapNone/>
                <wp:docPr id="1" name="文本框 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2449975C">
                            <w:pPr>
                              <w:pStyle w:val="59"/>
                              <w:rPr>
                                <w:rFonts w:ascii="Times New Roman" w:hAnsi="Times New Roman"/>
                                <w:bCs/>
                              </w:rPr>
                            </w:pPr>
                            <w:r>
                              <w:rPr>
                                <w:rFonts w:ascii="Times New Roman" w:hAnsi="Times New Roman"/>
                                <w:bCs/>
                              </w:rPr>
                              <w:t>ICS 13. 100</w:t>
                            </w:r>
                          </w:p>
                          <w:p w14:paraId="7C09A654">
                            <w:pPr>
                              <w:pStyle w:val="59"/>
                              <w:rPr>
                                <w:rFonts w:ascii="Times New Roman" w:hAnsi="Times New Roman"/>
                              </w:rPr>
                            </w:pPr>
                            <w:r>
                              <w:rPr>
                                <w:rFonts w:ascii="Times New Roman" w:hAnsi="Times New Roman"/>
                                <w:bCs/>
                              </w:rPr>
                              <w:t>CCS E 09</w:t>
                            </w:r>
                          </w:p>
                        </w:txbxContent>
                      </wps:txbx>
                      <wps:bodyPr wrap="square" lIns="0" tIns="0" rIns="0" bIns="0" upright="1"/>
                    </wps:wsp>
                  </a:graphicData>
                </a:graphic>
              </wp:anchor>
            </w:drawing>
          </mc:Choice>
          <mc:Fallback>
            <w:pict>
              <v:shape id="_x0000_s1026"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xezL4NMAAAAFAQAADwAAAAAAAAABACAA&#10;AAAiAAAAZHJzL2Rvd25yZXYueG1sUEsBAhQAFAAAAAgAh07iQA6w8c3ZAQAAqQMAAA4AAAAAAAAA&#10;AQAgAAAAIgEAAGRycy9lMm9Eb2MueG1sUEsFBgAAAAAGAAYAWQEAAG0FAAAAAA==&#10;">
                <v:fill on="t" focussize="0,0"/>
                <v:stroke on="f"/>
                <v:imagedata o:title=""/>
                <o:lock v:ext="edit" aspectratio="f"/>
                <v:textbox inset="0mm,0mm,0mm,0mm">
                  <w:txbxContent>
                    <w:p w14:paraId="2449975C">
                      <w:pPr>
                        <w:pStyle w:val="59"/>
                        <w:rPr>
                          <w:rFonts w:ascii="Times New Roman" w:hAnsi="Times New Roman"/>
                          <w:bCs/>
                        </w:rPr>
                      </w:pPr>
                      <w:r>
                        <w:rPr>
                          <w:rFonts w:ascii="Times New Roman" w:hAnsi="Times New Roman"/>
                          <w:bCs/>
                        </w:rPr>
                        <w:t>ICS 13. 100</w:t>
                      </w:r>
                    </w:p>
                    <w:p w14:paraId="7C09A654">
                      <w:pPr>
                        <w:pStyle w:val="59"/>
                        <w:rPr>
                          <w:rFonts w:ascii="Times New Roman" w:hAnsi="Times New Roman"/>
                        </w:rPr>
                      </w:pPr>
                      <w:r>
                        <w:rPr>
                          <w:rFonts w:ascii="Times New Roman" w:hAnsi="Times New Roman"/>
                          <w:bCs/>
                        </w:rPr>
                        <w:t>CCS E 09</w:t>
                      </w:r>
                    </w:p>
                  </w:txbxContent>
                </v:textbox>
                <w10:anchorlock/>
              </v:shape>
            </w:pict>
          </mc:Fallback>
        </mc:AlternateContent>
      </w:r>
    </w:p>
    <w:bookmarkEnd w:id="0"/>
    <w:p w14:paraId="066E049C">
      <w:pPr>
        <w:pStyle w:val="90"/>
        <w:spacing w:after="468"/>
        <w:rPr>
          <w:spacing w:val="320"/>
        </w:rPr>
      </w:pPr>
      <w:bookmarkStart w:id="1" w:name="_Toc193982826"/>
      <w:bookmarkStart w:id="2" w:name="_Toc194998247"/>
      <w:bookmarkStart w:id="3" w:name="_Toc191301043"/>
      <w:bookmarkStart w:id="4" w:name="_Toc191300588"/>
      <w:bookmarkStart w:id="5" w:name="_Toc193878294"/>
      <w:r>
        <w:rPr>
          <w:rFonts w:hint="eastAsia"/>
          <w:spacing w:val="320"/>
          <w:lang w:val="en-US" w:eastAsia="zh-CN"/>
        </w:rPr>
        <w:t xml:space="preserve"> </w:t>
      </w:r>
      <w:r>
        <w:rPr>
          <w:spacing w:val="320"/>
        </w:rPr>
        <w:t>目次</w:t>
      </w:r>
      <w:bookmarkEnd w:id="1"/>
      <w:bookmarkEnd w:id="2"/>
      <w:bookmarkEnd w:id="3"/>
      <w:bookmarkEnd w:id="4"/>
      <w:bookmarkEnd w:id="5"/>
    </w:p>
    <w:p w14:paraId="7FE8C3AD">
      <w:pPr>
        <w:pStyle w:val="19"/>
        <w:tabs>
          <w:tab w:val="right" w:leader="dot" w:pos="9628"/>
        </w:tabs>
        <w:rPr>
          <w:rFonts w:ascii="Times New Roman" w:hAnsi="Times New Roman" w:eastAsia="宋体" w:cs="Times New Roman"/>
        </w:rPr>
      </w:pPr>
      <w:r>
        <w:rPr>
          <w:rFonts w:ascii="Times New Roman" w:hAnsi="Times New Roman" w:eastAsia="宋体" w:cs="Times New Roman"/>
          <w:szCs w:val="21"/>
        </w:rPr>
        <w:fldChar w:fldCharType="begin"/>
      </w:r>
      <w:r>
        <w:rPr>
          <w:rFonts w:ascii="Times New Roman" w:hAnsi="Times New Roman" w:eastAsia="宋体" w:cs="Times New Roman"/>
          <w:szCs w:val="21"/>
        </w:rPr>
        <w:instrText xml:space="preserve"> TOC \o "1-2" \h \z \u </w:instrText>
      </w:r>
      <w:r>
        <w:rPr>
          <w:rFonts w:ascii="Times New Roman" w:hAnsi="Times New Roman" w:eastAsia="宋体" w:cs="Times New Roman"/>
          <w:szCs w:val="21"/>
        </w:rPr>
        <w:fldChar w:fldCharType="separate"/>
      </w:r>
      <w:r>
        <w:fldChar w:fldCharType="begin"/>
      </w:r>
      <w:r>
        <w:instrText xml:space="preserve"> HYPERLINK \l "_Toc195881840" </w:instrText>
      </w:r>
      <w:r>
        <w:fldChar w:fldCharType="separate"/>
      </w:r>
      <w:r>
        <w:rPr>
          <w:rStyle w:val="29"/>
          <w:rFonts w:ascii="Times New Roman" w:hAnsi="Times New Roman" w:eastAsia="宋体" w:cs="Times New Roman"/>
          <w:spacing w:val="320"/>
        </w:rPr>
        <w:t>前</w:t>
      </w:r>
      <w:r>
        <w:rPr>
          <w:rStyle w:val="29"/>
          <w:rFonts w:ascii="Times New Roman" w:hAnsi="Times New Roman" w:eastAsia="宋体" w:cs="Times New Roman"/>
        </w:rPr>
        <w:t>言</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_Toc195881840 \h </w:instrText>
      </w:r>
      <w:r>
        <w:rPr>
          <w:rFonts w:ascii="Times New Roman" w:hAnsi="Times New Roman" w:eastAsia="宋体" w:cs="Times New Roman"/>
        </w:rPr>
        <w:fldChar w:fldCharType="separate"/>
      </w:r>
      <w:r>
        <w:rPr>
          <w:rFonts w:ascii="Times New Roman" w:hAnsi="Times New Roman" w:eastAsia="宋体" w:cs="Times New Roman"/>
        </w:rPr>
        <w:t>III</w:t>
      </w:r>
      <w:r>
        <w:rPr>
          <w:rFonts w:ascii="Times New Roman" w:hAnsi="Times New Roman" w:eastAsia="宋体" w:cs="Times New Roman"/>
        </w:rPr>
        <w:fldChar w:fldCharType="end"/>
      </w:r>
      <w:r>
        <w:rPr>
          <w:rFonts w:ascii="Times New Roman" w:hAnsi="Times New Roman" w:eastAsia="宋体" w:cs="Times New Roman"/>
        </w:rPr>
        <w:fldChar w:fldCharType="end"/>
      </w:r>
    </w:p>
    <w:p w14:paraId="4E4D4CA0">
      <w:pPr>
        <w:pStyle w:val="19"/>
        <w:tabs>
          <w:tab w:val="right" w:leader="dot" w:pos="9628"/>
        </w:tabs>
        <w:rPr>
          <w:rFonts w:ascii="Times New Roman" w:hAnsi="Times New Roman" w:eastAsia="宋体" w:cs="Times New Roman"/>
        </w:rPr>
      </w:pPr>
      <w:r>
        <w:fldChar w:fldCharType="begin"/>
      </w:r>
      <w:r>
        <w:instrText xml:space="preserve"> HYPERLINK \l "_Toc195881841" </w:instrText>
      </w:r>
      <w:r>
        <w:fldChar w:fldCharType="separate"/>
      </w:r>
      <w:r>
        <w:rPr>
          <w:rStyle w:val="29"/>
          <w:rFonts w:ascii="Times New Roman" w:hAnsi="Times New Roman" w:eastAsia="宋体" w:cs="Times New Roman"/>
        </w:rPr>
        <w:t>1  范围</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_Toc195881841 \h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r>
        <w:rPr>
          <w:rFonts w:ascii="Times New Roman" w:hAnsi="Times New Roman" w:eastAsia="宋体" w:cs="Times New Roman"/>
        </w:rPr>
        <w:fldChar w:fldCharType="end"/>
      </w:r>
    </w:p>
    <w:p w14:paraId="642E091F">
      <w:pPr>
        <w:pStyle w:val="19"/>
        <w:tabs>
          <w:tab w:val="right" w:leader="dot" w:pos="9628"/>
        </w:tabs>
        <w:rPr>
          <w:rFonts w:ascii="Times New Roman" w:hAnsi="Times New Roman" w:eastAsia="宋体" w:cs="Times New Roman"/>
        </w:rPr>
      </w:pPr>
      <w:r>
        <w:fldChar w:fldCharType="begin"/>
      </w:r>
      <w:r>
        <w:instrText xml:space="preserve"> HYPERLINK \l "_Toc195881842" </w:instrText>
      </w:r>
      <w:r>
        <w:fldChar w:fldCharType="separate"/>
      </w:r>
      <w:r>
        <w:rPr>
          <w:rStyle w:val="29"/>
          <w:rFonts w:ascii="Times New Roman" w:hAnsi="Times New Roman" w:eastAsia="宋体" w:cs="Times New Roman"/>
        </w:rPr>
        <w:t>2  规范性引用文件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_Toc195881842 \h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r>
        <w:rPr>
          <w:rFonts w:ascii="Times New Roman" w:hAnsi="Times New Roman" w:eastAsia="宋体" w:cs="Times New Roman"/>
        </w:rPr>
        <w:fldChar w:fldCharType="end"/>
      </w:r>
    </w:p>
    <w:p w14:paraId="2D292244">
      <w:pPr>
        <w:pStyle w:val="19"/>
        <w:tabs>
          <w:tab w:val="right" w:leader="dot" w:pos="9628"/>
        </w:tabs>
        <w:rPr>
          <w:rFonts w:ascii="Times New Roman" w:hAnsi="Times New Roman" w:eastAsia="宋体" w:cs="Times New Roman"/>
        </w:rPr>
      </w:pPr>
      <w:r>
        <w:fldChar w:fldCharType="begin"/>
      </w:r>
      <w:r>
        <w:instrText xml:space="preserve"> HYPERLINK \l "_Toc195881843" </w:instrText>
      </w:r>
      <w:r>
        <w:fldChar w:fldCharType="separate"/>
      </w:r>
      <w:r>
        <w:rPr>
          <w:rStyle w:val="29"/>
          <w:rFonts w:ascii="Times New Roman" w:hAnsi="Times New Roman" w:eastAsia="宋体" w:cs="Times New Roman"/>
        </w:rPr>
        <w:t>3  术语和定义</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_Toc195881843 \h </w:instrText>
      </w:r>
      <w:r>
        <w:rPr>
          <w:rFonts w:ascii="Times New Roman" w:hAnsi="Times New Roman" w:eastAsia="宋体" w:cs="Times New Roman"/>
        </w:rPr>
        <w:fldChar w:fldCharType="separate"/>
      </w:r>
      <w:r>
        <w:rPr>
          <w:rFonts w:ascii="Times New Roman" w:hAnsi="Times New Roman" w:eastAsia="宋体" w:cs="Times New Roman"/>
        </w:rPr>
        <w:t>3</w:t>
      </w:r>
      <w:r>
        <w:rPr>
          <w:rFonts w:ascii="Times New Roman" w:hAnsi="Times New Roman" w:eastAsia="宋体" w:cs="Times New Roman"/>
        </w:rPr>
        <w:fldChar w:fldCharType="end"/>
      </w:r>
      <w:r>
        <w:rPr>
          <w:rFonts w:ascii="Times New Roman" w:hAnsi="Times New Roman" w:eastAsia="宋体" w:cs="Times New Roman"/>
        </w:rPr>
        <w:fldChar w:fldCharType="end"/>
      </w:r>
    </w:p>
    <w:p w14:paraId="18683989">
      <w:pPr>
        <w:pStyle w:val="19"/>
        <w:tabs>
          <w:tab w:val="right" w:leader="dot" w:pos="9628"/>
        </w:tabs>
        <w:rPr>
          <w:rFonts w:ascii="Times New Roman" w:hAnsi="Times New Roman" w:eastAsia="宋体" w:cs="Times New Roman"/>
        </w:rPr>
      </w:pPr>
      <w:r>
        <w:fldChar w:fldCharType="begin"/>
      </w:r>
      <w:r>
        <w:instrText xml:space="preserve"> HYPERLINK \l "_Toc195881844" </w:instrText>
      </w:r>
      <w:r>
        <w:fldChar w:fldCharType="separate"/>
      </w:r>
      <w:r>
        <w:rPr>
          <w:rStyle w:val="29"/>
          <w:rFonts w:ascii="Times New Roman" w:hAnsi="Times New Roman" w:eastAsia="宋体" w:cs="Times New Roman"/>
        </w:rPr>
        <w:t>4  缩略语</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_Toc195881844 \h </w:instrText>
      </w:r>
      <w:r>
        <w:rPr>
          <w:rFonts w:ascii="Times New Roman" w:hAnsi="Times New Roman" w:eastAsia="宋体" w:cs="Times New Roman"/>
        </w:rPr>
        <w:fldChar w:fldCharType="separate"/>
      </w:r>
      <w:r>
        <w:rPr>
          <w:rFonts w:ascii="Times New Roman" w:hAnsi="Times New Roman" w:eastAsia="宋体" w:cs="Times New Roman"/>
        </w:rPr>
        <w:t>3</w:t>
      </w:r>
      <w:r>
        <w:rPr>
          <w:rFonts w:ascii="Times New Roman" w:hAnsi="Times New Roman" w:eastAsia="宋体" w:cs="Times New Roman"/>
        </w:rPr>
        <w:fldChar w:fldCharType="end"/>
      </w:r>
      <w:r>
        <w:rPr>
          <w:rFonts w:ascii="Times New Roman" w:hAnsi="Times New Roman" w:eastAsia="宋体" w:cs="Times New Roman"/>
        </w:rPr>
        <w:fldChar w:fldCharType="end"/>
      </w:r>
    </w:p>
    <w:p w14:paraId="3BDB1C3E">
      <w:pPr>
        <w:pStyle w:val="19"/>
        <w:tabs>
          <w:tab w:val="right" w:leader="dot" w:pos="9628"/>
        </w:tabs>
        <w:rPr>
          <w:rFonts w:ascii="Times New Roman" w:hAnsi="Times New Roman" w:eastAsia="宋体" w:cs="Times New Roman"/>
        </w:rPr>
      </w:pPr>
      <w:r>
        <w:fldChar w:fldCharType="begin"/>
      </w:r>
      <w:r>
        <w:instrText xml:space="preserve"> HYPERLINK \l "_Toc195881845" </w:instrText>
      </w:r>
      <w:r>
        <w:fldChar w:fldCharType="separate"/>
      </w:r>
      <w:r>
        <w:rPr>
          <w:rStyle w:val="29"/>
          <w:rFonts w:ascii="Times New Roman" w:hAnsi="Times New Roman" w:eastAsia="宋体" w:cs="Times New Roman"/>
        </w:rPr>
        <w:t>5  总体要求</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_Toc195881845 \h </w:instrText>
      </w:r>
      <w:r>
        <w:rPr>
          <w:rFonts w:ascii="Times New Roman" w:hAnsi="Times New Roman" w:eastAsia="宋体" w:cs="Times New Roman"/>
        </w:rPr>
        <w:fldChar w:fldCharType="separate"/>
      </w:r>
      <w:r>
        <w:rPr>
          <w:rFonts w:ascii="Times New Roman" w:hAnsi="Times New Roman" w:eastAsia="宋体" w:cs="Times New Roman"/>
        </w:rPr>
        <w:t>4</w:t>
      </w:r>
      <w:r>
        <w:rPr>
          <w:rFonts w:ascii="Times New Roman" w:hAnsi="Times New Roman" w:eastAsia="宋体" w:cs="Times New Roman"/>
        </w:rPr>
        <w:fldChar w:fldCharType="end"/>
      </w:r>
      <w:r>
        <w:rPr>
          <w:rFonts w:ascii="Times New Roman" w:hAnsi="Times New Roman" w:eastAsia="宋体" w:cs="Times New Roman"/>
        </w:rPr>
        <w:fldChar w:fldCharType="end"/>
      </w:r>
    </w:p>
    <w:p w14:paraId="7EED5BD5">
      <w:pPr>
        <w:pStyle w:val="19"/>
        <w:tabs>
          <w:tab w:val="right" w:leader="dot" w:pos="9628"/>
        </w:tabs>
        <w:rPr>
          <w:rFonts w:ascii="Times New Roman" w:hAnsi="Times New Roman" w:eastAsia="宋体" w:cs="Times New Roman"/>
        </w:rPr>
      </w:pPr>
      <w:r>
        <w:fldChar w:fldCharType="begin"/>
      </w:r>
      <w:r>
        <w:instrText xml:space="preserve"> HYPERLINK \l "_Toc195881846" </w:instrText>
      </w:r>
      <w:r>
        <w:fldChar w:fldCharType="separate"/>
      </w:r>
      <w:r>
        <w:rPr>
          <w:rStyle w:val="29"/>
          <w:rFonts w:ascii="Times New Roman" w:hAnsi="Times New Roman" w:eastAsia="宋体" w:cs="Times New Roman"/>
        </w:rPr>
        <w:t>6  设计依据</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_Toc195881846 \h </w:instrText>
      </w:r>
      <w:r>
        <w:rPr>
          <w:rFonts w:ascii="Times New Roman" w:hAnsi="Times New Roman" w:eastAsia="宋体" w:cs="Times New Roman"/>
        </w:rPr>
        <w:fldChar w:fldCharType="separate"/>
      </w:r>
      <w:r>
        <w:rPr>
          <w:rFonts w:ascii="Times New Roman" w:hAnsi="Times New Roman" w:eastAsia="宋体" w:cs="Times New Roman"/>
        </w:rPr>
        <w:t>4</w:t>
      </w:r>
      <w:r>
        <w:rPr>
          <w:rFonts w:ascii="Times New Roman" w:hAnsi="Times New Roman" w:eastAsia="宋体" w:cs="Times New Roman"/>
        </w:rPr>
        <w:fldChar w:fldCharType="end"/>
      </w:r>
      <w:r>
        <w:rPr>
          <w:rFonts w:ascii="Times New Roman" w:hAnsi="Times New Roman" w:eastAsia="宋体" w:cs="Times New Roman"/>
        </w:rPr>
        <w:fldChar w:fldCharType="end"/>
      </w:r>
    </w:p>
    <w:p w14:paraId="7F89658F">
      <w:pPr>
        <w:pStyle w:val="2"/>
        <w:tabs>
          <w:tab w:val="right" w:leader="dot" w:pos="9628"/>
        </w:tabs>
        <w:rPr>
          <w:rFonts w:ascii="Times New Roman" w:hAnsi="Times New Roman" w:eastAsia="宋体" w:cs="Times New Roman"/>
        </w:rPr>
      </w:pPr>
      <w:r>
        <w:fldChar w:fldCharType="begin"/>
      </w:r>
      <w:r>
        <w:instrText xml:space="preserve"> HYPERLINK \l "_Toc195881847" </w:instrText>
      </w:r>
      <w:r>
        <w:fldChar w:fldCharType="separate"/>
      </w:r>
      <w:r>
        <w:rPr>
          <w:rStyle w:val="29"/>
          <w:rFonts w:ascii="Times New Roman" w:hAnsi="Times New Roman" w:eastAsia="宋体" w:cs="Times New Roman"/>
        </w:rPr>
        <w:t>6.1  依据的批复文件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_Toc195881847 \h </w:instrText>
      </w:r>
      <w:r>
        <w:rPr>
          <w:rFonts w:ascii="Times New Roman" w:hAnsi="Times New Roman" w:eastAsia="宋体" w:cs="Times New Roman"/>
        </w:rPr>
        <w:fldChar w:fldCharType="separate"/>
      </w:r>
      <w:r>
        <w:rPr>
          <w:rFonts w:ascii="Times New Roman" w:hAnsi="Times New Roman" w:eastAsia="宋体" w:cs="Times New Roman"/>
        </w:rPr>
        <w:t>4</w:t>
      </w:r>
      <w:r>
        <w:rPr>
          <w:rFonts w:ascii="Times New Roman" w:hAnsi="Times New Roman" w:eastAsia="宋体" w:cs="Times New Roman"/>
        </w:rPr>
        <w:fldChar w:fldCharType="end"/>
      </w:r>
      <w:r>
        <w:rPr>
          <w:rFonts w:ascii="Times New Roman" w:hAnsi="Times New Roman" w:eastAsia="宋体" w:cs="Times New Roman"/>
        </w:rPr>
        <w:fldChar w:fldCharType="end"/>
      </w:r>
    </w:p>
    <w:p w14:paraId="3A4059A6">
      <w:pPr>
        <w:pStyle w:val="2"/>
        <w:tabs>
          <w:tab w:val="right" w:leader="dot" w:pos="9628"/>
        </w:tabs>
        <w:rPr>
          <w:rFonts w:ascii="Times New Roman" w:hAnsi="Times New Roman" w:eastAsia="宋体" w:cs="Times New Roman"/>
        </w:rPr>
      </w:pPr>
      <w:r>
        <w:fldChar w:fldCharType="begin"/>
      </w:r>
      <w:r>
        <w:instrText xml:space="preserve"> HYPERLINK \l "_Toc195881848" </w:instrText>
      </w:r>
      <w:r>
        <w:fldChar w:fldCharType="separate"/>
      </w:r>
      <w:r>
        <w:rPr>
          <w:rStyle w:val="29"/>
          <w:rFonts w:ascii="Times New Roman" w:hAnsi="Times New Roman" w:eastAsia="宋体" w:cs="Times New Roman"/>
        </w:rPr>
        <w:t>6.2  遵循的主要法律法规</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_Toc195881848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14:paraId="7B686789">
      <w:pPr>
        <w:pStyle w:val="2"/>
        <w:tabs>
          <w:tab w:val="right" w:leader="dot" w:pos="9628"/>
        </w:tabs>
        <w:rPr>
          <w:rFonts w:ascii="Times New Roman" w:hAnsi="Times New Roman" w:eastAsia="宋体" w:cs="Times New Roman"/>
        </w:rPr>
      </w:pPr>
      <w:r>
        <w:fldChar w:fldCharType="begin"/>
      </w:r>
      <w:r>
        <w:instrText xml:space="preserve"> HYPERLINK \l "_Toc195881849" </w:instrText>
      </w:r>
      <w:r>
        <w:fldChar w:fldCharType="separate"/>
      </w:r>
      <w:r>
        <w:rPr>
          <w:rStyle w:val="29"/>
          <w:rFonts w:ascii="Times New Roman" w:hAnsi="Times New Roman" w:eastAsia="宋体" w:cs="Times New Roman"/>
        </w:rPr>
        <w:t>6.3  执行的主要标准规范</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_Toc195881849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14:paraId="72144243">
      <w:pPr>
        <w:pStyle w:val="2"/>
        <w:tabs>
          <w:tab w:val="right" w:leader="dot" w:pos="9628"/>
        </w:tabs>
        <w:rPr>
          <w:rFonts w:ascii="Times New Roman" w:hAnsi="Times New Roman" w:eastAsia="宋体" w:cs="Times New Roman"/>
        </w:rPr>
      </w:pPr>
      <w:r>
        <w:fldChar w:fldCharType="begin"/>
      </w:r>
      <w:r>
        <w:instrText xml:space="preserve"> HYPERLINK \l "_Toc195881850" </w:instrText>
      </w:r>
      <w:r>
        <w:fldChar w:fldCharType="separate"/>
      </w:r>
      <w:r>
        <w:rPr>
          <w:rStyle w:val="29"/>
          <w:rFonts w:ascii="Times New Roman" w:hAnsi="Times New Roman" w:eastAsia="宋体" w:cs="Times New Roman"/>
        </w:rPr>
        <w:t>6.4  其他文件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_Toc195881850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14:paraId="3E95C4C7">
      <w:pPr>
        <w:pStyle w:val="19"/>
        <w:tabs>
          <w:tab w:val="right" w:leader="dot" w:pos="9628"/>
        </w:tabs>
        <w:rPr>
          <w:rFonts w:ascii="Times New Roman" w:hAnsi="Times New Roman" w:eastAsia="宋体" w:cs="Times New Roman"/>
        </w:rPr>
      </w:pPr>
      <w:r>
        <w:fldChar w:fldCharType="begin"/>
      </w:r>
      <w:r>
        <w:instrText xml:space="preserve"> HYPERLINK \l "_Toc195881851" </w:instrText>
      </w:r>
      <w:r>
        <w:fldChar w:fldCharType="separate"/>
      </w:r>
      <w:r>
        <w:rPr>
          <w:rStyle w:val="29"/>
          <w:rFonts w:ascii="Times New Roman" w:hAnsi="Times New Roman" w:eastAsia="宋体" w:cs="Times New Roman"/>
        </w:rPr>
        <w:t>7  建设项目概述</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_Toc195881851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14:paraId="36E7745A">
      <w:pPr>
        <w:pStyle w:val="2"/>
        <w:tabs>
          <w:tab w:val="right" w:leader="dot" w:pos="9628"/>
        </w:tabs>
        <w:rPr>
          <w:rFonts w:ascii="Times New Roman" w:hAnsi="Times New Roman" w:eastAsia="宋体" w:cs="Times New Roman"/>
        </w:rPr>
      </w:pPr>
      <w:r>
        <w:fldChar w:fldCharType="begin"/>
      </w:r>
      <w:r>
        <w:instrText xml:space="preserve"> HYPERLINK \l "_Toc195881852" </w:instrText>
      </w:r>
      <w:r>
        <w:fldChar w:fldCharType="separate"/>
      </w:r>
      <w:r>
        <w:rPr>
          <w:rStyle w:val="29"/>
          <w:rFonts w:ascii="Times New Roman" w:hAnsi="Times New Roman" w:eastAsia="宋体" w:cs="Times New Roman"/>
        </w:rPr>
        <w:t>7.1  项目概况</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_Toc195881852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14:paraId="2E8A748F">
      <w:pPr>
        <w:pStyle w:val="2"/>
        <w:tabs>
          <w:tab w:val="right" w:leader="dot" w:pos="9628"/>
        </w:tabs>
        <w:rPr>
          <w:rFonts w:ascii="Times New Roman" w:hAnsi="Times New Roman" w:eastAsia="宋体" w:cs="Times New Roman"/>
        </w:rPr>
      </w:pPr>
      <w:r>
        <w:fldChar w:fldCharType="begin"/>
      </w:r>
      <w:r>
        <w:instrText xml:space="preserve"> HYPERLINK \l "_Toc195881853" </w:instrText>
      </w:r>
      <w:r>
        <w:fldChar w:fldCharType="separate"/>
      </w:r>
      <w:r>
        <w:rPr>
          <w:rStyle w:val="29"/>
          <w:rFonts w:ascii="Times New Roman" w:hAnsi="Times New Roman" w:eastAsia="宋体" w:cs="Times New Roman"/>
        </w:rPr>
        <w:t>7.2  主体工艺</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_Toc195881853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14:paraId="034ACB6E">
      <w:pPr>
        <w:pStyle w:val="2"/>
        <w:tabs>
          <w:tab w:val="right" w:leader="dot" w:pos="9628"/>
        </w:tabs>
        <w:rPr>
          <w:rFonts w:ascii="Times New Roman" w:hAnsi="Times New Roman" w:eastAsia="宋体" w:cs="Times New Roman"/>
        </w:rPr>
      </w:pPr>
      <w:r>
        <w:fldChar w:fldCharType="begin"/>
      </w:r>
      <w:r>
        <w:instrText xml:space="preserve"> HYPERLINK \l "_Toc195881854" </w:instrText>
      </w:r>
      <w:r>
        <w:fldChar w:fldCharType="separate"/>
      </w:r>
      <w:r>
        <w:rPr>
          <w:rStyle w:val="29"/>
          <w:rFonts w:ascii="Times New Roman" w:hAnsi="Times New Roman" w:eastAsia="宋体" w:cs="Times New Roman"/>
        </w:rPr>
        <w:t>7.3  辅助生产系统和公用工程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_Toc195881854 \h </w:instrText>
      </w:r>
      <w:r>
        <w:rPr>
          <w:rFonts w:ascii="Times New Roman" w:hAnsi="Times New Roman" w:eastAsia="宋体" w:cs="Times New Roman"/>
        </w:rPr>
        <w:fldChar w:fldCharType="separate"/>
      </w:r>
      <w:r>
        <w:rPr>
          <w:rFonts w:ascii="Times New Roman" w:hAnsi="Times New Roman" w:eastAsia="宋体" w:cs="Times New Roman"/>
        </w:rPr>
        <w:t>6</w:t>
      </w:r>
      <w:r>
        <w:rPr>
          <w:rFonts w:ascii="Times New Roman" w:hAnsi="Times New Roman" w:eastAsia="宋体" w:cs="Times New Roman"/>
        </w:rPr>
        <w:fldChar w:fldCharType="end"/>
      </w:r>
      <w:r>
        <w:rPr>
          <w:rFonts w:ascii="Times New Roman" w:hAnsi="Times New Roman" w:eastAsia="宋体" w:cs="Times New Roman"/>
        </w:rPr>
        <w:fldChar w:fldCharType="end"/>
      </w:r>
    </w:p>
    <w:p w14:paraId="1A43186C">
      <w:pPr>
        <w:pStyle w:val="2"/>
        <w:tabs>
          <w:tab w:val="right" w:leader="dot" w:pos="9628"/>
        </w:tabs>
        <w:rPr>
          <w:rFonts w:ascii="Times New Roman" w:hAnsi="Times New Roman" w:eastAsia="宋体" w:cs="Times New Roman"/>
        </w:rPr>
      </w:pPr>
      <w:r>
        <w:fldChar w:fldCharType="begin"/>
      </w:r>
      <w:r>
        <w:instrText xml:space="preserve"> HYPERLINK \l "_Toc195881855" </w:instrText>
      </w:r>
      <w:r>
        <w:fldChar w:fldCharType="separate"/>
      </w:r>
      <w:r>
        <w:rPr>
          <w:rStyle w:val="29"/>
          <w:rFonts w:ascii="Times New Roman" w:hAnsi="Times New Roman" w:eastAsia="宋体" w:cs="Times New Roman"/>
        </w:rPr>
        <w:t>7.4  主要工程量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_Toc195881855 \h </w:instrText>
      </w:r>
      <w:r>
        <w:rPr>
          <w:rFonts w:ascii="Times New Roman" w:hAnsi="Times New Roman" w:eastAsia="宋体" w:cs="Times New Roman"/>
        </w:rPr>
        <w:fldChar w:fldCharType="separate"/>
      </w:r>
      <w:r>
        <w:rPr>
          <w:rFonts w:ascii="Times New Roman" w:hAnsi="Times New Roman" w:eastAsia="宋体" w:cs="Times New Roman"/>
        </w:rPr>
        <w:t>8</w:t>
      </w:r>
      <w:r>
        <w:rPr>
          <w:rFonts w:ascii="Times New Roman" w:hAnsi="Times New Roman" w:eastAsia="宋体" w:cs="Times New Roman"/>
        </w:rPr>
        <w:fldChar w:fldCharType="end"/>
      </w:r>
      <w:r>
        <w:rPr>
          <w:rFonts w:ascii="Times New Roman" w:hAnsi="Times New Roman" w:eastAsia="宋体" w:cs="Times New Roman"/>
        </w:rPr>
        <w:fldChar w:fldCharType="end"/>
      </w:r>
    </w:p>
    <w:p w14:paraId="71E51F99">
      <w:pPr>
        <w:pStyle w:val="19"/>
        <w:tabs>
          <w:tab w:val="right" w:leader="dot" w:pos="9628"/>
        </w:tabs>
        <w:rPr>
          <w:rFonts w:ascii="Times New Roman" w:hAnsi="Times New Roman" w:eastAsia="宋体" w:cs="Times New Roman"/>
        </w:rPr>
      </w:pPr>
      <w:r>
        <w:fldChar w:fldCharType="begin"/>
      </w:r>
      <w:r>
        <w:instrText xml:space="preserve"> HYPERLINK \l "_Toc195881856" </w:instrText>
      </w:r>
      <w:r>
        <w:fldChar w:fldCharType="separate"/>
      </w:r>
      <w:r>
        <w:rPr>
          <w:rStyle w:val="29"/>
          <w:rFonts w:ascii="Times New Roman" w:hAnsi="Times New Roman" w:eastAsia="宋体" w:cs="Times New Roman"/>
        </w:rPr>
        <w:t>8  危险有害因素分析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_Toc195881856 \h </w:instrText>
      </w:r>
      <w:r>
        <w:rPr>
          <w:rFonts w:ascii="Times New Roman" w:hAnsi="Times New Roman" w:eastAsia="宋体" w:cs="Times New Roman"/>
        </w:rPr>
        <w:fldChar w:fldCharType="separate"/>
      </w:r>
      <w:r>
        <w:rPr>
          <w:rFonts w:ascii="Times New Roman" w:hAnsi="Times New Roman" w:eastAsia="宋体" w:cs="Times New Roman"/>
        </w:rPr>
        <w:t>8</w:t>
      </w:r>
      <w:r>
        <w:rPr>
          <w:rFonts w:ascii="Times New Roman" w:hAnsi="Times New Roman" w:eastAsia="宋体" w:cs="Times New Roman"/>
        </w:rPr>
        <w:fldChar w:fldCharType="end"/>
      </w:r>
      <w:r>
        <w:rPr>
          <w:rFonts w:ascii="Times New Roman" w:hAnsi="Times New Roman" w:eastAsia="宋体" w:cs="Times New Roman"/>
        </w:rPr>
        <w:fldChar w:fldCharType="end"/>
      </w:r>
    </w:p>
    <w:p w14:paraId="283A4B45">
      <w:pPr>
        <w:pStyle w:val="19"/>
        <w:tabs>
          <w:tab w:val="right" w:leader="dot" w:pos="9628"/>
        </w:tabs>
        <w:rPr>
          <w:rFonts w:ascii="Times New Roman" w:hAnsi="Times New Roman" w:eastAsia="宋体" w:cs="Times New Roman"/>
        </w:rPr>
      </w:pPr>
      <w:r>
        <w:fldChar w:fldCharType="begin"/>
      </w:r>
      <w:r>
        <w:instrText xml:space="preserve"> HYPERLINK \l "_Toc195881857" </w:instrText>
      </w:r>
      <w:r>
        <w:fldChar w:fldCharType="separate"/>
      </w:r>
      <w:r>
        <w:rPr>
          <w:rStyle w:val="29"/>
          <w:rFonts w:ascii="Times New Roman" w:hAnsi="Times New Roman" w:eastAsia="宋体" w:cs="Times New Roman"/>
        </w:rPr>
        <w:t>9  安全预评价响应</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_Toc195881857 \h </w:instrText>
      </w:r>
      <w:r>
        <w:rPr>
          <w:rFonts w:ascii="Times New Roman" w:hAnsi="Times New Roman" w:eastAsia="宋体" w:cs="Times New Roman"/>
        </w:rPr>
        <w:fldChar w:fldCharType="separate"/>
      </w:r>
      <w:r>
        <w:rPr>
          <w:rFonts w:ascii="Times New Roman" w:hAnsi="Times New Roman" w:eastAsia="宋体" w:cs="Times New Roman"/>
        </w:rPr>
        <w:t>8</w:t>
      </w:r>
      <w:r>
        <w:rPr>
          <w:rFonts w:ascii="Times New Roman" w:hAnsi="Times New Roman" w:eastAsia="宋体" w:cs="Times New Roman"/>
        </w:rPr>
        <w:fldChar w:fldCharType="end"/>
      </w:r>
      <w:r>
        <w:rPr>
          <w:rFonts w:ascii="Times New Roman" w:hAnsi="Times New Roman" w:eastAsia="宋体" w:cs="Times New Roman"/>
        </w:rPr>
        <w:fldChar w:fldCharType="end"/>
      </w:r>
    </w:p>
    <w:p w14:paraId="7957B957">
      <w:pPr>
        <w:pStyle w:val="19"/>
        <w:tabs>
          <w:tab w:val="right" w:leader="dot" w:pos="9628"/>
        </w:tabs>
        <w:rPr>
          <w:rFonts w:ascii="Times New Roman" w:hAnsi="Times New Roman" w:eastAsia="宋体" w:cs="Times New Roman"/>
        </w:rPr>
      </w:pPr>
      <w:r>
        <w:fldChar w:fldCharType="begin"/>
      </w:r>
      <w:r>
        <w:instrText xml:space="preserve"> HYPERLINK \l "_Toc195881858" </w:instrText>
      </w:r>
      <w:r>
        <w:fldChar w:fldCharType="separate"/>
      </w:r>
      <w:r>
        <w:rPr>
          <w:rStyle w:val="29"/>
          <w:rFonts w:ascii="Times New Roman" w:hAnsi="Times New Roman" w:eastAsia="宋体" w:cs="Times New Roman"/>
        </w:rPr>
        <w:t>10  地质与气藏工程安全措施</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_Toc195881858 \h </w:instrText>
      </w:r>
      <w:r>
        <w:rPr>
          <w:rFonts w:ascii="Times New Roman" w:hAnsi="Times New Roman" w:eastAsia="宋体" w:cs="Times New Roman"/>
        </w:rPr>
        <w:fldChar w:fldCharType="separate"/>
      </w:r>
      <w:r>
        <w:rPr>
          <w:rFonts w:ascii="Times New Roman" w:hAnsi="Times New Roman" w:eastAsia="宋体" w:cs="Times New Roman"/>
        </w:rPr>
        <w:t>8</w:t>
      </w:r>
      <w:r>
        <w:rPr>
          <w:rFonts w:ascii="Times New Roman" w:hAnsi="Times New Roman" w:eastAsia="宋体" w:cs="Times New Roman"/>
        </w:rPr>
        <w:fldChar w:fldCharType="end"/>
      </w:r>
      <w:r>
        <w:rPr>
          <w:rFonts w:ascii="Times New Roman" w:hAnsi="Times New Roman" w:eastAsia="宋体" w:cs="Times New Roman"/>
        </w:rPr>
        <w:fldChar w:fldCharType="end"/>
      </w:r>
    </w:p>
    <w:p w14:paraId="62466919">
      <w:pPr>
        <w:pStyle w:val="2"/>
        <w:tabs>
          <w:tab w:val="right" w:leader="dot" w:pos="9628"/>
        </w:tabs>
        <w:rPr>
          <w:rFonts w:ascii="Times New Roman" w:hAnsi="Times New Roman" w:eastAsia="宋体" w:cs="Times New Roman"/>
        </w:rPr>
      </w:pPr>
      <w:r>
        <w:fldChar w:fldCharType="begin"/>
      </w:r>
      <w:r>
        <w:instrText xml:space="preserve"> HYPERLINK \l "_Toc195881859" </w:instrText>
      </w:r>
      <w:r>
        <w:fldChar w:fldCharType="separate"/>
      </w:r>
      <w:r>
        <w:rPr>
          <w:rStyle w:val="29"/>
          <w:rFonts w:ascii="Times New Roman" w:hAnsi="Times New Roman" w:eastAsia="宋体" w:cs="Times New Roman"/>
        </w:rPr>
        <w:t>10.1  选址</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_Toc195881859 \h </w:instrText>
      </w:r>
      <w:r>
        <w:rPr>
          <w:rFonts w:ascii="Times New Roman" w:hAnsi="Times New Roman" w:eastAsia="宋体" w:cs="Times New Roman"/>
        </w:rPr>
        <w:fldChar w:fldCharType="separate"/>
      </w:r>
      <w:r>
        <w:rPr>
          <w:rFonts w:ascii="Times New Roman" w:hAnsi="Times New Roman" w:eastAsia="宋体" w:cs="Times New Roman"/>
        </w:rPr>
        <w:t>8</w:t>
      </w:r>
      <w:r>
        <w:rPr>
          <w:rFonts w:ascii="Times New Roman" w:hAnsi="Times New Roman" w:eastAsia="宋体" w:cs="Times New Roman"/>
        </w:rPr>
        <w:fldChar w:fldCharType="end"/>
      </w:r>
      <w:r>
        <w:rPr>
          <w:rFonts w:ascii="Times New Roman" w:hAnsi="Times New Roman" w:eastAsia="宋体" w:cs="Times New Roman"/>
        </w:rPr>
        <w:fldChar w:fldCharType="end"/>
      </w:r>
    </w:p>
    <w:p w14:paraId="5A3D5353">
      <w:pPr>
        <w:pStyle w:val="2"/>
        <w:tabs>
          <w:tab w:val="right" w:leader="dot" w:pos="9628"/>
        </w:tabs>
        <w:rPr>
          <w:rFonts w:ascii="Times New Roman" w:hAnsi="Times New Roman" w:eastAsia="宋体" w:cs="Times New Roman"/>
        </w:rPr>
      </w:pPr>
      <w:r>
        <w:fldChar w:fldCharType="begin"/>
      </w:r>
      <w:r>
        <w:instrText xml:space="preserve"> HYPERLINK \l "_Toc195881860" </w:instrText>
      </w:r>
      <w:r>
        <w:fldChar w:fldCharType="separate"/>
      </w:r>
      <w:r>
        <w:rPr>
          <w:rStyle w:val="29"/>
          <w:rFonts w:ascii="Times New Roman" w:hAnsi="Times New Roman" w:eastAsia="宋体" w:cs="Times New Roman"/>
        </w:rPr>
        <w:t>10.2  地质与气藏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_Toc195881860 \h </w:instrText>
      </w:r>
      <w:r>
        <w:rPr>
          <w:rFonts w:ascii="Times New Roman" w:hAnsi="Times New Roman" w:eastAsia="宋体" w:cs="Times New Roman"/>
        </w:rPr>
        <w:fldChar w:fldCharType="separate"/>
      </w:r>
      <w:r>
        <w:rPr>
          <w:rFonts w:ascii="Times New Roman" w:hAnsi="Times New Roman" w:eastAsia="宋体" w:cs="Times New Roman"/>
        </w:rPr>
        <w:t>8</w:t>
      </w:r>
      <w:r>
        <w:rPr>
          <w:rFonts w:ascii="Times New Roman" w:hAnsi="Times New Roman" w:eastAsia="宋体" w:cs="Times New Roman"/>
        </w:rPr>
        <w:fldChar w:fldCharType="end"/>
      </w:r>
      <w:r>
        <w:rPr>
          <w:rFonts w:ascii="Times New Roman" w:hAnsi="Times New Roman" w:eastAsia="宋体" w:cs="Times New Roman"/>
        </w:rPr>
        <w:fldChar w:fldCharType="end"/>
      </w:r>
    </w:p>
    <w:p w14:paraId="7B332C95">
      <w:pPr>
        <w:pStyle w:val="2"/>
        <w:tabs>
          <w:tab w:val="right" w:leader="dot" w:pos="9628"/>
        </w:tabs>
        <w:rPr>
          <w:rFonts w:ascii="Times New Roman" w:hAnsi="Times New Roman" w:eastAsia="宋体" w:cs="Times New Roman"/>
        </w:rPr>
      </w:pPr>
      <w:r>
        <w:fldChar w:fldCharType="begin"/>
      </w:r>
      <w:r>
        <w:instrText xml:space="preserve"> HYPERLINK \l "_Toc195881861" </w:instrText>
      </w:r>
      <w:r>
        <w:fldChar w:fldCharType="separate"/>
      </w:r>
      <w:r>
        <w:rPr>
          <w:rStyle w:val="29"/>
          <w:rFonts w:ascii="Times New Roman" w:hAnsi="Times New Roman" w:eastAsia="宋体" w:cs="Times New Roman"/>
        </w:rPr>
        <w:t>10.3  地质体监测部署</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_Toc195881861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14:paraId="03E9783F">
      <w:pPr>
        <w:pStyle w:val="19"/>
        <w:tabs>
          <w:tab w:val="right" w:leader="dot" w:pos="9628"/>
        </w:tabs>
        <w:rPr>
          <w:rFonts w:ascii="Times New Roman" w:hAnsi="Times New Roman" w:eastAsia="宋体" w:cs="Times New Roman"/>
        </w:rPr>
      </w:pPr>
      <w:r>
        <w:fldChar w:fldCharType="begin"/>
      </w:r>
      <w:r>
        <w:instrText xml:space="preserve"> HYPERLINK \l "_Toc195881862" </w:instrText>
      </w:r>
      <w:r>
        <w:fldChar w:fldCharType="separate"/>
      </w:r>
      <w:r>
        <w:rPr>
          <w:rStyle w:val="29"/>
          <w:rFonts w:ascii="Times New Roman" w:hAnsi="Times New Roman" w:eastAsia="宋体" w:cs="Times New Roman"/>
        </w:rPr>
        <w:t>11  井工程安全措施</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_Toc195881862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14:paraId="7FC375CD">
      <w:pPr>
        <w:pStyle w:val="2"/>
        <w:tabs>
          <w:tab w:val="right" w:leader="dot" w:pos="9628"/>
        </w:tabs>
        <w:rPr>
          <w:rFonts w:ascii="Times New Roman" w:hAnsi="Times New Roman" w:eastAsia="宋体" w:cs="Times New Roman"/>
        </w:rPr>
      </w:pPr>
      <w:r>
        <w:fldChar w:fldCharType="begin"/>
      </w:r>
      <w:r>
        <w:instrText xml:space="preserve"> HYPERLINK \l "_Toc195881863" </w:instrText>
      </w:r>
      <w:r>
        <w:fldChar w:fldCharType="separate"/>
      </w:r>
      <w:r>
        <w:rPr>
          <w:rStyle w:val="29"/>
          <w:rFonts w:ascii="Times New Roman" w:hAnsi="Times New Roman" w:eastAsia="宋体" w:cs="Times New Roman"/>
        </w:rPr>
        <w:t>11.1  安全距离</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_Toc195881863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14:paraId="7FD013AE">
      <w:pPr>
        <w:pStyle w:val="2"/>
        <w:tabs>
          <w:tab w:val="right" w:leader="dot" w:pos="9628"/>
        </w:tabs>
        <w:rPr>
          <w:rFonts w:ascii="Times New Roman" w:hAnsi="Times New Roman" w:eastAsia="宋体" w:cs="Times New Roman"/>
        </w:rPr>
      </w:pPr>
      <w:r>
        <w:fldChar w:fldCharType="begin"/>
      </w:r>
      <w:r>
        <w:instrText xml:space="preserve"> HYPERLINK \l "_Toc195881864" </w:instrText>
      </w:r>
      <w:r>
        <w:fldChar w:fldCharType="separate"/>
      </w:r>
      <w:r>
        <w:rPr>
          <w:rStyle w:val="29"/>
          <w:rFonts w:ascii="Times New Roman" w:hAnsi="Times New Roman" w:eastAsia="宋体" w:cs="Times New Roman"/>
        </w:rPr>
        <w:t>11.2  工程质量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_Toc195881864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14:paraId="585DB016">
      <w:pPr>
        <w:pStyle w:val="2"/>
        <w:tabs>
          <w:tab w:val="right" w:leader="dot" w:pos="9628"/>
        </w:tabs>
        <w:rPr>
          <w:rFonts w:ascii="Times New Roman" w:hAnsi="Times New Roman" w:eastAsia="宋体" w:cs="Times New Roman"/>
        </w:rPr>
      </w:pPr>
      <w:r>
        <w:fldChar w:fldCharType="begin"/>
      </w:r>
      <w:r>
        <w:instrText xml:space="preserve"> HYPERLINK \l "_Toc195881865" </w:instrText>
      </w:r>
      <w:r>
        <w:fldChar w:fldCharType="separate"/>
      </w:r>
      <w:r>
        <w:rPr>
          <w:rStyle w:val="29"/>
          <w:rFonts w:ascii="Times New Roman" w:hAnsi="Times New Roman" w:eastAsia="宋体" w:cs="Times New Roman"/>
        </w:rPr>
        <w:t>11.3  完井安全设施</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_Toc195881865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14:paraId="21184331">
      <w:pPr>
        <w:pStyle w:val="2"/>
        <w:tabs>
          <w:tab w:val="right" w:leader="dot" w:pos="9628"/>
        </w:tabs>
        <w:rPr>
          <w:rFonts w:ascii="Times New Roman" w:hAnsi="Times New Roman" w:eastAsia="宋体" w:cs="Times New Roman"/>
        </w:rPr>
      </w:pPr>
      <w:r>
        <w:fldChar w:fldCharType="begin"/>
      </w:r>
      <w:r>
        <w:instrText xml:space="preserve"> HYPERLINK \l "_Toc195881866" </w:instrText>
      </w:r>
      <w:r>
        <w:fldChar w:fldCharType="separate"/>
      </w:r>
      <w:r>
        <w:rPr>
          <w:rStyle w:val="29"/>
          <w:rFonts w:ascii="Times New Roman" w:hAnsi="Times New Roman" w:eastAsia="宋体" w:cs="Times New Roman"/>
        </w:rPr>
        <w:t>11.4  硫化氢防护</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_Toc195881866 \h </w:instrText>
      </w:r>
      <w:r>
        <w:rPr>
          <w:rFonts w:ascii="Times New Roman" w:hAnsi="Times New Roman" w:eastAsia="宋体" w:cs="Times New Roman"/>
        </w:rPr>
        <w:fldChar w:fldCharType="separate"/>
      </w:r>
      <w:r>
        <w:rPr>
          <w:rFonts w:ascii="Times New Roman" w:hAnsi="Times New Roman" w:eastAsia="宋体" w:cs="Times New Roman"/>
        </w:rPr>
        <w:t>10</w:t>
      </w:r>
      <w:r>
        <w:rPr>
          <w:rFonts w:ascii="Times New Roman" w:hAnsi="Times New Roman" w:eastAsia="宋体" w:cs="Times New Roman"/>
        </w:rPr>
        <w:fldChar w:fldCharType="end"/>
      </w:r>
      <w:r>
        <w:rPr>
          <w:rFonts w:ascii="Times New Roman" w:hAnsi="Times New Roman" w:eastAsia="宋体" w:cs="Times New Roman"/>
        </w:rPr>
        <w:fldChar w:fldCharType="end"/>
      </w:r>
    </w:p>
    <w:p w14:paraId="0653DF27">
      <w:pPr>
        <w:pStyle w:val="2"/>
        <w:tabs>
          <w:tab w:val="right" w:leader="dot" w:pos="9628"/>
        </w:tabs>
        <w:rPr>
          <w:rFonts w:ascii="Times New Roman" w:hAnsi="Times New Roman" w:eastAsia="宋体" w:cs="Times New Roman"/>
        </w:rPr>
      </w:pPr>
      <w:r>
        <w:fldChar w:fldCharType="begin"/>
      </w:r>
      <w:r>
        <w:instrText xml:space="preserve"> HYPERLINK \l "_Toc195881867" </w:instrText>
      </w:r>
      <w:r>
        <w:fldChar w:fldCharType="separate"/>
      </w:r>
      <w:r>
        <w:rPr>
          <w:rStyle w:val="29"/>
          <w:rFonts w:ascii="Times New Roman" w:hAnsi="Times New Roman" w:eastAsia="宋体" w:cs="Times New Roman"/>
        </w:rPr>
        <w:t>11.5  防火防爆相关设施</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_Toc195881867 \h </w:instrText>
      </w:r>
      <w:r>
        <w:rPr>
          <w:rFonts w:ascii="Times New Roman" w:hAnsi="Times New Roman" w:eastAsia="宋体" w:cs="Times New Roman"/>
        </w:rPr>
        <w:fldChar w:fldCharType="separate"/>
      </w:r>
      <w:r>
        <w:rPr>
          <w:rFonts w:ascii="Times New Roman" w:hAnsi="Times New Roman" w:eastAsia="宋体" w:cs="Times New Roman"/>
        </w:rPr>
        <w:t>10</w:t>
      </w:r>
      <w:r>
        <w:rPr>
          <w:rFonts w:ascii="Times New Roman" w:hAnsi="Times New Roman" w:eastAsia="宋体" w:cs="Times New Roman"/>
        </w:rPr>
        <w:fldChar w:fldCharType="end"/>
      </w:r>
      <w:r>
        <w:rPr>
          <w:rFonts w:ascii="Times New Roman" w:hAnsi="Times New Roman" w:eastAsia="宋体" w:cs="Times New Roman"/>
        </w:rPr>
        <w:fldChar w:fldCharType="end"/>
      </w:r>
    </w:p>
    <w:p w14:paraId="1625D282">
      <w:pPr>
        <w:pStyle w:val="19"/>
        <w:tabs>
          <w:tab w:val="right" w:leader="dot" w:pos="9628"/>
        </w:tabs>
        <w:rPr>
          <w:rFonts w:ascii="Times New Roman" w:hAnsi="Times New Roman" w:eastAsia="宋体" w:cs="Times New Roman"/>
        </w:rPr>
      </w:pPr>
      <w:r>
        <w:fldChar w:fldCharType="begin"/>
      </w:r>
      <w:r>
        <w:instrText xml:space="preserve"> HYPERLINK \l "_Toc195881868" </w:instrText>
      </w:r>
      <w:r>
        <w:fldChar w:fldCharType="separate"/>
      </w:r>
      <w:r>
        <w:rPr>
          <w:rStyle w:val="29"/>
          <w:rFonts w:ascii="Times New Roman" w:hAnsi="Times New Roman" w:eastAsia="宋体" w:cs="Times New Roman"/>
        </w:rPr>
        <w:t>12  地面工程安全措施</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_Toc195881868 \h </w:instrText>
      </w:r>
      <w:r>
        <w:rPr>
          <w:rFonts w:ascii="Times New Roman" w:hAnsi="Times New Roman" w:eastAsia="宋体" w:cs="Times New Roman"/>
        </w:rPr>
        <w:fldChar w:fldCharType="separate"/>
      </w:r>
      <w:r>
        <w:rPr>
          <w:rFonts w:ascii="Times New Roman" w:hAnsi="Times New Roman" w:eastAsia="宋体" w:cs="Times New Roman"/>
        </w:rPr>
        <w:t>10</w:t>
      </w:r>
      <w:r>
        <w:rPr>
          <w:rFonts w:ascii="Times New Roman" w:hAnsi="Times New Roman" w:eastAsia="宋体" w:cs="Times New Roman"/>
        </w:rPr>
        <w:fldChar w:fldCharType="end"/>
      </w:r>
      <w:r>
        <w:rPr>
          <w:rFonts w:ascii="Times New Roman" w:hAnsi="Times New Roman" w:eastAsia="宋体" w:cs="Times New Roman"/>
        </w:rPr>
        <w:fldChar w:fldCharType="end"/>
      </w:r>
    </w:p>
    <w:p w14:paraId="61214BA5">
      <w:pPr>
        <w:pStyle w:val="2"/>
        <w:tabs>
          <w:tab w:val="right" w:leader="dot" w:pos="9628"/>
        </w:tabs>
        <w:rPr>
          <w:rFonts w:ascii="Times New Roman" w:hAnsi="Times New Roman" w:eastAsia="宋体" w:cs="Times New Roman"/>
        </w:rPr>
      </w:pPr>
      <w:r>
        <w:fldChar w:fldCharType="begin"/>
      </w:r>
      <w:r>
        <w:instrText xml:space="preserve"> HYPERLINK \l "_Toc195881869" </w:instrText>
      </w:r>
      <w:r>
        <w:fldChar w:fldCharType="separate"/>
      </w:r>
      <w:r>
        <w:rPr>
          <w:rStyle w:val="29"/>
          <w:rFonts w:ascii="Times New Roman" w:hAnsi="Times New Roman" w:eastAsia="宋体" w:cs="Times New Roman"/>
        </w:rPr>
        <w:t>12.1  区域布置及总平面布置</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_Toc195881869 \h </w:instrText>
      </w:r>
      <w:r>
        <w:rPr>
          <w:rFonts w:ascii="Times New Roman" w:hAnsi="Times New Roman" w:eastAsia="宋体" w:cs="Times New Roman"/>
        </w:rPr>
        <w:fldChar w:fldCharType="separate"/>
      </w:r>
      <w:r>
        <w:rPr>
          <w:rFonts w:ascii="Times New Roman" w:hAnsi="Times New Roman" w:eastAsia="宋体" w:cs="Times New Roman"/>
        </w:rPr>
        <w:t>10</w:t>
      </w:r>
      <w:r>
        <w:rPr>
          <w:rFonts w:ascii="Times New Roman" w:hAnsi="Times New Roman" w:eastAsia="宋体" w:cs="Times New Roman"/>
        </w:rPr>
        <w:fldChar w:fldCharType="end"/>
      </w:r>
      <w:r>
        <w:rPr>
          <w:rFonts w:ascii="Times New Roman" w:hAnsi="Times New Roman" w:eastAsia="宋体" w:cs="Times New Roman"/>
        </w:rPr>
        <w:fldChar w:fldCharType="end"/>
      </w:r>
    </w:p>
    <w:p w14:paraId="0610AC76">
      <w:pPr>
        <w:pStyle w:val="2"/>
        <w:tabs>
          <w:tab w:val="right" w:leader="dot" w:pos="9628"/>
        </w:tabs>
        <w:rPr>
          <w:rFonts w:ascii="Times New Roman" w:hAnsi="Times New Roman" w:eastAsia="宋体" w:cs="Times New Roman"/>
        </w:rPr>
      </w:pPr>
      <w:r>
        <w:fldChar w:fldCharType="begin"/>
      </w:r>
      <w:r>
        <w:instrText xml:space="preserve"> HYPERLINK \l "_Toc195881870" </w:instrText>
      </w:r>
      <w:r>
        <w:fldChar w:fldCharType="separate"/>
      </w:r>
      <w:r>
        <w:rPr>
          <w:rStyle w:val="29"/>
          <w:rFonts w:ascii="Times New Roman" w:hAnsi="Times New Roman" w:eastAsia="宋体" w:cs="Times New Roman"/>
        </w:rPr>
        <w:t>12.2  地面工艺</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_Toc195881870 \h </w:instrText>
      </w:r>
      <w:r>
        <w:rPr>
          <w:rFonts w:ascii="Times New Roman" w:hAnsi="Times New Roman" w:eastAsia="宋体" w:cs="Times New Roman"/>
        </w:rPr>
        <w:fldChar w:fldCharType="separate"/>
      </w:r>
      <w:r>
        <w:rPr>
          <w:rFonts w:ascii="Times New Roman" w:hAnsi="Times New Roman" w:eastAsia="宋体" w:cs="Times New Roman"/>
        </w:rPr>
        <w:t>11</w:t>
      </w:r>
      <w:r>
        <w:rPr>
          <w:rFonts w:ascii="Times New Roman" w:hAnsi="Times New Roman" w:eastAsia="宋体" w:cs="Times New Roman"/>
        </w:rPr>
        <w:fldChar w:fldCharType="end"/>
      </w:r>
      <w:r>
        <w:rPr>
          <w:rFonts w:ascii="Times New Roman" w:hAnsi="Times New Roman" w:eastAsia="宋体" w:cs="Times New Roman"/>
        </w:rPr>
        <w:fldChar w:fldCharType="end"/>
      </w:r>
    </w:p>
    <w:p w14:paraId="7002D930">
      <w:pPr>
        <w:pStyle w:val="2"/>
        <w:tabs>
          <w:tab w:val="right" w:leader="dot" w:pos="9628"/>
        </w:tabs>
        <w:rPr>
          <w:rFonts w:ascii="Times New Roman" w:hAnsi="Times New Roman" w:eastAsia="宋体" w:cs="Times New Roman"/>
        </w:rPr>
      </w:pPr>
      <w:r>
        <w:fldChar w:fldCharType="begin"/>
      </w:r>
      <w:r>
        <w:instrText xml:space="preserve"> HYPERLINK \l "_Toc195881871" </w:instrText>
      </w:r>
      <w:r>
        <w:fldChar w:fldCharType="separate"/>
      </w:r>
      <w:r>
        <w:rPr>
          <w:rStyle w:val="29"/>
          <w:rFonts w:ascii="Times New Roman" w:hAnsi="Times New Roman" w:eastAsia="宋体" w:cs="Times New Roman"/>
        </w:rPr>
        <w:t>12.3  线路工程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_Toc195881871 \h </w:instrText>
      </w:r>
      <w:r>
        <w:rPr>
          <w:rFonts w:ascii="Times New Roman" w:hAnsi="Times New Roman" w:eastAsia="宋体" w:cs="Times New Roman"/>
        </w:rPr>
        <w:fldChar w:fldCharType="separate"/>
      </w:r>
      <w:r>
        <w:rPr>
          <w:rFonts w:ascii="Times New Roman" w:hAnsi="Times New Roman" w:eastAsia="宋体" w:cs="Times New Roman"/>
        </w:rPr>
        <w:t>12</w:t>
      </w:r>
      <w:r>
        <w:rPr>
          <w:rFonts w:ascii="Times New Roman" w:hAnsi="Times New Roman" w:eastAsia="宋体" w:cs="Times New Roman"/>
        </w:rPr>
        <w:fldChar w:fldCharType="end"/>
      </w:r>
      <w:r>
        <w:rPr>
          <w:rFonts w:ascii="Times New Roman" w:hAnsi="Times New Roman" w:eastAsia="宋体" w:cs="Times New Roman"/>
        </w:rPr>
        <w:fldChar w:fldCharType="end"/>
      </w:r>
    </w:p>
    <w:p w14:paraId="0EEE9A6A">
      <w:pPr>
        <w:pStyle w:val="2"/>
        <w:tabs>
          <w:tab w:val="right" w:leader="dot" w:pos="9628"/>
        </w:tabs>
        <w:rPr>
          <w:rFonts w:ascii="Times New Roman" w:hAnsi="Times New Roman" w:eastAsia="宋体" w:cs="Times New Roman"/>
        </w:rPr>
      </w:pPr>
      <w:r>
        <w:fldChar w:fldCharType="begin"/>
      </w:r>
      <w:r>
        <w:instrText xml:space="preserve"> HYPERLINK \l "_Toc195881872" </w:instrText>
      </w:r>
      <w:r>
        <w:fldChar w:fldCharType="separate"/>
      </w:r>
      <w:r>
        <w:rPr>
          <w:rStyle w:val="29"/>
          <w:rFonts w:ascii="Times New Roman" w:hAnsi="Times New Roman" w:eastAsia="宋体" w:cs="Times New Roman"/>
        </w:rPr>
        <w:t>12.4  自控</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_Toc195881872 \h </w:instrText>
      </w:r>
      <w:r>
        <w:rPr>
          <w:rFonts w:ascii="Times New Roman" w:hAnsi="Times New Roman" w:eastAsia="宋体" w:cs="Times New Roman"/>
        </w:rPr>
        <w:fldChar w:fldCharType="separate"/>
      </w:r>
      <w:r>
        <w:rPr>
          <w:rFonts w:ascii="Times New Roman" w:hAnsi="Times New Roman" w:eastAsia="宋体" w:cs="Times New Roman"/>
        </w:rPr>
        <w:t>13</w:t>
      </w:r>
      <w:r>
        <w:rPr>
          <w:rFonts w:ascii="Times New Roman" w:hAnsi="Times New Roman" w:eastAsia="宋体" w:cs="Times New Roman"/>
        </w:rPr>
        <w:fldChar w:fldCharType="end"/>
      </w:r>
      <w:r>
        <w:rPr>
          <w:rFonts w:ascii="Times New Roman" w:hAnsi="Times New Roman" w:eastAsia="宋体" w:cs="Times New Roman"/>
        </w:rPr>
        <w:fldChar w:fldCharType="end"/>
      </w:r>
    </w:p>
    <w:p w14:paraId="660B3B46">
      <w:pPr>
        <w:pStyle w:val="2"/>
        <w:tabs>
          <w:tab w:val="right" w:leader="dot" w:pos="9628"/>
        </w:tabs>
        <w:rPr>
          <w:rFonts w:ascii="Times New Roman" w:hAnsi="Times New Roman" w:eastAsia="宋体" w:cs="Times New Roman"/>
        </w:rPr>
      </w:pPr>
      <w:r>
        <w:fldChar w:fldCharType="begin"/>
      </w:r>
      <w:r>
        <w:instrText xml:space="preserve"> HYPERLINK \l "_Toc195881873" </w:instrText>
      </w:r>
      <w:r>
        <w:fldChar w:fldCharType="separate"/>
      </w:r>
      <w:r>
        <w:rPr>
          <w:rStyle w:val="29"/>
          <w:rFonts w:ascii="Times New Roman" w:hAnsi="Times New Roman" w:eastAsia="宋体" w:cs="Times New Roman"/>
        </w:rPr>
        <w:t>12.5  公用工程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_Toc195881873 \h </w:instrText>
      </w:r>
      <w:r>
        <w:rPr>
          <w:rFonts w:ascii="Times New Roman" w:hAnsi="Times New Roman" w:eastAsia="宋体" w:cs="Times New Roman"/>
        </w:rPr>
        <w:fldChar w:fldCharType="separate"/>
      </w:r>
      <w:r>
        <w:rPr>
          <w:rFonts w:ascii="Times New Roman" w:hAnsi="Times New Roman" w:eastAsia="宋体" w:cs="Times New Roman"/>
        </w:rPr>
        <w:t>14</w:t>
      </w:r>
      <w:r>
        <w:rPr>
          <w:rFonts w:ascii="Times New Roman" w:hAnsi="Times New Roman" w:eastAsia="宋体" w:cs="Times New Roman"/>
        </w:rPr>
        <w:fldChar w:fldCharType="end"/>
      </w:r>
      <w:r>
        <w:rPr>
          <w:rFonts w:ascii="Times New Roman" w:hAnsi="Times New Roman" w:eastAsia="宋体" w:cs="Times New Roman"/>
        </w:rPr>
        <w:fldChar w:fldCharType="end"/>
      </w:r>
    </w:p>
    <w:p w14:paraId="06032E96">
      <w:pPr>
        <w:pStyle w:val="2"/>
        <w:tabs>
          <w:tab w:val="right" w:leader="dot" w:pos="9628"/>
        </w:tabs>
        <w:rPr>
          <w:rFonts w:ascii="Times New Roman" w:hAnsi="Times New Roman" w:eastAsia="宋体" w:cs="Times New Roman"/>
        </w:rPr>
      </w:pPr>
      <w:r>
        <w:fldChar w:fldCharType="begin"/>
      </w:r>
      <w:r>
        <w:instrText xml:space="preserve"> HYPERLINK \l "_Toc195881874" </w:instrText>
      </w:r>
      <w:r>
        <w:fldChar w:fldCharType="separate"/>
      </w:r>
      <w:r>
        <w:rPr>
          <w:rStyle w:val="29"/>
          <w:rFonts w:ascii="Times New Roman" w:hAnsi="Times New Roman" w:eastAsia="宋体" w:cs="Times New Roman"/>
        </w:rPr>
        <w:t>12.6  防腐及绝热</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_Toc195881874 \h </w:instrText>
      </w:r>
      <w:r>
        <w:rPr>
          <w:rFonts w:ascii="Times New Roman" w:hAnsi="Times New Roman" w:eastAsia="宋体" w:cs="Times New Roman"/>
        </w:rPr>
        <w:fldChar w:fldCharType="separate"/>
      </w:r>
      <w:r>
        <w:rPr>
          <w:rFonts w:ascii="Times New Roman" w:hAnsi="Times New Roman" w:eastAsia="宋体" w:cs="Times New Roman"/>
        </w:rPr>
        <w:t>17</w:t>
      </w:r>
      <w:r>
        <w:rPr>
          <w:rFonts w:ascii="Times New Roman" w:hAnsi="Times New Roman" w:eastAsia="宋体" w:cs="Times New Roman"/>
        </w:rPr>
        <w:fldChar w:fldCharType="end"/>
      </w:r>
      <w:r>
        <w:rPr>
          <w:rFonts w:ascii="Times New Roman" w:hAnsi="Times New Roman" w:eastAsia="宋体" w:cs="Times New Roman"/>
        </w:rPr>
        <w:fldChar w:fldCharType="end"/>
      </w:r>
    </w:p>
    <w:p w14:paraId="354C6C14">
      <w:pPr>
        <w:pStyle w:val="2"/>
        <w:tabs>
          <w:tab w:val="right" w:leader="dot" w:pos="9628"/>
        </w:tabs>
        <w:rPr>
          <w:rFonts w:ascii="Times New Roman" w:hAnsi="Times New Roman" w:eastAsia="宋体" w:cs="Times New Roman"/>
        </w:rPr>
      </w:pPr>
      <w:r>
        <w:fldChar w:fldCharType="begin"/>
      </w:r>
      <w:r>
        <w:instrText xml:space="preserve"> HYPERLINK \l "_Toc195881875" </w:instrText>
      </w:r>
      <w:r>
        <w:fldChar w:fldCharType="separate"/>
      </w:r>
      <w:r>
        <w:rPr>
          <w:rStyle w:val="29"/>
          <w:rFonts w:ascii="Times New Roman" w:hAnsi="Times New Roman" w:eastAsia="宋体" w:cs="Times New Roman"/>
        </w:rPr>
        <w:t>12.7  防范其他危险、危害因素的安全措施</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_Toc195881875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1223A721">
      <w:pPr>
        <w:pStyle w:val="2"/>
        <w:tabs>
          <w:tab w:val="right" w:leader="dot" w:pos="9628"/>
        </w:tabs>
        <w:rPr>
          <w:rFonts w:ascii="Times New Roman" w:hAnsi="Times New Roman" w:eastAsia="宋体" w:cs="Times New Roman"/>
        </w:rPr>
      </w:pPr>
      <w:r>
        <w:fldChar w:fldCharType="begin"/>
      </w:r>
      <w:r>
        <w:instrText xml:space="preserve"> HYPERLINK \l "_Toc195881876" </w:instrText>
      </w:r>
      <w:r>
        <w:fldChar w:fldCharType="separate"/>
      </w:r>
      <w:r>
        <w:rPr>
          <w:rStyle w:val="29"/>
          <w:rFonts w:ascii="Times New Roman" w:hAnsi="Times New Roman" w:eastAsia="宋体" w:cs="Times New Roman"/>
        </w:rPr>
        <w:t>12.8  逃生及救生</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_Toc195881876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61EB307B">
      <w:pPr>
        <w:pStyle w:val="19"/>
        <w:tabs>
          <w:tab w:val="right" w:leader="dot" w:pos="9628"/>
        </w:tabs>
        <w:rPr>
          <w:rFonts w:ascii="Times New Roman" w:hAnsi="Times New Roman" w:eastAsia="宋体" w:cs="Times New Roman"/>
        </w:rPr>
      </w:pPr>
      <w:r>
        <w:fldChar w:fldCharType="begin"/>
      </w:r>
      <w:r>
        <w:instrText xml:space="preserve"> HYPERLINK \l "_Toc195881877" </w:instrText>
      </w:r>
      <w:r>
        <w:fldChar w:fldCharType="separate"/>
      </w:r>
      <w:r>
        <w:rPr>
          <w:rStyle w:val="29"/>
          <w:rFonts w:ascii="Times New Roman" w:hAnsi="Times New Roman" w:eastAsia="宋体" w:cs="Times New Roman"/>
        </w:rPr>
        <w:t>13  安全管理</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_Toc195881877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18A10A3B">
      <w:pPr>
        <w:pStyle w:val="2"/>
        <w:tabs>
          <w:tab w:val="right" w:leader="dot" w:pos="9628"/>
        </w:tabs>
        <w:rPr>
          <w:rFonts w:ascii="Times New Roman" w:hAnsi="Times New Roman" w:eastAsia="宋体" w:cs="Times New Roman"/>
        </w:rPr>
      </w:pPr>
      <w:r>
        <w:fldChar w:fldCharType="begin"/>
      </w:r>
      <w:r>
        <w:instrText xml:space="preserve"> HYPERLINK \l "_Toc195881878" </w:instrText>
      </w:r>
      <w:r>
        <w:fldChar w:fldCharType="separate"/>
      </w:r>
      <w:r>
        <w:rPr>
          <w:rStyle w:val="29"/>
          <w:rFonts w:ascii="Times New Roman" w:hAnsi="Times New Roman" w:eastAsia="宋体" w:cs="Times New Roman"/>
        </w:rPr>
        <w:t>13.1  安全管理机构设置及人员配备</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_Toc195881878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2E000C1D">
      <w:pPr>
        <w:pStyle w:val="2"/>
        <w:tabs>
          <w:tab w:val="right" w:leader="dot" w:pos="9628"/>
        </w:tabs>
        <w:rPr>
          <w:rFonts w:ascii="Times New Roman" w:hAnsi="Times New Roman" w:eastAsia="宋体" w:cs="Times New Roman"/>
        </w:rPr>
      </w:pPr>
      <w:r>
        <w:fldChar w:fldCharType="begin"/>
      </w:r>
      <w:r>
        <w:instrText xml:space="preserve"> HYPERLINK \l "_Toc195881879" </w:instrText>
      </w:r>
      <w:r>
        <w:fldChar w:fldCharType="separate"/>
      </w:r>
      <w:r>
        <w:rPr>
          <w:rStyle w:val="29"/>
          <w:rFonts w:ascii="Times New Roman" w:hAnsi="Times New Roman" w:eastAsia="宋体" w:cs="Times New Roman"/>
        </w:rPr>
        <w:t>13.2  安全教育和培训</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_Toc195881879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1E034860">
      <w:pPr>
        <w:pStyle w:val="2"/>
        <w:tabs>
          <w:tab w:val="right" w:leader="dot" w:pos="9628"/>
        </w:tabs>
        <w:rPr>
          <w:rFonts w:ascii="Times New Roman" w:hAnsi="Times New Roman" w:eastAsia="宋体" w:cs="Times New Roman"/>
        </w:rPr>
      </w:pPr>
      <w:r>
        <w:fldChar w:fldCharType="begin"/>
      </w:r>
      <w:r>
        <w:instrText xml:space="preserve"> HYPERLINK \l "_Toc195881880" </w:instrText>
      </w:r>
      <w:r>
        <w:fldChar w:fldCharType="separate"/>
      </w:r>
      <w:r>
        <w:rPr>
          <w:rStyle w:val="29"/>
          <w:rFonts w:ascii="Times New Roman" w:hAnsi="Times New Roman" w:eastAsia="宋体" w:cs="Times New Roman"/>
        </w:rPr>
        <w:t>13.3  劳动防护用品和装备</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_Toc195881880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140CF4AA">
      <w:pPr>
        <w:pStyle w:val="2"/>
        <w:tabs>
          <w:tab w:val="right" w:leader="dot" w:pos="9628"/>
        </w:tabs>
        <w:rPr>
          <w:rFonts w:ascii="Times New Roman" w:hAnsi="Times New Roman" w:eastAsia="宋体" w:cs="Times New Roman"/>
        </w:rPr>
      </w:pPr>
      <w:r>
        <w:fldChar w:fldCharType="begin"/>
      </w:r>
      <w:r>
        <w:instrText xml:space="preserve"> HYPERLINK \l "_Toc195881881" </w:instrText>
      </w:r>
      <w:r>
        <w:fldChar w:fldCharType="separate"/>
      </w:r>
      <w:r>
        <w:rPr>
          <w:rStyle w:val="29"/>
          <w:rFonts w:ascii="Times New Roman" w:hAnsi="Times New Roman" w:eastAsia="宋体" w:cs="Times New Roman"/>
        </w:rPr>
        <w:t>13.4  抢（维）修设备配备</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_Toc195881881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3EDDDAEB">
      <w:pPr>
        <w:pStyle w:val="2"/>
        <w:tabs>
          <w:tab w:val="right" w:leader="dot" w:pos="9628"/>
        </w:tabs>
        <w:rPr>
          <w:rFonts w:ascii="Times New Roman" w:hAnsi="Times New Roman" w:eastAsia="宋体" w:cs="Times New Roman"/>
        </w:rPr>
      </w:pPr>
      <w:r>
        <w:fldChar w:fldCharType="begin"/>
      </w:r>
      <w:r>
        <w:instrText xml:space="preserve"> HYPERLINK \l "_Toc195881882" </w:instrText>
      </w:r>
      <w:r>
        <w:fldChar w:fldCharType="separate"/>
      </w:r>
      <w:r>
        <w:rPr>
          <w:rStyle w:val="29"/>
          <w:rFonts w:ascii="Times New Roman" w:hAnsi="Times New Roman" w:eastAsia="宋体" w:cs="Times New Roman"/>
        </w:rPr>
        <w:t>13.</w:t>
      </w:r>
      <w:r>
        <w:rPr>
          <w:rStyle w:val="29"/>
          <w:rFonts w:hint="eastAsia" w:ascii="Times New Roman" w:hAnsi="Times New Roman" w:eastAsia="宋体" w:cs="Times New Roman"/>
        </w:rPr>
        <w:t>5</w:t>
      </w:r>
      <w:r>
        <w:rPr>
          <w:rStyle w:val="29"/>
          <w:rFonts w:ascii="Times New Roman" w:hAnsi="Times New Roman" w:eastAsia="宋体" w:cs="Times New Roman"/>
        </w:rPr>
        <w:t xml:space="preserve">  应急机构及配置</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_Toc195881882 \h </w:instrText>
      </w:r>
      <w:r>
        <w:rPr>
          <w:rFonts w:ascii="Times New Roman" w:hAnsi="Times New Roman" w:eastAsia="宋体" w:cs="Times New Roman"/>
        </w:rPr>
        <w:fldChar w:fldCharType="separate"/>
      </w:r>
      <w:r>
        <w:rPr>
          <w:rFonts w:ascii="Times New Roman" w:hAnsi="Times New Roman" w:eastAsia="宋体" w:cs="Times New Roman"/>
        </w:rPr>
        <w:t>18</w:t>
      </w:r>
      <w:r>
        <w:rPr>
          <w:rFonts w:ascii="Times New Roman" w:hAnsi="Times New Roman" w:eastAsia="宋体" w:cs="Times New Roman"/>
        </w:rPr>
        <w:fldChar w:fldCharType="end"/>
      </w:r>
      <w:r>
        <w:rPr>
          <w:rFonts w:ascii="Times New Roman" w:hAnsi="Times New Roman" w:eastAsia="宋体" w:cs="Times New Roman"/>
        </w:rPr>
        <w:fldChar w:fldCharType="end"/>
      </w:r>
    </w:p>
    <w:p w14:paraId="1919E9D6">
      <w:pPr>
        <w:pStyle w:val="19"/>
        <w:tabs>
          <w:tab w:val="right" w:leader="dot" w:pos="9628"/>
        </w:tabs>
        <w:rPr>
          <w:rFonts w:ascii="Times New Roman" w:hAnsi="Times New Roman" w:eastAsia="宋体" w:cs="Times New Roman"/>
        </w:rPr>
      </w:pPr>
      <w:r>
        <w:fldChar w:fldCharType="begin"/>
      </w:r>
      <w:r>
        <w:instrText xml:space="preserve"> HYPERLINK \l "_Toc195881883" </w:instrText>
      </w:r>
      <w:r>
        <w:fldChar w:fldCharType="separate"/>
      </w:r>
      <w:r>
        <w:rPr>
          <w:rStyle w:val="29"/>
          <w:rFonts w:ascii="Times New Roman" w:hAnsi="Times New Roman" w:eastAsia="宋体" w:cs="Times New Roman"/>
        </w:rPr>
        <w:t>14  专用投资概算</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_Toc195881883 \h </w:instrText>
      </w:r>
      <w:r>
        <w:rPr>
          <w:rFonts w:ascii="Times New Roman" w:hAnsi="Times New Roman" w:eastAsia="宋体" w:cs="Times New Roman"/>
        </w:rPr>
        <w:fldChar w:fldCharType="separate"/>
      </w:r>
      <w:r>
        <w:rPr>
          <w:rFonts w:ascii="Times New Roman" w:hAnsi="Times New Roman" w:eastAsia="宋体" w:cs="Times New Roman"/>
        </w:rPr>
        <w:t>19</w:t>
      </w:r>
      <w:r>
        <w:rPr>
          <w:rFonts w:ascii="Times New Roman" w:hAnsi="Times New Roman" w:eastAsia="宋体" w:cs="Times New Roman"/>
        </w:rPr>
        <w:fldChar w:fldCharType="end"/>
      </w:r>
      <w:r>
        <w:rPr>
          <w:rFonts w:ascii="Times New Roman" w:hAnsi="Times New Roman" w:eastAsia="宋体" w:cs="Times New Roman"/>
        </w:rPr>
        <w:fldChar w:fldCharType="end"/>
      </w:r>
    </w:p>
    <w:p w14:paraId="1FA4FCB9">
      <w:pPr>
        <w:pStyle w:val="19"/>
        <w:tabs>
          <w:tab w:val="right" w:leader="dot" w:pos="9628"/>
        </w:tabs>
        <w:rPr>
          <w:rFonts w:ascii="Times New Roman" w:hAnsi="Times New Roman" w:eastAsia="宋体" w:cs="Times New Roman"/>
        </w:rPr>
      </w:pPr>
      <w:r>
        <w:fldChar w:fldCharType="begin"/>
      </w:r>
      <w:r>
        <w:instrText xml:space="preserve"> HYPERLINK \l "_Toc195881884" </w:instrText>
      </w:r>
      <w:r>
        <w:fldChar w:fldCharType="separate"/>
      </w:r>
      <w:r>
        <w:rPr>
          <w:rStyle w:val="29"/>
          <w:rFonts w:ascii="Times New Roman" w:hAnsi="Times New Roman" w:eastAsia="宋体" w:cs="Times New Roman"/>
        </w:rPr>
        <w:t>15  主要结论和建议</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_Toc195881884 \h </w:instrText>
      </w:r>
      <w:r>
        <w:rPr>
          <w:rFonts w:ascii="Times New Roman" w:hAnsi="Times New Roman" w:eastAsia="宋体" w:cs="Times New Roman"/>
        </w:rPr>
        <w:fldChar w:fldCharType="separate"/>
      </w:r>
      <w:r>
        <w:rPr>
          <w:rFonts w:ascii="Times New Roman" w:hAnsi="Times New Roman" w:eastAsia="宋体" w:cs="Times New Roman"/>
        </w:rPr>
        <w:t>19</w:t>
      </w:r>
      <w:r>
        <w:rPr>
          <w:rFonts w:ascii="Times New Roman" w:hAnsi="Times New Roman" w:eastAsia="宋体" w:cs="Times New Roman"/>
        </w:rPr>
        <w:fldChar w:fldCharType="end"/>
      </w:r>
      <w:r>
        <w:rPr>
          <w:rFonts w:ascii="Times New Roman" w:hAnsi="Times New Roman" w:eastAsia="宋体" w:cs="Times New Roman"/>
        </w:rPr>
        <w:fldChar w:fldCharType="end"/>
      </w:r>
    </w:p>
    <w:p w14:paraId="6B4D763B">
      <w:pPr>
        <w:pStyle w:val="2"/>
        <w:tabs>
          <w:tab w:val="right" w:leader="dot" w:pos="9628"/>
        </w:tabs>
        <w:rPr>
          <w:rFonts w:ascii="Times New Roman" w:hAnsi="Times New Roman" w:eastAsia="宋体" w:cs="Times New Roman"/>
        </w:rPr>
      </w:pPr>
      <w:r>
        <w:fldChar w:fldCharType="begin"/>
      </w:r>
      <w:r>
        <w:instrText xml:space="preserve"> HYPERLINK \l "_Toc195881885" </w:instrText>
      </w:r>
      <w:r>
        <w:fldChar w:fldCharType="separate"/>
      </w:r>
      <w:r>
        <w:rPr>
          <w:rStyle w:val="29"/>
          <w:rFonts w:ascii="Times New Roman" w:hAnsi="Times New Roman" w:eastAsia="宋体" w:cs="Times New Roman"/>
        </w:rPr>
        <w:t>15.1  主要结论</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_Toc195881885 \h </w:instrText>
      </w:r>
      <w:r>
        <w:rPr>
          <w:rFonts w:ascii="Times New Roman" w:hAnsi="Times New Roman" w:eastAsia="宋体" w:cs="Times New Roman"/>
        </w:rPr>
        <w:fldChar w:fldCharType="separate"/>
      </w:r>
      <w:r>
        <w:rPr>
          <w:rFonts w:ascii="Times New Roman" w:hAnsi="Times New Roman" w:eastAsia="宋体" w:cs="Times New Roman"/>
        </w:rPr>
        <w:t>19</w:t>
      </w:r>
      <w:r>
        <w:rPr>
          <w:rFonts w:ascii="Times New Roman" w:hAnsi="Times New Roman" w:eastAsia="宋体" w:cs="Times New Roman"/>
        </w:rPr>
        <w:fldChar w:fldCharType="end"/>
      </w:r>
      <w:r>
        <w:rPr>
          <w:rFonts w:ascii="Times New Roman" w:hAnsi="Times New Roman" w:eastAsia="宋体" w:cs="Times New Roman"/>
        </w:rPr>
        <w:fldChar w:fldCharType="end"/>
      </w:r>
    </w:p>
    <w:p w14:paraId="2C4D718A">
      <w:pPr>
        <w:pStyle w:val="2"/>
        <w:tabs>
          <w:tab w:val="right" w:leader="dot" w:pos="9628"/>
        </w:tabs>
        <w:rPr>
          <w:rFonts w:ascii="Times New Roman" w:hAnsi="Times New Roman" w:eastAsia="宋体" w:cs="Times New Roman"/>
        </w:rPr>
      </w:pPr>
      <w:r>
        <w:fldChar w:fldCharType="begin"/>
      </w:r>
      <w:r>
        <w:instrText xml:space="preserve"> HYPERLINK \l "_Toc195881886" </w:instrText>
      </w:r>
      <w:r>
        <w:fldChar w:fldCharType="separate"/>
      </w:r>
      <w:r>
        <w:rPr>
          <w:rStyle w:val="29"/>
          <w:rFonts w:ascii="Times New Roman" w:hAnsi="Times New Roman" w:eastAsia="宋体" w:cs="Times New Roman"/>
        </w:rPr>
        <w:t>15.2  建议</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_Toc195881886 \h </w:instrText>
      </w:r>
      <w:r>
        <w:rPr>
          <w:rFonts w:ascii="Times New Roman" w:hAnsi="Times New Roman" w:eastAsia="宋体" w:cs="Times New Roman"/>
        </w:rPr>
        <w:fldChar w:fldCharType="separate"/>
      </w:r>
      <w:r>
        <w:rPr>
          <w:rFonts w:ascii="Times New Roman" w:hAnsi="Times New Roman" w:eastAsia="宋体" w:cs="Times New Roman"/>
        </w:rPr>
        <w:t>19</w:t>
      </w:r>
      <w:r>
        <w:rPr>
          <w:rFonts w:ascii="Times New Roman" w:hAnsi="Times New Roman" w:eastAsia="宋体" w:cs="Times New Roman"/>
        </w:rPr>
        <w:fldChar w:fldCharType="end"/>
      </w:r>
      <w:r>
        <w:rPr>
          <w:rFonts w:ascii="Times New Roman" w:hAnsi="Times New Roman" w:eastAsia="宋体" w:cs="Times New Roman"/>
        </w:rPr>
        <w:fldChar w:fldCharType="end"/>
      </w:r>
    </w:p>
    <w:p w14:paraId="6150A1B7">
      <w:pPr>
        <w:pStyle w:val="19"/>
        <w:tabs>
          <w:tab w:val="right" w:leader="dot" w:pos="9628"/>
        </w:tabs>
        <w:rPr>
          <w:rFonts w:ascii="Times New Roman" w:hAnsi="Times New Roman" w:eastAsia="宋体" w:cs="Times New Roman"/>
        </w:rPr>
      </w:pPr>
      <w:r>
        <w:fldChar w:fldCharType="begin"/>
      </w:r>
      <w:r>
        <w:instrText xml:space="preserve"> HYPERLINK \l "_Toc195881887" </w:instrText>
      </w:r>
      <w:r>
        <w:fldChar w:fldCharType="separate"/>
      </w:r>
      <w:r>
        <w:rPr>
          <w:rStyle w:val="29"/>
          <w:rFonts w:ascii="Times New Roman" w:hAnsi="Times New Roman" w:eastAsia="宋体" w:cs="Times New Roman"/>
        </w:rPr>
        <w:t>16  格式要求</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_Toc195881887 \h </w:instrText>
      </w:r>
      <w:r>
        <w:rPr>
          <w:rFonts w:ascii="Times New Roman" w:hAnsi="Times New Roman" w:eastAsia="宋体" w:cs="Times New Roman"/>
        </w:rPr>
        <w:fldChar w:fldCharType="separate"/>
      </w:r>
      <w:r>
        <w:rPr>
          <w:rFonts w:ascii="Times New Roman" w:hAnsi="Times New Roman" w:eastAsia="宋体" w:cs="Times New Roman"/>
        </w:rPr>
        <w:t>19</w:t>
      </w:r>
      <w:r>
        <w:rPr>
          <w:rFonts w:ascii="Times New Roman" w:hAnsi="Times New Roman" w:eastAsia="宋体" w:cs="Times New Roman"/>
        </w:rPr>
        <w:fldChar w:fldCharType="end"/>
      </w:r>
      <w:r>
        <w:rPr>
          <w:rFonts w:ascii="Times New Roman" w:hAnsi="Times New Roman" w:eastAsia="宋体" w:cs="Times New Roman"/>
        </w:rPr>
        <w:fldChar w:fldCharType="end"/>
      </w:r>
    </w:p>
    <w:p w14:paraId="6F83DBBA">
      <w:pPr>
        <w:pStyle w:val="2"/>
        <w:tabs>
          <w:tab w:val="right" w:leader="dot" w:pos="9628"/>
        </w:tabs>
        <w:rPr>
          <w:rFonts w:ascii="Times New Roman" w:hAnsi="Times New Roman" w:eastAsia="宋体" w:cs="Times New Roman"/>
        </w:rPr>
      </w:pPr>
      <w:r>
        <w:fldChar w:fldCharType="begin"/>
      </w:r>
      <w:r>
        <w:instrText xml:space="preserve"> HYPERLINK \l "_Toc195881888" </w:instrText>
      </w:r>
      <w:r>
        <w:fldChar w:fldCharType="separate"/>
      </w:r>
      <w:r>
        <w:rPr>
          <w:rStyle w:val="29"/>
          <w:rFonts w:ascii="Times New Roman" w:hAnsi="Times New Roman" w:eastAsia="宋体" w:cs="Times New Roman"/>
        </w:rPr>
        <w:t>16.1  结构</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_Toc195881888 \h </w:instrText>
      </w:r>
      <w:r>
        <w:rPr>
          <w:rFonts w:ascii="Times New Roman" w:hAnsi="Times New Roman" w:eastAsia="宋体" w:cs="Times New Roman"/>
        </w:rPr>
        <w:fldChar w:fldCharType="separate"/>
      </w:r>
      <w:r>
        <w:rPr>
          <w:rFonts w:ascii="Times New Roman" w:hAnsi="Times New Roman" w:eastAsia="宋体" w:cs="Times New Roman"/>
        </w:rPr>
        <w:t>19</w:t>
      </w:r>
      <w:r>
        <w:rPr>
          <w:rFonts w:ascii="Times New Roman" w:hAnsi="Times New Roman" w:eastAsia="宋体" w:cs="Times New Roman"/>
        </w:rPr>
        <w:fldChar w:fldCharType="end"/>
      </w:r>
      <w:r>
        <w:rPr>
          <w:rFonts w:ascii="Times New Roman" w:hAnsi="Times New Roman" w:eastAsia="宋体" w:cs="Times New Roman"/>
        </w:rPr>
        <w:fldChar w:fldCharType="end"/>
      </w:r>
    </w:p>
    <w:p w14:paraId="3EEF0755">
      <w:pPr>
        <w:pStyle w:val="2"/>
        <w:tabs>
          <w:tab w:val="right" w:leader="dot" w:pos="9628"/>
        </w:tabs>
        <w:rPr>
          <w:rFonts w:ascii="Times New Roman" w:hAnsi="Times New Roman" w:eastAsia="宋体" w:cs="Times New Roman"/>
        </w:rPr>
      </w:pPr>
      <w:r>
        <w:fldChar w:fldCharType="begin"/>
      </w:r>
      <w:r>
        <w:instrText xml:space="preserve"> HYPERLINK \l "_Toc195881889" </w:instrText>
      </w:r>
      <w:r>
        <w:fldChar w:fldCharType="separate"/>
      </w:r>
      <w:r>
        <w:rPr>
          <w:rStyle w:val="29"/>
          <w:rFonts w:ascii="Times New Roman" w:hAnsi="Times New Roman" w:eastAsia="宋体" w:cs="Times New Roman"/>
        </w:rPr>
        <w:t>16.2  纸张、排版</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_Toc195881889 \h </w:instrText>
      </w:r>
      <w:r>
        <w:rPr>
          <w:rFonts w:ascii="Times New Roman" w:hAnsi="Times New Roman" w:eastAsia="宋体" w:cs="Times New Roman"/>
        </w:rPr>
        <w:fldChar w:fldCharType="separate"/>
      </w:r>
      <w:r>
        <w:rPr>
          <w:rFonts w:ascii="Times New Roman" w:hAnsi="Times New Roman" w:eastAsia="宋体" w:cs="Times New Roman"/>
        </w:rPr>
        <w:t>20</w:t>
      </w:r>
      <w:r>
        <w:rPr>
          <w:rFonts w:ascii="Times New Roman" w:hAnsi="Times New Roman" w:eastAsia="宋体" w:cs="Times New Roman"/>
        </w:rPr>
        <w:fldChar w:fldCharType="end"/>
      </w:r>
      <w:r>
        <w:rPr>
          <w:rFonts w:ascii="Times New Roman" w:hAnsi="Times New Roman" w:eastAsia="宋体" w:cs="Times New Roman"/>
        </w:rPr>
        <w:fldChar w:fldCharType="end"/>
      </w:r>
    </w:p>
    <w:p w14:paraId="33BA654E">
      <w:pPr>
        <w:pStyle w:val="2"/>
        <w:tabs>
          <w:tab w:val="right" w:leader="dot" w:pos="9628"/>
        </w:tabs>
        <w:rPr>
          <w:rFonts w:ascii="Times New Roman" w:hAnsi="Times New Roman" w:eastAsia="宋体" w:cs="Times New Roman"/>
        </w:rPr>
      </w:pPr>
      <w:r>
        <w:fldChar w:fldCharType="begin"/>
      </w:r>
      <w:r>
        <w:instrText xml:space="preserve"> HYPERLINK \l "_Toc195881890" </w:instrText>
      </w:r>
      <w:r>
        <w:fldChar w:fldCharType="separate"/>
      </w:r>
      <w:r>
        <w:rPr>
          <w:rStyle w:val="29"/>
          <w:rFonts w:ascii="Times New Roman" w:hAnsi="Times New Roman" w:eastAsia="宋体" w:cs="Times New Roman"/>
        </w:rPr>
        <w:t>16.3  印刷</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_Toc195881890 \h </w:instrText>
      </w:r>
      <w:r>
        <w:rPr>
          <w:rFonts w:ascii="Times New Roman" w:hAnsi="Times New Roman" w:eastAsia="宋体" w:cs="Times New Roman"/>
        </w:rPr>
        <w:fldChar w:fldCharType="separate"/>
      </w:r>
      <w:r>
        <w:rPr>
          <w:rFonts w:ascii="Times New Roman" w:hAnsi="Times New Roman" w:eastAsia="宋体" w:cs="Times New Roman"/>
        </w:rPr>
        <w:t>20</w:t>
      </w:r>
      <w:r>
        <w:rPr>
          <w:rFonts w:ascii="Times New Roman" w:hAnsi="Times New Roman" w:eastAsia="宋体" w:cs="Times New Roman"/>
        </w:rPr>
        <w:fldChar w:fldCharType="end"/>
      </w:r>
      <w:r>
        <w:rPr>
          <w:rFonts w:ascii="Times New Roman" w:hAnsi="Times New Roman" w:eastAsia="宋体" w:cs="Times New Roman"/>
        </w:rPr>
        <w:fldChar w:fldCharType="end"/>
      </w:r>
    </w:p>
    <w:p w14:paraId="0B4D9A1B">
      <w:pPr>
        <w:pStyle w:val="2"/>
        <w:tabs>
          <w:tab w:val="right" w:leader="dot" w:pos="9628"/>
        </w:tabs>
        <w:rPr>
          <w:rFonts w:ascii="Times New Roman" w:hAnsi="Times New Roman" w:eastAsia="宋体" w:cs="Times New Roman"/>
        </w:rPr>
      </w:pPr>
      <w:r>
        <w:fldChar w:fldCharType="begin"/>
      </w:r>
      <w:r>
        <w:instrText xml:space="preserve"> HYPERLINK \l "_Toc195881891" </w:instrText>
      </w:r>
      <w:r>
        <w:fldChar w:fldCharType="separate"/>
      </w:r>
      <w:r>
        <w:rPr>
          <w:rStyle w:val="29"/>
          <w:rFonts w:ascii="Times New Roman" w:hAnsi="Times New Roman" w:eastAsia="宋体" w:cs="Times New Roman"/>
        </w:rPr>
        <w:t>16.4  封装</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_Toc195881891 \h </w:instrText>
      </w:r>
      <w:r>
        <w:rPr>
          <w:rFonts w:ascii="Times New Roman" w:hAnsi="Times New Roman" w:eastAsia="宋体" w:cs="Times New Roman"/>
        </w:rPr>
        <w:fldChar w:fldCharType="separate"/>
      </w:r>
      <w:r>
        <w:rPr>
          <w:rFonts w:ascii="Times New Roman" w:hAnsi="Times New Roman" w:eastAsia="宋体" w:cs="Times New Roman"/>
        </w:rPr>
        <w:t>20</w:t>
      </w:r>
      <w:r>
        <w:rPr>
          <w:rFonts w:ascii="Times New Roman" w:hAnsi="Times New Roman" w:eastAsia="宋体" w:cs="Times New Roman"/>
        </w:rPr>
        <w:fldChar w:fldCharType="end"/>
      </w:r>
      <w:r>
        <w:rPr>
          <w:rFonts w:ascii="Times New Roman" w:hAnsi="Times New Roman" w:eastAsia="宋体" w:cs="Times New Roman"/>
        </w:rPr>
        <w:fldChar w:fldCharType="end"/>
      </w:r>
    </w:p>
    <w:p w14:paraId="7998B0BB">
      <w:pPr>
        <w:pStyle w:val="19"/>
        <w:tabs>
          <w:tab w:val="right" w:leader="dot" w:pos="9628"/>
        </w:tabs>
        <w:rPr>
          <w:rFonts w:ascii="Times New Roman" w:hAnsi="Times New Roman" w:eastAsia="宋体" w:cs="Times New Roman"/>
        </w:rPr>
      </w:pPr>
      <w:r>
        <w:fldChar w:fldCharType="begin"/>
      </w:r>
      <w:r>
        <w:instrText xml:space="preserve"> HYPERLINK \l "_Toc195881892" </w:instrText>
      </w:r>
      <w:r>
        <w:fldChar w:fldCharType="separate"/>
      </w:r>
      <w:r>
        <w:rPr>
          <w:rStyle w:val="29"/>
          <w:rFonts w:ascii="Times New Roman" w:hAnsi="Times New Roman" w:eastAsia="宋体" w:cs="Times New Roman"/>
        </w:rPr>
        <w:t>附 录 A （资料性） 安全设施分类</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_Toc195881892 \h </w:instrText>
      </w:r>
      <w:r>
        <w:rPr>
          <w:rFonts w:ascii="Times New Roman" w:hAnsi="Times New Roman" w:eastAsia="宋体" w:cs="Times New Roman"/>
        </w:rPr>
        <w:fldChar w:fldCharType="separate"/>
      </w:r>
      <w:r>
        <w:rPr>
          <w:rFonts w:ascii="Times New Roman" w:hAnsi="Times New Roman" w:eastAsia="宋体" w:cs="Times New Roman"/>
        </w:rPr>
        <w:t>21</w:t>
      </w:r>
      <w:r>
        <w:rPr>
          <w:rFonts w:ascii="Times New Roman" w:hAnsi="Times New Roman" w:eastAsia="宋体" w:cs="Times New Roman"/>
        </w:rPr>
        <w:fldChar w:fldCharType="end"/>
      </w:r>
      <w:r>
        <w:rPr>
          <w:rFonts w:ascii="Times New Roman" w:hAnsi="Times New Roman" w:eastAsia="宋体" w:cs="Times New Roman"/>
        </w:rPr>
        <w:fldChar w:fldCharType="end"/>
      </w:r>
    </w:p>
    <w:p w14:paraId="6BFD8CA7">
      <w:pPr>
        <w:pStyle w:val="19"/>
        <w:tabs>
          <w:tab w:val="right" w:leader="dot" w:pos="9628"/>
        </w:tabs>
        <w:rPr>
          <w:rFonts w:ascii="Times New Roman" w:hAnsi="Times New Roman" w:eastAsia="宋体" w:cs="Times New Roman"/>
        </w:rPr>
      </w:pPr>
      <w:r>
        <w:fldChar w:fldCharType="begin"/>
      </w:r>
      <w:r>
        <w:instrText xml:space="preserve"> HYPERLINK \l "_Toc195881893" </w:instrText>
      </w:r>
      <w:r>
        <w:fldChar w:fldCharType="separate"/>
      </w:r>
      <w:r>
        <w:rPr>
          <w:rStyle w:val="29"/>
          <w:rFonts w:ascii="Times New Roman" w:hAnsi="Times New Roman" w:eastAsia="宋体" w:cs="Times New Roman"/>
        </w:rPr>
        <w:t>附 录 B （规范性） 附表</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_Toc195881893 \h </w:instrText>
      </w:r>
      <w:r>
        <w:rPr>
          <w:rFonts w:ascii="Times New Roman" w:hAnsi="Times New Roman" w:eastAsia="宋体" w:cs="Times New Roman"/>
        </w:rPr>
        <w:fldChar w:fldCharType="separate"/>
      </w:r>
      <w:r>
        <w:rPr>
          <w:rFonts w:ascii="Times New Roman" w:hAnsi="Times New Roman" w:eastAsia="宋体" w:cs="Times New Roman"/>
        </w:rPr>
        <w:t>22</w:t>
      </w:r>
      <w:r>
        <w:rPr>
          <w:rFonts w:ascii="Times New Roman" w:hAnsi="Times New Roman" w:eastAsia="宋体" w:cs="Times New Roman"/>
        </w:rPr>
        <w:fldChar w:fldCharType="end"/>
      </w:r>
      <w:r>
        <w:rPr>
          <w:rFonts w:ascii="Times New Roman" w:hAnsi="Times New Roman" w:eastAsia="宋体" w:cs="Times New Roman"/>
        </w:rPr>
        <w:fldChar w:fldCharType="end"/>
      </w:r>
    </w:p>
    <w:p w14:paraId="17BBA6FD">
      <w:pPr>
        <w:pStyle w:val="19"/>
        <w:tabs>
          <w:tab w:val="right" w:leader="dot" w:pos="9628"/>
        </w:tabs>
        <w:rPr>
          <w:rFonts w:ascii="Times New Roman" w:hAnsi="Times New Roman" w:eastAsia="宋体" w:cs="Times New Roman"/>
        </w:rPr>
      </w:pPr>
      <w:r>
        <w:fldChar w:fldCharType="begin"/>
      </w:r>
      <w:r>
        <w:instrText xml:space="preserve"> HYPERLINK \l "_Toc195881894" </w:instrText>
      </w:r>
      <w:r>
        <w:fldChar w:fldCharType="separate"/>
      </w:r>
      <w:r>
        <w:rPr>
          <w:rStyle w:val="29"/>
          <w:rFonts w:ascii="Times New Roman" w:hAnsi="Times New Roman" w:eastAsia="宋体" w:cs="Times New Roman"/>
        </w:rPr>
        <w:t>附 录 C （规范性） 安全设施设计封面格式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_Toc195881894 \h </w:instrText>
      </w:r>
      <w:r>
        <w:rPr>
          <w:rFonts w:ascii="Times New Roman" w:hAnsi="Times New Roman" w:eastAsia="宋体" w:cs="Times New Roman"/>
        </w:rPr>
        <w:fldChar w:fldCharType="separate"/>
      </w:r>
      <w:r>
        <w:rPr>
          <w:rFonts w:ascii="Times New Roman" w:hAnsi="Times New Roman" w:eastAsia="宋体" w:cs="Times New Roman"/>
        </w:rPr>
        <w:t>28</w:t>
      </w:r>
      <w:r>
        <w:rPr>
          <w:rFonts w:ascii="Times New Roman" w:hAnsi="Times New Roman" w:eastAsia="宋体" w:cs="Times New Roman"/>
        </w:rPr>
        <w:fldChar w:fldCharType="end"/>
      </w:r>
      <w:r>
        <w:rPr>
          <w:rFonts w:ascii="Times New Roman" w:hAnsi="Times New Roman" w:eastAsia="宋体" w:cs="Times New Roman"/>
        </w:rPr>
        <w:fldChar w:fldCharType="end"/>
      </w:r>
    </w:p>
    <w:p w14:paraId="67B74286">
      <w:pPr>
        <w:pStyle w:val="19"/>
        <w:tabs>
          <w:tab w:val="right" w:leader="dot" w:pos="9628"/>
        </w:tabs>
        <w:rPr>
          <w:rFonts w:ascii="Times New Roman" w:hAnsi="Times New Roman" w:eastAsia="宋体" w:cs="Times New Roman"/>
        </w:rPr>
      </w:pPr>
      <w:r>
        <w:fldChar w:fldCharType="begin"/>
      </w:r>
      <w:r>
        <w:instrText xml:space="preserve"> HYPERLINK \l "_Toc195881895" </w:instrText>
      </w:r>
      <w:r>
        <w:fldChar w:fldCharType="separate"/>
      </w:r>
      <w:r>
        <w:rPr>
          <w:rStyle w:val="29"/>
          <w:rFonts w:ascii="Times New Roman" w:hAnsi="Times New Roman" w:eastAsia="宋体" w:cs="Times New Roman"/>
        </w:rPr>
        <w:t>附 录 D （规范性） 安全设施设计扉页格式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_Toc195881895 \h </w:instrText>
      </w:r>
      <w:r>
        <w:rPr>
          <w:rFonts w:ascii="Times New Roman" w:hAnsi="Times New Roman" w:eastAsia="宋体" w:cs="Times New Roman"/>
        </w:rPr>
        <w:fldChar w:fldCharType="separate"/>
      </w:r>
      <w:r>
        <w:rPr>
          <w:rFonts w:ascii="Times New Roman" w:hAnsi="Times New Roman" w:eastAsia="宋体" w:cs="Times New Roman"/>
        </w:rPr>
        <w:t>29</w:t>
      </w:r>
      <w:r>
        <w:rPr>
          <w:rFonts w:ascii="Times New Roman" w:hAnsi="Times New Roman" w:eastAsia="宋体" w:cs="Times New Roman"/>
        </w:rPr>
        <w:fldChar w:fldCharType="end"/>
      </w:r>
      <w:r>
        <w:rPr>
          <w:rFonts w:ascii="Times New Roman" w:hAnsi="Times New Roman" w:eastAsia="宋体" w:cs="Times New Roman"/>
        </w:rPr>
        <w:fldChar w:fldCharType="end"/>
      </w:r>
    </w:p>
    <w:p w14:paraId="7A538DF6">
      <w:pPr>
        <w:pStyle w:val="19"/>
        <w:tabs>
          <w:tab w:val="right" w:leader="dot" w:pos="9628"/>
        </w:tabs>
        <w:rPr>
          <w:rFonts w:ascii="Times New Roman" w:hAnsi="Times New Roman" w:eastAsia="宋体" w:cs="Times New Roman"/>
        </w:rPr>
      </w:pPr>
      <w:r>
        <w:fldChar w:fldCharType="begin"/>
      </w:r>
      <w:r>
        <w:instrText xml:space="preserve"> HYPERLINK \l "_Toc195881896" </w:instrText>
      </w:r>
      <w:r>
        <w:fldChar w:fldCharType="separate"/>
      </w:r>
      <w:r>
        <w:rPr>
          <w:rStyle w:val="29"/>
          <w:rFonts w:ascii="Times New Roman" w:hAnsi="Times New Roman" w:eastAsia="宋体" w:cs="Times New Roman"/>
        </w:rPr>
        <w:t>附 录 E （规范性） 安全设施设计校审人员名单格式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_Toc195881896 \h </w:instrText>
      </w:r>
      <w:r>
        <w:rPr>
          <w:rFonts w:ascii="Times New Roman" w:hAnsi="Times New Roman" w:eastAsia="宋体" w:cs="Times New Roman"/>
        </w:rPr>
        <w:fldChar w:fldCharType="separate"/>
      </w:r>
      <w:r>
        <w:rPr>
          <w:rFonts w:ascii="Times New Roman" w:hAnsi="Times New Roman" w:eastAsia="宋体" w:cs="Times New Roman"/>
        </w:rPr>
        <w:t>30</w:t>
      </w:r>
      <w:r>
        <w:rPr>
          <w:rFonts w:ascii="Times New Roman" w:hAnsi="Times New Roman" w:eastAsia="宋体" w:cs="Times New Roman"/>
        </w:rPr>
        <w:fldChar w:fldCharType="end"/>
      </w:r>
      <w:r>
        <w:rPr>
          <w:rFonts w:ascii="Times New Roman" w:hAnsi="Times New Roman" w:eastAsia="宋体" w:cs="Times New Roman"/>
        </w:rPr>
        <w:fldChar w:fldCharType="end"/>
      </w:r>
    </w:p>
    <w:p w14:paraId="16462FE0">
      <w:pPr>
        <w:pStyle w:val="62"/>
        <w:rPr>
          <w:rFonts w:ascii="Times New Roman" w:hAnsi="Times New Roman" w:eastAsia="宋体"/>
          <w:szCs w:val="21"/>
        </w:rPr>
      </w:pPr>
      <w:r>
        <w:rPr>
          <w:rFonts w:ascii="Times New Roman" w:hAnsi="Times New Roman" w:eastAsia="宋体"/>
          <w:szCs w:val="21"/>
        </w:rPr>
        <w:fldChar w:fldCharType="end"/>
      </w:r>
    </w:p>
    <w:p w14:paraId="0A837581">
      <w:pPr>
        <w:pStyle w:val="18"/>
        <w:pBdr>
          <w:bottom w:val="none" w:color="auto" w:sz="0" w:space="1"/>
        </w:pBdr>
        <w:spacing w:line="240" w:lineRule="auto"/>
        <w:jc w:val="left"/>
        <w:rPr>
          <w:rFonts w:ascii="Times New Roman" w:hAnsi="Times New Roman" w:eastAsia="宋体" w:cs="Times New Roman"/>
          <w:kern w:val="0"/>
          <w:sz w:val="32"/>
          <w:szCs w:val="21"/>
          <w14:ligatures w14:val="none"/>
        </w:rPr>
      </w:pPr>
      <w:r>
        <w:rPr>
          <w:rFonts w:ascii="Times New Roman" w:hAnsi="Times New Roman" w:eastAsia="宋体"/>
          <w:szCs w:val="21"/>
        </w:rPr>
        <w:br w:type="page"/>
      </w:r>
    </w:p>
    <w:p w14:paraId="478B12A8">
      <w:pPr>
        <w:pStyle w:val="91"/>
        <w:spacing w:before="560" w:after="468"/>
      </w:pPr>
      <w:bookmarkStart w:id="6" w:name="_Toc195881840"/>
      <w:bookmarkStart w:id="7" w:name="_Toc195003725"/>
      <w:r>
        <w:rPr>
          <w:spacing w:val="320"/>
        </w:rPr>
        <w:t>前</w:t>
      </w:r>
      <w:r>
        <w:t>言</w:t>
      </w:r>
      <w:bookmarkEnd w:id="6"/>
      <w:bookmarkEnd w:id="7"/>
    </w:p>
    <w:p w14:paraId="2346B431">
      <w:pPr>
        <w:pStyle w:val="85"/>
        <w:ind w:firstLine="422"/>
        <w:rPr>
          <w:b/>
          <w:bCs/>
        </w:rPr>
      </w:pPr>
      <w:r>
        <w:rPr>
          <w:rFonts w:hint="eastAsia"/>
          <w:b/>
          <w:bCs/>
        </w:rPr>
        <w:t>本文件的全部技术内容为强制性。</w:t>
      </w:r>
    </w:p>
    <w:p w14:paraId="15337370">
      <w:pPr>
        <w:ind w:firstLine="420" w:firstLineChars="200"/>
        <w:rPr>
          <w:rFonts w:ascii="Times New Roman" w:hAnsi="Times New Roman" w:eastAsia="宋体" w:cs="Times New Roman"/>
          <w:szCs w:val="21"/>
        </w:rPr>
      </w:pPr>
      <w:r>
        <w:rPr>
          <w:rFonts w:ascii="Times New Roman" w:hAnsi="Times New Roman" w:eastAsia="宋体" w:cs="Times New Roman"/>
          <w:szCs w:val="21"/>
        </w:rPr>
        <w:t>本文件按照GB/T 1.1-2020《标准化工作导则  第1部分：标准化文件的结构和起草规则》的规定起草。</w:t>
      </w:r>
    </w:p>
    <w:p w14:paraId="7825C07D">
      <w:pPr>
        <w:ind w:firstLine="420" w:firstLineChars="200"/>
        <w:rPr>
          <w:rFonts w:ascii="Times New Roman" w:hAnsi="Times New Roman" w:eastAsia="宋体" w:cs="Times New Roman"/>
          <w:szCs w:val="21"/>
        </w:rPr>
      </w:pPr>
      <w:r>
        <w:rPr>
          <w:rFonts w:ascii="Times New Roman" w:hAnsi="Times New Roman" w:eastAsia="宋体" w:cs="Times New Roman"/>
          <w:szCs w:val="21"/>
        </w:rPr>
        <w:t>请注意本文件的某些内容可能涉及专利。本文件的发布机构不承担识别专利的责任。</w:t>
      </w:r>
    </w:p>
    <w:p w14:paraId="70515AB4">
      <w:pPr>
        <w:ind w:firstLine="420" w:firstLineChars="200"/>
        <w:rPr>
          <w:rFonts w:ascii="Times New Roman" w:hAnsi="Times New Roman" w:eastAsia="宋体" w:cs="Times New Roman"/>
          <w:szCs w:val="21"/>
        </w:rPr>
      </w:pPr>
      <w:r>
        <w:rPr>
          <w:rFonts w:ascii="Times New Roman" w:hAnsi="Times New Roman" w:eastAsia="宋体" w:cs="Times New Roman"/>
          <w:szCs w:val="21"/>
        </w:rPr>
        <w:t>本文件由中华人民共和国应急管理部提出，危险化学品安全监督管理二司业务管理、政策法规司统筹管理。</w:t>
      </w:r>
    </w:p>
    <w:p w14:paraId="5B0E6612">
      <w:pPr>
        <w:ind w:firstLine="420" w:firstLineChars="200"/>
        <w:rPr>
          <w:rFonts w:ascii="Times New Roman" w:hAnsi="Times New Roman" w:eastAsia="宋体" w:cs="Times New Roman"/>
          <w:szCs w:val="21"/>
        </w:rPr>
      </w:pPr>
      <w:r>
        <w:rPr>
          <w:rFonts w:ascii="Times New Roman" w:hAnsi="Times New Roman" w:eastAsia="宋体" w:cs="Times New Roman"/>
          <w:szCs w:val="21"/>
        </w:rPr>
        <w:t>本文件由全国安全生产标准化技术委员会石油天然气开采安全分技术委员会（SAC/TC 288/SC 10）技术归口及咨询。</w:t>
      </w:r>
    </w:p>
    <w:p w14:paraId="120B6469">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本文件起草单位：XXX</w:t>
      </w:r>
    </w:p>
    <w:p w14:paraId="3B811B75">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本文件主要起草人：XXX</w:t>
      </w:r>
    </w:p>
    <w:p w14:paraId="42E58F1A">
      <w:pPr>
        <w:rPr>
          <w:rFonts w:ascii="Times New Roman"/>
          <w:szCs w:val="21"/>
        </w:rPr>
      </w:pPr>
      <w:r>
        <w:rPr>
          <w:rFonts w:ascii="Times New Roman"/>
          <w:szCs w:val="21"/>
        </w:rPr>
        <w:t>本文件为首次发布。</w:t>
      </w:r>
      <w:r>
        <w:rPr>
          <w:rFonts w:ascii="Times New Roman"/>
          <w:szCs w:val="21"/>
        </w:rPr>
        <w:br w:type="page"/>
      </w:r>
    </w:p>
    <w:p w14:paraId="71A792C7">
      <w:pPr>
        <w:pStyle w:val="88"/>
        <w:keepNext w:val="0"/>
        <w:keepLines w:val="0"/>
        <w:pageBreakBefore w:val="0"/>
        <w:widowControl/>
        <w:kinsoku/>
        <w:wordWrap/>
        <w:overflowPunct/>
        <w:topLinePunct w:val="0"/>
        <w:autoSpaceDE/>
        <w:autoSpaceDN/>
        <w:bidi w:val="0"/>
        <w:adjustRightInd w:val="0"/>
        <w:snapToGrid w:val="0"/>
        <w:spacing w:before="157" w:beforeLines="50" w:after="3" w:afterLines="1"/>
        <w:textAlignment w:val="auto"/>
        <w:rPr>
          <w:rFonts w:hint="eastAsia" w:cs="黑体"/>
          <w:color w:val="000000" w:themeColor="text1"/>
          <w14:textFill>
            <w14:solidFill>
              <w14:schemeClr w14:val="tx1"/>
            </w14:solidFill>
          </w14:textFill>
        </w:rPr>
        <w:sectPr>
          <w:footerReference r:id="rId9" w:type="default"/>
          <w:footerReference r:id="rId10" w:type="even"/>
          <w:type w:val="oddPage"/>
          <w:pgSz w:w="11906" w:h="16838"/>
          <w:pgMar w:top="1701" w:right="1474" w:bottom="1474" w:left="1587" w:header="851" w:footer="992" w:gutter="0"/>
          <w:paperSrc/>
          <w:pgNumType w:fmt="upperRoman" w:start="1"/>
          <w:cols w:space="0" w:num="1"/>
          <w:rtlGutter w:val="0"/>
          <w:docGrid w:type="lines" w:linePitch="312" w:charSpace="0"/>
        </w:sectPr>
      </w:pPr>
    </w:p>
    <w:p w14:paraId="0582AE58">
      <w:pPr>
        <w:pStyle w:val="88"/>
        <w:keepNext w:val="0"/>
        <w:keepLines w:val="0"/>
        <w:pageBreakBefore w:val="0"/>
        <w:widowControl/>
        <w:kinsoku/>
        <w:wordWrap/>
        <w:overflowPunct/>
        <w:topLinePunct w:val="0"/>
        <w:autoSpaceDE/>
        <w:autoSpaceDN/>
        <w:bidi w:val="0"/>
        <w:adjustRightInd w:val="0"/>
        <w:snapToGrid w:val="0"/>
        <w:spacing w:before="157" w:beforeLines="50" w:after="3" w:afterLines="1"/>
        <w:textAlignment w:val="auto"/>
        <w:rPr>
          <w:rFonts w:hint="eastAsia" w:cs="黑体"/>
          <w:color w:val="000000" w:themeColor="text1"/>
          <w14:textFill>
            <w14:solidFill>
              <w14:schemeClr w14:val="tx1"/>
            </w14:solidFill>
          </w14:textFill>
        </w:rPr>
      </w:pPr>
    </w:p>
    <w:p w14:paraId="1FCCB351">
      <w:pPr>
        <w:pStyle w:val="88"/>
        <w:keepNext w:val="0"/>
        <w:keepLines w:val="0"/>
        <w:pageBreakBefore w:val="0"/>
        <w:widowControl/>
        <w:kinsoku/>
        <w:wordWrap/>
        <w:overflowPunct/>
        <w:topLinePunct w:val="0"/>
        <w:autoSpaceDE/>
        <w:autoSpaceDN/>
        <w:bidi w:val="0"/>
        <w:adjustRightInd w:val="0"/>
        <w:snapToGrid w:val="0"/>
        <w:spacing w:before="157" w:beforeLines="50" w:after="3" w:afterLines="1"/>
        <w:textAlignment w:val="auto"/>
        <w:rPr>
          <w:rFonts w:cs="黑体"/>
          <w:color w:val="000000" w:themeColor="text1"/>
          <w14:textFill>
            <w14:solidFill>
              <w14:schemeClr w14:val="tx1"/>
            </w14:solidFill>
          </w14:textFill>
        </w:rPr>
      </w:pPr>
      <w:r>
        <w:rPr>
          <w:rFonts w:hint="eastAsia" w:cs="黑体"/>
          <w:color w:val="000000" w:themeColor="text1"/>
          <w14:textFill>
            <w14:solidFill>
              <w14:schemeClr w14:val="tx1"/>
            </w14:solidFill>
          </w14:textFill>
        </w:rPr>
        <w:t>陆上石油天然气开采建设项目（地下储气库）</w:t>
      </w:r>
    </w:p>
    <w:p w14:paraId="6EA81DA3">
      <w:pPr>
        <w:pStyle w:val="88"/>
        <w:keepNext w:val="0"/>
        <w:keepLines w:val="0"/>
        <w:pageBreakBefore w:val="0"/>
        <w:widowControl/>
        <w:kinsoku/>
        <w:wordWrap/>
        <w:overflowPunct/>
        <w:topLinePunct w:val="0"/>
        <w:autoSpaceDE/>
        <w:autoSpaceDN/>
        <w:bidi w:val="0"/>
        <w:adjustRightInd w:val="0"/>
        <w:snapToGrid w:val="0"/>
        <w:spacing w:before="157" w:beforeLines="50" w:after="3" w:afterLines="1"/>
        <w:textAlignment w:val="auto"/>
        <w:rPr>
          <w:rFonts w:cs="黑体"/>
          <w:color w:val="000000" w:themeColor="text1"/>
          <w14:textFill>
            <w14:solidFill>
              <w14:schemeClr w14:val="tx1"/>
            </w14:solidFill>
          </w14:textFill>
        </w:rPr>
      </w:pPr>
      <w:r>
        <w:rPr>
          <w:rFonts w:hint="eastAsia" w:cs="黑体"/>
          <w:color w:val="000000" w:themeColor="text1"/>
          <w14:textFill>
            <w14:solidFill>
              <w14:schemeClr w14:val="tx1"/>
            </w14:solidFill>
          </w14:textFill>
        </w:rPr>
        <w:t>安全设施设计导则</w:t>
      </w:r>
    </w:p>
    <w:p w14:paraId="38D4028F">
      <w:pPr>
        <w:pStyle w:val="3"/>
        <w:rPr>
          <w:rFonts w:ascii="黑体" w:hAnsi="黑体" w:eastAsia="黑体" w:cs="Times New Roman"/>
          <w:szCs w:val="24"/>
        </w:rPr>
      </w:pPr>
      <w:bookmarkStart w:id="8" w:name="_Toc195881841"/>
      <w:r>
        <w:rPr>
          <w:rFonts w:ascii="黑体" w:hAnsi="黑体" w:eastAsia="黑体" w:cs="Times New Roman"/>
          <w:szCs w:val="24"/>
        </w:rPr>
        <w:t xml:space="preserve">1  </w:t>
      </w:r>
      <w:r>
        <w:rPr>
          <w:rFonts w:hint="eastAsia" w:ascii="黑体" w:hAnsi="黑体" w:eastAsia="黑体" w:cs="Times New Roman"/>
          <w:szCs w:val="24"/>
        </w:rPr>
        <w:t>范围</w:t>
      </w:r>
      <w:bookmarkEnd w:id="8"/>
    </w:p>
    <w:p w14:paraId="2B13033D">
      <w:pPr>
        <w:rPr>
          <w:rFonts w:ascii="Times New Roman" w:hAnsi="Times New Roman" w:eastAsia="宋体" w:cs="Times New Roman"/>
        </w:rPr>
      </w:pPr>
    </w:p>
    <w:p w14:paraId="0C0B95E4">
      <w:pPr>
        <w:ind w:firstLine="420" w:firstLineChars="200"/>
        <w:rPr>
          <w:rFonts w:ascii="Times New Roman" w:hAnsi="Times New Roman" w:eastAsia="宋体" w:cs="Times New Roman"/>
        </w:rPr>
      </w:pPr>
      <w:r>
        <w:rPr>
          <w:rFonts w:hint="eastAsia" w:ascii="Times New Roman" w:hAnsi="Times New Roman" w:eastAsia="宋体" w:cs="Times New Roman"/>
        </w:rPr>
        <w:t>本文件规定了陆上石油天然气开采地下储气库建设项目安全设施设计的内容及编制要求。</w:t>
      </w:r>
    </w:p>
    <w:p w14:paraId="672E0DF9">
      <w:pPr>
        <w:ind w:firstLine="420" w:firstLineChars="200"/>
        <w:rPr>
          <w:rFonts w:ascii="Times New Roman" w:hAnsi="Times New Roman" w:eastAsia="宋体" w:cs="Times New Roman"/>
        </w:rPr>
      </w:pPr>
      <w:r>
        <w:rPr>
          <w:rFonts w:hint="eastAsia" w:ascii="Times New Roman" w:hAnsi="Times New Roman" w:eastAsia="宋体" w:cs="Times New Roman"/>
        </w:rPr>
        <w:t>本文件适用于陆上石油天然气开采地下储气库新建、改建及扩建项目的安全设施设计，包含气藏型和油藏型。</w:t>
      </w:r>
    </w:p>
    <w:p w14:paraId="7B0A7A30">
      <w:pPr>
        <w:ind w:firstLine="420" w:firstLineChars="200"/>
        <w:rPr>
          <w:rFonts w:ascii="Times New Roman" w:hAnsi="Times New Roman" w:eastAsia="宋体" w:cs="Times New Roman"/>
        </w:rPr>
      </w:pPr>
      <w:r>
        <w:rPr>
          <w:rFonts w:hint="eastAsia" w:ascii="Times New Roman" w:hAnsi="Times New Roman" w:eastAsia="宋体" w:cs="Times New Roman"/>
        </w:rPr>
        <w:t>本文件不适用于盐穴型地下储气库。</w:t>
      </w:r>
    </w:p>
    <w:p w14:paraId="60989C4E">
      <w:pPr>
        <w:pStyle w:val="3"/>
        <w:rPr>
          <w:rFonts w:ascii="黑体" w:hAnsi="黑体" w:eastAsia="黑体" w:cs="Times New Roman"/>
          <w:szCs w:val="24"/>
        </w:rPr>
      </w:pPr>
      <w:bookmarkStart w:id="9" w:name="_Toc195881842"/>
      <w:r>
        <w:rPr>
          <w:rFonts w:ascii="黑体" w:hAnsi="黑体" w:eastAsia="黑体" w:cs="Times New Roman"/>
          <w:szCs w:val="24"/>
        </w:rPr>
        <w:t xml:space="preserve">2  </w:t>
      </w:r>
      <w:r>
        <w:rPr>
          <w:rFonts w:hint="eastAsia" w:ascii="黑体" w:hAnsi="黑体" w:eastAsia="黑体" w:cs="Times New Roman"/>
          <w:szCs w:val="24"/>
        </w:rPr>
        <w:t>规范性引用文件</w:t>
      </w:r>
      <w:bookmarkEnd w:id="9"/>
    </w:p>
    <w:p w14:paraId="2E04AC2D">
      <w:pPr>
        <w:rPr>
          <w:rFonts w:ascii="Times New Roman" w:hAnsi="Times New Roman" w:eastAsia="宋体" w:cs="Times New Roman"/>
        </w:rPr>
      </w:pPr>
    </w:p>
    <w:p w14:paraId="795F6253">
      <w:pPr>
        <w:pStyle w:val="41"/>
        <w:topLinePunct/>
        <w:spacing w:line="276" w:lineRule="auto"/>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下列文件中的内容通过文中的规范性引用而构成本文件必不可少的条款。其中，注日期的引用文件，仅该日期对应的版本适用于本文件；不注日期的引用文件，其最新版本（包括所有的修订单）适用于本文件。</w:t>
      </w:r>
    </w:p>
    <w:p w14:paraId="2536B578">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150.1  压力容器 第1部分：通用要求</w:t>
      </w:r>
    </w:p>
    <w:p w14:paraId="4EED4C7D">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21447  钢制管道外腐蚀控制规范</w:t>
      </w:r>
    </w:p>
    <w:p w14:paraId="59D2B028">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21448  埋地钢制管道阴极保护技术规范</w:t>
      </w:r>
    </w:p>
    <w:p w14:paraId="77986A8B">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22513  石油天然气钻采设备 井口装置和采油树</w:t>
      </w:r>
    </w:p>
    <w:p w14:paraId="0966EA1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23257  埋地钢质管道聚乙烯防腐层</w:t>
      </w:r>
    </w:p>
    <w:p w14:paraId="04AF4E0B">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23258  钢制管道内腐蚀控制规范</w:t>
      </w:r>
    </w:p>
    <w:p w14:paraId="03999527">
      <w:pPr>
        <w:snapToGrid w:val="0"/>
        <w:ind w:firstLine="420" w:firstLineChars="200"/>
        <w:contextualSpacing/>
        <w:rPr>
          <w:rFonts w:ascii="Times New Roman" w:hAnsi="Times New Roman" w:eastAsia="宋体" w:cs="Times New Roman"/>
          <w:bCs/>
        </w:rPr>
      </w:pPr>
      <w:r>
        <w:rPr>
          <w:rFonts w:ascii="Times New Roman" w:hAnsi="Times New Roman" w:eastAsia="宋体" w:cs="Times New Roman"/>
          <w:bCs/>
        </w:rPr>
        <w:t>GB 32167  油气输送管道完整性管理规范</w:t>
      </w:r>
    </w:p>
    <w:p w14:paraId="126D466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36699  锅炉用液体和气体燃料燃烧器技术条件</w:t>
      </w:r>
    </w:p>
    <w:p w14:paraId="40CC5791">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39800.2  个体防护装备配备规范  第2部分：石油、化工、天然气</w:t>
      </w:r>
    </w:p>
    <w:p w14:paraId="79C7B9D7">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50011  建筑抗震设计标准</w:t>
      </w:r>
    </w:p>
    <w:p w14:paraId="7694AA4F">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50016  建筑设计防火规范</w:t>
      </w:r>
    </w:p>
    <w:p w14:paraId="78FC508D">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50019  工业建筑供暖通风与空气调节设计规范</w:t>
      </w:r>
    </w:p>
    <w:p w14:paraId="57DA4461">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50025  湿陷性黄土地区建筑标准</w:t>
      </w:r>
    </w:p>
    <w:p w14:paraId="72FA850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50041  锅炉房设计标准</w:t>
      </w:r>
    </w:p>
    <w:p w14:paraId="2E5D71BE">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50052  供配电系统设计规范</w:t>
      </w:r>
    </w:p>
    <w:p w14:paraId="71B495F5">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50054  低压配电设计规范</w:t>
      </w:r>
    </w:p>
    <w:p w14:paraId="2142CBB1">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50057  建筑物防雷设计规范</w:t>
      </w:r>
    </w:p>
    <w:p w14:paraId="66F03219">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50058  爆炸危险环境电力装置设计规范</w:t>
      </w:r>
    </w:p>
    <w:p w14:paraId="6CED8FC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50060  3</w:t>
      </w:r>
      <w:r>
        <w:rPr>
          <w:rFonts w:hint="eastAsia" w:ascii="Times New Roman" w:hAnsi="Times New Roman" w:eastAsia="宋体" w:cs="Times New Roman"/>
        </w:rPr>
        <w:t>~</w:t>
      </w:r>
      <w:r>
        <w:rPr>
          <w:rFonts w:ascii="Times New Roman" w:hAnsi="Times New Roman" w:eastAsia="宋体" w:cs="Times New Roman"/>
        </w:rPr>
        <w:t xml:space="preserve">110 </w:t>
      </w:r>
      <w:r>
        <w:rPr>
          <w:rFonts w:hint="eastAsia" w:ascii="Times New Roman" w:hAnsi="Times New Roman" w:eastAsia="宋体" w:cs="Times New Roman"/>
        </w:rPr>
        <w:t>k</w:t>
      </w:r>
      <w:r>
        <w:rPr>
          <w:rFonts w:ascii="Times New Roman" w:hAnsi="Times New Roman" w:eastAsia="宋体" w:cs="Times New Roman"/>
        </w:rPr>
        <w:t>V 高压配电装置设计规范</w:t>
      </w:r>
    </w:p>
    <w:p w14:paraId="7FEAFF9F">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50064  交流电气装置的过电压保护和绝缘配合设计规范</w:t>
      </w:r>
    </w:p>
    <w:p w14:paraId="64105C1E">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50065  交流电气装置的接地设计规范</w:t>
      </w:r>
    </w:p>
    <w:p w14:paraId="40F11441">
      <w:pPr>
        <w:snapToGrid w:val="0"/>
        <w:ind w:firstLine="420" w:firstLineChars="200"/>
        <w:contextualSpacing/>
        <w:rPr>
          <w:rFonts w:ascii="Times New Roman" w:hAnsi="Times New Roman" w:eastAsia="宋体" w:cs="Times New Roman"/>
        </w:rPr>
      </w:pPr>
      <w:r>
        <w:rPr>
          <w:rFonts w:ascii="Times New Roman" w:hAnsi="Times New Roman" w:eastAsia="宋体" w:cs="Times New Roman"/>
          <w:kern w:val="0"/>
          <w:szCs w:val="20"/>
        </w:rPr>
        <w:t>GB 50112  膨胀土地区建筑技术规范</w:t>
      </w:r>
    </w:p>
    <w:p w14:paraId="176F80D4">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50116  火灾自动报警系统设计规范</w:t>
      </w:r>
    </w:p>
    <w:p w14:paraId="6CB165BF">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50183  石油天然气工程设计防火规范</w:t>
      </w:r>
    </w:p>
    <w:p w14:paraId="22F82B0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50223  建筑工程抗震设防分类标准</w:t>
      </w:r>
    </w:p>
    <w:p w14:paraId="3CD940E7">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50251  输气管道工程设计规范</w:t>
      </w:r>
    </w:p>
    <w:p w14:paraId="336147CA">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50264  工业设备及管道绝热工程设计规范</w:t>
      </w:r>
    </w:p>
    <w:p w14:paraId="57A8172D">
      <w:pPr>
        <w:snapToGrid w:val="0"/>
        <w:ind w:firstLine="420" w:firstLineChars="200"/>
        <w:contextualSpacing/>
        <w:rPr>
          <w:rFonts w:ascii="Times New Roman" w:hAnsi="Times New Roman" w:eastAsia="宋体" w:cs="Times New Roman"/>
        </w:rPr>
      </w:pPr>
      <w:r>
        <w:rPr>
          <w:rFonts w:hint="eastAsia" w:ascii="Times New Roman"/>
        </w:rPr>
        <w:t>GB 50343</w:t>
      </w:r>
      <w:r>
        <w:rPr>
          <w:rFonts w:ascii="Times New Roman"/>
        </w:rPr>
        <w:t xml:space="preserve">  建筑物电子信息系统防雷技术规范</w:t>
      </w:r>
    </w:p>
    <w:p w14:paraId="47241E4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50349  气田集输设计规范</w:t>
      </w:r>
    </w:p>
    <w:p w14:paraId="24EE75BE">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50350  油田油气集输设计规范</w:t>
      </w:r>
    </w:p>
    <w:p w14:paraId="1D41827E">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50393  钢质石油储罐防腐蚀工程技术标准</w:t>
      </w:r>
    </w:p>
    <w:p w14:paraId="565F610E">
      <w:pPr>
        <w:snapToGrid w:val="0"/>
        <w:ind w:firstLine="420" w:firstLineChars="200"/>
        <w:contextualSpacing/>
        <w:rPr>
          <w:rFonts w:ascii="Times New Roman" w:eastAsiaTheme="minorEastAsia"/>
        </w:rPr>
      </w:pPr>
      <w:r>
        <w:rPr>
          <w:rFonts w:ascii="Times New Roman"/>
        </w:rPr>
        <w:t>GB 50423  油气输送管道穿越工程设计规范</w:t>
      </w:r>
    </w:p>
    <w:p w14:paraId="76563FC7">
      <w:pPr>
        <w:snapToGrid w:val="0"/>
        <w:ind w:firstLine="420" w:firstLineChars="200"/>
        <w:contextualSpacing/>
        <w:rPr>
          <w:rFonts w:ascii="Times New Roman" w:hAnsi="Times New Roman" w:cs="Times New Roman" w:eastAsiaTheme="minorEastAsia"/>
        </w:rPr>
      </w:pPr>
      <w:r>
        <w:rPr>
          <w:rFonts w:ascii="Times New Roman"/>
        </w:rPr>
        <w:t>GB 50459  油气输送管道跨越工程设计</w:t>
      </w:r>
      <w:r>
        <w:rPr>
          <w:rFonts w:hint="eastAsia" w:ascii="Times New Roman"/>
        </w:rPr>
        <w:t>标准</w:t>
      </w:r>
    </w:p>
    <w:p w14:paraId="57B05AAA">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50526  公共广播系统工程技术规范</w:t>
      </w:r>
    </w:p>
    <w:p w14:paraId="03DA10BF">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GB/T 50538  埋地钢质管道防腐保温层技术标准</w:t>
      </w:r>
    </w:p>
    <w:p w14:paraId="28324A95">
      <w:pPr>
        <w:snapToGrid w:val="0"/>
        <w:ind w:firstLine="420" w:firstLineChars="200"/>
        <w:contextualSpacing/>
        <w:rPr>
          <w:rFonts w:ascii="Times New Roman" w:hAnsi="Times New Roman" w:eastAsia="宋体" w:cs="Times New Roman"/>
        </w:rPr>
      </w:pPr>
      <w:r>
        <w:rPr>
          <w:rFonts w:hint="eastAsia" w:ascii="Times New Roman"/>
        </w:rPr>
        <w:t>GB 50797</w:t>
      </w:r>
      <w:r>
        <w:rPr>
          <w:rFonts w:ascii="Times New Roman"/>
        </w:rPr>
        <w:t xml:space="preserve">  光伏发电站设计规范</w:t>
      </w:r>
    </w:p>
    <w:p w14:paraId="16146126">
      <w:pPr>
        <w:snapToGrid w:val="0"/>
        <w:ind w:firstLine="420" w:firstLineChars="200"/>
        <w:contextualSpacing/>
        <w:rPr>
          <w:rFonts w:ascii="Times New Roman" w:hAnsi="Times New Roman" w:eastAsia="宋体" w:cs="Times New Roman"/>
          <w:kern w:val="0"/>
          <w:szCs w:val="20"/>
        </w:rPr>
      </w:pPr>
      <w:r>
        <w:rPr>
          <w:rFonts w:ascii="Times New Roman" w:hAnsi="Times New Roman" w:eastAsia="宋体" w:cs="Times New Roman"/>
          <w:kern w:val="0"/>
          <w:szCs w:val="20"/>
        </w:rPr>
        <w:t>GB/T 50942  盐渍土地区建筑技术规范</w:t>
      </w:r>
    </w:p>
    <w:p w14:paraId="517FDEA3">
      <w:pPr>
        <w:snapToGrid w:val="0"/>
        <w:ind w:firstLine="420" w:firstLineChars="200"/>
        <w:contextualSpacing/>
        <w:rPr>
          <w:rFonts w:ascii="Times New Roman" w:hAnsi="Times New Roman" w:eastAsia="宋体" w:cs="Times New Roman"/>
        </w:rPr>
      </w:pPr>
      <w:r>
        <w:rPr>
          <w:rFonts w:hint="eastAsia" w:ascii="Times New Roman"/>
        </w:rPr>
        <w:t>GB/T 51096</w:t>
      </w:r>
      <w:r>
        <w:rPr>
          <w:rFonts w:ascii="Times New Roman"/>
        </w:rPr>
        <w:t xml:space="preserve">  风力发电厂设计规范</w:t>
      </w:r>
    </w:p>
    <w:p w14:paraId="5002C79E">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51251  建筑防烟排烟系统技术标准</w:t>
      </w:r>
    </w:p>
    <w:p w14:paraId="35BDA1B8">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51309  消防应急照明和疏散指示系统技术标准</w:t>
      </w:r>
    </w:p>
    <w:p w14:paraId="3A256018">
      <w:pPr>
        <w:snapToGrid w:val="0"/>
        <w:ind w:firstLine="420" w:firstLineChars="200"/>
        <w:contextualSpacing/>
        <w:rPr>
          <w:rFonts w:ascii="Times New Roman" w:hAnsi="Times New Roman" w:eastAsia="宋体" w:cs="Times New Roman"/>
        </w:rPr>
      </w:pPr>
      <w:r>
        <w:rPr>
          <w:rFonts w:hint="eastAsia" w:ascii="Times New Roman" w:hAnsi="Times New Roman" w:eastAsia="宋体" w:cs="Times New Roman"/>
          <w:kern w:val="0"/>
          <w:szCs w:val="20"/>
        </w:rPr>
        <w:t>GB</w:t>
      </w:r>
      <w:r>
        <w:rPr>
          <w:rFonts w:ascii="Times New Roman" w:hAnsi="Times New Roman" w:eastAsia="宋体" w:cs="Times New Roman"/>
          <w:kern w:val="0"/>
          <w:szCs w:val="20"/>
        </w:rPr>
        <w:t xml:space="preserve"> </w:t>
      </w:r>
      <w:r>
        <w:rPr>
          <w:rFonts w:hint="eastAsia" w:ascii="Times New Roman" w:hAnsi="Times New Roman" w:eastAsia="宋体" w:cs="Times New Roman"/>
          <w:kern w:val="0"/>
          <w:szCs w:val="20"/>
        </w:rPr>
        <w:t>55002</w:t>
      </w:r>
      <w:r>
        <w:rPr>
          <w:rFonts w:ascii="Times New Roman" w:hAnsi="Times New Roman" w:eastAsia="宋体" w:cs="Times New Roman"/>
          <w:kern w:val="0"/>
          <w:szCs w:val="20"/>
        </w:rPr>
        <w:t xml:space="preserve">  建筑与市政工程抗震通用规范</w:t>
      </w:r>
    </w:p>
    <w:p w14:paraId="01B3F444">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55036  消防设施通用规范</w:t>
      </w:r>
    </w:p>
    <w:p w14:paraId="1D84D001">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GB 55037  建筑防火通用规范</w:t>
      </w:r>
    </w:p>
    <w:p w14:paraId="201A78E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TSG 21  固定式压力容器安全技术监察规程</w:t>
      </w:r>
    </w:p>
    <w:p w14:paraId="1B10F2F9">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0033  油气田变配电设计规范</w:t>
      </w:r>
    </w:p>
    <w:p w14:paraId="35DCB03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0048  石油天然气工程总图设计规范</w:t>
      </w:r>
    </w:p>
    <w:p w14:paraId="7736601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0060  油气田防静电接地设计规范</w:t>
      </w:r>
    </w:p>
    <w:p w14:paraId="3A5AF0EE">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0319  钢质储罐防腐层技术规范</w:t>
      </w:r>
    </w:p>
    <w:p w14:paraId="4D819E87">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0524  导热油加热炉系统规范</w:t>
      </w:r>
    </w:p>
    <w:p w14:paraId="165DF91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0599  天然气地面设施抗硫化物应力开裂和应力腐蚀开裂金属材料技术规范</w:t>
      </w:r>
    </w:p>
    <w:p w14:paraId="62A95369">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5225  石油天然气钻井、开发、储运防火防爆安全生产技术规程</w:t>
      </w:r>
    </w:p>
    <w:p w14:paraId="6E7C8344">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6277  硫化氢环境人身防护规范</w:t>
      </w:r>
    </w:p>
    <w:p w14:paraId="2E1E54A7">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6503  石油天然气工程可燃气体和有毒气体检测报警系统安全规范</w:t>
      </w:r>
    </w:p>
    <w:p w14:paraId="7E955E1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6524  石油天然气作业场所劳动防护用品配备规范</w:t>
      </w:r>
    </w:p>
    <w:p w14:paraId="09F55EE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6536  钢质储罐、容器内壁阴极保护技术规范</w:t>
      </w:r>
    </w:p>
    <w:p w14:paraId="56F30007">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6610  硫化氢环境井下作业场所作业安全规范</w:t>
      </w:r>
    </w:p>
    <w:p w14:paraId="783ADF0F">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6671  石油设施电气设备场所0区、1区和2区的分类推荐作法</w:t>
      </w:r>
    </w:p>
    <w:p w14:paraId="7F15E3C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6805  油气藏型地下储气库安全技术规程</w:t>
      </w:r>
    </w:p>
    <w:p w14:paraId="2D11D7A7">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6848  地下储气库设计规范</w:t>
      </w:r>
    </w:p>
    <w:p w14:paraId="0BD2F213">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6885  油气田及管道工程雷电防护设计规范</w:t>
      </w:r>
    </w:p>
    <w:p w14:paraId="13DA99D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6964  石油天然气站场阴极保护技术规范</w:t>
      </w:r>
    </w:p>
    <w:p w14:paraId="56E95D4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7021  石油天然气地面建设工程供暖通风与空气调节设计规范</w:t>
      </w:r>
    </w:p>
    <w:p w14:paraId="4FA593D3">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7036  石油天然气站场管道及设备外防腐层技术规范</w:t>
      </w:r>
    </w:p>
    <w:p w14:paraId="26C25D9F">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7350  低温管道与设备防腐保冷技术规范</w:t>
      </w:r>
    </w:p>
    <w:p w14:paraId="3B9AD797">
      <w:pPr>
        <w:snapToGrid w:val="0"/>
        <w:ind w:firstLine="420" w:firstLineChars="200"/>
        <w:contextualSpacing/>
        <w:rPr>
          <w:rFonts w:ascii="Times New Roman" w:hAnsi="Times New Roman" w:eastAsia="宋体" w:cs="Times New Roman"/>
        </w:rPr>
      </w:pPr>
      <w:r>
        <w:rPr>
          <w:rFonts w:ascii="Times New Roman"/>
        </w:rPr>
        <w:t>SY/T 7365  油气输送管道并行敷设技术规范</w:t>
      </w:r>
    </w:p>
    <w:p w14:paraId="3AE0B8D2">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7370  地下储气库注采管柱选用与设计推荐做法</w:t>
      </w:r>
    </w:p>
    <w:p w14:paraId="137127DA">
      <w:pPr>
        <w:snapToGrid w:val="0"/>
        <w:ind w:firstLine="420" w:firstLineChars="200"/>
        <w:contextualSpacing/>
        <w:rPr>
          <w:rFonts w:ascii="Times New Roman" w:hAnsi="Times New Roman" w:eastAsia="宋体" w:cs="Times New Roman"/>
        </w:rPr>
      </w:pPr>
      <w:r>
        <w:rPr>
          <w:rFonts w:ascii="Times New Roman"/>
        </w:rPr>
        <w:t>SY/T 7405  导热油供热站设计规范</w:t>
      </w:r>
    </w:p>
    <w:p w14:paraId="1409AEAB">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7451  枯竭型气藏储气库钻井技术规范</w:t>
      </w:r>
    </w:p>
    <w:p w14:paraId="60F9D37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7628  油气田及管道工程计算机控制系统设计规范</w:t>
      </w:r>
    </w:p>
    <w:p w14:paraId="0D1C9E06">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7642  储气库术语</w:t>
      </w:r>
    </w:p>
    <w:p w14:paraId="696290C9">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7643  储气库选址评价推荐做法</w:t>
      </w:r>
    </w:p>
    <w:p w14:paraId="32D63597">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7648  储气库井固井技术要求</w:t>
      </w:r>
    </w:p>
    <w:p w14:paraId="0035D438">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7652  气藏型储气库库容参数设计方法</w:t>
      </w:r>
    </w:p>
    <w:p w14:paraId="199E55F1">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7687  气藏型储气库动态分析技术规范</w:t>
      </w:r>
    </w:p>
    <w:p w14:paraId="1AE085BD">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7688  气藏型储气库老井封堵技术规范</w:t>
      </w:r>
    </w:p>
    <w:p w14:paraId="1C3894AD">
      <w:pPr>
        <w:snapToGrid w:val="0"/>
        <w:ind w:firstLine="420" w:firstLineChars="200"/>
        <w:contextualSpacing/>
        <w:rPr>
          <w:rFonts w:ascii="Times New Roman" w:hAnsi="Times New Roman" w:eastAsia="宋体" w:cs="Times New Roman"/>
        </w:rPr>
      </w:pPr>
      <w:r>
        <w:rPr>
          <w:rFonts w:ascii="Times New Roman"/>
        </w:rPr>
        <w:t>SY/T 7700  油气田及管道工程仪表控制系统设计规范</w:t>
      </w:r>
    </w:p>
    <w:p w14:paraId="3E97AC72">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7757  储气库排放系统设计规范</w:t>
      </w:r>
    </w:p>
    <w:p w14:paraId="4A4B72D0">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7760  储气库监测系统设计技术要求</w:t>
      </w:r>
    </w:p>
    <w:p w14:paraId="09C6D88C">
      <w:pPr>
        <w:snapToGrid w:val="0"/>
        <w:ind w:firstLine="420" w:firstLineChars="200"/>
        <w:contextualSpacing/>
        <w:rPr>
          <w:rFonts w:ascii="Times New Roman" w:hAnsi="Times New Roman" w:eastAsia="宋体" w:cs="Times New Roman"/>
        </w:rPr>
      </w:pPr>
      <w:r>
        <w:rPr>
          <w:rFonts w:ascii="Times New Roman" w:hAnsi="Times New Roman" w:eastAsia="宋体" w:cs="Times New Roman"/>
        </w:rPr>
        <w:t>SY/T 10043  泄压和减压系统指南</w:t>
      </w:r>
    </w:p>
    <w:p w14:paraId="600FD620">
      <w:pPr>
        <w:pStyle w:val="3"/>
        <w:rPr>
          <w:rFonts w:ascii="黑体" w:hAnsi="黑体" w:eastAsia="黑体" w:cs="Times New Roman"/>
          <w:szCs w:val="24"/>
        </w:rPr>
      </w:pPr>
      <w:bookmarkStart w:id="10" w:name="_Toc195881843"/>
      <w:r>
        <w:rPr>
          <w:rFonts w:ascii="黑体" w:hAnsi="黑体" w:eastAsia="黑体" w:cs="Times New Roman"/>
          <w:szCs w:val="24"/>
        </w:rPr>
        <w:t xml:space="preserve">3  </w:t>
      </w:r>
      <w:r>
        <w:rPr>
          <w:rFonts w:hint="eastAsia" w:ascii="黑体" w:hAnsi="黑体" w:eastAsia="黑体" w:cs="Times New Roman"/>
          <w:szCs w:val="24"/>
        </w:rPr>
        <w:t>术语和定义</w:t>
      </w:r>
      <w:bookmarkEnd w:id="10"/>
    </w:p>
    <w:p w14:paraId="3B8D57B0">
      <w:pPr>
        <w:ind w:firstLine="420" w:firstLineChars="200"/>
        <w:rPr>
          <w:rFonts w:ascii="Times New Roman" w:hAnsi="Times New Roman" w:eastAsia="宋体" w:cs="Times New Roman"/>
        </w:rPr>
      </w:pPr>
      <w:r>
        <w:rPr>
          <w:rFonts w:ascii="Times New Roman" w:hAnsi="Times New Roman" w:eastAsia="宋体" w:cs="Times New Roman"/>
        </w:rPr>
        <w:t>SY/T 7642</w:t>
      </w:r>
      <w:r>
        <w:rPr>
          <w:rFonts w:hint="eastAsia" w:ascii="Times New Roman" w:hAnsi="Times New Roman" w:eastAsia="宋体" w:cs="Times New Roman"/>
        </w:rPr>
        <w:t>界定的以及下列术语和定义适用于本文件。</w:t>
      </w:r>
    </w:p>
    <w:p w14:paraId="07CA5209">
      <w:pPr>
        <w:rPr>
          <w:rFonts w:ascii="黑体" w:hAnsi="黑体" w:eastAsia="黑体" w:cs="Times New Roman"/>
          <w:b/>
          <w:bCs/>
          <w:sz w:val="24"/>
        </w:rPr>
      </w:pPr>
      <w:r>
        <w:rPr>
          <w:rFonts w:ascii="黑体" w:hAnsi="黑体" w:eastAsia="黑体" w:cs="Times New Roman"/>
          <w:b/>
          <w:bCs/>
          <w:sz w:val="24"/>
        </w:rPr>
        <w:t>3.1</w:t>
      </w:r>
    </w:p>
    <w:p w14:paraId="327B4D98">
      <w:pPr>
        <w:ind w:firstLine="422" w:firstLineChars="200"/>
        <w:rPr>
          <w:rFonts w:ascii="黑体" w:hAnsi="黑体" w:eastAsia="黑体" w:cs="Times New Roman"/>
          <w:b/>
          <w:bCs/>
        </w:rPr>
      </w:pPr>
      <w:r>
        <w:rPr>
          <w:rFonts w:hint="eastAsia" w:ascii="黑体" w:hAnsi="黑体" w:eastAsia="黑体" w:cs="Times New Roman"/>
          <w:b/>
          <w:bCs/>
        </w:rPr>
        <w:t>安全设施</w:t>
      </w:r>
      <w:r>
        <w:rPr>
          <w:rFonts w:ascii="黑体" w:hAnsi="黑体" w:eastAsia="黑体" w:cs="Times New Roman"/>
          <w:b/>
          <w:bCs/>
        </w:rPr>
        <w:t xml:space="preserve">  safety facilities</w:t>
      </w:r>
    </w:p>
    <w:p w14:paraId="12CEDDC2">
      <w:pPr>
        <w:ind w:firstLine="420" w:firstLineChars="200"/>
        <w:rPr>
          <w:rFonts w:ascii="Times New Roman" w:hAnsi="Times New Roman" w:eastAsia="宋体" w:cs="Times New Roman"/>
        </w:rPr>
      </w:pPr>
      <w:r>
        <w:rPr>
          <w:rFonts w:ascii="Times New Roman" w:hAnsi="Times New Roman" w:eastAsia="宋体" w:cs="Times New Roman"/>
        </w:rPr>
        <w:t>生产经营单位在生产经营活动中用于预防生产安全事故的设备、设施、装置、构（建）筑物和其他技术措施的总称</w:t>
      </w:r>
      <w:r>
        <w:rPr>
          <w:rFonts w:hint="eastAsia" w:ascii="Times New Roman" w:hAnsi="Times New Roman" w:eastAsia="宋体" w:cs="Times New Roman"/>
        </w:rPr>
        <w:t>。</w:t>
      </w:r>
    </w:p>
    <w:p w14:paraId="68EF53E1">
      <w:pPr>
        <w:ind w:firstLine="420" w:firstLineChars="200"/>
        <w:rPr>
          <w:rFonts w:ascii="Times New Roman" w:hAnsi="Times New Roman" w:eastAsia="宋体" w:cs="Times New Roman"/>
        </w:rPr>
      </w:pPr>
      <w:r>
        <w:rPr>
          <w:rFonts w:hint="eastAsia" w:ascii="Times New Roman" w:hAnsi="Times New Roman" w:eastAsia="宋体" w:cs="Times New Roman"/>
        </w:rPr>
        <w:t>注：相关安全设施分类见附录A。</w:t>
      </w:r>
    </w:p>
    <w:p w14:paraId="7C84DED5">
      <w:pPr>
        <w:rPr>
          <w:rFonts w:ascii="黑体" w:hAnsi="黑体" w:eastAsia="黑体" w:cs="Times New Roman"/>
          <w:b/>
          <w:bCs/>
          <w:sz w:val="24"/>
        </w:rPr>
      </w:pPr>
      <w:r>
        <w:rPr>
          <w:rFonts w:ascii="黑体" w:hAnsi="黑体" w:eastAsia="黑体" w:cs="Times New Roman"/>
          <w:b/>
          <w:bCs/>
          <w:sz w:val="24"/>
        </w:rPr>
        <w:t>3.2</w:t>
      </w:r>
    </w:p>
    <w:p w14:paraId="52CDB78D">
      <w:pPr>
        <w:ind w:firstLine="422" w:firstLineChars="200"/>
        <w:rPr>
          <w:rFonts w:ascii="黑体" w:hAnsi="黑体" w:eastAsia="黑体" w:cs="Times New Roman"/>
          <w:b/>
          <w:bCs/>
        </w:rPr>
      </w:pPr>
      <w:r>
        <w:rPr>
          <w:rFonts w:hint="eastAsia" w:ascii="黑体" w:hAnsi="黑体" w:eastAsia="黑体" w:cs="Times New Roman"/>
          <w:b/>
          <w:bCs/>
        </w:rPr>
        <w:t>井工程</w:t>
      </w:r>
      <w:r>
        <w:rPr>
          <w:rFonts w:ascii="黑体" w:hAnsi="黑体" w:eastAsia="黑体" w:cs="Times New Roman"/>
          <w:b/>
          <w:bCs/>
        </w:rPr>
        <w:t xml:space="preserve">  well engineering</w:t>
      </w:r>
    </w:p>
    <w:p w14:paraId="5FC9E23B">
      <w:pPr>
        <w:ind w:firstLine="420" w:firstLineChars="200"/>
        <w:rPr>
          <w:rFonts w:ascii="Times New Roman" w:hAnsi="Times New Roman" w:eastAsia="宋体" w:cs="Times New Roman"/>
        </w:rPr>
      </w:pPr>
      <w:r>
        <w:rPr>
          <w:rFonts w:hint="eastAsia" w:ascii="Times New Roman" w:hAnsi="Times New Roman" w:eastAsia="宋体" w:cs="Times New Roman"/>
        </w:rPr>
        <w:t>围绕油气井的建造、测量、维护和使用而实施的工程活动。</w:t>
      </w:r>
    </w:p>
    <w:p w14:paraId="128C42E4">
      <w:pPr>
        <w:rPr>
          <w:rFonts w:ascii="黑体" w:hAnsi="黑体" w:eastAsia="黑体" w:cs="Times New Roman"/>
          <w:b/>
          <w:bCs/>
          <w:sz w:val="24"/>
        </w:rPr>
      </w:pPr>
      <w:r>
        <w:rPr>
          <w:rFonts w:ascii="黑体" w:hAnsi="黑体" w:eastAsia="黑体" w:cs="Times New Roman"/>
          <w:b/>
          <w:bCs/>
          <w:sz w:val="24"/>
        </w:rPr>
        <w:t>3.3</w:t>
      </w:r>
    </w:p>
    <w:p w14:paraId="6D5DFB4F">
      <w:pPr>
        <w:ind w:firstLine="422" w:firstLineChars="200"/>
        <w:rPr>
          <w:rFonts w:ascii="黑体" w:hAnsi="黑体" w:eastAsia="黑体" w:cs="Times New Roman"/>
          <w:b/>
          <w:bCs/>
        </w:rPr>
      </w:pPr>
      <w:r>
        <w:rPr>
          <w:rFonts w:hint="eastAsia" w:ascii="黑体" w:hAnsi="黑体" w:eastAsia="黑体" w:cs="Times New Roman"/>
          <w:b/>
          <w:bCs/>
        </w:rPr>
        <w:t>联络线</w:t>
      </w:r>
      <w:r>
        <w:rPr>
          <w:rFonts w:ascii="黑体" w:hAnsi="黑体" w:eastAsia="黑体" w:cs="Times New Roman"/>
          <w:b/>
          <w:bCs/>
        </w:rPr>
        <w:t xml:space="preserve">  connection pipelines</w:t>
      </w:r>
    </w:p>
    <w:p w14:paraId="7DFC1B24">
      <w:pPr>
        <w:ind w:firstLine="420" w:firstLineChars="200"/>
        <w:rPr>
          <w:rFonts w:ascii="Times New Roman" w:hAnsi="Times New Roman" w:eastAsia="宋体" w:cs="Times New Roman"/>
        </w:rPr>
      </w:pPr>
      <w:r>
        <w:rPr>
          <w:rFonts w:hint="eastAsia" w:ascii="Times New Roman" w:hAnsi="Times New Roman" w:eastAsia="宋体" w:cs="Times New Roman"/>
        </w:rPr>
        <w:t>连接储气库集注站和分输站之间的管道。</w:t>
      </w:r>
    </w:p>
    <w:p w14:paraId="3C708144">
      <w:pPr>
        <w:rPr>
          <w:rFonts w:ascii="黑体" w:hAnsi="黑体" w:eastAsia="黑体" w:cs="Times New Roman"/>
          <w:b/>
          <w:bCs/>
          <w:sz w:val="24"/>
        </w:rPr>
      </w:pPr>
      <w:r>
        <w:rPr>
          <w:rFonts w:ascii="黑体" w:hAnsi="黑体" w:eastAsia="黑体" w:cs="Times New Roman"/>
          <w:b/>
          <w:bCs/>
          <w:sz w:val="24"/>
        </w:rPr>
        <w:t>3.4</w:t>
      </w:r>
    </w:p>
    <w:p w14:paraId="30B248C2">
      <w:pPr>
        <w:ind w:firstLine="422" w:firstLineChars="200"/>
        <w:rPr>
          <w:rFonts w:ascii="黑体" w:hAnsi="黑体" w:eastAsia="黑体" w:cs="Times New Roman"/>
          <w:b/>
          <w:bCs/>
        </w:rPr>
      </w:pPr>
      <w:r>
        <w:rPr>
          <w:rFonts w:hint="eastAsia" w:ascii="黑体" w:hAnsi="黑体" w:eastAsia="黑体" w:cs="Times New Roman"/>
          <w:b/>
          <w:bCs/>
        </w:rPr>
        <w:t>集注站</w:t>
      </w:r>
      <w:r>
        <w:rPr>
          <w:rFonts w:ascii="黑体" w:hAnsi="黑体" w:eastAsia="黑体" w:cs="Times New Roman"/>
          <w:b/>
          <w:bCs/>
        </w:rPr>
        <w:t xml:space="preserve">  gas gathering and injection station</w:t>
      </w:r>
    </w:p>
    <w:p w14:paraId="4BC314D2">
      <w:pPr>
        <w:ind w:firstLine="420" w:firstLineChars="200"/>
        <w:rPr>
          <w:rFonts w:ascii="Times New Roman" w:hAnsi="Times New Roman" w:eastAsia="宋体" w:cs="Times New Roman"/>
        </w:rPr>
      </w:pPr>
      <w:r>
        <w:rPr>
          <w:rFonts w:hint="eastAsia" w:ascii="Times New Roman" w:hAnsi="Times New Roman" w:eastAsia="宋体" w:cs="Times New Roman"/>
        </w:rPr>
        <w:t>对储气库采出的天然气进行收集、调压、分离、计量、净化处理，并对外部管道来气进行压缩回注的储气库站场。</w:t>
      </w:r>
    </w:p>
    <w:p w14:paraId="5CB78C87">
      <w:pPr>
        <w:rPr>
          <w:rFonts w:ascii="黑体" w:hAnsi="黑体" w:eastAsia="黑体" w:cs="Times New Roman"/>
          <w:b/>
          <w:bCs/>
          <w:sz w:val="24"/>
        </w:rPr>
      </w:pPr>
      <w:r>
        <w:rPr>
          <w:rFonts w:ascii="黑体" w:hAnsi="黑体" w:eastAsia="黑体" w:cs="Times New Roman"/>
          <w:b/>
          <w:bCs/>
          <w:sz w:val="24"/>
        </w:rPr>
        <w:t>3.5</w:t>
      </w:r>
    </w:p>
    <w:p w14:paraId="084594D3">
      <w:pPr>
        <w:ind w:firstLine="422" w:firstLineChars="200"/>
        <w:rPr>
          <w:rFonts w:ascii="黑体" w:hAnsi="黑体" w:eastAsia="黑体" w:cs="Times New Roman"/>
          <w:b/>
          <w:bCs/>
        </w:rPr>
      </w:pPr>
      <w:r>
        <w:rPr>
          <w:rFonts w:hint="eastAsia" w:ascii="黑体" w:hAnsi="黑体" w:eastAsia="黑体" w:cs="Times New Roman"/>
          <w:b/>
          <w:bCs/>
        </w:rPr>
        <w:t>重大变更</w:t>
      </w:r>
      <w:r>
        <w:rPr>
          <w:rFonts w:ascii="黑体" w:hAnsi="黑体" w:eastAsia="黑体" w:cs="Times New Roman"/>
          <w:b/>
          <w:bCs/>
        </w:rPr>
        <w:t xml:space="preserve">  major change</w:t>
      </w:r>
    </w:p>
    <w:p w14:paraId="65D07D3D">
      <w:pPr>
        <w:ind w:firstLine="420" w:firstLineChars="200"/>
        <w:rPr>
          <w:rFonts w:ascii="Times New Roman" w:eastAsia="宋体"/>
        </w:rPr>
      </w:pPr>
      <w:r>
        <w:rPr>
          <w:rFonts w:hint="eastAsia" w:ascii="Times New Roman" w:hAnsi="Times New Roman" w:eastAsia="宋体" w:cs="Times New Roman"/>
        </w:rPr>
        <w:t>对原有的设计、工艺、设备、材料、操作方式等进行大幅度改动，可能导致安全风险显著增加或者环境影响明显加重的情况。</w:t>
      </w:r>
    </w:p>
    <w:p w14:paraId="3CBBA564">
      <w:pPr>
        <w:pStyle w:val="3"/>
        <w:rPr>
          <w:rFonts w:ascii="黑体" w:hAnsi="黑体" w:eastAsia="黑体"/>
          <w:szCs w:val="24"/>
        </w:rPr>
      </w:pPr>
      <w:bookmarkStart w:id="11" w:name="_Toc195881844"/>
      <w:r>
        <w:rPr>
          <w:rFonts w:ascii="黑体" w:hAnsi="黑体" w:eastAsia="黑体" w:cs="Times New Roman"/>
          <w:szCs w:val="24"/>
        </w:rPr>
        <w:t xml:space="preserve">4  </w:t>
      </w:r>
      <w:r>
        <w:rPr>
          <w:rFonts w:hint="eastAsia" w:ascii="黑体" w:hAnsi="黑体" w:eastAsia="黑体" w:cs="Times New Roman"/>
          <w:szCs w:val="24"/>
        </w:rPr>
        <w:t>缩略语</w:t>
      </w:r>
      <w:bookmarkEnd w:id="11"/>
    </w:p>
    <w:p w14:paraId="68A8675E">
      <w:pPr>
        <w:ind w:firstLine="420" w:firstLineChars="200"/>
        <w:rPr>
          <w:rFonts w:ascii="Times New Roman"/>
        </w:rPr>
      </w:pPr>
      <w:r>
        <w:rPr>
          <w:rFonts w:hint="eastAsia" w:ascii="Times New Roman" w:hAnsi="Times New Roman" w:eastAsia="宋体" w:cs="Times New Roman"/>
        </w:rPr>
        <w:t>下列缩略语适用于本文件：</w:t>
      </w:r>
    </w:p>
    <w:p w14:paraId="4C2EC121">
      <w:pPr>
        <w:ind w:firstLine="420" w:firstLineChars="200"/>
        <w:rPr>
          <w:rFonts w:ascii="Times New Roman"/>
        </w:rPr>
      </w:pPr>
      <w:r>
        <w:rPr>
          <w:rFonts w:ascii="Times New Roman" w:hAnsi="Times New Roman" w:eastAsia="宋体" w:cs="Times New Roman"/>
        </w:rPr>
        <w:t>BDV</w:t>
      </w:r>
      <w:r>
        <w:rPr>
          <w:rFonts w:hint="eastAsia" w:ascii="Times New Roman" w:hAnsi="Times New Roman" w:eastAsia="宋体" w:cs="Times New Roman"/>
        </w:rPr>
        <w:t>：</w:t>
      </w:r>
      <w:r>
        <w:rPr>
          <w:rFonts w:ascii="Times New Roman" w:hAnsi="Times New Roman" w:eastAsia="宋体" w:cs="Times New Roman"/>
        </w:rPr>
        <w:t>紧急泄放阀（</w:t>
      </w:r>
      <w:r>
        <w:rPr>
          <w:rFonts w:hint="eastAsia" w:ascii="Times New Roman" w:hAnsi="Times New Roman" w:eastAsia="宋体" w:cs="Times New Roman"/>
        </w:rPr>
        <w:t>B</w:t>
      </w:r>
      <w:r>
        <w:rPr>
          <w:rFonts w:ascii="Times New Roman" w:hAnsi="Times New Roman" w:eastAsia="宋体" w:cs="Times New Roman"/>
        </w:rPr>
        <w:t>low down valve）</w:t>
      </w:r>
    </w:p>
    <w:p w14:paraId="25486E79">
      <w:pPr>
        <w:ind w:firstLine="420" w:firstLineChars="200"/>
        <w:rPr>
          <w:rFonts w:ascii="Times New Roman" w:hAnsi="Times New Roman" w:eastAsia="宋体" w:cs="Times New Roman"/>
        </w:rPr>
      </w:pPr>
      <w:r>
        <w:rPr>
          <w:rFonts w:ascii="Times New Roman" w:hAnsi="Times New Roman" w:eastAsia="宋体" w:cs="Times New Roman"/>
        </w:rPr>
        <w:t>EPS</w:t>
      </w:r>
      <w:r>
        <w:rPr>
          <w:rFonts w:hint="eastAsia" w:ascii="Times New Roman" w:hAnsi="Times New Roman" w:eastAsia="宋体" w:cs="Times New Roman"/>
        </w:rPr>
        <w:t>：应急电源（</w:t>
      </w:r>
      <w:r>
        <w:rPr>
          <w:rFonts w:ascii="Times New Roman" w:hAnsi="Times New Roman" w:eastAsia="宋体" w:cs="Times New Roman"/>
        </w:rPr>
        <w:t>Emergency Power Supply</w:t>
      </w:r>
      <w:r>
        <w:rPr>
          <w:rFonts w:hint="eastAsia" w:ascii="Times New Roman" w:hAnsi="Times New Roman" w:eastAsia="宋体" w:cs="Times New Roman"/>
        </w:rPr>
        <w:t>）</w:t>
      </w:r>
    </w:p>
    <w:p w14:paraId="2DE62F9E">
      <w:pPr>
        <w:ind w:firstLine="420" w:firstLineChars="200"/>
        <w:rPr>
          <w:rFonts w:ascii="Times New Roman"/>
        </w:rPr>
      </w:pPr>
      <w:r>
        <w:rPr>
          <w:rFonts w:ascii="Times New Roman" w:hAnsi="Times New Roman" w:eastAsia="宋体" w:cs="Times New Roman"/>
        </w:rPr>
        <w:t>HAZOP</w:t>
      </w:r>
      <w:r>
        <w:rPr>
          <w:rFonts w:hint="eastAsia" w:ascii="Times New Roman" w:hAnsi="Times New Roman" w:eastAsia="宋体" w:cs="Times New Roman"/>
        </w:rPr>
        <w:t>：危险与可操作性分析（</w:t>
      </w:r>
      <w:r>
        <w:rPr>
          <w:rFonts w:ascii="Times New Roman" w:hAnsi="Times New Roman" w:eastAsia="宋体" w:cs="Times New Roman"/>
        </w:rPr>
        <w:t>Hazard and Operability Study</w:t>
      </w:r>
      <w:r>
        <w:rPr>
          <w:rFonts w:hint="eastAsia" w:ascii="Times New Roman" w:hAnsi="Times New Roman" w:eastAsia="宋体" w:cs="Times New Roman"/>
        </w:rPr>
        <w:t>）</w:t>
      </w:r>
    </w:p>
    <w:p w14:paraId="03AD5A1E">
      <w:pPr>
        <w:ind w:firstLine="420" w:firstLineChars="200"/>
        <w:rPr>
          <w:rFonts w:ascii="Times New Roman" w:hAnsi="Times New Roman" w:eastAsia="宋体" w:cs="Times New Roman"/>
        </w:rPr>
      </w:pPr>
      <w:r>
        <w:rPr>
          <w:rFonts w:ascii="Times New Roman" w:hAnsi="Times New Roman" w:eastAsia="宋体" w:cs="Times New Roman"/>
        </w:rPr>
        <w:t>SCADA</w:t>
      </w:r>
      <w:r>
        <w:rPr>
          <w:rFonts w:hint="eastAsia" w:ascii="Times New Roman" w:hAnsi="Times New Roman" w:eastAsia="宋体" w:cs="Times New Roman"/>
        </w:rPr>
        <w:t>：监控与数据采集系统（</w:t>
      </w:r>
      <w:r>
        <w:rPr>
          <w:rFonts w:ascii="Times New Roman" w:hAnsi="Times New Roman" w:eastAsia="宋体" w:cs="Times New Roman"/>
        </w:rPr>
        <w:t>Supervisory Control and Data Acquisition</w:t>
      </w:r>
      <w:r>
        <w:rPr>
          <w:rFonts w:hint="eastAsia" w:ascii="Times New Roman" w:hAnsi="Times New Roman" w:eastAsia="宋体" w:cs="Times New Roman"/>
        </w:rPr>
        <w:t>）</w:t>
      </w:r>
    </w:p>
    <w:p w14:paraId="5D54AE0C">
      <w:pPr>
        <w:ind w:firstLine="420" w:firstLineChars="200"/>
        <w:rPr>
          <w:rFonts w:ascii="Times New Roman"/>
        </w:rPr>
      </w:pPr>
      <w:r>
        <w:rPr>
          <w:rFonts w:ascii="Times New Roman" w:hAnsi="Times New Roman" w:eastAsia="宋体" w:cs="Times New Roman"/>
        </w:rPr>
        <w:t>SIF</w:t>
      </w:r>
      <w:r>
        <w:rPr>
          <w:rFonts w:hint="eastAsia" w:ascii="Times New Roman" w:hAnsi="Times New Roman" w:eastAsia="宋体" w:cs="Times New Roman"/>
        </w:rPr>
        <w:t>：</w:t>
      </w:r>
      <w:r>
        <w:rPr>
          <w:rFonts w:ascii="Times New Roman" w:hAnsi="Times New Roman" w:eastAsia="宋体" w:cs="Times New Roman"/>
        </w:rPr>
        <w:t>安全仪表功能（Safety instrumented function）</w:t>
      </w:r>
    </w:p>
    <w:p w14:paraId="3E67D95C">
      <w:pPr>
        <w:ind w:firstLine="420" w:firstLineChars="200"/>
        <w:rPr>
          <w:rFonts w:ascii="Times New Roman"/>
        </w:rPr>
      </w:pPr>
      <w:r>
        <w:rPr>
          <w:rFonts w:ascii="Times New Roman" w:hAnsi="Times New Roman" w:eastAsia="宋体" w:cs="Times New Roman"/>
        </w:rPr>
        <w:t>SIL</w:t>
      </w:r>
      <w:r>
        <w:rPr>
          <w:rFonts w:hint="eastAsia" w:ascii="Times New Roman" w:hAnsi="Times New Roman" w:eastAsia="宋体" w:cs="Times New Roman"/>
        </w:rPr>
        <w:t>：安全完整性等级（</w:t>
      </w:r>
      <w:r>
        <w:rPr>
          <w:rFonts w:ascii="Times New Roman" w:hAnsi="Times New Roman" w:eastAsia="宋体" w:cs="Times New Roman"/>
        </w:rPr>
        <w:t>Safety Integrity Level</w:t>
      </w:r>
      <w:r>
        <w:rPr>
          <w:rFonts w:hint="eastAsia" w:ascii="Times New Roman" w:hAnsi="Times New Roman" w:eastAsia="宋体" w:cs="Times New Roman"/>
        </w:rPr>
        <w:t>）</w:t>
      </w:r>
    </w:p>
    <w:p w14:paraId="3A08A9A5">
      <w:pPr>
        <w:ind w:firstLine="420" w:firstLineChars="200"/>
        <w:rPr>
          <w:rFonts w:ascii="Times New Roman"/>
        </w:rPr>
      </w:pPr>
      <w:r>
        <w:rPr>
          <w:rFonts w:ascii="Times New Roman" w:hAnsi="Times New Roman" w:eastAsia="宋体" w:cs="Times New Roman"/>
        </w:rPr>
        <w:t>SIS</w:t>
      </w:r>
      <w:r>
        <w:rPr>
          <w:rFonts w:hint="eastAsia" w:ascii="Times New Roman" w:hAnsi="Times New Roman" w:eastAsia="宋体" w:cs="Times New Roman"/>
        </w:rPr>
        <w:t>：安全仪表系统（</w:t>
      </w:r>
      <w:r>
        <w:rPr>
          <w:rFonts w:ascii="Times New Roman" w:hAnsi="Times New Roman" w:eastAsia="宋体" w:cs="Times New Roman"/>
        </w:rPr>
        <w:t>Safety Instrumentation System</w:t>
      </w:r>
      <w:r>
        <w:rPr>
          <w:rFonts w:hint="eastAsia" w:ascii="Times New Roman" w:hAnsi="Times New Roman" w:eastAsia="宋体" w:cs="Times New Roman"/>
        </w:rPr>
        <w:t>）</w:t>
      </w:r>
    </w:p>
    <w:p w14:paraId="598B9FC0">
      <w:pPr>
        <w:ind w:firstLine="420" w:firstLineChars="200"/>
        <w:rPr>
          <w:rFonts w:ascii="Times New Roman"/>
        </w:rPr>
      </w:pPr>
      <w:r>
        <w:rPr>
          <w:rFonts w:ascii="Times New Roman" w:hAnsi="Times New Roman" w:eastAsia="宋体" w:cs="Times New Roman"/>
        </w:rPr>
        <w:t>UPS</w:t>
      </w:r>
      <w:r>
        <w:rPr>
          <w:rFonts w:hint="eastAsia" w:ascii="Times New Roman" w:hAnsi="Times New Roman" w:eastAsia="宋体" w:cs="Times New Roman"/>
        </w:rPr>
        <w:t>：不间断电源系统（</w:t>
      </w:r>
      <w:r>
        <w:rPr>
          <w:rFonts w:ascii="Times New Roman" w:hAnsi="Times New Roman" w:eastAsia="宋体" w:cs="Times New Roman"/>
        </w:rPr>
        <w:t>Uninterruptible Power System</w:t>
      </w:r>
      <w:r>
        <w:rPr>
          <w:rFonts w:hint="eastAsia" w:ascii="Times New Roman" w:hAnsi="Times New Roman" w:eastAsia="宋体" w:cs="Times New Roman"/>
        </w:rPr>
        <w:t>）</w:t>
      </w:r>
    </w:p>
    <w:p w14:paraId="02476CA8">
      <w:pPr>
        <w:pStyle w:val="3"/>
        <w:rPr>
          <w:rFonts w:ascii="黑体" w:hAnsi="黑体" w:eastAsia="黑体" w:cs="Times New Roman"/>
          <w:szCs w:val="24"/>
        </w:rPr>
      </w:pPr>
      <w:bookmarkStart w:id="12" w:name="_Toc195881845"/>
      <w:r>
        <w:rPr>
          <w:rFonts w:ascii="黑体" w:hAnsi="黑体" w:eastAsia="黑体" w:cs="Times New Roman"/>
          <w:szCs w:val="24"/>
        </w:rPr>
        <w:t xml:space="preserve">5  </w:t>
      </w:r>
      <w:r>
        <w:rPr>
          <w:rFonts w:hint="eastAsia" w:ascii="黑体" w:hAnsi="黑体" w:eastAsia="黑体" w:cs="Times New Roman"/>
          <w:szCs w:val="24"/>
        </w:rPr>
        <w:t>总体要求</w:t>
      </w:r>
      <w:bookmarkEnd w:id="12"/>
    </w:p>
    <w:p w14:paraId="5847E439">
      <w:pPr>
        <w:rPr>
          <w:rFonts w:ascii="Times New Roman" w:hAnsi="Times New Roman" w:eastAsia="宋体" w:cs="Times New Roman"/>
        </w:rPr>
      </w:pPr>
      <w:r>
        <w:rPr>
          <w:rFonts w:ascii="黑体" w:hAnsi="黑体" w:eastAsia="黑体" w:cs="Times New Roman"/>
          <w:b/>
        </w:rPr>
        <w:t xml:space="preserve">5.1  </w:t>
      </w:r>
      <w:r>
        <w:rPr>
          <w:rFonts w:hint="eastAsia" w:ascii="Times New Roman" w:hAnsi="Times New Roman" w:eastAsia="宋体" w:cs="Times New Roman"/>
        </w:rPr>
        <w:t>建设项目初步设计时，应当委托有资质的设计单位对建设项目安全设施进行设计，编制安全设施设计。</w:t>
      </w:r>
    </w:p>
    <w:p w14:paraId="2D4D441A">
      <w:pPr>
        <w:rPr>
          <w:rFonts w:ascii="Times New Roman" w:hAnsi="Times New Roman" w:eastAsia="宋体" w:cs="Times New Roman"/>
        </w:rPr>
      </w:pPr>
      <w:bookmarkStart w:id="13" w:name="_Toc22833"/>
      <w:r>
        <w:rPr>
          <w:rFonts w:ascii="黑体" w:hAnsi="黑体" w:eastAsia="黑体" w:cs="Times New Roman"/>
          <w:b/>
        </w:rPr>
        <w:t>5.2</w:t>
      </w:r>
      <w:r>
        <w:rPr>
          <w:rFonts w:ascii="黑体" w:hAnsi="黑体" w:eastAsia="黑体" w:cs="Times New Roman"/>
        </w:rPr>
        <w:t xml:space="preserve">  </w:t>
      </w:r>
      <w:r>
        <w:rPr>
          <w:rFonts w:hint="eastAsia" w:ascii="Times New Roman" w:hAnsi="Times New Roman" w:eastAsia="宋体" w:cs="Times New Roman"/>
        </w:rPr>
        <w:t>有下列重大变更的建设项目，应重新编制安全设施设计：</w:t>
      </w:r>
    </w:p>
    <w:p w14:paraId="756E0A67">
      <w:pPr>
        <w:pStyle w:val="41"/>
        <w:numPr>
          <w:ilvl w:val="0"/>
          <w:numId w:val="4"/>
        </w:numPr>
        <w:spacing w:line="276" w:lineRule="auto"/>
        <w:ind w:left="0" w:firstLine="420"/>
        <w:rPr>
          <w:rFonts w:ascii="Times New Roman"/>
        </w:rPr>
      </w:pPr>
      <w:r>
        <w:rPr>
          <w:rFonts w:hint="eastAsia" w:ascii="Times New Roman"/>
        </w:rPr>
        <w:t>建设规模增大</w:t>
      </w:r>
      <w:r>
        <w:rPr>
          <w:rFonts w:ascii="Times New Roman"/>
        </w:rPr>
        <w:t>20%</w:t>
      </w:r>
      <w:r>
        <w:rPr>
          <w:rFonts w:hint="eastAsia" w:ascii="Times New Roman"/>
        </w:rPr>
        <w:t>以上；</w:t>
      </w:r>
    </w:p>
    <w:p w14:paraId="18F8F07B">
      <w:pPr>
        <w:pStyle w:val="41"/>
        <w:numPr>
          <w:ilvl w:val="0"/>
          <w:numId w:val="4"/>
        </w:numPr>
        <w:spacing w:line="276" w:lineRule="auto"/>
        <w:ind w:left="0" w:firstLine="420"/>
        <w:rPr>
          <w:rFonts w:ascii="Times New Roman"/>
        </w:rPr>
      </w:pPr>
      <w:r>
        <w:rPr>
          <w:rFonts w:hint="eastAsia" w:ascii="Times New Roman"/>
        </w:rPr>
        <w:t>主体生产工艺技术发生变化；</w:t>
      </w:r>
    </w:p>
    <w:p w14:paraId="63724AE6">
      <w:pPr>
        <w:pStyle w:val="41"/>
        <w:numPr>
          <w:ilvl w:val="0"/>
          <w:numId w:val="4"/>
        </w:numPr>
        <w:spacing w:line="276" w:lineRule="auto"/>
        <w:ind w:left="0" w:firstLine="420"/>
        <w:rPr>
          <w:rFonts w:ascii="Times New Roman"/>
        </w:rPr>
      </w:pPr>
      <w:r>
        <w:rPr>
          <w:rFonts w:hint="eastAsia" w:ascii="Times New Roman"/>
        </w:rPr>
        <w:t>关键设备类型及关键参数发生变化；</w:t>
      </w:r>
    </w:p>
    <w:p w14:paraId="3011D958">
      <w:pPr>
        <w:pStyle w:val="41"/>
        <w:numPr>
          <w:ilvl w:val="0"/>
          <w:numId w:val="4"/>
        </w:numPr>
        <w:spacing w:line="276" w:lineRule="auto"/>
        <w:ind w:left="0" w:firstLine="420"/>
        <w:rPr>
          <w:rFonts w:ascii="Times New Roman"/>
        </w:rPr>
      </w:pPr>
      <w:r>
        <w:rPr>
          <w:rFonts w:hint="eastAsia" w:ascii="Times New Roman"/>
        </w:rPr>
        <w:t>原料组分（硫化氢、二氧化碳等）含量变化引起主体材质选型变化；</w:t>
      </w:r>
    </w:p>
    <w:p w14:paraId="4A5ECFF6">
      <w:pPr>
        <w:pStyle w:val="41"/>
        <w:numPr>
          <w:ilvl w:val="0"/>
          <w:numId w:val="4"/>
        </w:numPr>
        <w:spacing w:line="276" w:lineRule="auto"/>
        <w:ind w:left="0" w:firstLine="420"/>
        <w:rPr>
          <w:rFonts w:ascii="Times New Roman"/>
        </w:rPr>
      </w:pPr>
      <w:r>
        <w:rPr>
          <w:rFonts w:hint="eastAsia" w:hAnsi="宋体"/>
        </w:rPr>
        <w:t>改变安全设施设计且可能降低安全性能的。</w:t>
      </w:r>
    </w:p>
    <w:bookmarkEnd w:id="13"/>
    <w:p w14:paraId="61B19F65">
      <w:pPr>
        <w:rPr>
          <w:rFonts w:ascii="Times New Roman" w:hAnsi="Times New Roman" w:eastAsia="宋体" w:cs="Times New Roman"/>
        </w:rPr>
      </w:pPr>
      <w:r>
        <w:rPr>
          <w:rFonts w:ascii="黑体" w:hAnsi="黑体" w:eastAsia="黑体" w:cs="Times New Roman"/>
          <w:b/>
        </w:rPr>
        <w:t xml:space="preserve">5.3  </w:t>
      </w:r>
      <w:r>
        <w:rPr>
          <w:rFonts w:hint="eastAsia" w:ascii="Times New Roman" w:hAnsi="Times New Roman" w:eastAsia="宋体" w:cs="Times New Roman"/>
        </w:rPr>
        <w:t>安全设施设计应主要包括以下内容：</w:t>
      </w:r>
    </w:p>
    <w:p w14:paraId="1FAECDAA">
      <w:pPr>
        <w:ind w:firstLine="420" w:firstLineChars="200"/>
        <w:rPr>
          <w:rFonts w:ascii="Times New Roman" w:hAnsi="Times New Roman" w:eastAsia="宋体" w:cs="Times New Roman"/>
        </w:rPr>
      </w:pPr>
      <w:r>
        <w:rPr>
          <w:rFonts w:ascii="Times New Roman" w:hAnsi="Times New Roman" w:eastAsia="宋体" w:cs="Times New Roman"/>
        </w:rPr>
        <w:t>a</w:t>
      </w:r>
      <w:r>
        <w:rPr>
          <w:rFonts w:hint="eastAsia" w:ascii="Times New Roman" w:hAnsi="Times New Roman" w:eastAsia="宋体" w:cs="Times New Roman"/>
        </w:rPr>
        <w:t>）设计依据；</w:t>
      </w:r>
    </w:p>
    <w:p w14:paraId="45D41070">
      <w:pPr>
        <w:ind w:firstLine="420" w:firstLineChars="200"/>
        <w:rPr>
          <w:rFonts w:ascii="Times New Roman" w:hAnsi="Times New Roman" w:eastAsia="宋体" w:cs="Times New Roman"/>
        </w:rPr>
      </w:pPr>
      <w:r>
        <w:rPr>
          <w:rFonts w:ascii="Times New Roman" w:hAnsi="Times New Roman" w:eastAsia="宋体" w:cs="Times New Roman"/>
        </w:rPr>
        <w:t>b</w:t>
      </w:r>
      <w:r>
        <w:rPr>
          <w:rFonts w:hint="eastAsia" w:ascii="Times New Roman" w:hAnsi="Times New Roman" w:eastAsia="宋体" w:cs="Times New Roman"/>
        </w:rPr>
        <w:t>）建设项目概述；</w:t>
      </w:r>
    </w:p>
    <w:p w14:paraId="638039A1">
      <w:pPr>
        <w:ind w:firstLine="420" w:firstLineChars="200"/>
        <w:rPr>
          <w:rFonts w:ascii="Times New Roman" w:hAnsi="Times New Roman" w:eastAsia="宋体" w:cs="Times New Roman"/>
        </w:rPr>
      </w:pPr>
      <w:r>
        <w:rPr>
          <w:rFonts w:ascii="Times New Roman" w:hAnsi="Times New Roman" w:eastAsia="宋体" w:cs="Times New Roman"/>
        </w:rPr>
        <w:t>c</w:t>
      </w:r>
      <w:r>
        <w:rPr>
          <w:rFonts w:hint="eastAsia" w:ascii="Times New Roman" w:hAnsi="Times New Roman" w:eastAsia="宋体" w:cs="Times New Roman"/>
        </w:rPr>
        <w:t>）危险有害因素分析；</w:t>
      </w:r>
    </w:p>
    <w:p w14:paraId="605D3383">
      <w:pPr>
        <w:ind w:firstLine="420" w:firstLineChars="200"/>
        <w:rPr>
          <w:rFonts w:ascii="Times New Roman" w:hAnsi="Times New Roman" w:eastAsia="宋体" w:cs="Times New Roman"/>
        </w:rPr>
      </w:pPr>
      <w:r>
        <w:rPr>
          <w:rFonts w:ascii="Times New Roman" w:hAnsi="Times New Roman" w:eastAsia="宋体" w:cs="Times New Roman"/>
        </w:rPr>
        <w:t>d</w:t>
      </w:r>
      <w:r>
        <w:rPr>
          <w:rFonts w:hint="eastAsia" w:ascii="Times New Roman" w:hAnsi="Times New Roman" w:eastAsia="宋体" w:cs="Times New Roman"/>
        </w:rPr>
        <w:t>）安全预评价响应；</w:t>
      </w:r>
    </w:p>
    <w:p w14:paraId="5C686DC8">
      <w:pPr>
        <w:ind w:firstLine="420" w:firstLineChars="200"/>
        <w:rPr>
          <w:rFonts w:ascii="Times New Roman" w:hAnsi="Times New Roman" w:eastAsia="宋体" w:cs="Times New Roman"/>
        </w:rPr>
      </w:pPr>
      <w:r>
        <w:rPr>
          <w:rFonts w:ascii="Times New Roman" w:hAnsi="Times New Roman" w:eastAsia="宋体" w:cs="Times New Roman"/>
        </w:rPr>
        <w:t>e</w:t>
      </w:r>
      <w:r>
        <w:rPr>
          <w:rFonts w:hint="eastAsia" w:ascii="Times New Roman" w:hAnsi="Times New Roman" w:eastAsia="宋体" w:cs="Times New Roman"/>
        </w:rPr>
        <w:t>）地质与气藏工程安全措施；</w:t>
      </w:r>
    </w:p>
    <w:p w14:paraId="7BD02760">
      <w:pPr>
        <w:ind w:firstLine="420" w:firstLineChars="200"/>
        <w:rPr>
          <w:rFonts w:ascii="Times New Roman" w:hAnsi="Times New Roman" w:eastAsia="宋体" w:cs="Times New Roman"/>
        </w:rPr>
      </w:pPr>
      <w:r>
        <w:rPr>
          <w:rFonts w:ascii="Times New Roman" w:hAnsi="Times New Roman" w:eastAsia="宋体" w:cs="Times New Roman"/>
        </w:rPr>
        <w:t>f</w:t>
      </w:r>
      <w:r>
        <w:rPr>
          <w:rFonts w:hint="eastAsia" w:ascii="Times New Roman" w:hAnsi="Times New Roman" w:eastAsia="宋体" w:cs="Times New Roman"/>
        </w:rPr>
        <w:t>）井工程安全措施；</w:t>
      </w:r>
    </w:p>
    <w:p w14:paraId="121D5138">
      <w:pPr>
        <w:ind w:firstLine="420" w:firstLineChars="200"/>
        <w:rPr>
          <w:rFonts w:ascii="Times New Roman" w:hAnsi="Times New Roman" w:eastAsia="宋体" w:cs="Times New Roman"/>
        </w:rPr>
      </w:pPr>
      <w:r>
        <w:rPr>
          <w:rFonts w:ascii="Times New Roman" w:hAnsi="Times New Roman" w:eastAsia="宋体" w:cs="Times New Roman"/>
        </w:rPr>
        <w:t>g</w:t>
      </w:r>
      <w:r>
        <w:rPr>
          <w:rFonts w:hint="eastAsia" w:ascii="Times New Roman" w:hAnsi="Times New Roman" w:eastAsia="宋体" w:cs="Times New Roman"/>
        </w:rPr>
        <w:t>）地面工程安全措施；</w:t>
      </w:r>
    </w:p>
    <w:p w14:paraId="46CD7DED">
      <w:pPr>
        <w:ind w:firstLine="420" w:firstLineChars="200"/>
        <w:rPr>
          <w:rFonts w:ascii="Times New Roman" w:hAnsi="Times New Roman" w:eastAsia="宋体" w:cs="Times New Roman"/>
        </w:rPr>
      </w:pPr>
      <w:r>
        <w:rPr>
          <w:rFonts w:ascii="Times New Roman" w:hAnsi="Times New Roman" w:eastAsia="宋体" w:cs="Times New Roman"/>
        </w:rPr>
        <w:t>h</w:t>
      </w:r>
      <w:r>
        <w:rPr>
          <w:rFonts w:hint="eastAsia" w:ascii="Times New Roman" w:hAnsi="Times New Roman" w:eastAsia="宋体" w:cs="Times New Roman"/>
        </w:rPr>
        <w:t>）安全管理；</w:t>
      </w:r>
    </w:p>
    <w:p w14:paraId="4407D3FE">
      <w:pPr>
        <w:ind w:firstLine="420" w:firstLineChars="200"/>
        <w:rPr>
          <w:rFonts w:ascii="Times New Roman" w:hAnsi="Times New Roman" w:eastAsia="宋体" w:cs="Times New Roman"/>
        </w:rPr>
      </w:pPr>
      <w:r>
        <w:rPr>
          <w:rFonts w:ascii="Times New Roman" w:hAnsi="Times New Roman" w:eastAsia="宋体" w:cs="Times New Roman"/>
        </w:rPr>
        <w:t>i</w:t>
      </w:r>
      <w:r>
        <w:rPr>
          <w:rFonts w:hint="eastAsia" w:ascii="Times New Roman" w:hAnsi="Times New Roman" w:eastAsia="宋体" w:cs="Times New Roman"/>
        </w:rPr>
        <w:t>）专用投资概算；</w:t>
      </w:r>
    </w:p>
    <w:p w14:paraId="54F36CBB">
      <w:pPr>
        <w:ind w:firstLine="420" w:firstLineChars="200"/>
        <w:rPr>
          <w:rFonts w:ascii="Times New Roman" w:hAnsi="Times New Roman" w:eastAsia="宋体" w:cs="Times New Roman"/>
        </w:rPr>
      </w:pPr>
      <w:r>
        <w:rPr>
          <w:rFonts w:ascii="Times New Roman" w:hAnsi="Times New Roman" w:eastAsia="宋体" w:cs="Times New Roman"/>
        </w:rPr>
        <w:t>j</w:t>
      </w:r>
      <w:r>
        <w:rPr>
          <w:rFonts w:hint="eastAsia" w:ascii="Times New Roman" w:hAnsi="Times New Roman" w:eastAsia="宋体" w:cs="Times New Roman"/>
        </w:rPr>
        <w:t>）主要结论和建议。</w:t>
      </w:r>
    </w:p>
    <w:p w14:paraId="64D29393">
      <w:pPr>
        <w:pStyle w:val="3"/>
        <w:rPr>
          <w:rFonts w:ascii="黑体" w:hAnsi="黑体" w:eastAsia="黑体" w:cs="Times New Roman"/>
          <w:szCs w:val="24"/>
        </w:rPr>
      </w:pPr>
      <w:bookmarkStart w:id="14" w:name="_Toc195881846"/>
      <w:r>
        <w:rPr>
          <w:rFonts w:ascii="黑体" w:hAnsi="黑体" w:eastAsia="黑体" w:cs="Times New Roman"/>
          <w:szCs w:val="24"/>
        </w:rPr>
        <w:t xml:space="preserve">6  </w:t>
      </w:r>
      <w:r>
        <w:rPr>
          <w:rFonts w:hint="eastAsia" w:ascii="黑体" w:hAnsi="黑体" w:eastAsia="黑体" w:cs="Times New Roman"/>
          <w:szCs w:val="24"/>
        </w:rPr>
        <w:t>设计依据</w:t>
      </w:r>
      <w:bookmarkEnd w:id="14"/>
    </w:p>
    <w:p w14:paraId="329817CE">
      <w:pPr>
        <w:pStyle w:val="4"/>
        <w:spacing w:before="156"/>
        <w:rPr>
          <w:rFonts w:ascii="黑体" w:hAnsi="黑体" w:eastAsia="黑体" w:cs="Times New Roman"/>
        </w:rPr>
      </w:pPr>
      <w:bookmarkStart w:id="15" w:name="_Toc195881847"/>
      <w:r>
        <w:rPr>
          <w:rFonts w:ascii="黑体" w:hAnsi="黑体" w:eastAsia="黑体" w:cs="Times New Roman"/>
        </w:rPr>
        <w:t xml:space="preserve">6.1  </w:t>
      </w:r>
      <w:r>
        <w:rPr>
          <w:rFonts w:hint="eastAsia" w:ascii="黑体" w:hAnsi="黑体" w:eastAsia="黑体" w:cs="Times New Roman"/>
        </w:rPr>
        <w:t>依据的批复文件</w:t>
      </w:r>
      <w:bookmarkEnd w:id="15"/>
    </w:p>
    <w:p w14:paraId="2DC537F5">
      <w:pPr>
        <w:ind w:firstLine="420" w:firstLineChars="200"/>
        <w:rPr>
          <w:rFonts w:ascii="Times New Roman" w:hAnsi="Times New Roman" w:eastAsia="宋体" w:cs="Times New Roman"/>
        </w:rPr>
      </w:pPr>
      <w:r>
        <w:rPr>
          <w:rFonts w:hint="eastAsia" w:ascii="Times New Roman" w:hAnsi="Times New Roman" w:eastAsia="宋体" w:cs="Times New Roman"/>
        </w:rPr>
        <w:t>列出建设项目设计依据的文件名称、发文单位、文件号、日期等相关内容，主要包括以下内容：</w:t>
      </w:r>
    </w:p>
    <w:p w14:paraId="3892CC19">
      <w:pPr>
        <w:ind w:firstLine="420" w:firstLineChars="200"/>
        <w:rPr>
          <w:rFonts w:ascii="Times New Roman" w:hAnsi="Times New Roman" w:eastAsia="宋体" w:cs="Times New Roman"/>
        </w:rPr>
      </w:pPr>
      <w:r>
        <w:rPr>
          <w:rFonts w:ascii="Times New Roman" w:hAnsi="Times New Roman" w:eastAsia="宋体" w:cs="Times New Roman"/>
        </w:rPr>
        <w:t>a）建设项目审批、核准或者备案的文件；</w:t>
      </w:r>
    </w:p>
    <w:p w14:paraId="4F0C5362">
      <w:pPr>
        <w:ind w:firstLine="420" w:firstLineChars="200"/>
        <w:rPr>
          <w:rFonts w:ascii="Times New Roman" w:hAnsi="Times New Roman" w:eastAsia="宋体" w:cs="Times New Roman"/>
        </w:rPr>
      </w:pPr>
      <w:r>
        <w:rPr>
          <w:rFonts w:ascii="Times New Roman" w:hAnsi="Times New Roman" w:eastAsia="宋体" w:cs="Times New Roman"/>
        </w:rPr>
        <w:t>b）建设项目设计委托书（任务书</w:t>
      </w:r>
      <w:r>
        <w:rPr>
          <w:rFonts w:hint="eastAsia" w:ascii="Times New Roman" w:hAnsi="Times New Roman" w:eastAsia="宋体" w:cs="Times New Roman"/>
        </w:rPr>
        <w:t>或</w:t>
      </w:r>
      <w:r>
        <w:rPr>
          <w:rFonts w:ascii="Times New Roman" w:hAnsi="Times New Roman" w:eastAsia="宋体" w:cs="Times New Roman"/>
        </w:rPr>
        <w:t>合同书）；</w:t>
      </w:r>
    </w:p>
    <w:p w14:paraId="7FC22EC2">
      <w:pPr>
        <w:ind w:firstLine="420" w:firstLineChars="200"/>
        <w:rPr>
          <w:rFonts w:ascii="Times New Roman" w:hAnsi="Times New Roman" w:eastAsia="宋体" w:cs="Times New Roman"/>
        </w:rPr>
      </w:pPr>
      <w:r>
        <w:rPr>
          <w:rFonts w:ascii="Times New Roman" w:hAnsi="Times New Roman" w:eastAsia="宋体" w:cs="Times New Roman"/>
        </w:rPr>
        <w:t>c）建设项目可行性研究报告（或开发方案）及批复文件；</w:t>
      </w:r>
    </w:p>
    <w:p w14:paraId="786B0C12">
      <w:pPr>
        <w:ind w:firstLine="420" w:firstLineChars="200"/>
        <w:rPr>
          <w:rFonts w:ascii="Times New Roman" w:hAnsi="Times New Roman" w:eastAsia="宋体" w:cs="Times New Roman"/>
        </w:rPr>
      </w:pPr>
      <w:r>
        <w:rPr>
          <w:rFonts w:ascii="Times New Roman" w:hAnsi="Times New Roman" w:eastAsia="宋体" w:cs="Times New Roman"/>
        </w:rPr>
        <w:t>d）建设项目安全预评价报告及批复文件等。</w:t>
      </w:r>
    </w:p>
    <w:p w14:paraId="563AFD53">
      <w:pPr>
        <w:pStyle w:val="4"/>
        <w:spacing w:before="156"/>
        <w:rPr>
          <w:rFonts w:ascii="黑体" w:hAnsi="黑体" w:eastAsia="黑体" w:cs="Times New Roman"/>
        </w:rPr>
      </w:pPr>
      <w:bookmarkStart w:id="16" w:name="_Toc195881848"/>
      <w:r>
        <w:rPr>
          <w:rFonts w:ascii="黑体" w:hAnsi="黑体" w:eastAsia="黑体" w:cs="Times New Roman"/>
        </w:rPr>
        <w:t xml:space="preserve">6.2  </w:t>
      </w:r>
      <w:r>
        <w:rPr>
          <w:rFonts w:hint="eastAsia" w:ascii="黑体" w:hAnsi="黑体" w:eastAsia="黑体" w:cs="Times New Roman"/>
        </w:rPr>
        <w:t>遵循的主要法律法规</w:t>
      </w:r>
      <w:bookmarkEnd w:id="16"/>
    </w:p>
    <w:p w14:paraId="24B48357">
      <w:pPr>
        <w:ind w:firstLine="420" w:firstLineChars="200"/>
        <w:rPr>
          <w:rFonts w:ascii="Times New Roman" w:hAnsi="Times New Roman" w:eastAsia="宋体" w:cs="Times New Roman"/>
        </w:rPr>
      </w:pPr>
      <w:r>
        <w:rPr>
          <w:rFonts w:hint="eastAsia" w:ascii="Times New Roman" w:hAnsi="Times New Roman" w:eastAsia="宋体" w:cs="Times New Roman"/>
        </w:rPr>
        <w:t>分层次列出与建设项目安全设施设计相关的国家法律、行政法规、部门规章、地方法规和地方规章，标明发布机构、令号和施行日期。</w:t>
      </w:r>
    </w:p>
    <w:p w14:paraId="3A0D0455">
      <w:pPr>
        <w:pStyle w:val="4"/>
        <w:spacing w:before="156"/>
        <w:rPr>
          <w:rFonts w:ascii="黑体" w:hAnsi="黑体" w:eastAsia="黑体" w:cs="Times New Roman"/>
        </w:rPr>
      </w:pPr>
      <w:bookmarkStart w:id="17" w:name="_Toc195881849"/>
      <w:r>
        <w:rPr>
          <w:rFonts w:ascii="黑体" w:hAnsi="黑体" w:eastAsia="黑体" w:cs="Times New Roman"/>
        </w:rPr>
        <w:t xml:space="preserve">6.3  </w:t>
      </w:r>
      <w:r>
        <w:rPr>
          <w:rFonts w:hint="eastAsia" w:ascii="黑体" w:hAnsi="黑体" w:eastAsia="黑体" w:cs="Times New Roman"/>
        </w:rPr>
        <w:t>执行的主要标准规范</w:t>
      </w:r>
      <w:bookmarkEnd w:id="17"/>
    </w:p>
    <w:p w14:paraId="27B600C2">
      <w:pPr>
        <w:ind w:firstLine="420" w:firstLineChars="200"/>
        <w:rPr>
          <w:rFonts w:ascii="Times New Roman" w:hAnsi="Times New Roman" w:eastAsia="宋体" w:cs="Times New Roman"/>
        </w:rPr>
      </w:pPr>
      <w:r>
        <w:rPr>
          <w:rFonts w:hint="eastAsia" w:ascii="Times New Roman" w:hAnsi="Times New Roman" w:eastAsia="宋体" w:cs="Times New Roman"/>
        </w:rPr>
        <w:t>列出设计依据的现行标准和规范性文件，应标明文件编号。</w:t>
      </w:r>
    </w:p>
    <w:p w14:paraId="12FFB5FA">
      <w:pPr>
        <w:pStyle w:val="4"/>
        <w:spacing w:before="156"/>
        <w:rPr>
          <w:rFonts w:ascii="黑体" w:hAnsi="黑体" w:eastAsia="黑体" w:cs="Times New Roman"/>
        </w:rPr>
      </w:pPr>
      <w:bookmarkStart w:id="18" w:name="_Toc195881850"/>
      <w:r>
        <w:rPr>
          <w:rFonts w:ascii="黑体" w:hAnsi="黑体" w:eastAsia="黑体" w:cs="Times New Roman"/>
        </w:rPr>
        <w:t xml:space="preserve">6.4  </w:t>
      </w:r>
      <w:r>
        <w:rPr>
          <w:rFonts w:hint="eastAsia" w:ascii="黑体" w:hAnsi="黑体" w:eastAsia="黑体" w:cs="Times New Roman"/>
        </w:rPr>
        <w:t>其他文件</w:t>
      </w:r>
      <w:bookmarkEnd w:id="18"/>
    </w:p>
    <w:p w14:paraId="016A7022">
      <w:pPr>
        <w:ind w:firstLine="420" w:firstLineChars="200"/>
        <w:rPr>
          <w:rFonts w:ascii="Times New Roman" w:hAnsi="Times New Roman" w:eastAsia="宋体" w:cs="Times New Roman"/>
        </w:rPr>
      </w:pPr>
      <w:r>
        <w:rPr>
          <w:rFonts w:ascii="Times New Roman" w:hAnsi="Times New Roman" w:eastAsia="宋体" w:cs="Times New Roman"/>
        </w:rPr>
        <w:t>列出项目开展的专项评价报告名称、编制单位和完成情况，</w:t>
      </w:r>
      <w:r>
        <w:rPr>
          <w:rFonts w:hint="eastAsia" w:ascii="Times New Roman" w:hAnsi="Times New Roman" w:eastAsia="宋体" w:cs="Times New Roman"/>
        </w:rPr>
        <w:t>主要包括</w:t>
      </w:r>
      <w:r>
        <w:rPr>
          <w:rFonts w:ascii="Times New Roman" w:hAnsi="Times New Roman" w:eastAsia="宋体" w:cs="Times New Roman"/>
        </w:rPr>
        <w:t>地质灾害危险性评估、地震安全性评价、压覆矿产资源评估、防洪评价等。</w:t>
      </w:r>
    </w:p>
    <w:p w14:paraId="1BB759FE">
      <w:pPr>
        <w:pStyle w:val="3"/>
        <w:rPr>
          <w:rFonts w:ascii="黑体" w:hAnsi="黑体" w:eastAsia="黑体" w:cs="Times New Roman"/>
          <w:szCs w:val="24"/>
        </w:rPr>
      </w:pPr>
      <w:bookmarkStart w:id="19" w:name="_Toc195881851"/>
      <w:r>
        <w:rPr>
          <w:rFonts w:ascii="黑体" w:hAnsi="黑体" w:eastAsia="黑体" w:cs="Times New Roman"/>
          <w:szCs w:val="24"/>
        </w:rPr>
        <w:t xml:space="preserve">7  </w:t>
      </w:r>
      <w:r>
        <w:rPr>
          <w:rFonts w:hint="eastAsia" w:ascii="黑体" w:hAnsi="黑体" w:eastAsia="黑体" w:cs="Times New Roman"/>
          <w:szCs w:val="24"/>
        </w:rPr>
        <w:t>建设项目概述</w:t>
      </w:r>
      <w:bookmarkEnd w:id="19"/>
    </w:p>
    <w:p w14:paraId="5F7E4C75">
      <w:pPr>
        <w:pStyle w:val="4"/>
        <w:spacing w:before="156"/>
        <w:rPr>
          <w:rFonts w:ascii="黑体" w:hAnsi="黑体" w:eastAsia="黑体" w:cs="Times New Roman"/>
        </w:rPr>
      </w:pPr>
      <w:bookmarkStart w:id="20" w:name="_Toc195881852"/>
      <w:r>
        <w:rPr>
          <w:rFonts w:ascii="黑体" w:hAnsi="黑体" w:eastAsia="黑体" w:cs="Times New Roman"/>
        </w:rPr>
        <w:t xml:space="preserve">7.1  </w:t>
      </w:r>
      <w:r>
        <w:rPr>
          <w:rFonts w:hint="eastAsia" w:ascii="黑体" w:hAnsi="黑体" w:eastAsia="黑体" w:cs="Times New Roman"/>
        </w:rPr>
        <w:t>项目概况</w:t>
      </w:r>
      <w:bookmarkEnd w:id="20"/>
    </w:p>
    <w:p w14:paraId="20C25C42">
      <w:pPr>
        <w:pStyle w:val="5"/>
        <w:rPr>
          <w:rFonts w:ascii="黑体" w:hAnsi="黑体" w:eastAsia="黑体" w:cs="Times New Roman"/>
        </w:rPr>
      </w:pPr>
      <w:bookmarkStart w:id="21" w:name="_Toc193449070"/>
      <w:r>
        <w:rPr>
          <w:rFonts w:ascii="黑体" w:hAnsi="黑体" w:eastAsia="黑体" w:cs="Times New Roman"/>
        </w:rPr>
        <w:t xml:space="preserve">7.1.1  </w:t>
      </w:r>
      <w:r>
        <w:rPr>
          <w:rFonts w:hint="eastAsia" w:ascii="黑体" w:hAnsi="黑体" w:eastAsia="黑体" w:cs="Times New Roman"/>
        </w:rPr>
        <w:t>基本信息</w:t>
      </w:r>
      <w:bookmarkEnd w:id="21"/>
    </w:p>
    <w:p w14:paraId="3BB9EABC">
      <w:pPr>
        <w:rPr>
          <w:rFonts w:ascii="Times New Roman" w:hAnsi="Times New Roman" w:eastAsia="宋体" w:cs="Times New Roman"/>
        </w:rPr>
      </w:pPr>
      <w:r>
        <w:rPr>
          <w:rFonts w:ascii="黑体" w:hAnsi="黑体" w:eastAsia="黑体" w:cs="Times New Roman"/>
          <w:b/>
        </w:rPr>
        <w:t xml:space="preserve">7.1.1.1  </w:t>
      </w:r>
      <w:r>
        <w:rPr>
          <w:rFonts w:hint="eastAsia" w:ascii="Times New Roman" w:hAnsi="Times New Roman" w:eastAsia="宋体" w:cs="Times New Roman"/>
        </w:rPr>
        <w:t>简述项目建设单位、生产管理单位基本情况、建设项目性质（新建、改建、扩建）。</w:t>
      </w:r>
    </w:p>
    <w:p w14:paraId="5B3E1F22">
      <w:pPr>
        <w:rPr>
          <w:rFonts w:ascii="Times New Roman" w:hAnsi="Times New Roman" w:eastAsia="宋体" w:cs="Times New Roman"/>
        </w:rPr>
      </w:pPr>
      <w:r>
        <w:rPr>
          <w:rFonts w:ascii="黑体" w:hAnsi="黑体" w:eastAsia="黑体" w:cs="Times New Roman"/>
          <w:b/>
        </w:rPr>
        <w:t xml:space="preserve">7.1.1.2 </w:t>
      </w:r>
      <w:r>
        <w:rPr>
          <w:rFonts w:ascii="黑体" w:hAnsi="黑体" w:eastAsia="黑体" w:cs="Times New Roman"/>
        </w:rPr>
        <w:t xml:space="preserve"> </w:t>
      </w:r>
      <w:r>
        <w:rPr>
          <w:rFonts w:hint="eastAsia" w:ascii="Times New Roman" w:hAnsi="Times New Roman" w:eastAsia="宋体" w:cs="Times New Roman"/>
        </w:rPr>
        <w:t>简述建设项目的地理位置、项目范围、项目规模（库容量及工作气量）及投资概算。</w:t>
      </w:r>
    </w:p>
    <w:p w14:paraId="25BE1107">
      <w:pPr>
        <w:pStyle w:val="5"/>
        <w:rPr>
          <w:rFonts w:ascii="黑体" w:hAnsi="黑体" w:eastAsia="黑体" w:cs="Times New Roman"/>
        </w:rPr>
      </w:pPr>
      <w:bookmarkStart w:id="22" w:name="_Toc193449071"/>
      <w:r>
        <w:rPr>
          <w:rFonts w:ascii="黑体" w:hAnsi="黑体" w:eastAsia="黑体" w:cs="Times New Roman"/>
        </w:rPr>
        <w:t xml:space="preserve">7.1.2  </w:t>
      </w:r>
      <w:bookmarkEnd w:id="22"/>
      <w:r>
        <w:rPr>
          <w:rFonts w:hint="eastAsia" w:ascii="黑体" w:hAnsi="黑体" w:eastAsia="黑体" w:cs="Times New Roman"/>
        </w:rPr>
        <w:t>建库指标</w:t>
      </w:r>
    </w:p>
    <w:p w14:paraId="5B0A583F">
      <w:pPr>
        <w:rPr>
          <w:rFonts w:ascii="Times New Roman" w:hAnsi="Times New Roman" w:eastAsia="宋体" w:cs="Times New Roman"/>
        </w:rPr>
      </w:pPr>
      <w:r>
        <w:rPr>
          <w:rFonts w:ascii="黑体" w:hAnsi="黑体" w:eastAsia="黑体" w:cs="Times New Roman"/>
          <w:b/>
        </w:rPr>
        <w:t xml:space="preserve">7.1.2.1  </w:t>
      </w:r>
      <w:r>
        <w:rPr>
          <w:rFonts w:hint="eastAsia" w:ascii="Times New Roman" w:hAnsi="Times New Roman" w:eastAsia="宋体" w:cs="Times New Roman"/>
        </w:rPr>
        <w:t>按表B</w:t>
      </w:r>
      <w:r>
        <w:rPr>
          <w:rFonts w:ascii="Times New Roman" w:hAnsi="Times New Roman" w:eastAsia="宋体" w:cs="Times New Roman"/>
        </w:rPr>
        <w:t>.1说明建库</w:t>
      </w:r>
      <w:r>
        <w:rPr>
          <w:rFonts w:hint="eastAsia" w:ascii="Times New Roman" w:hAnsi="Times New Roman" w:eastAsia="宋体" w:cs="Times New Roman"/>
        </w:rPr>
        <w:t>指标</w:t>
      </w:r>
      <w:r>
        <w:rPr>
          <w:rFonts w:ascii="Times New Roman" w:hAnsi="Times New Roman" w:eastAsia="宋体" w:cs="Times New Roman"/>
        </w:rPr>
        <w:t>。</w:t>
      </w:r>
    </w:p>
    <w:p w14:paraId="46FBCEB3">
      <w:pPr>
        <w:rPr>
          <w:rFonts w:ascii="Times New Roman" w:hAnsi="Times New Roman" w:eastAsia="宋体" w:cs="Times New Roman"/>
        </w:rPr>
      </w:pPr>
      <w:r>
        <w:rPr>
          <w:rFonts w:ascii="黑体" w:hAnsi="黑体" w:eastAsia="黑体" w:cs="Times New Roman"/>
          <w:b/>
        </w:rPr>
        <w:t xml:space="preserve">7.1.2.2  </w:t>
      </w:r>
      <w:r>
        <w:rPr>
          <w:rFonts w:hint="eastAsia" w:ascii="Times New Roman" w:hAnsi="Times New Roman" w:eastAsia="宋体" w:cs="Times New Roman"/>
        </w:rPr>
        <w:t>说明井场数量、井网部署情况、集注站数量、注采管道和双向输气管道</w:t>
      </w:r>
      <w:r>
        <w:rPr>
          <w:rFonts w:ascii="Times New Roman" w:hAnsi="Times New Roman" w:eastAsia="宋体" w:cs="Times New Roman"/>
        </w:rPr>
        <w:t>/</w:t>
      </w:r>
      <w:r>
        <w:rPr>
          <w:rFonts w:hint="eastAsia" w:ascii="Times New Roman" w:hAnsi="Times New Roman" w:eastAsia="宋体" w:cs="Times New Roman"/>
        </w:rPr>
        <w:t>联络线长度。</w:t>
      </w:r>
    </w:p>
    <w:p w14:paraId="5011221B">
      <w:pPr>
        <w:pStyle w:val="5"/>
        <w:rPr>
          <w:rFonts w:ascii="黑体" w:hAnsi="黑体" w:eastAsia="黑体" w:cs="Times New Roman"/>
        </w:rPr>
      </w:pPr>
      <w:bookmarkStart w:id="23" w:name="_Toc193449072"/>
      <w:r>
        <w:rPr>
          <w:rFonts w:ascii="黑体" w:hAnsi="黑体" w:eastAsia="黑体" w:cs="Times New Roman"/>
        </w:rPr>
        <w:t xml:space="preserve">7.1.3  </w:t>
      </w:r>
      <w:r>
        <w:rPr>
          <w:rFonts w:hint="eastAsia" w:ascii="黑体" w:hAnsi="黑体" w:eastAsia="黑体" w:cs="Times New Roman"/>
        </w:rPr>
        <w:t>自然及社会环境</w:t>
      </w:r>
      <w:bookmarkEnd w:id="23"/>
    </w:p>
    <w:p w14:paraId="454F7BB3">
      <w:pPr>
        <w:rPr>
          <w:rFonts w:ascii="Times New Roman" w:hAnsi="Times New Roman" w:eastAsia="宋体" w:cs="Times New Roman"/>
        </w:rPr>
      </w:pPr>
      <w:r>
        <w:rPr>
          <w:rFonts w:ascii="黑体" w:hAnsi="黑体" w:eastAsia="黑体" w:cs="Times New Roman"/>
          <w:b/>
        </w:rPr>
        <w:t>7.1.3.1</w:t>
      </w:r>
      <w:r>
        <w:rPr>
          <w:rFonts w:ascii="黑体" w:hAnsi="黑体" w:eastAsia="黑体" w:cs="Times New Roman"/>
        </w:rPr>
        <w:t xml:space="preserve">  </w:t>
      </w:r>
      <w:r>
        <w:rPr>
          <w:rFonts w:hint="eastAsia" w:ascii="Times New Roman" w:hAnsi="Times New Roman" w:eastAsia="宋体" w:cs="Times New Roman"/>
        </w:rPr>
        <w:t>简述建设项目的自然环境，包括地形地貌、气象、水文、地震烈度等。</w:t>
      </w:r>
    </w:p>
    <w:p w14:paraId="3375912B">
      <w:pPr>
        <w:rPr>
          <w:rFonts w:ascii="Times New Roman" w:hAnsi="Times New Roman" w:eastAsia="宋体" w:cs="Times New Roman"/>
        </w:rPr>
      </w:pPr>
      <w:r>
        <w:rPr>
          <w:rFonts w:ascii="黑体" w:hAnsi="黑体" w:eastAsia="黑体" w:cs="Times New Roman"/>
          <w:b/>
        </w:rPr>
        <w:t xml:space="preserve">7.1.3.2  </w:t>
      </w:r>
      <w:r>
        <w:rPr>
          <w:rFonts w:hint="eastAsia" w:ascii="Times New Roman" w:hAnsi="Times New Roman" w:eastAsia="宋体" w:cs="Times New Roman"/>
        </w:rPr>
        <w:t>简述建设项目的社会环境，包括人文、经济及交通条件等。</w:t>
      </w:r>
    </w:p>
    <w:p w14:paraId="003427F5">
      <w:pPr>
        <w:rPr>
          <w:rFonts w:ascii="Times New Roman" w:hAnsi="Times New Roman" w:eastAsia="宋体" w:cs="Times New Roman"/>
        </w:rPr>
      </w:pPr>
      <w:r>
        <w:rPr>
          <w:rFonts w:ascii="黑体" w:hAnsi="黑体" w:eastAsia="黑体" w:cs="Times New Roman"/>
          <w:b/>
        </w:rPr>
        <w:t xml:space="preserve">7.1.3.3  </w:t>
      </w:r>
      <w:r>
        <w:rPr>
          <w:rFonts w:hint="eastAsia" w:ascii="Times New Roman" w:hAnsi="Times New Roman" w:eastAsia="宋体" w:cs="Times New Roman"/>
        </w:rPr>
        <w:t>简述建设项目</w:t>
      </w:r>
      <w:r>
        <w:rPr>
          <w:rFonts w:ascii="Times New Roman" w:hAnsi="Times New Roman" w:eastAsia="宋体" w:cs="Times New Roman"/>
        </w:rPr>
        <w:t>与周边城镇、居民点、相邻厂矿企业、交通线路等的方位和距离</w:t>
      </w:r>
      <w:r>
        <w:rPr>
          <w:rFonts w:hint="eastAsia" w:ascii="Times New Roman" w:hAnsi="Times New Roman" w:eastAsia="宋体" w:cs="Times New Roman"/>
        </w:rPr>
        <w:t>。</w:t>
      </w:r>
    </w:p>
    <w:p w14:paraId="30958275">
      <w:pPr>
        <w:pStyle w:val="5"/>
        <w:rPr>
          <w:rFonts w:ascii="黑体" w:hAnsi="黑体" w:eastAsia="黑体" w:cs="Times New Roman"/>
        </w:rPr>
      </w:pPr>
      <w:bookmarkStart w:id="24" w:name="_Toc193449073"/>
      <w:r>
        <w:rPr>
          <w:rFonts w:ascii="黑体" w:hAnsi="黑体" w:eastAsia="黑体" w:cs="Times New Roman"/>
        </w:rPr>
        <w:t xml:space="preserve">7.1.4  </w:t>
      </w:r>
      <w:r>
        <w:rPr>
          <w:rFonts w:hint="eastAsia" w:ascii="黑体" w:hAnsi="黑体" w:eastAsia="黑体" w:cs="Times New Roman"/>
        </w:rPr>
        <w:t>外部依托条件</w:t>
      </w:r>
      <w:bookmarkEnd w:id="24"/>
    </w:p>
    <w:p w14:paraId="1819643D">
      <w:pPr>
        <w:ind w:firstLine="420" w:firstLineChars="200"/>
        <w:rPr>
          <w:rFonts w:ascii="Times New Roman" w:hAnsi="Times New Roman" w:eastAsia="宋体" w:cs="Times New Roman"/>
        </w:rPr>
      </w:pPr>
      <w:r>
        <w:rPr>
          <w:rFonts w:hint="eastAsia" w:ascii="Times New Roman" w:hAnsi="Times New Roman" w:eastAsia="宋体" w:cs="Times New Roman"/>
        </w:rPr>
        <w:t>简述外部依托水源、电源、通信、道路、消防及维抢修等。</w:t>
      </w:r>
    </w:p>
    <w:p w14:paraId="6219A043">
      <w:pPr>
        <w:pStyle w:val="5"/>
        <w:rPr>
          <w:rFonts w:ascii="黑体" w:hAnsi="黑体" w:eastAsia="黑体" w:cs="Times New Roman"/>
        </w:rPr>
      </w:pPr>
      <w:bookmarkStart w:id="25" w:name="_Toc193449074"/>
      <w:r>
        <w:rPr>
          <w:rFonts w:ascii="黑体" w:hAnsi="黑体" w:eastAsia="黑体" w:cs="Times New Roman"/>
        </w:rPr>
        <w:t xml:space="preserve">7.1.5  </w:t>
      </w:r>
      <w:r>
        <w:rPr>
          <w:rFonts w:hint="eastAsia" w:ascii="黑体" w:hAnsi="黑体" w:eastAsia="黑体" w:cs="Times New Roman"/>
        </w:rPr>
        <w:t>物料</w:t>
      </w:r>
      <w:bookmarkEnd w:id="25"/>
    </w:p>
    <w:p w14:paraId="30DB0DD4">
      <w:pPr>
        <w:rPr>
          <w:rFonts w:ascii="Times New Roman" w:hAnsi="Times New Roman" w:eastAsia="宋体" w:cs="Times New Roman"/>
        </w:rPr>
      </w:pPr>
      <w:r>
        <w:rPr>
          <w:rFonts w:ascii="黑体" w:hAnsi="黑体" w:eastAsia="黑体" w:cs="Times New Roman"/>
          <w:b/>
        </w:rPr>
        <w:t xml:space="preserve">7.1.5.1  </w:t>
      </w:r>
      <w:r>
        <w:rPr>
          <w:rFonts w:hint="eastAsia" w:ascii="Times New Roman" w:hAnsi="Times New Roman" w:eastAsia="宋体" w:cs="Times New Roman"/>
        </w:rPr>
        <w:t>按表B</w:t>
      </w:r>
      <w:r>
        <w:rPr>
          <w:rFonts w:ascii="Times New Roman" w:hAnsi="Times New Roman" w:eastAsia="宋体" w:cs="Times New Roman"/>
        </w:rPr>
        <w:t>.2</w:t>
      </w:r>
      <w:r>
        <w:rPr>
          <w:rFonts w:hint="eastAsia" w:ascii="Times New Roman" w:hAnsi="Times New Roman" w:eastAsia="宋体" w:cs="Times New Roman"/>
        </w:rPr>
        <w:t>说明注入天然气和采出天然气的组分及主要物性参数，对含有硫化氢、二氧化碳等有毒有害物质的天然气，应说明天然气中硫化氢、二氧化碳等有毒有害物质的组分含量。</w:t>
      </w:r>
    </w:p>
    <w:p w14:paraId="4644F136">
      <w:pPr>
        <w:rPr>
          <w:rFonts w:ascii="Times New Roman"/>
        </w:rPr>
      </w:pPr>
      <w:r>
        <w:rPr>
          <w:rFonts w:ascii="黑体" w:hAnsi="黑体" w:eastAsia="黑体" w:cs="Times New Roman"/>
          <w:b/>
        </w:rPr>
        <w:t xml:space="preserve">7.1.5.2  </w:t>
      </w:r>
      <w:r>
        <w:rPr>
          <w:rFonts w:hint="eastAsia" w:ascii="Times New Roman" w:hAnsi="Times New Roman" w:eastAsia="宋体" w:cs="Times New Roman"/>
        </w:rPr>
        <w:t>按表B</w:t>
      </w:r>
      <w:r>
        <w:rPr>
          <w:rFonts w:ascii="Times New Roman" w:hAnsi="Times New Roman" w:eastAsia="宋体" w:cs="Times New Roman"/>
        </w:rPr>
        <w:t>.3</w:t>
      </w:r>
      <w:r>
        <w:rPr>
          <w:rFonts w:hint="eastAsia" w:ascii="Times New Roman" w:hAnsi="Times New Roman" w:eastAsia="宋体" w:cs="Times New Roman"/>
        </w:rPr>
        <w:t>说明工程所涉及的其他危险物质或化学药剂的种类、名称、</w:t>
      </w:r>
      <w:r>
        <w:rPr>
          <w:rFonts w:ascii="Times New Roman" w:hAnsi="Times New Roman" w:eastAsia="宋体" w:cs="Times New Roman"/>
        </w:rPr>
        <w:t>火灾危险性分类、爆炸极限和用量</w:t>
      </w:r>
      <w:r>
        <w:rPr>
          <w:rFonts w:hint="eastAsia" w:ascii="Times New Roman" w:hAnsi="Times New Roman" w:eastAsia="宋体" w:cs="Times New Roman"/>
        </w:rPr>
        <w:t>。</w:t>
      </w:r>
    </w:p>
    <w:p w14:paraId="45BD556C">
      <w:pPr>
        <w:rPr>
          <w:rFonts w:ascii="Times New Roman" w:hAnsi="Times New Roman" w:eastAsia="宋体" w:cs="Times New Roman"/>
        </w:rPr>
      </w:pPr>
      <w:r>
        <w:rPr>
          <w:rFonts w:ascii="黑体" w:hAnsi="黑体" w:eastAsia="黑体" w:cs="Times New Roman"/>
          <w:b/>
        </w:rPr>
        <w:t xml:space="preserve">7.1.5.3  </w:t>
      </w:r>
      <w:r>
        <w:rPr>
          <w:rFonts w:hint="eastAsia" w:ascii="Times New Roman" w:hAnsi="Times New Roman" w:eastAsia="宋体" w:cs="Times New Roman"/>
        </w:rPr>
        <w:t>按表B</w:t>
      </w:r>
      <w:r>
        <w:rPr>
          <w:rFonts w:ascii="Times New Roman" w:hAnsi="Times New Roman" w:eastAsia="宋体" w:cs="Times New Roman"/>
        </w:rPr>
        <w:t>.4</w:t>
      </w:r>
      <w:r>
        <w:rPr>
          <w:rFonts w:hint="eastAsia" w:ascii="Times New Roman" w:hAnsi="Times New Roman" w:eastAsia="宋体" w:cs="Times New Roman"/>
        </w:rPr>
        <w:t>说明气藏水质分析结果。</w:t>
      </w:r>
    </w:p>
    <w:p w14:paraId="294251B5">
      <w:pPr>
        <w:pStyle w:val="4"/>
        <w:spacing w:before="156"/>
        <w:rPr>
          <w:rFonts w:ascii="黑体" w:hAnsi="黑体" w:eastAsia="黑体" w:cs="Times New Roman"/>
        </w:rPr>
      </w:pPr>
      <w:bookmarkStart w:id="26" w:name="_Toc195881853"/>
      <w:r>
        <w:rPr>
          <w:rFonts w:ascii="黑体" w:hAnsi="黑体" w:eastAsia="黑体" w:cs="Times New Roman"/>
        </w:rPr>
        <w:t xml:space="preserve">7.2  </w:t>
      </w:r>
      <w:r>
        <w:rPr>
          <w:rFonts w:hint="eastAsia" w:ascii="黑体" w:hAnsi="黑体" w:eastAsia="黑体" w:cs="Times New Roman"/>
        </w:rPr>
        <w:t>主体工艺</w:t>
      </w:r>
      <w:bookmarkEnd w:id="26"/>
    </w:p>
    <w:p w14:paraId="751FF8BE">
      <w:pPr>
        <w:pStyle w:val="5"/>
        <w:rPr>
          <w:rFonts w:ascii="黑体" w:hAnsi="黑体" w:eastAsia="黑体" w:cs="Times New Roman"/>
        </w:rPr>
      </w:pPr>
      <w:bookmarkStart w:id="27" w:name="_Toc193449076"/>
      <w:r>
        <w:rPr>
          <w:rFonts w:ascii="黑体" w:hAnsi="黑体" w:eastAsia="黑体" w:cs="Times New Roman"/>
        </w:rPr>
        <w:t xml:space="preserve">7.2.1  </w:t>
      </w:r>
      <w:r>
        <w:rPr>
          <w:rFonts w:hint="eastAsia" w:ascii="黑体" w:hAnsi="黑体" w:eastAsia="黑体" w:cs="Times New Roman"/>
        </w:rPr>
        <w:t>地质与气藏工程</w:t>
      </w:r>
      <w:bookmarkEnd w:id="27"/>
    </w:p>
    <w:p w14:paraId="1A6090D3">
      <w:pPr>
        <w:rPr>
          <w:rFonts w:ascii="Times New Roman" w:hAnsi="Times New Roman" w:eastAsia="宋体" w:cs="Times New Roman"/>
        </w:rPr>
      </w:pPr>
      <w:r>
        <w:rPr>
          <w:rFonts w:ascii="黑体" w:hAnsi="黑体" w:eastAsia="黑体" w:cs="Times New Roman"/>
          <w:b/>
        </w:rPr>
        <w:t xml:space="preserve">7.2.1.1  </w:t>
      </w:r>
      <w:r>
        <w:rPr>
          <w:rFonts w:hint="eastAsia" w:ascii="Times New Roman" w:hAnsi="Times New Roman" w:eastAsia="宋体" w:cs="Times New Roman"/>
        </w:rPr>
        <w:t>简述储气库的基本地质特征，包括地层层序与划分、构造特征、储层特征、盖层特征、储盖组合关系等。</w:t>
      </w:r>
    </w:p>
    <w:p w14:paraId="64BDD275">
      <w:pPr>
        <w:rPr>
          <w:rFonts w:ascii="Times New Roman" w:hAnsi="Times New Roman" w:eastAsia="宋体" w:cs="Times New Roman"/>
        </w:rPr>
      </w:pPr>
      <w:r>
        <w:rPr>
          <w:rFonts w:ascii="黑体" w:hAnsi="黑体" w:eastAsia="黑体" w:cs="Times New Roman"/>
          <w:b/>
        </w:rPr>
        <w:t xml:space="preserve">7.2.1.2  </w:t>
      </w:r>
      <w:r>
        <w:rPr>
          <w:rFonts w:hint="eastAsia" w:ascii="Times New Roman" w:hAnsi="Times New Roman" w:eastAsia="宋体" w:cs="Times New Roman"/>
        </w:rPr>
        <w:t>简述储气地质体结构和密封性评价结果，包括静态密封性和动态密封性。</w:t>
      </w:r>
    </w:p>
    <w:p w14:paraId="1F02EF14">
      <w:pPr>
        <w:rPr>
          <w:rFonts w:ascii="Times New Roman" w:hAnsi="Times New Roman" w:eastAsia="宋体" w:cs="Times New Roman"/>
        </w:rPr>
      </w:pPr>
      <w:r>
        <w:rPr>
          <w:rFonts w:ascii="黑体" w:hAnsi="黑体" w:eastAsia="黑体" w:cs="Times New Roman"/>
          <w:b/>
        </w:rPr>
        <w:t xml:space="preserve">7.2.1.3  </w:t>
      </w:r>
      <w:r>
        <w:rPr>
          <w:rFonts w:ascii="Times New Roman" w:hAnsi="Times New Roman" w:eastAsia="宋体" w:cs="Times New Roman"/>
        </w:rPr>
        <w:t>简述改建储气库的油气藏特征，包括开发历程、各类井数、日产量、累产量、原始地层压力、目前地层压力、地质储量、可采储量、剩余储量、地质储量采出程度等</w:t>
      </w:r>
      <w:r>
        <w:rPr>
          <w:rFonts w:hint="eastAsia" w:ascii="Times New Roman" w:hAnsi="Times New Roman" w:eastAsia="宋体" w:cs="Times New Roman"/>
        </w:rPr>
        <w:t>。</w:t>
      </w:r>
    </w:p>
    <w:p w14:paraId="1DE2893E">
      <w:pPr>
        <w:rPr>
          <w:rFonts w:ascii="Times New Roman" w:hAnsi="Times New Roman" w:eastAsia="宋体" w:cs="Times New Roman"/>
        </w:rPr>
      </w:pPr>
      <w:r>
        <w:rPr>
          <w:rFonts w:ascii="黑体" w:hAnsi="黑体" w:eastAsia="黑体" w:cs="Times New Roman"/>
          <w:b/>
        </w:rPr>
        <w:t xml:space="preserve">7.2.1.4  </w:t>
      </w:r>
      <w:r>
        <w:rPr>
          <w:rFonts w:hint="eastAsia" w:ascii="Times New Roman" w:hAnsi="Times New Roman" w:eastAsia="宋体" w:cs="Times New Roman"/>
        </w:rPr>
        <w:t>简述储气库的气藏工程设计指标和依据，包括注采层系、注采运行方式、注采周期、原始地层压力、上限压力、下限压力、库容量、垫气量、工作气量、日注气能力、日调峰能力等。</w:t>
      </w:r>
    </w:p>
    <w:p w14:paraId="4A8995A1">
      <w:pPr>
        <w:rPr>
          <w:rFonts w:ascii="Times New Roman" w:hAnsi="Times New Roman" w:eastAsia="宋体" w:cs="Times New Roman"/>
        </w:rPr>
      </w:pPr>
      <w:r>
        <w:rPr>
          <w:rFonts w:ascii="黑体" w:hAnsi="黑体" w:eastAsia="黑体" w:cs="Times New Roman"/>
          <w:b/>
        </w:rPr>
        <w:t xml:space="preserve">7.2.1.5  </w:t>
      </w:r>
      <w:r>
        <w:rPr>
          <w:rFonts w:hint="eastAsia" w:ascii="Times New Roman" w:hAnsi="Times New Roman" w:eastAsia="宋体" w:cs="Times New Roman"/>
        </w:rPr>
        <w:t>简述储气地质体完整性的监测方式，包括监测井部署、监测目的、监测对象、监测方法、监测内容、实施要求等。</w:t>
      </w:r>
    </w:p>
    <w:p w14:paraId="36F8720E">
      <w:pPr>
        <w:pStyle w:val="5"/>
        <w:rPr>
          <w:rFonts w:ascii="黑体" w:hAnsi="黑体" w:eastAsia="黑体" w:cs="Times New Roman"/>
        </w:rPr>
      </w:pPr>
      <w:bookmarkStart w:id="28" w:name="_Toc193449077"/>
      <w:r>
        <w:rPr>
          <w:rFonts w:ascii="黑体" w:hAnsi="黑体" w:eastAsia="黑体" w:cs="Times New Roman"/>
        </w:rPr>
        <w:t xml:space="preserve">7.2.2  </w:t>
      </w:r>
      <w:r>
        <w:rPr>
          <w:rFonts w:hint="eastAsia" w:ascii="黑体" w:hAnsi="黑体" w:eastAsia="黑体" w:cs="Times New Roman"/>
        </w:rPr>
        <w:t>井工程</w:t>
      </w:r>
      <w:bookmarkEnd w:id="28"/>
    </w:p>
    <w:p w14:paraId="785BBA6A">
      <w:pPr>
        <w:rPr>
          <w:rFonts w:ascii="Times New Roman" w:hAnsi="Times New Roman" w:eastAsia="宋体" w:cs="Times New Roman"/>
        </w:rPr>
      </w:pPr>
      <w:r>
        <w:rPr>
          <w:rFonts w:ascii="黑体" w:hAnsi="黑体" w:eastAsia="黑体" w:cs="Times New Roman"/>
          <w:b/>
        </w:rPr>
        <w:t xml:space="preserve">7.2.2.1  </w:t>
      </w:r>
      <w:r>
        <w:rPr>
          <w:rFonts w:hint="eastAsia" w:ascii="Times New Roman" w:hAnsi="Times New Roman" w:eastAsia="宋体" w:cs="Times New Roman"/>
        </w:rPr>
        <w:t>简述布井方案，包括井网部署情况、开发井采用的井型。</w:t>
      </w:r>
    </w:p>
    <w:p w14:paraId="285C323F">
      <w:pPr>
        <w:rPr>
          <w:rFonts w:ascii="Times New Roman" w:hAnsi="Times New Roman" w:eastAsia="宋体" w:cs="Times New Roman"/>
        </w:rPr>
      </w:pPr>
      <w:r>
        <w:rPr>
          <w:rFonts w:ascii="黑体" w:hAnsi="黑体" w:eastAsia="黑体" w:cs="Times New Roman"/>
          <w:b/>
        </w:rPr>
        <w:t xml:space="preserve">7.2.2.2  </w:t>
      </w:r>
      <w:r>
        <w:rPr>
          <w:rFonts w:hint="eastAsia" w:ascii="Times New Roman" w:hAnsi="Times New Roman" w:eastAsia="宋体" w:cs="Times New Roman"/>
        </w:rPr>
        <w:t>简述井眼轨迹和井身结构，包括套管层次和水泥返高。</w:t>
      </w:r>
    </w:p>
    <w:p w14:paraId="2222211A">
      <w:pPr>
        <w:rPr>
          <w:rFonts w:ascii="Times New Roman" w:hAnsi="Times New Roman" w:eastAsia="宋体" w:cs="Times New Roman"/>
        </w:rPr>
      </w:pPr>
      <w:r>
        <w:rPr>
          <w:rFonts w:ascii="黑体" w:hAnsi="黑体" w:eastAsia="黑体" w:cs="Times New Roman"/>
          <w:b/>
        </w:rPr>
        <w:t xml:space="preserve">7.2.2.3 </w:t>
      </w:r>
      <w:r>
        <w:rPr>
          <w:rFonts w:ascii="黑体" w:hAnsi="黑体" w:eastAsia="黑体" w:cs="Times New Roman"/>
        </w:rPr>
        <w:t xml:space="preserve"> </w:t>
      </w:r>
      <w:r>
        <w:rPr>
          <w:rFonts w:hint="eastAsia" w:ascii="Times New Roman" w:hAnsi="Times New Roman" w:eastAsia="宋体" w:cs="Times New Roman"/>
        </w:rPr>
        <w:t>简述固井工艺，包括水泥浆体系、套管规格及设计安全系数等。</w:t>
      </w:r>
    </w:p>
    <w:p w14:paraId="4036ADD6">
      <w:pPr>
        <w:rPr>
          <w:rFonts w:ascii="Times New Roman" w:hAnsi="Times New Roman" w:eastAsia="宋体" w:cs="Times New Roman"/>
        </w:rPr>
      </w:pPr>
      <w:r>
        <w:rPr>
          <w:rFonts w:ascii="黑体" w:hAnsi="黑体" w:eastAsia="黑体" w:cs="Times New Roman"/>
          <w:b/>
        </w:rPr>
        <w:t xml:space="preserve">7.2.2.4 </w:t>
      </w:r>
      <w:r>
        <w:rPr>
          <w:rFonts w:ascii="黑体" w:hAnsi="黑体" w:eastAsia="黑体" w:cs="Times New Roman"/>
        </w:rPr>
        <w:t xml:space="preserve"> </w:t>
      </w:r>
      <w:r>
        <w:rPr>
          <w:rFonts w:hint="eastAsia" w:ascii="Times New Roman" w:hAnsi="Times New Roman" w:eastAsia="宋体" w:cs="Times New Roman"/>
        </w:rPr>
        <w:t>简述注采完井工艺，包括完井方式、完井管柱选材选型、井下工具型号等。</w:t>
      </w:r>
    </w:p>
    <w:p w14:paraId="7E4B3A99">
      <w:pPr>
        <w:rPr>
          <w:rFonts w:ascii="Times New Roman" w:hAnsi="Times New Roman" w:eastAsia="宋体" w:cs="Times New Roman"/>
        </w:rPr>
      </w:pPr>
      <w:r>
        <w:rPr>
          <w:rFonts w:ascii="黑体" w:hAnsi="黑体" w:eastAsia="黑体" w:cs="Times New Roman"/>
          <w:b/>
        </w:rPr>
        <w:t xml:space="preserve">7.2.2.5 </w:t>
      </w:r>
      <w:r>
        <w:rPr>
          <w:rFonts w:ascii="黑体" w:hAnsi="黑体" w:eastAsia="黑体" w:cs="Times New Roman"/>
        </w:rPr>
        <w:t xml:space="preserve"> </w:t>
      </w:r>
      <w:r>
        <w:rPr>
          <w:rFonts w:hint="eastAsia" w:ascii="Times New Roman" w:hAnsi="Times New Roman" w:eastAsia="宋体" w:cs="Times New Roman"/>
        </w:rPr>
        <w:t>简述开采方式及注采气工艺。</w:t>
      </w:r>
    </w:p>
    <w:p w14:paraId="42D1F5F4">
      <w:pPr>
        <w:rPr>
          <w:rFonts w:ascii="Times New Roman" w:hAnsi="Times New Roman" w:eastAsia="宋体" w:cs="Times New Roman"/>
        </w:rPr>
      </w:pPr>
      <w:r>
        <w:rPr>
          <w:rFonts w:ascii="黑体" w:hAnsi="黑体" w:eastAsia="黑体" w:cs="Times New Roman"/>
          <w:b/>
        </w:rPr>
        <w:t xml:space="preserve">7.2.2.6 </w:t>
      </w:r>
      <w:r>
        <w:rPr>
          <w:rFonts w:ascii="黑体" w:hAnsi="黑体" w:eastAsia="黑体" w:cs="Times New Roman"/>
        </w:rPr>
        <w:t xml:space="preserve"> </w:t>
      </w:r>
      <w:r>
        <w:rPr>
          <w:rFonts w:hint="eastAsia" w:ascii="Times New Roman" w:hAnsi="Times New Roman" w:eastAsia="宋体" w:cs="Times New Roman"/>
        </w:rPr>
        <w:t>简述井口装置结构、密封方式和压力、温度、性能及规范级别。</w:t>
      </w:r>
    </w:p>
    <w:p w14:paraId="45669A84">
      <w:pPr>
        <w:rPr>
          <w:rFonts w:ascii="Times New Roman" w:hAnsi="Times New Roman" w:eastAsia="宋体" w:cs="Times New Roman"/>
        </w:rPr>
      </w:pPr>
      <w:r>
        <w:rPr>
          <w:rFonts w:ascii="黑体" w:hAnsi="黑体" w:eastAsia="黑体" w:cs="Times New Roman"/>
          <w:b/>
          <w:szCs w:val="24"/>
        </w:rPr>
        <w:t>7.2.2.7</w:t>
      </w:r>
      <w:r>
        <w:rPr>
          <w:rFonts w:ascii="黑体" w:hAnsi="黑体" w:eastAsia="黑体" w:cs="Times New Roman"/>
          <w:b/>
        </w:rPr>
        <w:t xml:space="preserve">  </w:t>
      </w:r>
      <w:r>
        <w:rPr>
          <w:rFonts w:hint="eastAsia" w:ascii="Times New Roman" w:hAnsi="Times New Roman" w:eastAsia="宋体" w:cs="Times New Roman"/>
        </w:rPr>
        <w:t>简述全部老井的地质、钻井和生产信息。</w:t>
      </w:r>
    </w:p>
    <w:p w14:paraId="452ACDAB">
      <w:pPr>
        <w:pStyle w:val="5"/>
        <w:rPr>
          <w:rFonts w:ascii="黑体" w:hAnsi="黑体" w:eastAsia="黑体" w:cs="Times New Roman"/>
          <w:b w:val="0"/>
        </w:rPr>
      </w:pPr>
      <w:bookmarkStart w:id="29" w:name="_Toc193449078"/>
      <w:r>
        <w:rPr>
          <w:rFonts w:ascii="黑体" w:hAnsi="黑体" w:eastAsia="黑体" w:cs="Times New Roman"/>
        </w:rPr>
        <w:t xml:space="preserve">7.2.3  </w:t>
      </w:r>
      <w:r>
        <w:rPr>
          <w:rFonts w:hint="eastAsia" w:ascii="黑体" w:hAnsi="黑体" w:eastAsia="黑体" w:cs="Times New Roman"/>
        </w:rPr>
        <w:t>地面工程</w:t>
      </w:r>
      <w:bookmarkEnd w:id="29"/>
    </w:p>
    <w:p w14:paraId="01947E6D">
      <w:pPr>
        <w:rPr>
          <w:rFonts w:ascii="Times New Roman" w:hAnsi="Times New Roman" w:eastAsia="宋体" w:cs="Times New Roman"/>
        </w:rPr>
      </w:pPr>
      <w:r>
        <w:rPr>
          <w:rFonts w:ascii="黑体" w:hAnsi="黑体" w:eastAsia="黑体" w:cs="Times New Roman"/>
          <w:b/>
        </w:rPr>
        <w:t xml:space="preserve">7.2.3.1  </w:t>
      </w:r>
      <w:r>
        <w:rPr>
          <w:rFonts w:hint="eastAsia" w:ascii="Times New Roman" w:hAnsi="Times New Roman" w:eastAsia="宋体" w:cs="Times New Roman"/>
        </w:rPr>
        <w:t>简述站场主体工艺，包括井口工艺、注气工艺、采气处理工艺等，并分别说明注气和采气采用的方法、流程和主要的技术参数，主要包括以下内容：</w:t>
      </w:r>
    </w:p>
    <w:p w14:paraId="16542E9C">
      <w:pPr>
        <w:ind w:firstLine="420" w:firstLineChars="200"/>
        <w:rPr>
          <w:rFonts w:ascii="Times New Roman" w:hAnsi="Times New Roman" w:eastAsia="宋体" w:cs="Times New Roman"/>
        </w:rPr>
      </w:pPr>
      <w:r>
        <w:rPr>
          <w:rFonts w:ascii="Times New Roman" w:hAnsi="Times New Roman" w:eastAsia="宋体" w:cs="Times New Roman"/>
        </w:rPr>
        <w:t>a</w:t>
      </w:r>
      <w:r>
        <w:rPr>
          <w:rFonts w:hint="eastAsia" w:ascii="Times New Roman" w:hAnsi="Times New Roman" w:eastAsia="宋体" w:cs="Times New Roman"/>
        </w:rPr>
        <w:t>）井口工艺，应分别说明井口注气工艺、井口采气节流工艺和防冻工艺；</w:t>
      </w:r>
    </w:p>
    <w:p w14:paraId="05BCC9DD">
      <w:pPr>
        <w:ind w:firstLine="420" w:firstLineChars="200"/>
        <w:rPr>
          <w:rFonts w:ascii="Times New Roman" w:hAnsi="Times New Roman" w:eastAsia="宋体" w:cs="Times New Roman"/>
        </w:rPr>
      </w:pPr>
      <w:r>
        <w:rPr>
          <w:rFonts w:ascii="Times New Roman" w:hAnsi="Times New Roman" w:eastAsia="宋体" w:cs="Times New Roman"/>
        </w:rPr>
        <w:t>b</w:t>
      </w:r>
      <w:r>
        <w:rPr>
          <w:rFonts w:hint="eastAsia" w:ascii="Times New Roman" w:hAnsi="Times New Roman" w:eastAsia="宋体" w:cs="Times New Roman"/>
        </w:rPr>
        <w:t>）注气工艺，应分别说明气源、集注站过滤、分离、增压工艺；</w:t>
      </w:r>
    </w:p>
    <w:p w14:paraId="3A19124E">
      <w:pPr>
        <w:ind w:firstLine="420" w:firstLineChars="200"/>
        <w:rPr>
          <w:rFonts w:ascii="Times New Roman" w:hAnsi="Times New Roman" w:eastAsia="宋体" w:cs="Times New Roman"/>
        </w:rPr>
      </w:pPr>
      <w:r>
        <w:rPr>
          <w:rFonts w:ascii="Times New Roman" w:hAnsi="Times New Roman" w:eastAsia="宋体" w:cs="Times New Roman"/>
        </w:rPr>
        <w:t>c</w:t>
      </w:r>
      <w:r>
        <w:rPr>
          <w:rFonts w:hint="eastAsia" w:ascii="Times New Roman" w:hAnsi="Times New Roman" w:eastAsia="宋体" w:cs="Times New Roman"/>
        </w:rPr>
        <w:t>）采气处理工艺，应分别说明进站分离、制冷、低温分离、脱水工艺、露点控制工艺等；</w:t>
      </w:r>
    </w:p>
    <w:p w14:paraId="6E99D288">
      <w:pPr>
        <w:ind w:firstLine="420" w:firstLineChars="200"/>
        <w:rPr>
          <w:rFonts w:ascii="Times New Roman" w:hAnsi="Times New Roman" w:eastAsia="宋体" w:cs="Times New Roman"/>
        </w:rPr>
      </w:pPr>
      <w:r>
        <w:rPr>
          <w:rFonts w:ascii="Times New Roman" w:hAnsi="Times New Roman" w:eastAsia="宋体" w:cs="Times New Roman"/>
        </w:rPr>
        <w:t>d</w:t>
      </w:r>
      <w:r>
        <w:rPr>
          <w:rFonts w:hint="eastAsia" w:ascii="Times New Roman" w:hAnsi="Times New Roman" w:eastAsia="宋体" w:cs="Times New Roman"/>
        </w:rPr>
        <w:t>）对涉及硫化氢、二氧化碳等有毒有害介质的工艺流程，应进行描述。</w:t>
      </w:r>
    </w:p>
    <w:p w14:paraId="0A7BEC4B">
      <w:pPr>
        <w:rPr>
          <w:rFonts w:ascii="Times New Roman" w:hAnsi="Times New Roman" w:eastAsia="宋体" w:cs="Times New Roman"/>
        </w:rPr>
      </w:pPr>
      <w:r>
        <w:rPr>
          <w:rFonts w:ascii="黑体" w:hAnsi="黑体" w:eastAsia="黑体" w:cs="Times New Roman"/>
          <w:b/>
        </w:rPr>
        <w:t xml:space="preserve">7.2.3.2  </w:t>
      </w:r>
      <w:r>
        <w:rPr>
          <w:rFonts w:ascii="Times New Roman" w:hAnsi="Times New Roman" w:eastAsia="宋体" w:cs="Times New Roman"/>
        </w:rPr>
        <w:t>简述</w:t>
      </w:r>
      <w:r>
        <w:rPr>
          <w:rFonts w:hint="eastAsia" w:ascii="Times New Roman" w:hAnsi="Times New Roman" w:eastAsia="宋体" w:cs="Times New Roman"/>
        </w:rPr>
        <w:t>线路工程设计方案，主要包括以下内容：</w:t>
      </w:r>
    </w:p>
    <w:p w14:paraId="0A05CE18">
      <w:pPr>
        <w:ind w:firstLine="420" w:firstLineChars="200"/>
        <w:rPr>
          <w:rFonts w:ascii="Times New Roman" w:hAnsi="Times New Roman" w:eastAsia="宋体" w:cs="Times New Roman"/>
        </w:rPr>
      </w:pPr>
      <w:r>
        <w:rPr>
          <w:rFonts w:ascii="Times New Roman" w:hAnsi="Times New Roman" w:eastAsia="宋体" w:cs="Times New Roman"/>
        </w:rPr>
        <w:t>a</w:t>
      </w:r>
      <w:r>
        <w:rPr>
          <w:rFonts w:hint="eastAsia" w:ascii="Times New Roman" w:hAnsi="Times New Roman" w:eastAsia="宋体" w:cs="Times New Roman"/>
        </w:rPr>
        <w:t>）集输管道及双向输气管道</w:t>
      </w:r>
      <w:r>
        <w:rPr>
          <w:rFonts w:ascii="Times New Roman" w:hAnsi="Times New Roman" w:eastAsia="宋体" w:cs="Times New Roman"/>
        </w:rPr>
        <w:t>/</w:t>
      </w:r>
      <w:r>
        <w:rPr>
          <w:rFonts w:hint="eastAsia" w:ascii="Times New Roman" w:hAnsi="Times New Roman" w:eastAsia="宋体" w:cs="Times New Roman"/>
        </w:rPr>
        <w:t>联络线的设计范围和内容，按表B</w:t>
      </w:r>
      <w:r>
        <w:rPr>
          <w:rFonts w:ascii="Times New Roman" w:hAnsi="Times New Roman" w:eastAsia="宋体" w:cs="Times New Roman"/>
        </w:rPr>
        <w:t>.5</w:t>
      </w:r>
      <w:r>
        <w:rPr>
          <w:rFonts w:hint="eastAsia" w:ascii="Times New Roman" w:hAnsi="Times New Roman" w:eastAsia="宋体" w:cs="Times New Roman"/>
        </w:rPr>
        <w:t>说明包括管道名称、起点、终点、设计压力、管道规格材质、线路长度；</w:t>
      </w:r>
    </w:p>
    <w:p w14:paraId="51723921">
      <w:pPr>
        <w:ind w:firstLine="420" w:firstLineChars="200"/>
        <w:rPr>
          <w:rFonts w:ascii="Times New Roman" w:hAnsi="Times New Roman" w:eastAsia="宋体" w:cs="Times New Roman"/>
        </w:rPr>
      </w:pPr>
      <w:r>
        <w:rPr>
          <w:rFonts w:ascii="Times New Roman" w:hAnsi="Times New Roman" w:eastAsia="宋体" w:cs="Times New Roman"/>
        </w:rPr>
        <w:t>b</w:t>
      </w:r>
      <w:r>
        <w:rPr>
          <w:rFonts w:hint="eastAsia" w:ascii="Times New Roman" w:hAnsi="Times New Roman" w:eastAsia="宋体" w:cs="Times New Roman"/>
        </w:rPr>
        <w:t>）管道总体走向、沿线区域规划、地形地貌、地区等级、敷设方式等</w:t>
      </w:r>
      <w:r>
        <w:rPr>
          <w:rFonts w:ascii="Times New Roman" w:hAnsi="Times New Roman" w:eastAsia="宋体" w:cs="Times New Roman"/>
        </w:rPr>
        <w:t>，</w:t>
      </w:r>
      <w:r>
        <w:rPr>
          <w:rFonts w:hint="eastAsia" w:ascii="Times New Roman" w:hAnsi="Times New Roman" w:eastAsia="宋体" w:cs="Times New Roman"/>
        </w:rPr>
        <w:t>并</w:t>
      </w:r>
      <w:r>
        <w:rPr>
          <w:rFonts w:ascii="Times New Roman" w:hAnsi="Times New Roman" w:eastAsia="宋体" w:cs="Times New Roman"/>
        </w:rPr>
        <w:t>绘制总体走向示意图</w:t>
      </w:r>
      <w:r>
        <w:rPr>
          <w:rFonts w:hint="eastAsia" w:ascii="Times New Roman" w:hAnsi="Times New Roman" w:eastAsia="宋体" w:cs="Times New Roman"/>
        </w:rPr>
        <w:t>；</w:t>
      </w:r>
    </w:p>
    <w:p w14:paraId="5A47DB40">
      <w:pPr>
        <w:ind w:firstLine="420"/>
        <w:rPr>
          <w:rFonts w:ascii="Times New Roman" w:hAnsi="Times New Roman" w:eastAsia="宋体" w:cs="Times New Roman"/>
        </w:rPr>
      </w:pPr>
      <w:r>
        <w:rPr>
          <w:rFonts w:hint="eastAsia" w:ascii="Times New Roman" w:hAnsi="Times New Roman" w:eastAsia="宋体" w:cs="Times New Roman"/>
        </w:rPr>
        <w:t>c）</w:t>
      </w:r>
      <w:r>
        <w:rPr>
          <w:rFonts w:ascii="Times New Roman" w:hAnsi="Times New Roman" w:eastAsia="宋体" w:cs="Times New Roman"/>
        </w:rPr>
        <w:t>线路阀室管道名称、阀室名称、里程、阀室间距、地区等级、阀室类型</w:t>
      </w:r>
      <w:r>
        <w:rPr>
          <w:rFonts w:hint="eastAsia" w:ascii="Times New Roman" w:hAnsi="Times New Roman" w:eastAsia="宋体" w:cs="Times New Roman"/>
        </w:rPr>
        <w:t>，并</w:t>
      </w:r>
      <w:r>
        <w:rPr>
          <w:rFonts w:ascii="Times New Roman" w:hAnsi="Times New Roman" w:eastAsia="宋体" w:cs="Times New Roman"/>
        </w:rPr>
        <w:t>按表</w:t>
      </w:r>
      <w:r>
        <w:rPr>
          <w:rFonts w:hint="eastAsia" w:ascii="Times New Roman" w:hAnsi="Times New Roman" w:eastAsia="宋体" w:cs="Times New Roman"/>
        </w:rPr>
        <w:t>B</w:t>
      </w:r>
      <w:r>
        <w:rPr>
          <w:rFonts w:ascii="Times New Roman" w:hAnsi="Times New Roman" w:eastAsia="宋体" w:cs="Times New Roman"/>
        </w:rPr>
        <w:t>.6说明。</w:t>
      </w:r>
    </w:p>
    <w:p w14:paraId="128D18FC">
      <w:pPr>
        <w:pStyle w:val="4"/>
        <w:spacing w:before="156"/>
        <w:rPr>
          <w:rFonts w:ascii="黑体" w:hAnsi="黑体" w:eastAsia="黑体" w:cs="Times New Roman"/>
        </w:rPr>
      </w:pPr>
      <w:bookmarkStart w:id="30" w:name="_Toc195881854"/>
      <w:r>
        <w:rPr>
          <w:rFonts w:ascii="黑体" w:hAnsi="黑体" w:eastAsia="黑体" w:cs="Times New Roman"/>
        </w:rPr>
        <w:t xml:space="preserve">7.3  </w:t>
      </w:r>
      <w:r>
        <w:rPr>
          <w:rFonts w:hint="eastAsia" w:ascii="黑体" w:hAnsi="黑体" w:eastAsia="黑体" w:cs="Times New Roman"/>
        </w:rPr>
        <w:t>辅助生产系统和公用工程</w:t>
      </w:r>
      <w:bookmarkEnd w:id="30"/>
    </w:p>
    <w:p w14:paraId="6A8396D0">
      <w:pPr>
        <w:pStyle w:val="5"/>
        <w:rPr>
          <w:rFonts w:ascii="黑体" w:hAnsi="黑体" w:eastAsia="黑体" w:cs="Times New Roman"/>
        </w:rPr>
      </w:pPr>
      <w:bookmarkStart w:id="31" w:name="_Toc193449080"/>
      <w:bookmarkStart w:id="32" w:name="_Toc179641217"/>
      <w:r>
        <w:rPr>
          <w:rFonts w:ascii="黑体" w:hAnsi="黑体" w:eastAsia="黑体" w:cs="Times New Roman"/>
        </w:rPr>
        <w:t xml:space="preserve">7.3.1  </w:t>
      </w:r>
      <w:r>
        <w:rPr>
          <w:rFonts w:hint="eastAsia" w:ascii="黑体" w:hAnsi="黑体" w:eastAsia="黑体" w:cs="Times New Roman"/>
        </w:rPr>
        <w:t>仪表控制</w:t>
      </w:r>
      <w:bookmarkEnd w:id="31"/>
      <w:bookmarkEnd w:id="32"/>
      <w:r>
        <w:rPr>
          <w:rFonts w:hint="eastAsia" w:ascii="黑体" w:hAnsi="黑体" w:eastAsia="黑体" w:cs="Times New Roman"/>
        </w:rPr>
        <w:t>系统</w:t>
      </w:r>
    </w:p>
    <w:p w14:paraId="5CEC4076">
      <w:pPr>
        <w:ind w:firstLine="420" w:firstLineChars="200"/>
        <w:rPr>
          <w:rFonts w:ascii="Times New Roman" w:hAnsi="Times New Roman" w:eastAsia="宋体" w:cs="Times New Roman"/>
        </w:rPr>
      </w:pPr>
      <w:bookmarkStart w:id="33" w:name="_Toc179641218"/>
      <w:r>
        <w:rPr>
          <w:rFonts w:ascii="Times New Roman" w:hAnsi="Times New Roman" w:eastAsia="宋体" w:cs="Times New Roman"/>
        </w:rPr>
        <w:t>简述仪表控制系统设计方案，主要包括以下内容：</w:t>
      </w:r>
    </w:p>
    <w:p w14:paraId="071C48E9">
      <w:pPr>
        <w:ind w:firstLine="420" w:firstLineChars="200"/>
        <w:rPr>
          <w:rFonts w:ascii="Times New Roman" w:hAnsi="Times New Roman" w:eastAsia="宋体" w:cs="Times New Roman"/>
        </w:rPr>
      </w:pPr>
      <w:r>
        <w:rPr>
          <w:rFonts w:ascii="Times New Roman" w:hAnsi="Times New Roman" w:eastAsia="宋体" w:cs="Times New Roman"/>
        </w:rPr>
        <w:t>a）自动控制水平；</w:t>
      </w:r>
    </w:p>
    <w:p w14:paraId="5979A2A0">
      <w:pPr>
        <w:ind w:firstLine="420" w:firstLineChars="200"/>
        <w:rPr>
          <w:rFonts w:ascii="Times New Roman" w:hAnsi="Times New Roman" w:eastAsia="宋体" w:cs="Times New Roman"/>
        </w:rPr>
      </w:pPr>
      <w:r>
        <w:rPr>
          <w:rFonts w:ascii="Times New Roman" w:hAnsi="Times New Roman" w:eastAsia="宋体" w:cs="Times New Roman"/>
        </w:rPr>
        <w:t>b）自控系统构成、数据传输方式、数据流向及网络安全系统架构；</w:t>
      </w:r>
    </w:p>
    <w:p w14:paraId="656F7A1A">
      <w:pPr>
        <w:ind w:firstLine="420" w:firstLineChars="200"/>
        <w:rPr>
          <w:rFonts w:ascii="Times New Roman" w:hAnsi="Times New Roman" w:eastAsia="宋体" w:cs="Times New Roman"/>
        </w:rPr>
      </w:pPr>
      <w:r>
        <w:rPr>
          <w:rFonts w:ascii="Times New Roman" w:hAnsi="Times New Roman" w:eastAsia="宋体" w:cs="Times New Roman"/>
        </w:rPr>
        <w:t>c）管道泄漏</w:t>
      </w:r>
      <w:r>
        <w:rPr>
          <w:rFonts w:hint="eastAsia" w:ascii="Times New Roman" w:hAnsi="Times New Roman" w:eastAsia="宋体" w:cs="Times New Roman"/>
        </w:rPr>
        <w:t>检测</w:t>
      </w:r>
      <w:r>
        <w:rPr>
          <w:rFonts w:ascii="Times New Roman" w:hAnsi="Times New Roman" w:eastAsia="宋体" w:cs="Times New Roman"/>
        </w:rPr>
        <w:t>系统、气体检测和报警系统、火灾报警系统的系统设置情况。</w:t>
      </w:r>
    </w:p>
    <w:p w14:paraId="1BD38B1D">
      <w:pPr>
        <w:pStyle w:val="5"/>
        <w:rPr>
          <w:rFonts w:ascii="黑体" w:hAnsi="黑体" w:eastAsia="黑体" w:cs="Times New Roman"/>
        </w:rPr>
      </w:pPr>
      <w:bookmarkStart w:id="34" w:name="_Toc193449081"/>
      <w:r>
        <w:rPr>
          <w:rFonts w:ascii="黑体" w:hAnsi="黑体" w:eastAsia="黑体" w:cs="Times New Roman"/>
        </w:rPr>
        <w:t xml:space="preserve">7.3.2  </w:t>
      </w:r>
      <w:r>
        <w:rPr>
          <w:rFonts w:hint="eastAsia" w:ascii="黑体" w:hAnsi="黑体" w:eastAsia="黑体" w:cs="Times New Roman"/>
        </w:rPr>
        <w:t>火炬及放空系统</w:t>
      </w:r>
      <w:bookmarkEnd w:id="33"/>
      <w:bookmarkEnd w:id="34"/>
    </w:p>
    <w:p w14:paraId="3BF00C5B">
      <w:pPr>
        <w:ind w:firstLine="420" w:firstLineChars="200"/>
        <w:rPr>
          <w:rFonts w:ascii="Times New Roman" w:hAnsi="Times New Roman" w:cs="Times New Roman"/>
        </w:rPr>
      </w:pPr>
      <w:r>
        <w:rPr>
          <w:rFonts w:hint="eastAsia" w:ascii="Times New Roman" w:hAnsi="Times New Roman" w:eastAsia="宋体" w:cs="Times New Roman"/>
        </w:rPr>
        <w:t>简述火炬及放空系统设计方案，包括设计规模、采用的火炬和放空立管设计规格等。</w:t>
      </w:r>
    </w:p>
    <w:p w14:paraId="2E9DBAA0">
      <w:pPr>
        <w:pStyle w:val="5"/>
        <w:rPr>
          <w:rFonts w:ascii="黑体" w:hAnsi="黑体" w:eastAsia="黑体" w:cs="Times New Roman"/>
        </w:rPr>
      </w:pPr>
      <w:bookmarkStart w:id="35" w:name="_Toc193449082"/>
      <w:bookmarkStart w:id="36" w:name="_Toc179641219"/>
      <w:r>
        <w:rPr>
          <w:rFonts w:ascii="黑体" w:hAnsi="黑体" w:eastAsia="黑体" w:cs="Times New Roman"/>
        </w:rPr>
        <w:t xml:space="preserve">7.3.3  </w:t>
      </w:r>
      <w:r>
        <w:rPr>
          <w:rFonts w:hint="eastAsia" w:ascii="黑体" w:hAnsi="黑体" w:eastAsia="黑体" w:cs="Times New Roman"/>
        </w:rPr>
        <w:t>供配电</w:t>
      </w:r>
      <w:bookmarkEnd w:id="35"/>
      <w:bookmarkEnd w:id="36"/>
    </w:p>
    <w:p w14:paraId="16F99B08">
      <w:pPr>
        <w:rPr>
          <w:rFonts w:ascii="Times New Roman" w:hAnsi="Times New Roman" w:eastAsia="宋体" w:cs="Times New Roman"/>
        </w:rPr>
      </w:pPr>
      <w:r>
        <w:rPr>
          <w:rFonts w:ascii="黑体" w:hAnsi="黑体" w:eastAsia="黑体" w:cs="Times New Roman"/>
          <w:b/>
        </w:rPr>
        <w:t xml:space="preserve">7.3.3.1  </w:t>
      </w:r>
      <w:r>
        <w:rPr>
          <w:rFonts w:hint="eastAsia" w:ascii="Times New Roman" w:hAnsi="Times New Roman" w:eastAsia="宋体" w:cs="Times New Roman"/>
        </w:rPr>
        <w:t>简述</w:t>
      </w:r>
      <w:r>
        <w:rPr>
          <w:rFonts w:ascii="Times New Roman" w:hAnsi="Times New Roman" w:eastAsia="宋体" w:cs="Times New Roman"/>
        </w:rPr>
        <w:t>注气装置和采气装置的负荷等级</w:t>
      </w:r>
      <w:r>
        <w:rPr>
          <w:rFonts w:hint="eastAsia" w:ascii="Times New Roman" w:hAnsi="Times New Roman" w:eastAsia="宋体" w:cs="Times New Roman"/>
        </w:rPr>
        <w:t>，</w:t>
      </w:r>
      <w:r>
        <w:rPr>
          <w:rFonts w:ascii="Times New Roman" w:hAnsi="Times New Roman" w:eastAsia="宋体" w:cs="Times New Roman"/>
        </w:rPr>
        <w:t>按注气期和采气期分别说明总用电负荷、集注站用电负荷和井场用电负荷等。</w:t>
      </w:r>
    </w:p>
    <w:p w14:paraId="4B8FD4C0">
      <w:pPr>
        <w:rPr>
          <w:rFonts w:ascii="Times New Roman" w:hAnsi="Times New Roman" w:eastAsia="宋体" w:cs="Times New Roman"/>
        </w:rPr>
      </w:pPr>
      <w:r>
        <w:rPr>
          <w:rFonts w:ascii="黑体" w:hAnsi="黑体" w:eastAsia="黑体" w:cs="Times New Roman"/>
          <w:b/>
        </w:rPr>
        <w:t xml:space="preserve">7.3.3.2  </w:t>
      </w:r>
      <w:r>
        <w:rPr>
          <w:rFonts w:hint="eastAsia" w:ascii="Times New Roman" w:hAnsi="Times New Roman" w:eastAsia="宋体" w:cs="Times New Roman"/>
        </w:rPr>
        <w:t>简述</w:t>
      </w:r>
      <w:r>
        <w:rPr>
          <w:rFonts w:ascii="Times New Roman" w:hAnsi="Times New Roman" w:eastAsia="宋体" w:cs="Times New Roman"/>
        </w:rPr>
        <w:t>依托变电站的名称、电压等级、主变台数及容量、现有负荷、备用间隔、电源及回路数</w:t>
      </w:r>
      <w:r>
        <w:rPr>
          <w:rFonts w:hint="eastAsia" w:ascii="Times New Roman" w:hAnsi="Times New Roman" w:eastAsia="宋体" w:cs="Times New Roman"/>
        </w:rPr>
        <w:t>等。</w:t>
      </w:r>
    </w:p>
    <w:p w14:paraId="69CF005F">
      <w:pPr>
        <w:rPr>
          <w:rFonts w:ascii="Times New Roman" w:hAnsi="Times New Roman" w:eastAsia="宋体" w:cs="Times New Roman"/>
        </w:rPr>
      </w:pPr>
      <w:r>
        <w:rPr>
          <w:rFonts w:ascii="黑体" w:hAnsi="黑体" w:eastAsia="黑体" w:cs="Times New Roman"/>
          <w:b/>
        </w:rPr>
        <w:t xml:space="preserve">7.3.3.3  </w:t>
      </w:r>
      <w:r>
        <w:rPr>
          <w:rFonts w:hint="eastAsia" w:ascii="Times New Roman" w:hAnsi="Times New Roman" w:eastAsia="宋体" w:cs="Times New Roman"/>
        </w:rPr>
        <w:t>简述</w:t>
      </w:r>
      <w:r>
        <w:rPr>
          <w:rFonts w:ascii="Times New Roman" w:hAnsi="Times New Roman" w:eastAsia="宋体" w:cs="Times New Roman"/>
        </w:rPr>
        <w:t>电源</w:t>
      </w:r>
      <w:r>
        <w:rPr>
          <w:rFonts w:hint="eastAsia" w:ascii="Times New Roman" w:hAnsi="Times New Roman" w:eastAsia="宋体" w:cs="Times New Roman"/>
        </w:rPr>
        <w:t>配置</w:t>
      </w:r>
      <w:r>
        <w:rPr>
          <w:rFonts w:ascii="Times New Roman" w:hAnsi="Times New Roman" w:eastAsia="宋体" w:cs="Times New Roman"/>
        </w:rPr>
        <w:t>方案、内部供配电网络结构、各级变配电所设置情况，主要包括以下内容：</w:t>
      </w:r>
    </w:p>
    <w:p w14:paraId="1163136D">
      <w:pPr>
        <w:ind w:firstLine="420" w:firstLineChars="200"/>
        <w:rPr>
          <w:rFonts w:ascii="Times New Roman" w:hAnsi="Times New Roman" w:eastAsia="宋体" w:cs="Times New Roman"/>
        </w:rPr>
      </w:pPr>
      <w:r>
        <w:rPr>
          <w:rFonts w:ascii="Times New Roman" w:hAnsi="Times New Roman" w:eastAsia="宋体" w:cs="Times New Roman"/>
        </w:rPr>
        <w:t>a）外电电源位置、电压等级、供电方式、电源线路长度等</w:t>
      </w:r>
      <w:r>
        <w:rPr>
          <w:rFonts w:hint="eastAsia" w:ascii="Times New Roman" w:hAnsi="Times New Roman" w:eastAsia="宋体" w:cs="Times New Roman"/>
        </w:rPr>
        <w:t>。</w:t>
      </w:r>
      <w:r>
        <w:rPr>
          <w:rFonts w:ascii="Times New Roman" w:hAnsi="Times New Roman" w:eastAsia="宋体" w:cs="Times New Roman"/>
        </w:rPr>
        <w:t>设置自备电源作为主供或第二电源时，简要说明自备电源的确定原则、型式、电压等级、装机容量、台数、运行方式等；需要设置自备电源作为重要负荷的应急电源时，简要说明应急电源配置原则；</w:t>
      </w:r>
    </w:p>
    <w:p w14:paraId="3221CF77">
      <w:pPr>
        <w:ind w:firstLine="420" w:firstLineChars="200"/>
        <w:rPr>
          <w:rFonts w:ascii="Times New Roman" w:hAnsi="Times New Roman" w:eastAsia="宋体" w:cs="Times New Roman"/>
        </w:rPr>
      </w:pPr>
      <w:r>
        <w:rPr>
          <w:rFonts w:ascii="Times New Roman" w:hAnsi="Times New Roman" w:eastAsia="宋体" w:cs="Times New Roman"/>
        </w:rPr>
        <w:t>b）油气田内部供配电网络结构，包括各级供配电网络的电压等级、接线方式、配电线路长度等</w:t>
      </w:r>
      <w:r>
        <w:rPr>
          <w:rFonts w:hint="eastAsia" w:ascii="Times New Roman" w:hAnsi="Times New Roman" w:eastAsia="宋体" w:cs="Times New Roman"/>
        </w:rPr>
        <w:t>；</w:t>
      </w:r>
    </w:p>
    <w:p w14:paraId="3F1CF624">
      <w:pPr>
        <w:ind w:firstLine="420" w:firstLineChars="200"/>
        <w:rPr>
          <w:rFonts w:ascii="Times New Roman" w:hAnsi="Times New Roman" w:eastAsia="宋体" w:cs="Times New Roman"/>
        </w:rPr>
      </w:pPr>
      <w:r>
        <w:rPr>
          <w:rFonts w:ascii="Times New Roman" w:hAnsi="Times New Roman" w:eastAsia="宋体" w:cs="Times New Roman"/>
        </w:rPr>
        <w:t>c）总变电所和分变配电所位置、电压等级、建设规模、座数和型式、电气主接线方式、无功补偿及容量、变配电所自动化水平等；</w:t>
      </w:r>
    </w:p>
    <w:p w14:paraId="667B9A5E">
      <w:pPr>
        <w:ind w:firstLine="420" w:firstLineChars="200"/>
        <w:rPr>
          <w:rFonts w:ascii="Times New Roman" w:hAnsi="Times New Roman" w:eastAsia="宋体" w:cs="Times New Roman"/>
        </w:rPr>
      </w:pPr>
      <w:r>
        <w:rPr>
          <w:rFonts w:ascii="Times New Roman" w:hAnsi="Times New Roman" w:eastAsia="宋体" w:cs="Times New Roman"/>
        </w:rPr>
        <w:t>d）设置风、光等新能源分布式发电系统时，说明安装地点、容量、接入系统方案等。</w:t>
      </w:r>
    </w:p>
    <w:p w14:paraId="47017A1D">
      <w:pPr>
        <w:pStyle w:val="5"/>
        <w:rPr>
          <w:rFonts w:ascii="黑体" w:hAnsi="黑体" w:eastAsia="黑体" w:cs="Times New Roman"/>
        </w:rPr>
      </w:pPr>
      <w:bookmarkStart w:id="37" w:name="_Toc193449083"/>
      <w:r>
        <w:rPr>
          <w:rFonts w:hint="eastAsia" w:ascii="黑体" w:hAnsi="黑体" w:eastAsia="黑体" w:cs="Times New Roman"/>
        </w:rPr>
        <w:t>7</w:t>
      </w:r>
      <w:r>
        <w:rPr>
          <w:rFonts w:ascii="黑体" w:hAnsi="黑体" w:eastAsia="黑体" w:cs="Times New Roman"/>
        </w:rPr>
        <w:t xml:space="preserve">.3.4  </w:t>
      </w:r>
      <w:r>
        <w:rPr>
          <w:rFonts w:hint="eastAsia" w:ascii="黑体" w:hAnsi="黑体" w:eastAsia="黑体" w:cs="Times New Roman"/>
        </w:rPr>
        <w:t>通信</w:t>
      </w:r>
      <w:bookmarkEnd w:id="37"/>
    </w:p>
    <w:p w14:paraId="3C8315F7">
      <w:pPr>
        <w:rPr>
          <w:rFonts w:ascii="Times New Roman" w:hAnsi="Times New Roman" w:eastAsia="宋体"/>
        </w:rPr>
      </w:pPr>
      <w:r>
        <w:rPr>
          <w:rFonts w:hint="eastAsia" w:ascii="黑体" w:hAnsi="黑体" w:eastAsia="黑体" w:cs="Times New Roman"/>
          <w:b/>
        </w:rPr>
        <w:t>7.3.</w:t>
      </w:r>
      <w:r>
        <w:rPr>
          <w:rFonts w:ascii="黑体" w:hAnsi="黑体" w:eastAsia="黑体" w:cs="Times New Roman"/>
          <w:b/>
        </w:rPr>
        <w:t>4</w:t>
      </w:r>
      <w:r>
        <w:rPr>
          <w:rFonts w:hint="eastAsia" w:ascii="黑体" w:hAnsi="黑体" w:eastAsia="黑体" w:cs="Times New Roman"/>
          <w:b/>
        </w:rPr>
        <w:t xml:space="preserve">.1 </w:t>
      </w:r>
      <w:r>
        <w:rPr>
          <w:rFonts w:ascii="黑体" w:hAnsi="黑体" w:eastAsia="黑体" w:cs="Times New Roman"/>
          <w:b/>
        </w:rPr>
        <w:t xml:space="preserve"> </w:t>
      </w:r>
      <w:r>
        <w:rPr>
          <w:rFonts w:ascii="Times New Roman" w:hAnsi="Times New Roman" w:eastAsia="宋体" w:cs="Times New Roman"/>
        </w:rPr>
        <w:t>简述</w:t>
      </w:r>
      <w:r>
        <w:rPr>
          <w:rFonts w:hint="eastAsia" w:ascii="Times New Roman" w:hAnsi="Times New Roman" w:eastAsia="宋体" w:cs="Times New Roman"/>
        </w:rPr>
        <w:t>通信专用网络及公网现状，包括规划、网络现状、通信站点设备和设施现状等。改（扩）建工程应说明与本工程相关的通信设施现状及其他需要说明的外部条件的工程建设界面。</w:t>
      </w:r>
    </w:p>
    <w:p w14:paraId="48D446DA">
      <w:pPr>
        <w:rPr>
          <w:rFonts w:ascii="Times New Roman" w:hAnsi="Times New Roman" w:eastAsia="宋体" w:cs="Times New Roman"/>
        </w:rPr>
      </w:pPr>
      <w:r>
        <w:rPr>
          <w:rFonts w:hint="eastAsia" w:ascii="黑体" w:hAnsi="黑体" w:eastAsia="黑体" w:cs="Times New Roman"/>
          <w:b/>
        </w:rPr>
        <w:t>7.3.</w:t>
      </w:r>
      <w:r>
        <w:rPr>
          <w:rFonts w:ascii="黑体" w:hAnsi="黑体" w:eastAsia="黑体" w:cs="Times New Roman"/>
          <w:b/>
        </w:rPr>
        <w:t>4</w:t>
      </w:r>
      <w:r>
        <w:rPr>
          <w:rFonts w:hint="eastAsia" w:ascii="黑体" w:hAnsi="黑体" w:eastAsia="黑体" w:cs="Times New Roman"/>
          <w:b/>
        </w:rPr>
        <w:t xml:space="preserve">.2  </w:t>
      </w:r>
      <w:r>
        <w:rPr>
          <w:rFonts w:hint="eastAsia" w:ascii="Times New Roman" w:hAnsi="Times New Roman" w:eastAsia="宋体" w:cs="Times New Roman"/>
        </w:rPr>
        <w:t>简述通信业务需求、传输方向、传输方式、链路要求、系统组成、传输及通路组织方案。</w:t>
      </w:r>
    </w:p>
    <w:p w14:paraId="05EEDCEA">
      <w:pPr>
        <w:rPr>
          <w:rFonts w:ascii="Times New Roman" w:hAnsi="Times New Roman" w:eastAsia="宋体" w:cs="Times New Roman"/>
        </w:rPr>
      </w:pPr>
      <w:r>
        <w:rPr>
          <w:rFonts w:hint="eastAsia" w:ascii="黑体" w:hAnsi="黑体" w:eastAsia="黑体" w:cs="Times New Roman"/>
          <w:b/>
        </w:rPr>
        <w:t>7.3.</w:t>
      </w:r>
      <w:r>
        <w:rPr>
          <w:rFonts w:ascii="黑体" w:hAnsi="黑体" w:eastAsia="黑体" w:cs="Times New Roman"/>
          <w:b/>
        </w:rPr>
        <w:t>4</w:t>
      </w:r>
      <w:r>
        <w:rPr>
          <w:rFonts w:hint="eastAsia" w:ascii="黑体" w:hAnsi="黑体" w:eastAsia="黑体" w:cs="Times New Roman"/>
          <w:b/>
        </w:rPr>
        <w:t xml:space="preserve">.3 </w:t>
      </w:r>
      <w:r>
        <w:rPr>
          <w:rFonts w:ascii="黑体" w:hAnsi="黑体" w:eastAsia="黑体" w:cs="Times New Roman"/>
          <w:b/>
        </w:rPr>
        <w:t xml:space="preserve"> </w:t>
      </w:r>
      <w:r>
        <w:rPr>
          <w:rFonts w:hint="eastAsia" w:ascii="Times New Roman" w:hAnsi="Times New Roman" w:eastAsia="宋体" w:cs="Times New Roman"/>
        </w:rPr>
        <w:t>简述数据传输系统、扩音对讲及广播系统、应急、检修（巡检）系统的功能要求及主要技术方案。</w:t>
      </w:r>
    </w:p>
    <w:p w14:paraId="110AE082">
      <w:pPr>
        <w:pStyle w:val="5"/>
        <w:rPr>
          <w:rFonts w:ascii="黑体" w:hAnsi="黑体" w:eastAsia="黑体" w:cs="Times New Roman"/>
        </w:rPr>
      </w:pPr>
      <w:bookmarkStart w:id="38" w:name="_Toc193449084"/>
      <w:r>
        <w:rPr>
          <w:rFonts w:hint="eastAsia" w:ascii="黑体" w:hAnsi="黑体" w:eastAsia="黑体" w:cs="Times New Roman"/>
        </w:rPr>
        <w:t>7</w:t>
      </w:r>
      <w:r>
        <w:rPr>
          <w:rFonts w:ascii="黑体" w:hAnsi="黑体" w:eastAsia="黑体" w:cs="Times New Roman"/>
        </w:rPr>
        <w:t xml:space="preserve">.3.5  </w:t>
      </w:r>
      <w:r>
        <w:rPr>
          <w:rFonts w:hint="eastAsia" w:ascii="黑体" w:hAnsi="黑体" w:eastAsia="黑体" w:cs="Times New Roman"/>
        </w:rPr>
        <w:t>给排水</w:t>
      </w:r>
      <w:bookmarkEnd w:id="38"/>
    </w:p>
    <w:p w14:paraId="3185DA00">
      <w:pPr>
        <w:tabs>
          <w:tab w:val="left" w:pos="4130"/>
        </w:tabs>
        <w:ind w:firstLine="420" w:firstLineChars="200"/>
        <w:rPr>
          <w:rFonts w:ascii="Times New Roman" w:hAnsi="Times New Roman" w:eastAsia="宋体" w:cs="Times New Roman"/>
        </w:rPr>
      </w:pPr>
      <w:bookmarkStart w:id="39" w:name="_Hlk192684817"/>
      <w:r>
        <w:rPr>
          <w:rFonts w:hint="eastAsia" w:ascii="Times New Roman" w:hAnsi="Times New Roman" w:eastAsia="宋体" w:cs="Times New Roman"/>
        </w:rPr>
        <w:t>简述给水排水设计方案，包括</w:t>
      </w:r>
      <w:bookmarkEnd w:id="39"/>
      <w:r>
        <w:rPr>
          <w:rFonts w:hint="eastAsia" w:ascii="Times New Roman" w:hAnsi="Times New Roman" w:eastAsia="宋体" w:cs="Times New Roman"/>
        </w:rPr>
        <w:t>供水方式、水质、供给能力、排水方式、排放标准、处置措施等。</w:t>
      </w:r>
    </w:p>
    <w:p w14:paraId="484E13F9">
      <w:pPr>
        <w:pStyle w:val="5"/>
        <w:rPr>
          <w:rFonts w:ascii="黑体" w:hAnsi="黑体" w:eastAsia="黑体" w:cs="Times New Roman"/>
        </w:rPr>
      </w:pPr>
      <w:bookmarkStart w:id="40" w:name="_Toc193449085"/>
      <w:r>
        <w:rPr>
          <w:rFonts w:ascii="黑体" w:hAnsi="黑体" w:eastAsia="黑体" w:cs="Times New Roman"/>
        </w:rPr>
        <w:t xml:space="preserve">7.3.6  </w:t>
      </w:r>
      <w:bookmarkEnd w:id="40"/>
      <w:r>
        <w:rPr>
          <w:rFonts w:hint="eastAsia" w:ascii="黑体" w:hAnsi="黑体" w:eastAsia="黑体" w:cs="Times New Roman"/>
        </w:rPr>
        <w:t>通风</w:t>
      </w:r>
    </w:p>
    <w:p w14:paraId="089593F8">
      <w:pPr>
        <w:ind w:firstLine="420" w:firstLineChars="200"/>
        <w:rPr>
          <w:rFonts w:ascii="Times New Roman" w:hAnsi="Times New Roman" w:eastAsia="宋体" w:cs="Times New Roman"/>
        </w:rPr>
      </w:pPr>
      <w:r>
        <w:rPr>
          <w:rFonts w:hint="eastAsia" w:ascii="Times New Roman" w:hAnsi="Times New Roman" w:eastAsia="宋体" w:cs="Times New Roman"/>
        </w:rPr>
        <w:t>简述通风系统方式、防排烟系统方式。</w:t>
      </w:r>
    </w:p>
    <w:p w14:paraId="494FB4F5">
      <w:pPr>
        <w:pStyle w:val="5"/>
        <w:rPr>
          <w:rFonts w:ascii="黑体" w:hAnsi="黑体" w:eastAsia="黑体" w:cs="Times New Roman"/>
        </w:rPr>
      </w:pPr>
      <w:bookmarkStart w:id="41" w:name="_Toc193449086"/>
      <w:r>
        <w:rPr>
          <w:rFonts w:ascii="黑体" w:hAnsi="黑体" w:eastAsia="黑体" w:cs="Times New Roman"/>
        </w:rPr>
        <w:t xml:space="preserve">7.3.7  </w:t>
      </w:r>
      <w:r>
        <w:rPr>
          <w:rFonts w:hint="eastAsia" w:ascii="黑体" w:hAnsi="黑体" w:eastAsia="黑体" w:cs="Times New Roman"/>
        </w:rPr>
        <w:t>热工</w:t>
      </w:r>
      <w:bookmarkEnd w:id="41"/>
    </w:p>
    <w:p w14:paraId="5A83053E">
      <w:pPr>
        <w:ind w:firstLine="420" w:firstLineChars="200"/>
        <w:rPr>
          <w:rFonts w:ascii="Times New Roman" w:hAnsi="Times New Roman" w:eastAsia="宋体" w:cs="Times New Roman"/>
        </w:rPr>
      </w:pPr>
      <w:r>
        <w:rPr>
          <w:rFonts w:hint="eastAsia" w:ascii="Times New Roman" w:hAnsi="Times New Roman" w:eastAsia="宋体" w:cs="Times New Roman"/>
        </w:rPr>
        <w:t>简述热力系统设计方案，包括设计范围、供热系统设施、供热介质与参数、燃料种类、来源、参数、燃料供给流程及输送方式。</w:t>
      </w:r>
    </w:p>
    <w:p w14:paraId="2B96DB65">
      <w:pPr>
        <w:pStyle w:val="5"/>
        <w:tabs>
          <w:tab w:val="left" w:pos="5796"/>
        </w:tabs>
        <w:rPr>
          <w:rFonts w:ascii="黑体" w:hAnsi="黑体" w:eastAsia="黑体" w:cs="Times New Roman"/>
        </w:rPr>
      </w:pPr>
      <w:bookmarkStart w:id="42" w:name="_Toc193449087"/>
      <w:bookmarkStart w:id="43" w:name="_Toc179641223"/>
      <w:r>
        <w:rPr>
          <w:rFonts w:ascii="黑体" w:hAnsi="黑体" w:eastAsia="黑体" w:cs="Times New Roman"/>
        </w:rPr>
        <w:t xml:space="preserve">7.3.8  </w:t>
      </w:r>
      <w:r>
        <w:rPr>
          <w:rFonts w:hint="eastAsia" w:ascii="黑体" w:hAnsi="黑体" w:eastAsia="黑体" w:cs="Times New Roman"/>
        </w:rPr>
        <w:t>建筑与</w:t>
      </w:r>
      <w:r>
        <w:rPr>
          <w:rFonts w:ascii="Times New Roman"/>
          <w:szCs w:val="22"/>
        </w:rPr>
        <w:t>构筑物</w:t>
      </w:r>
      <w:bookmarkEnd w:id="42"/>
      <w:bookmarkEnd w:id="43"/>
      <w:r>
        <w:rPr>
          <w:rFonts w:ascii="黑体" w:hAnsi="黑体" w:eastAsia="黑体" w:cs="Times New Roman"/>
        </w:rPr>
        <w:tab/>
      </w:r>
    </w:p>
    <w:p w14:paraId="379D5759">
      <w:pPr>
        <w:pStyle w:val="41"/>
        <w:spacing w:line="276" w:lineRule="auto"/>
        <w:ind w:firstLine="420"/>
        <w:rPr>
          <w:rFonts w:ascii="Times New Roman"/>
        </w:rPr>
      </w:pPr>
      <w:r>
        <w:rPr>
          <w:rFonts w:ascii="Times New Roman"/>
          <w:szCs w:val="22"/>
        </w:rPr>
        <w:t>按表</w:t>
      </w:r>
      <w:r>
        <w:rPr>
          <w:rFonts w:hint="eastAsia" w:ascii="Times New Roman"/>
          <w:szCs w:val="22"/>
        </w:rPr>
        <w:t>B</w:t>
      </w:r>
      <w:r>
        <w:rPr>
          <w:rFonts w:ascii="Times New Roman"/>
          <w:szCs w:val="22"/>
        </w:rPr>
        <w:t>.7说明</w:t>
      </w:r>
      <w:r>
        <w:rPr>
          <w:rFonts w:hint="eastAsia" w:ascii="Times New Roman"/>
          <w:szCs w:val="22"/>
        </w:rPr>
        <w:t>主要建筑物的名称、建筑面积、结构形式、层数、通风形式；</w:t>
      </w:r>
      <w:r>
        <w:rPr>
          <w:rFonts w:ascii="Times New Roman"/>
          <w:szCs w:val="22"/>
        </w:rPr>
        <w:t>按表</w:t>
      </w:r>
      <w:r>
        <w:rPr>
          <w:rFonts w:hint="eastAsia" w:ascii="Times New Roman"/>
          <w:szCs w:val="22"/>
        </w:rPr>
        <w:t>B</w:t>
      </w:r>
      <w:r>
        <w:rPr>
          <w:rFonts w:ascii="Times New Roman"/>
          <w:szCs w:val="22"/>
        </w:rPr>
        <w:t>.8说明主要构筑物的名称、主要材料及做法</w:t>
      </w:r>
      <w:r>
        <w:rPr>
          <w:rFonts w:hint="eastAsia" w:ascii="Times New Roman"/>
          <w:szCs w:val="22"/>
        </w:rPr>
        <w:t>。</w:t>
      </w:r>
    </w:p>
    <w:p w14:paraId="4A8262BC">
      <w:pPr>
        <w:pStyle w:val="5"/>
        <w:spacing w:line="276" w:lineRule="auto"/>
        <w:rPr>
          <w:rFonts w:ascii="黑体" w:hAnsi="黑体" w:eastAsia="黑体"/>
        </w:rPr>
      </w:pPr>
      <w:bookmarkStart w:id="44" w:name="_Toc193449088"/>
      <w:bookmarkStart w:id="45" w:name="_Toc3912"/>
      <w:r>
        <w:rPr>
          <w:rFonts w:ascii="黑体" w:hAnsi="黑体" w:eastAsia="黑体" w:cs="Times New Roman"/>
        </w:rPr>
        <w:t xml:space="preserve">7.3.9  </w:t>
      </w:r>
      <w:r>
        <w:rPr>
          <w:rFonts w:hint="eastAsia" w:ascii="黑体" w:hAnsi="黑体" w:eastAsia="黑体" w:cs="Times New Roman"/>
        </w:rPr>
        <w:t>防腐及绝热</w:t>
      </w:r>
      <w:bookmarkEnd w:id="44"/>
      <w:bookmarkEnd w:id="45"/>
    </w:p>
    <w:p w14:paraId="103F5148">
      <w:pPr>
        <w:rPr>
          <w:rFonts w:ascii="Times New Roman" w:hAnsi="Times New Roman" w:eastAsia="宋体" w:cs="Times New Roman"/>
        </w:rPr>
      </w:pPr>
      <w:r>
        <w:rPr>
          <w:rFonts w:ascii="黑体" w:hAnsi="黑体" w:eastAsia="黑体" w:cs="Times New Roman"/>
          <w:b/>
        </w:rPr>
        <w:t xml:space="preserve">7.3.9.1  </w:t>
      </w:r>
      <w:r>
        <w:rPr>
          <w:rFonts w:ascii="Times New Roman" w:hAnsi="Times New Roman" w:eastAsia="宋体" w:cs="Times New Roman"/>
        </w:rPr>
        <w:t>简述</w:t>
      </w:r>
      <w:r>
        <w:rPr>
          <w:rFonts w:hint="eastAsia" w:ascii="宋体" w:hAnsi="宋体" w:eastAsia="宋体" w:cs="宋体"/>
        </w:rPr>
        <w:t>线路管道、站内管道、站内设备</w:t>
      </w:r>
      <w:r>
        <w:rPr>
          <w:rFonts w:ascii="Times New Roman" w:hAnsi="Times New Roman" w:eastAsia="宋体" w:cs="Times New Roman"/>
        </w:rPr>
        <w:t>、</w:t>
      </w:r>
      <w:r>
        <w:rPr>
          <w:rFonts w:hint="eastAsia" w:ascii="宋体" w:hAnsi="宋体" w:eastAsia="宋体" w:cs="宋体"/>
        </w:rPr>
        <w:t>储罐等的防腐及绝热范围</w:t>
      </w:r>
      <w:r>
        <w:rPr>
          <w:rFonts w:hint="eastAsia" w:ascii="Times New Roman" w:hAnsi="Times New Roman" w:eastAsia="宋体" w:cs="Times New Roman"/>
        </w:rPr>
        <w:t>。</w:t>
      </w:r>
      <w:r>
        <w:rPr>
          <w:rFonts w:hint="eastAsia" w:ascii="宋体" w:hAnsi="宋体" w:eastAsia="宋体" w:cs="宋体"/>
        </w:rPr>
        <w:t>管道采用内防腐层</w:t>
      </w:r>
      <w:r>
        <w:rPr>
          <w:rFonts w:ascii="Times New Roman" w:hAnsi="Times New Roman" w:cs="Times New Roman"/>
        </w:rPr>
        <w:t>/</w:t>
      </w:r>
      <w:r>
        <w:rPr>
          <w:rFonts w:hint="eastAsia" w:ascii="宋体" w:hAnsi="宋体" w:eastAsia="宋体" w:cs="宋体"/>
        </w:rPr>
        <w:t>内衬层时，应说明管道内腐蚀控制的范围</w:t>
      </w:r>
      <w:r>
        <w:rPr>
          <w:rFonts w:ascii="Times New Roman" w:hAnsi="Times New Roman" w:eastAsia="宋体" w:cs="Times New Roman"/>
        </w:rPr>
        <w:t>；</w:t>
      </w:r>
      <w:r>
        <w:rPr>
          <w:rFonts w:hint="eastAsia" w:ascii="宋体" w:hAnsi="宋体" w:eastAsia="宋体" w:cs="宋体"/>
        </w:rPr>
        <w:t>采用缓释剂注入或腐蚀监测时，应说明缓释剂注入或腐蚀监测的位置</w:t>
      </w:r>
      <w:r>
        <w:rPr>
          <w:rFonts w:ascii="Times New Roman" w:hAnsi="Times New Roman" w:eastAsia="宋体" w:cs="Times New Roman"/>
        </w:rPr>
        <w:t>。</w:t>
      </w:r>
    </w:p>
    <w:p w14:paraId="5D763382">
      <w:pPr>
        <w:rPr>
          <w:rFonts w:ascii="Times New Roman" w:hAnsi="Times New Roman" w:cs="Times New Roman"/>
        </w:rPr>
      </w:pPr>
      <w:r>
        <w:rPr>
          <w:rFonts w:ascii="黑体" w:hAnsi="黑体" w:eastAsia="黑体" w:cs="Times New Roman"/>
          <w:b/>
        </w:rPr>
        <w:t xml:space="preserve">7.3.9.2  </w:t>
      </w:r>
      <w:r>
        <w:rPr>
          <w:rFonts w:ascii="Times New Roman" w:hAnsi="Times New Roman" w:eastAsia="宋体" w:cs="Times New Roman"/>
        </w:rPr>
        <w:t>简述</w:t>
      </w:r>
      <w:r>
        <w:rPr>
          <w:rFonts w:hint="eastAsia" w:ascii="宋体" w:hAnsi="宋体" w:eastAsia="宋体" w:cs="宋体"/>
        </w:rPr>
        <w:t>线路埋地管道阴极保护的范围及类型</w:t>
      </w:r>
      <w:r>
        <w:rPr>
          <w:rFonts w:ascii="Times New Roman" w:hAnsi="Times New Roman" w:eastAsia="宋体" w:cs="Times New Roman"/>
        </w:rPr>
        <w:t>。</w:t>
      </w:r>
      <w:r>
        <w:rPr>
          <w:rFonts w:hint="eastAsia" w:ascii="宋体" w:hAnsi="宋体" w:eastAsia="宋体" w:cs="宋体"/>
        </w:rPr>
        <w:t>站内埋地管道采用区域阴极保护时，应说明区域阴极保护的类型</w:t>
      </w:r>
      <w:r>
        <w:rPr>
          <w:rFonts w:ascii="Times New Roman" w:hAnsi="Times New Roman" w:eastAsia="宋体" w:cs="Times New Roman"/>
        </w:rPr>
        <w:t>；</w:t>
      </w:r>
      <w:r>
        <w:rPr>
          <w:rFonts w:hint="eastAsia" w:ascii="宋体" w:hAnsi="宋体" w:eastAsia="宋体" w:cs="宋体"/>
        </w:rPr>
        <w:t>设备和储罐内部需采用阴极保护时，应说明采用阴极保护的范围及类型。</w:t>
      </w:r>
    </w:p>
    <w:p w14:paraId="1E1B0768">
      <w:pPr>
        <w:pStyle w:val="5"/>
        <w:rPr>
          <w:rFonts w:ascii="黑体" w:hAnsi="黑体" w:eastAsia="黑体" w:cs="Times New Roman"/>
        </w:rPr>
      </w:pPr>
      <w:bookmarkStart w:id="46" w:name="_Toc179641224"/>
      <w:bookmarkStart w:id="47" w:name="_Toc193449089"/>
      <w:r>
        <w:rPr>
          <w:rFonts w:ascii="黑体" w:hAnsi="黑体" w:eastAsia="黑体" w:cs="Times New Roman"/>
        </w:rPr>
        <w:t xml:space="preserve">7.3.10  </w:t>
      </w:r>
      <w:r>
        <w:rPr>
          <w:rFonts w:hint="eastAsia" w:ascii="黑体" w:hAnsi="黑体" w:eastAsia="黑体" w:cs="Times New Roman"/>
        </w:rPr>
        <w:t>总图</w:t>
      </w:r>
      <w:bookmarkEnd w:id="46"/>
      <w:r>
        <w:rPr>
          <w:rFonts w:hint="eastAsia" w:ascii="黑体" w:hAnsi="黑体" w:eastAsia="黑体" w:cs="Times New Roman"/>
        </w:rPr>
        <w:t>与道路</w:t>
      </w:r>
      <w:bookmarkEnd w:id="47"/>
    </w:p>
    <w:p w14:paraId="3BCAC8EE">
      <w:pPr>
        <w:pStyle w:val="41"/>
        <w:spacing w:line="276" w:lineRule="auto"/>
        <w:ind w:firstLine="0" w:firstLineChars="0"/>
        <w:rPr>
          <w:rFonts w:ascii="Times New Roman"/>
          <w:kern w:val="2"/>
          <w:szCs w:val="22"/>
          <w14:ligatures w14:val="standardContextual"/>
        </w:rPr>
      </w:pPr>
      <w:r>
        <w:rPr>
          <w:rFonts w:ascii="黑体" w:hAnsi="黑体" w:eastAsia="黑体"/>
          <w:b/>
          <w:kern w:val="2"/>
          <w:szCs w:val="22"/>
          <w14:ligatures w14:val="standardContextual"/>
        </w:rPr>
        <w:t xml:space="preserve">7.3.10.1 </w:t>
      </w:r>
      <w:r>
        <w:rPr>
          <w:rFonts w:ascii="黑体" w:hAnsi="黑体" w:eastAsia="黑体"/>
          <w:kern w:val="2"/>
          <w:szCs w:val="22"/>
          <w14:ligatures w14:val="standardContextual"/>
        </w:rPr>
        <w:t xml:space="preserve"> </w:t>
      </w:r>
      <w:r>
        <w:rPr>
          <w:rFonts w:hint="eastAsia" w:ascii="Times New Roman"/>
          <w:kern w:val="2"/>
          <w:szCs w:val="22"/>
          <w14:ligatures w14:val="standardContextual"/>
        </w:rPr>
        <w:t>简述站场、井场、站外泄放设施的周边环境情况，按表B</w:t>
      </w:r>
      <w:r>
        <w:rPr>
          <w:rFonts w:ascii="Times New Roman"/>
          <w:kern w:val="2"/>
          <w:szCs w:val="22"/>
          <w14:ligatures w14:val="standardContextual"/>
        </w:rPr>
        <w:t>.9</w:t>
      </w:r>
      <w:r>
        <w:rPr>
          <w:rFonts w:hint="eastAsia" w:ascii="Times New Roman"/>
          <w:kern w:val="2"/>
          <w:szCs w:val="22"/>
          <w14:ligatures w14:val="standardContextual"/>
        </w:rPr>
        <w:t>说明井场/站场名称、地理位置、功能、站场等级、性质（新建、改建、扩建）、占地面积。</w:t>
      </w:r>
    </w:p>
    <w:p w14:paraId="638E70EB">
      <w:pPr>
        <w:pStyle w:val="41"/>
        <w:spacing w:line="276" w:lineRule="auto"/>
        <w:ind w:firstLine="0" w:firstLineChars="0"/>
        <w:rPr>
          <w:rFonts w:ascii="Times New Roman"/>
          <w:kern w:val="2"/>
          <w:szCs w:val="22"/>
          <w14:ligatures w14:val="standardContextual"/>
        </w:rPr>
      </w:pPr>
      <w:r>
        <w:rPr>
          <w:rFonts w:ascii="黑体" w:hAnsi="黑体" w:eastAsia="黑体"/>
          <w:b/>
          <w:kern w:val="2"/>
          <w:szCs w:val="22"/>
          <w14:ligatures w14:val="standardContextual"/>
        </w:rPr>
        <w:t xml:space="preserve">7.3.10.2 </w:t>
      </w:r>
      <w:r>
        <w:rPr>
          <w:rFonts w:ascii="黑体" w:hAnsi="黑体" w:eastAsia="黑体"/>
          <w:kern w:val="2"/>
          <w:szCs w:val="22"/>
          <w14:ligatures w14:val="standardContextual"/>
        </w:rPr>
        <w:t xml:space="preserve"> </w:t>
      </w:r>
      <w:r>
        <w:rPr>
          <w:rFonts w:hint="eastAsia" w:ascii="Times New Roman"/>
          <w:kern w:val="2"/>
          <w:szCs w:val="22"/>
          <w14:ligatures w14:val="standardContextual"/>
        </w:rPr>
        <w:t>简述</w:t>
      </w:r>
      <w:r>
        <w:rPr>
          <w:rFonts w:ascii="Times New Roman"/>
          <w:kern w:val="2"/>
          <w:szCs w:val="22"/>
          <w14:ligatures w14:val="standardContextual"/>
        </w:rPr>
        <w:t>站外道路长度、宽度及结构层做法</w:t>
      </w:r>
      <w:r>
        <w:rPr>
          <w:rFonts w:hint="eastAsia" w:ascii="Times New Roman"/>
          <w:kern w:val="2"/>
          <w:szCs w:val="22"/>
          <w14:ligatures w14:val="standardContextual"/>
        </w:rPr>
        <w:t>。</w:t>
      </w:r>
    </w:p>
    <w:p w14:paraId="16E928BE">
      <w:pPr>
        <w:pStyle w:val="4"/>
        <w:spacing w:before="156"/>
        <w:rPr>
          <w:rFonts w:ascii="黑体" w:hAnsi="黑体" w:eastAsia="黑体" w:cs="Times New Roman"/>
        </w:rPr>
      </w:pPr>
      <w:bookmarkStart w:id="48" w:name="_Toc195881855"/>
      <w:r>
        <w:rPr>
          <w:rFonts w:ascii="黑体" w:hAnsi="黑体" w:eastAsia="黑体" w:cs="Times New Roman"/>
        </w:rPr>
        <w:t xml:space="preserve">7.4  </w:t>
      </w:r>
      <w:r>
        <w:rPr>
          <w:rFonts w:hint="eastAsia" w:ascii="黑体" w:hAnsi="黑体" w:eastAsia="黑体" w:cs="Times New Roman"/>
        </w:rPr>
        <w:t>主要工程量</w:t>
      </w:r>
      <w:bookmarkEnd w:id="48"/>
    </w:p>
    <w:p w14:paraId="3BDE9A96">
      <w:pPr>
        <w:rPr>
          <w:rFonts w:ascii="Times New Roman" w:hAnsi="Times New Roman" w:eastAsia="宋体" w:cs="Times New Roman"/>
        </w:rPr>
      </w:pPr>
      <w:r>
        <w:rPr>
          <w:rFonts w:ascii="黑体" w:hAnsi="黑体" w:eastAsia="黑体" w:cs="Times New Roman"/>
          <w:b/>
        </w:rPr>
        <w:t xml:space="preserve">7.4.1  </w:t>
      </w:r>
      <w:r>
        <w:rPr>
          <w:rFonts w:hint="eastAsia" w:ascii="Times New Roman" w:hAnsi="Times New Roman" w:eastAsia="宋体" w:cs="Times New Roman"/>
        </w:rPr>
        <w:t>按表B</w:t>
      </w:r>
      <w:r>
        <w:rPr>
          <w:rFonts w:ascii="Times New Roman" w:hAnsi="Times New Roman" w:eastAsia="宋体" w:cs="Times New Roman"/>
        </w:rPr>
        <w:t>.10</w:t>
      </w:r>
      <w:r>
        <w:rPr>
          <w:rFonts w:hint="eastAsia" w:ascii="Times New Roman" w:hAnsi="Times New Roman" w:eastAsia="宋体" w:cs="Times New Roman"/>
        </w:rPr>
        <w:t>说明新建、改建、扩建的</w:t>
      </w:r>
      <w:r>
        <w:rPr>
          <w:rFonts w:ascii="Times New Roman" w:hAnsi="Times New Roman" w:eastAsia="宋体" w:cs="Times New Roman"/>
        </w:rPr>
        <w:t>各类</w:t>
      </w:r>
      <w:r>
        <w:rPr>
          <w:rFonts w:hint="eastAsia" w:ascii="Times New Roman" w:hAnsi="Times New Roman" w:eastAsia="宋体" w:cs="Times New Roman"/>
        </w:rPr>
        <w:t>井场</w:t>
      </w:r>
      <w:r>
        <w:rPr>
          <w:rFonts w:ascii="Times New Roman" w:hAnsi="Times New Roman" w:eastAsia="宋体" w:cs="Times New Roman"/>
        </w:rPr>
        <w:t>、场站、管道的数量等</w:t>
      </w:r>
      <w:r>
        <w:rPr>
          <w:rFonts w:hint="eastAsia" w:ascii="Times New Roman" w:hAnsi="Times New Roman" w:eastAsia="宋体" w:cs="Times New Roman"/>
        </w:rPr>
        <w:t>。</w:t>
      </w:r>
    </w:p>
    <w:p w14:paraId="39688BB9">
      <w:pPr>
        <w:rPr>
          <w:rFonts w:ascii="Times New Roman" w:hAnsi="Times New Roman" w:eastAsia="宋体" w:cs="Times New Roman"/>
        </w:rPr>
      </w:pPr>
      <w:r>
        <w:rPr>
          <w:rFonts w:ascii="黑体" w:hAnsi="黑体" w:eastAsia="黑体" w:cs="Times New Roman"/>
          <w:b/>
        </w:rPr>
        <w:t xml:space="preserve">7.4.2  </w:t>
      </w:r>
      <w:r>
        <w:rPr>
          <w:rFonts w:hint="eastAsia" w:ascii="Times New Roman" w:hAnsi="Times New Roman" w:eastAsia="宋体" w:cs="Times New Roman"/>
        </w:rPr>
        <w:t>按表B</w:t>
      </w:r>
      <w:r>
        <w:rPr>
          <w:rFonts w:ascii="Times New Roman" w:hAnsi="Times New Roman" w:eastAsia="宋体" w:cs="Times New Roman"/>
        </w:rPr>
        <w:t>.11</w:t>
      </w:r>
      <w:r>
        <w:rPr>
          <w:rFonts w:hint="eastAsia" w:ascii="Times New Roman" w:hAnsi="Times New Roman" w:eastAsia="宋体" w:cs="Times New Roman"/>
        </w:rPr>
        <w:t>说明</w:t>
      </w:r>
      <w:r>
        <w:rPr>
          <w:rFonts w:ascii="Times New Roman" w:hAnsi="Times New Roman" w:eastAsia="宋体" w:cs="Times New Roman"/>
        </w:rPr>
        <w:t>主要设备名称、规格型号、数量、主要介质和主要材料</w:t>
      </w:r>
      <w:r>
        <w:rPr>
          <w:rFonts w:hint="eastAsia" w:ascii="Times New Roman" w:hAnsi="Times New Roman" w:eastAsia="宋体" w:cs="Times New Roman"/>
        </w:rPr>
        <w:t>。</w:t>
      </w:r>
    </w:p>
    <w:p w14:paraId="2ABBCA46">
      <w:pPr>
        <w:pStyle w:val="3"/>
        <w:rPr>
          <w:rFonts w:ascii="黑体" w:hAnsi="黑体" w:eastAsia="黑体" w:cs="Times New Roman"/>
          <w:szCs w:val="24"/>
        </w:rPr>
      </w:pPr>
      <w:bookmarkStart w:id="49" w:name="_Toc195881856"/>
      <w:r>
        <w:rPr>
          <w:rFonts w:ascii="黑体" w:hAnsi="黑体" w:eastAsia="黑体" w:cs="Times New Roman"/>
          <w:szCs w:val="24"/>
        </w:rPr>
        <w:t xml:space="preserve">8  </w:t>
      </w:r>
      <w:r>
        <w:rPr>
          <w:rFonts w:hint="eastAsia" w:ascii="黑体" w:hAnsi="黑体" w:eastAsia="黑体" w:cs="Times New Roman"/>
          <w:szCs w:val="24"/>
        </w:rPr>
        <w:t>危险有害因素分析</w:t>
      </w:r>
      <w:bookmarkEnd w:id="49"/>
    </w:p>
    <w:p w14:paraId="11D3132B">
      <w:pPr>
        <w:pStyle w:val="41"/>
        <w:spacing w:line="276" w:lineRule="auto"/>
        <w:ind w:firstLine="0" w:firstLineChars="0"/>
        <w:rPr>
          <w:rFonts w:ascii="Times New Roman"/>
          <w:kern w:val="2"/>
          <w:szCs w:val="22"/>
          <w14:ligatures w14:val="standardContextual"/>
        </w:rPr>
      </w:pPr>
      <w:r>
        <w:rPr>
          <w:rFonts w:ascii="黑体" w:hAnsi="黑体" w:eastAsia="黑体"/>
          <w:b/>
          <w:kern w:val="2"/>
          <w:szCs w:val="22"/>
          <w14:ligatures w14:val="standardContextual"/>
        </w:rPr>
        <w:t xml:space="preserve">8.1  </w:t>
      </w:r>
      <w:r>
        <w:rPr>
          <w:rFonts w:ascii="Times New Roman"/>
          <w:kern w:val="2"/>
          <w:szCs w:val="22"/>
          <w14:ligatures w14:val="standardContextual"/>
        </w:rPr>
        <w:t>说明安全预评价危险有害因素分析结论。</w:t>
      </w:r>
    </w:p>
    <w:p w14:paraId="2618953F">
      <w:pPr>
        <w:pStyle w:val="41"/>
        <w:spacing w:line="276" w:lineRule="auto"/>
        <w:ind w:firstLine="0" w:firstLineChars="0"/>
        <w:rPr>
          <w:rFonts w:ascii="Times New Roman"/>
          <w:kern w:val="2"/>
          <w:szCs w:val="22"/>
          <w14:ligatures w14:val="standardContextual"/>
        </w:rPr>
      </w:pPr>
      <w:r>
        <w:rPr>
          <w:rFonts w:ascii="黑体" w:hAnsi="黑体" w:eastAsia="黑体"/>
          <w:b/>
          <w:kern w:val="2"/>
          <w:szCs w:val="22"/>
          <w14:ligatures w14:val="standardContextual"/>
        </w:rPr>
        <w:t xml:space="preserve">8.2  </w:t>
      </w:r>
      <w:r>
        <w:rPr>
          <w:rFonts w:ascii="Times New Roman"/>
          <w:kern w:val="2"/>
          <w:szCs w:val="22"/>
          <w14:ligatures w14:val="standardContextual"/>
        </w:rPr>
        <w:t>若出现变更</w:t>
      </w:r>
      <w:r>
        <w:rPr>
          <w:rFonts w:hint="eastAsia" w:ascii="Times New Roman"/>
          <w:kern w:val="2"/>
          <w:szCs w:val="22"/>
          <w14:ligatures w14:val="standardContextual"/>
        </w:rPr>
        <w:t>（</w:t>
      </w:r>
      <w:r>
        <w:rPr>
          <w:rFonts w:ascii="Times New Roman"/>
          <w:kern w:val="2"/>
          <w:szCs w:val="22"/>
          <w14:ligatures w14:val="standardContextual"/>
        </w:rPr>
        <w:t>除5.2重大变更外），应对变更部分进行危险有害因素辨识并提出安全措施，应按表</w:t>
      </w:r>
      <w:r>
        <w:rPr>
          <w:rFonts w:hint="eastAsia" w:ascii="Times New Roman"/>
          <w:kern w:val="2"/>
          <w:szCs w:val="22"/>
          <w14:ligatures w14:val="standardContextual"/>
        </w:rPr>
        <w:t>B</w:t>
      </w:r>
      <w:r>
        <w:rPr>
          <w:rFonts w:ascii="Times New Roman"/>
          <w:kern w:val="2"/>
          <w:szCs w:val="22"/>
          <w14:ligatures w14:val="standardContextual"/>
        </w:rPr>
        <w:t>.12列出设计变更情况分析表。</w:t>
      </w:r>
    </w:p>
    <w:p w14:paraId="5193DDB8">
      <w:pPr>
        <w:pStyle w:val="41"/>
        <w:spacing w:line="276" w:lineRule="auto"/>
        <w:ind w:firstLine="0" w:firstLineChars="0"/>
        <w:rPr>
          <w:rFonts w:ascii="Times New Roman"/>
          <w:kern w:val="2"/>
          <w:szCs w:val="22"/>
          <w14:ligatures w14:val="standardContextual"/>
        </w:rPr>
      </w:pPr>
      <w:r>
        <w:rPr>
          <w:rFonts w:ascii="黑体" w:hAnsi="黑体" w:eastAsia="黑体"/>
          <w:b/>
          <w:kern w:val="2"/>
          <w:szCs w:val="22"/>
          <w14:ligatures w14:val="standardContextual"/>
        </w:rPr>
        <w:t xml:space="preserve">8.3  </w:t>
      </w:r>
      <w:r>
        <w:rPr>
          <w:rFonts w:ascii="Times New Roman"/>
          <w:kern w:val="2"/>
          <w:szCs w:val="22"/>
          <w14:ligatures w14:val="standardContextual"/>
        </w:rPr>
        <w:t>对开展了HAZOP、SIL定级等研究或其他安全风险分析的站场，应说明主要分析结果。</w:t>
      </w:r>
    </w:p>
    <w:p w14:paraId="5DB3AD0F">
      <w:pPr>
        <w:pStyle w:val="41"/>
        <w:spacing w:line="276" w:lineRule="auto"/>
        <w:ind w:firstLine="0" w:firstLineChars="0"/>
        <w:rPr>
          <w:rFonts w:ascii="Times New Roman"/>
          <w:kern w:val="2"/>
          <w:szCs w:val="22"/>
          <w14:ligatures w14:val="standardContextual"/>
        </w:rPr>
      </w:pPr>
      <w:r>
        <w:rPr>
          <w:rFonts w:ascii="黑体" w:hAnsi="黑体" w:eastAsia="黑体"/>
          <w:b/>
          <w:kern w:val="2"/>
          <w:szCs w:val="22"/>
          <w14:ligatures w14:val="standardContextual"/>
        </w:rPr>
        <w:t xml:space="preserve">8.4  </w:t>
      </w:r>
      <w:r>
        <w:rPr>
          <w:rFonts w:ascii="Times New Roman"/>
          <w:kern w:val="2"/>
          <w:szCs w:val="22"/>
          <w14:ligatures w14:val="standardContextual"/>
        </w:rPr>
        <w:t>当采用了新工艺、新技术、新材料或新设备，应对其可能产生的危险有害因素进行重点分析。</w:t>
      </w:r>
    </w:p>
    <w:p w14:paraId="25F778A4">
      <w:pPr>
        <w:pStyle w:val="3"/>
        <w:rPr>
          <w:rFonts w:ascii="黑体" w:hAnsi="黑体" w:eastAsia="黑体" w:cs="Times New Roman"/>
          <w:szCs w:val="24"/>
        </w:rPr>
      </w:pPr>
      <w:bookmarkStart w:id="50" w:name="_Toc195881857"/>
      <w:r>
        <w:rPr>
          <w:rFonts w:ascii="黑体" w:hAnsi="黑体" w:eastAsia="黑体" w:cs="Times New Roman"/>
          <w:szCs w:val="24"/>
        </w:rPr>
        <w:t xml:space="preserve">9  </w:t>
      </w:r>
      <w:r>
        <w:rPr>
          <w:rFonts w:hint="eastAsia" w:ascii="黑体" w:hAnsi="黑体" w:eastAsia="黑体" w:cs="Times New Roman"/>
          <w:szCs w:val="24"/>
        </w:rPr>
        <w:t>安全预评价响应</w:t>
      </w:r>
      <w:bookmarkEnd w:id="50"/>
    </w:p>
    <w:p w14:paraId="4C7EE482">
      <w:pPr>
        <w:rPr>
          <w:rFonts w:ascii="Times New Roman" w:hAnsi="Times New Roman" w:eastAsia="宋体" w:cs="Times New Roman"/>
        </w:rPr>
      </w:pPr>
      <w:r>
        <w:rPr>
          <w:rFonts w:ascii="黑体" w:hAnsi="黑体" w:eastAsia="黑体" w:cs="Times New Roman"/>
          <w:b/>
        </w:rPr>
        <w:t xml:space="preserve">9.1  </w:t>
      </w:r>
      <w:r>
        <w:rPr>
          <w:rFonts w:hint="eastAsia" w:ascii="Times New Roman" w:hAnsi="Times New Roman" w:eastAsia="宋体" w:cs="Times New Roman"/>
        </w:rPr>
        <w:t>简述安全预评价结论。</w:t>
      </w:r>
    </w:p>
    <w:p w14:paraId="1B35714A">
      <w:pPr>
        <w:rPr>
          <w:rFonts w:ascii="Times New Roman" w:hAnsi="Times New Roman" w:eastAsia="宋体" w:cs="Times New Roman"/>
        </w:rPr>
      </w:pPr>
      <w:r>
        <w:rPr>
          <w:rFonts w:ascii="黑体" w:hAnsi="黑体" w:eastAsia="黑体" w:cs="Times New Roman"/>
          <w:b/>
        </w:rPr>
        <w:t xml:space="preserve">9.2  </w:t>
      </w:r>
      <w:r>
        <w:rPr>
          <w:rFonts w:hint="eastAsia" w:ascii="Times New Roman" w:hAnsi="Times New Roman" w:eastAsia="宋体" w:cs="Times New Roman"/>
        </w:rPr>
        <w:t>分类列出建设项目安全预评价报告中提出的安全对策措施的采纳情况，对未采纳的或部分采纳的措施</w:t>
      </w:r>
      <w:r>
        <w:rPr>
          <w:rFonts w:ascii="Times New Roman" w:hAnsi="Times New Roman" w:eastAsia="宋体" w:cs="Times New Roman"/>
        </w:rPr>
        <w:t>作充分论证说明</w:t>
      </w:r>
      <w:r>
        <w:rPr>
          <w:rFonts w:hint="eastAsia" w:ascii="Times New Roman" w:hAnsi="Times New Roman" w:eastAsia="宋体" w:cs="Times New Roman"/>
        </w:rPr>
        <w:t>。</w:t>
      </w:r>
    </w:p>
    <w:p w14:paraId="4DDCB49A">
      <w:pPr>
        <w:pStyle w:val="3"/>
        <w:rPr>
          <w:rFonts w:ascii="黑体" w:hAnsi="黑体" w:eastAsia="黑体" w:cs="Times New Roman"/>
          <w:szCs w:val="24"/>
        </w:rPr>
      </w:pPr>
      <w:bookmarkStart w:id="51" w:name="_Toc195881858"/>
      <w:r>
        <w:rPr>
          <w:rFonts w:ascii="黑体" w:hAnsi="黑体" w:eastAsia="黑体" w:cs="Times New Roman"/>
          <w:szCs w:val="24"/>
        </w:rPr>
        <w:t xml:space="preserve">10  </w:t>
      </w:r>
      <w:r>
        <w:rPr>
          <w:rFonts w:hint="eastAsia" w:ascii="黑体" w:hAnsi="黑体" w:eastAsia="黑体" w:cs="Times New Roman"/>
          <w:szCs w:val="24"/>
        </w:rPr>
        <w:t>地质与气藏工程安全措施</w:t>
      </w:r>
      <w:bookmarkEnd w:id="51"/>
    </w:p>
    <w:p w14:paraId="7209CDC6">
      <w:pPr>
        <w:pStyle w:val="4"/>
        <w:spacing w:before="156"/>
        <w:rPr>
          <w:rFonts w:ascii="黑体" w:hAnsi="黑体" w:eastAsia="黑体" w:cs="Times New Roman"/>
        </w:rPr>
      </w:pPr>
      <w:bookmarkStart w:id="52" w:name="_Toc195881859"/>
      <w:r>
        <w:rPr>
          <w:rFonts w:ascii="黑体" w:hAnsi="黑体" w:eastAsia="黑体" w:cs="Times New Roman"/>
        </w:rPr>
        <w:t xml:space="preserve">10.1  </w:t>
      </w:r>
      <w:r>
        <w:rPr>
          <w:rFonts w:hint="eastAsia" w:ascii="黑体" w:hAnsi="黑体" w:eastAsia="黑体" w:cs="Times New Roman"/>
        </w:rPr>
        <w:t>选址</w:t>
      </w:r>
      <w:bookmarkEnd w:id="52"/>
    </w:p>
    <w:p w14:paraId="417EF494">
      <w:pPr>
        <w:rPr>
          <w:rFonts w:ascii="Times New Roman" w:hAnsi="Times New Roman" w:eastAsia="宋体" w:cs="Times New Roman"/>
        </w:rPr>
      </w:pPr>
      <w:r>
        <w:rPr>
          <w:rFonts w:ascii="黑体" w:hAnsi="黑体" w:eastAsia="黑体" w:cs="Times New Roman"/>
          <w:b/>
        </w:rPr>
        <w:t xml:space="preserve">10.1.1  </w:t>
      </w:r>
      <w:r>
        <w:rPr>
          <w:rFonts w:hint="eastAsia" w:ascii="Times New Roman" w:hAnsi="Times New Roman" w:eastAsia="宋体" w:cs="Times New Roman"/>
        </w:rPr>
        <w:t>按照</w:t>
      </w:r>
      <w:r>
        <w:rPr>
          <w:rFonts w:ascii="Times New Roman" w:hAnsi="Times New Roman" w:eastAsia="宋体" w:cs="Times New Roman"/>
        </w:rPr>
        <w:t>SY/T 7643</w:t>
      </w:r>
      <w:r>
        <w:rPr>
          <w:rFonts w:hint="eastAsia" w:ascii="Times New Roman" w:hAnsi="Times New Roman" w:eastAsia="宋体" w:cs="Times New Roman"/>
        </w:rPr>
        <w:t>的相关规定，说明库址情况，包括库址与敏感区和政策法规禁止等特殊区域、以及地震断裂带（层）和塌陷区等易发生地质灾害活动的高风险区域的分布情况。</w:t>
      </w:r>
    </w:p>
    <w:p w14:paraId="2013A8C5">
      <w:pPr>
        <w:rPr>
          <w:rFonts w:ascii="Times New Roman" w:hAnsi="Times New Roman" w:eastAsia="宋体" w:cs="Times New Roman"/>
        </w:rPr>
      </w:pPr>
      <w:r>
        <w:rPr>
          <w:rFonts w:ascii="黑体" w:hAnsi="黑体" w:eastAsia="黑体" w:cs="Times New Roman"/>
          <w:b/>
        </w:rPr>
        <w:t xml:space="preserve">10.1.2  </w:t>
      </w:r>
      <w:r>
        <w:rPr>
          <w:rFonts w:hint="eastAsia" w:ascii="Times New Roman" w:hAnsi="Times New Roman" w:eastAsia="宋体" w:cs="Times New Roman"/>
        </w:rPr>
        <w:t>按照</w:t>
      </w:r>
      <w:r>
        <w:rPr>
          <w:rFonts w:ascii="Times New Roman" w:hAnsi="Times New Roman" w:eastAsia="宋体" w:cs="Times New Roman"/>
        </w:rPr>
        <w:t>SY/T 6848</w:t>
      </w:r>
      <w:r>
        <w:rPr>
          <w:rFonts w:hint="eastAsia" w:ascii="Times New Roman" w:hAnsi="Times New Roman" w:eastAsia="宋体" w:cs="Times New Roman"/>
        </w:rPr>
        <w:t>的相关规定，说明建库层系。</w:t>
      </w:r>
    </w:p>
    <w:p w14:paraId="1992C448">
      <w:pPr>
        <w:pStyle w:val="4"/>
        <w:spacing w:before="156"/>
        <w:rPr>
          <w:rFonts w:ascii="黑体" w:hAnsi="黑体" w:eastAsia="黑体" w:cs="Times New Roman"/>
        </w:rPr>
      </w:pPr>
      <w:bookmarkStart w:id="53" w:name="_Toc195881860"/>
      <w:r>
        <w:rPr>
          <w:rFonts w:ascii="黑体" w:hAnsi="黑体" w:eastAsia="黑体" w:cs="Times New Roman"/>
        </w:rPr>
        <w:t xml:space="preserve">10.2  </w:t>
      </w:r>
      <w:r>
        <w:rPr>
          <w:rFonts w:hint="eastAsia" w:ascii="黑体" w:hAnsi="黑体" w:eastAsia="黑体" w:cs="Times New Roman"/>
        </w:rPr>
        <w:t>地质与气藏</w:t>
      </w:r>
      <w:bookmarkEnd w:id="53"/>
    </w:p>
    <w:p w14:paraId="5C91CAF2">
      <w:pPr>
        <w:rPr>
          <w:rFonts w:ascii="Times New Roman" w:hAnsi="Times New Roman" w:eastAsia="宋体" w:cs="Times New Roman"/>
        </w:rPr>
      </w:pPr>
      <w:r>
        <w:rPr>
          <w:rFonts w:ascii="黑体" w:hAnsi="黑体" w:eastAsia="黑体" w:cs="Times New Roman"/>
          <w:b/>
        </w:rPr>
        <w:t xml:space="preserve">10.2.1  </w:t>
      </w:r>
      <w:r>
        <w:rPr>
          <w:rFonts w:hint="eastAsia" w:ascii="Times New Roman" w:hAnsi="Times New Roman" w:eastAsia="宋体" w:cs="Times New Roman"/>
        </w:rPr>
        <w:t>说明储气层原始地层压力，并按照</w:t>
      </w:r>
      <w:r>
        <w:rPr>
          <w:rFonts w:ascii="Times New Roman" w:hAnsi="Times New Roman" w:eastAsia="宋体" w:cs="Times New Roman"/>
        </w:rPr>
        <w:t>SY/T 7652</w:t>
      </w:r>
      <w:r>
        <w:rPr>
          <w:rFonts w:hint="eastAsia" w:ascii="Times New Roman" w:hAnsi="Times New Roman" w:eastAsia="宋体" w:cs="Times New Roman"/>
        </w:rPr>
        <w:t>的相关规定，说明储气地质体的盖层、断层、侧向遮挡和底托层等封闭时所能承受的上限压力。</w:t>
      </w:r>
    </w:p>
    <w:p w14:paraId="7794BD6C">
      <w:pPr>
        <w:rPr>
          <w:rFonts w:ascii="Times New Roman" w:hAnsi="Times New Roman" w:eastAsia="宋体" w:cs="Times New Roman"/>
          <w:b/>
        </w:rPr>
      </w:pPr>
      <w:r>
        <w:rPr>
          <w:rFonts w:ascii="黑体" w:hAnsi="黑体" w:eastAsia="黑体" w:cs="Times New Roman"/>
          <w:b/>
        </w:rPr>
        <w:t xml:space="preserve">10.2.2 </w:t>
      </w:r>
      <w:r>
        <w:rPr>
          <w:rFonts w:ascii="黑体" w:hAnsi="黑体" w:eastAsia="黑体" w:cs="Times New Roman"/>
        </w:rPr>
        <w:t xml:space="preserve"> </w:t>
      </w:r>
      <w:r>
        <w:rPr>
          <w:rFonts w:hint="eastAsia" w:ascii="Times New Roman" w:hAnsi="Times New Roman" w:eastAsia="宋体" w:cs="Times New Roman"/>
        </w:rPr>
        <w:t>按照</w:t>
      </w:r>
      <w:r>
        <w:rPr>
          <w:rFonts w:ascii="Times New Roman" w:hAnsi="Times New Roman" w:eastAsia="宋体" w:cs="Times New Roman"/>
        </w:rPr>
        <w:t>SY/T 7687</w:t>
      </w:r>
      <w:r>
        <w:rPr>
          <w:rFonts w:hint="eastAsia" w:ascii="Times New Roman" w:hAnsi="Times New Roman" w:eastAsia="宋体" w:cs="Times New Roman"/>
        </w:rPr>
        <w:t>的相关规定，说明保障储气地质体全生命周期注采运行过程中的动态密封性的安全措施。</w:t>
      </w:r>
    </w:p>
    <w:p w14:paraId="77AFEF60">
      <w:pPr>
        <w:rPr>
          <w:rFonts w:ascii="Times New Roman" w:hAnsi="Times New Roman" w:eastAsia="宋体" w:cs="Times New Roman"/>
        </w:rPr>
      </w:pPr>
      <w:r>
        <w:rPr>
          <w:rFonts w:ascii="黑体" w:hAnsi="黑体" w:eastAsia="黑体" w:cs="Times New Roman"/>
          <w:b/>
        </w:rPr>
        <w:t xml:space="preserve">10.2.3  </w:t>
      </w:r>
      <w:r>
        <w:rPr>
          <w:rFonts w:hint="eastAsia" w:ascii="Times New Roman" w:hAnsi="Times New Roman" w:eastAsia="宋体" w:cs="Times New Roman"/>
        </w:rPr>
        <w:t>说明储气地质体满足运行压力条件下的地质力学稳定性所采取的安全措施。</w:t>
      </w:r>
    </w:p>
    <w:p w14:paraId="3D03F3A0">
      <w:pPr>
        <w:rPr>
          <w:rFonts w:ascii="Times New Roman" w:hAnsi="Times New Roman" w:eastAsia="宋体" w:cs="Times New Roman"/>
        </w:rPr>
      </w:pPr>
      <w:r>
        <w:rPr>
          <w:rFonts w:ascii="黑体" w:hAnsi="黑体" w:eastAsia="黑体" w:cs="Times New Roman"/>
          <w:b/>
        </w:rPr>
        <w:t xml:space="preserve">10.2.4  </w:t>
      </w:r>
      <w:r>
        <w:rPr>
          <w:rFonts w:hint="eastAsia" w:ascii="Times New Roman" w:hAnsi="Times New Roman" w:eastAsia="宋体" w:cs="Times New Roman"/>
        </w:rPr>
        <w:t>对于含硫气藏、凝析气藏改建的储气库，应结合酸性气体或凝析油的含量及变化规律，说明所采取的安全措施。</w:t>
      </w:r>
    </w:p>
    <w:p w14:paraId="41E852CA">
      <w:pPr>
        <w:rPr>
          <w:rFonts w:ascii="Times New Roman" w:hAnsi="Times New Roman" w:eastAsia="宋体" w:cs="Times New Roman"/>
        </w:rPr>
      </w:pPr>
      <w:r>
        <w:rPr>
          <w:rFonts w:ascii="黑体" w:hAnsi="黑体" w:eastAsia="黑体" w:cs="Times New Roman"/>
          <w:b/>
        </w:rPr>
        <w:t xml:space="preserve">10.2.5  </w:t>
      </w:r>
      <w:r>
        <w:rPr>
          <w:rFonts w:hint="eastAsia" w:ascii="Times New Roman" w:hAnsi="Times New Roman" w:eastAsia="宋体" w:cs="Times New Roman"/>
        </w:rPr>
        <w:t>针对气液界面或气液边界的变化、出砂、结盐等对储气地质体伤害的风险，说明所采取的安全措施。</w:t>
      </w:r>
    </w:p>
    <w:p w14:paraId="1C5DB522">
      <w:pPr>
        <w:pStyle w:val="4"/>
        <w:spacing w:before="156"/>
        <w:rPr>
          <w:rFonts w:ascii="黑体" w:hAnsi="黑体" w:eastAsia="黑体" w:cs="Arial Unicode MS"/>
        </w:rPr>
      </w:pPr>
      <w:bookmarkStart w:id="54" w:name="_Toc195881861"/>
      <w:r>
        <w:rPr>
          <w:rFonts w:ascii="黑体" w:hAnsi="黑体" w:eastAsia="黑体" w:cs="Arial Unicode MS"/>
        </w:rPr>
        <w:t xml:space="preserve">10.3  </w:t>
      </w:r>
      <w:r>
        <w:rPr>
          <w:rFonts w:hint="eastAsia" w:ascii="黑体" w:hAnsi="黑体" w:eastAsia="黑体" w:cs="Arial Unicode MS"/>
        </w:rPr>
        <w:t>地质体监测部署</w:t>
      </w:r>
      <w:bookmarkEnd w:id="54"/>
    </w:p>
    <w:p w14:paraId="4F05E405">
      <w:pPr>
        <w:rPr>
          <w:rFonts w:ascii="Times New Roman" w:hAnsi="Times New Roman" w:eastAsia="宋体" w:cs="Times New Roman"/>
        </w:rPr>
      </w:pPr>
      <w:r>
        <w:rPr>
          <w:rFonts w:ascii="黑体" w:hAnsi="黑体" w:eastAsia="黑体" w:cs="Times New Roman"/>
          <w:b/>
        </w:rPr>
        <w:t xml:space="preserve">10.3.1  </w:t>
      </w:r>
      <w:r>
        <w:rPr>
          <w:rFonts w:ascii="Times New Roman" w:hAnsi="Times New Roman" w:eastAsia="宋体" w:cs="Times New Roman"/>
        </w:rPr>
        <w:t>按照SY/T 6805、SY/T 7760、SY/T 6848的相关规定进行地质体监测设计。</w:t>
      </w:r>
    </w:p>
    <w:p w14:paraId="1758A832">
      <w:pPr>
        <w:rPr>
          <w:rFonts w:ascii="Times New Roman" w:hAnsi="Times New Roman" w:eastAsia="宋体" w:cs="Times New Roman"/>
        </w:rPr>
      </w:pPr>
      <w:r>
        <w:rPr>
          <w:rFonts w:ascii="黑体" w:hAnsi="黑体" w:eastAsia="黑体" w:cs="Times New Roman"/>
          <w:b/>
        </w:rPr>
        <w:t xml:space="preserve">10.3.2  </w:t>
      </w:r>
      <w:r>
        <w:rPr>
          <w:rFonts w:hint="eastAsia" w:ascii="Times New Roman" w:hAnsi="Times New Roman" w:eastAsia="宋体" w:cs="Times New Roman"/>
        </w:rPr>
        <w:t>说明浅层地表水、上覆渗透层、上覆盖层、断层、下伏底托层、溢出点、周边岩性控制边界地层的监测情况，特别是应结合盖层、断层和侧向层位监测，说明盖层、断层和侧向层位密封性薄弱区域的监测情况。</w:t>
      </w:r>
    </w:p>
    <w:p w14:paraId="2CEC2B7F">
      <w:pPr>
        <w:rPr>
          <w:rFonts w:ascii="Times New Roman" w:hAnsi="Times New Roman" w:eastAsia="宋体" w:cs="Times New Roman"/>
        </w:rPr>
      </w:pPr>
      <w:r>
        <w:rPr>
          <w:rFonts w:ascii="黑体" w:hAnsi="黑体" w:eastAsia="黑体" w:cs="Times New Roman"/>
          <w:b/>
        </w:rPr>
        <w:t xml:space="preserve">10.3.3  </w:t>
      </w:r>
      <w:r>
        <w:rPr>
          <w:rFonts w:hint="eastAsia" w:ascii="Times New Roman" w:hAnsi="Times New Roman" w:eastAsia="宋体" w:cs="Times New Roman"/>
        </w:rPr>
        <w:t>说明压力、温度、流体性质（组分）、气液界面、微地震事件等监测覆盖情况。</w:t>
      </w:r>
    </w:p>
    <w:p w14:paraId="23E7AF00">
      <w:pPr>
        <w:pStyle w:val="3"/>
        <w:rPr>
          <w:rFonts w:ascii="黑体" w:hAnsi="黑体" w:eastAsia="黑体" w:cs="Times New Roman"/>
          <w:szCs w:val="24"/>
        </w:rPr>
      </w:pPr>
      <w:bookmarkStart w:id="55" w:name="_Toc195881862"/>
      <w:r>
        <w:rPr>
          <w:rFonts w:ascii="黑体" w:hAnsi="黑体" w:eastAsia="黑体" w:cs="Times New Roman"/>
          <w:szCs w:val="24"/>
        </w:rPr>
        <w:t xml:space="preserve">11  </w:t>
      </w:r>
      <w:r>
        <w:rPr>
          <w:rFonts w:hint="eastAsia" w:ascii="黑体" w:hAnsi="黑体" w:eastAsia="黑体" w:cs="Times New Roman"/>
          <w:szCs w:val="24"/>
        </w:rPr>
        <w:t>井工程安全措施</w:t>
      </w:r>
      <w:bookmarkEnd w:id="55"/>
    </w:p>
    <w:p w14:paraId="79F1DDAE">
      <w:pPr>
        <w:pStyle w:val="4"/>
        <w:spacing w:before="156"/>
        <w:rPr>
          <w:rFonts w:ascii="黑体" w:hAnsi="黑体" w:eastAsia="黑体" w:cs="Times New Roman"/>
        </w:rPr>
      </w:pPr>
      <w:bookmarkStart w:id="56" w:name="_Toc195881863"/>
      <w:r>
        <w:rPr>
          <w:rFonts w:ascii="黑体" w:hAnsi="黑体" w:eastAsia="黑体" w:cs="Times New Roman"/>
          <w:szCs w:val="24"/>
        </w:rPr>
        <w:t>11</w:t>
      </w:r>
      <w:r>
        <w:rPr>
          <w:rFonts w:ascii="黑体" w:hAnsi="黑体" w:eastAsia="黑体" w:cs="Times New Roman"/>
        </w:rPr>
        <w:t xml:space="preserve">.1  </w:t>
      </w:r>
      <w:r>
        <w:rPr>
          <w:rFonts w:hint="eastAsia" w:ascii="黑体" w:hAnsi="黑体" w:eastAsia="黑体" w:cs="Times New Roman"/>
        </w:rPr>
        <w:t>安全距离</w:t>
      </w:r>
      <w:bookmarkEnd w:id="56"/>
    </w:p>
    <w:p w14:paraId="73ACDCC6">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.1.1  </w:t>
      </w:r>
      <w:r>
        <w:rPr>
          <w:rFonts w:ascii="Times New Roman" w:hAnsi="Times New Roman" w:eastAsia="宋体" w:cs="Times New Roman"/>
        </w:rPr>
        <w:t>按照SY/T 5225的相关规定，</w:t>
      </w:r>
      <w:r>
        <w:rPr>
          <w:rFonts w:hint="eastAsia" w:ascii="Times New Roman" w:hAnsi="Times New Roman" w:eastAsia="宋体" w:cs="Times New Roman"/>
        </w:rPr>
        <w:t>说明井场距离铁路、公路、高压线、学校、医院、油库、民居等公共设施及建筑的安全距离。</w:t>
      </w:r>
    </w:p>
    <w:p w14:paraId="520E3422">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.1.2  </w:t>
      </w:r>
      <w:r>
        <w:rPr>
          <w:rFonts w:hint="eastAsia" w:ascii="Times New Roman" w:hAnsi="Times New Roman" w:eastAsia="宋体" w:cs="Times New Roman"/>
          <w:bCs/>
        </w:rPr>
        <w:t>应</w:t>
      </w:r>
      <w:r>
        <w:rPr>
          <w:rFonts w:hint="eastAsia" w:ascii="Times New Roman" w:hAnsi="Times New Roman" w:eastAsia="宋体" w:cs="Times New Roman"/>
        </w:rPr>
        <w:t>按照GB</w:t>
      </w:r>
      <w:r>
        <w:rPr>
          <w:rFonts w:ascii="Times New Roman" w:hAnsi="Times New Roman" w:eastAsia="宋体" w:cs="Times New Roman"/>
        </w:rPr>
        <w:t xml:space="preserve"> 50183</w:t>
      </w:r>
      <w:r>
        <w:rPr>
          <w:rFonts w:hint="eastAsia" w:ascii="Times New Roman" w:hAnsi="Times New Roman" w:eastAsia="宋体" w:cs="Times New Roman"/>
        </w:rPr>
        <w:t>的相关规定，</w:t>
      </w:r>
      <w:r>
        <w:rPr>
          <w:rFonts w:hint="eastAsia" w:ascii="Times New Roman" w:hAnsi="Times New Roman" w:eastAsia="宋体" w:cs="Times New Roman"/>
          <w:bCs/>
        </w:rPr>
        <w:t>说明井间距设置情况</w:t>
      </w:r>
      <w:r>
        <w:rPr>
          <w:rFonts w:hint="eastAsia" w:ascii="Times New Roman" w:hAnsi="Times New Roman" w:eastAsia="宋体" w:cs="Times New Roman"/>
        </w:rPr>
        <w:t>。</w:t>
      </w:r>
    </w:p>
    <w:p w14:paraId="07C76C15">
      <w:pPr>
        <w:pStyle w:val="4"/>
        <w:spacing w:before="156"/>
        <w:rPr>
          <w:rFonts w:ascii="黑体" w:hAnsi="黑体" w:eastAsia="黑体" w:cs="Times New Roman"/>
        </w:rPr>
      </w:pPr>
      <w:bookmarkStart w:id="57" w:name="_Toc195881864"/>
      <w:r>
        <w:rPr>
          <w:rFonts w:ascii="黑体" w:hAnsi="黑体" w:eastAsia="黑体" w:cs="Times New Roman"/>
          <w:szCs w:val="24"/>
        </w:rPr>
        <w:t>11</w:t>
      </w:r>
      <w:r>
        <w:rPr>
          <w:rFonts w:ascii="黑体" w:hAnsi="黑体" w:eastAsia="黑体" w:cs="Times New Roman"/>
        </w:rPr>
        <w:t xml:space="preserve">.2  </w:t>
      </w:r>
      <w:r>
        <w:rPr>
          <w:rFonts w:hint="eastAsia" w:ascii="黑体" w:hAnsi="黑体" w:eastAsia="黑体" w:cs="Times New Roman"/>
        </w:rPr>
        <w:t>工程质量</w:t>
      </w:r>
      <w:bookmarkEnd w:id="57"/>
    </w:p>
    <w:p w14:paraId="0FD0F1BE">
      <w:pPr>
        <w:pStyle w:val="5"/>
        <w:spacing w:line="276" w:lineRule="auto"/>
        <w:rPr>
          <w:rFonts w:ascii="黑体" w:hAnsi="黑体" w:eastAsia="黑体" w:cs="Times New Roman"/>
        </w:rPr>
      </w:pPr>
      <w:bookmarkStart w:id="58" w:name="_Toc193449100"/>
      <w:r>
        <w:rPr>
          <w:rFonts w:ascii="黑体" w:hAnsi="黑体" w:eastAsia="黑体" w:cs="Times New Roman"/>
          <w:szCs w:val="24"/>
        </w:rPr>
        <w:t>11</w:t>
      </w:r>
      <w:r>
        <w:rPr>
          <w:rFonts w:ascii="黑体" w:hAnsi="黑体" w:eastAsia="黑体" w:cs="Times New Roman"/>
        </w:rPr>
        <w:t xml:space="preserve">.2.1  </w:t>
      </w:r>
      <w:r>
        <w:rPr>
          <w:rFonts w:hint="eastAsia" w:ascii="黑体" w:hAnsi="黑体" w:eastAsia="黑体" w:cs="Times New Roman"/>
        </w:rPr>
        <w:t>井身质量</w:t>
      </w:r>
      <w:bookmarkEnd w:id="58"/>
    </w:p>
    <w:p w14:paraId="0E91A4E0">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.2.1.1 </w:t>
      </w:r>
      <w:r>
        <w:rPr>
          <w:rFonts w:ascii="黑体" w:hAnsi="黑体" w:eastAsia="黑体" w:cs="Times New Roman"/>
        </w:rPr>
        <w:t xml:space="preserve"> </w:t>
      </w:r>
      <w:r>
        <w:rPr>
          <w:rFonts w:hint="eastAsia" w:ascii="Times New Roman" w:hAnsi="Times New Roman" w:eastAsia="宋体" w:cs="Times New Roman"/>
        </w:rPr>
        <w:t>按照</w:t>
      </w:r>
      <w:r>
        <w:rPr>
          <w:rFonts w:ascii="Times New Roman" w:hAnsi="Times New Roman" w:eastAsia="宋体" w:cs="Times New Roman"/>
        </w:rPr>
        <w:t>SY/T 7451</w:t>
      </w:r>
      <w:r>
        <w:rPr>
          <w:rFonts w:hint="eastAsia" w:ascii="Times New Roman" w:hAnsi="Times New Roman" w:eastAsia="宋体" w:cs="Times New Roman"/>
        </w:rPr>
        <w:t>的相关规定，说明直井和定向井（含水平井）井身质量控制的安全措施，并说明井斜、方位数据采集间距和测量间距。</w:t>
      </w:r>
    </w:p>
    <w:p w14:paraId="1B45C5E8">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.2.1.2 </w:t>
      </w:r>
      <w:r>
        <w:rPr>
          <w:rFonts w:ascii="黑体" w:hAnsi="黑体" w:eastAsia="黑体" w:cs="Times New Roman"/>
        </w:rPr>
        <w:t xml:space="preserve"> </w:t>
      </w:r>
      <w:r>
        <w:rPr>
          <w:rFonts w:hint="eastAsia" w:ascii="Times New Roman" w:hAnsi="Times New Roman" w:eastAsia="宋体" w:cs="Times New Roman"/>
        </w:rPr>
        <w:t>按照</w:t>
      </w:r>
      <w:r>
        <w:rPr>
          <w:rFonts w:ascii="Times New Roman" w:hAnsi="Times New Roman" w:eastAsia="宋体" w:cs="Times New Roman"/>
        </w:rPr>
        <w:t>SY/T 7451</w:t>
      </w:r>
      <w:r>
        <w:rPr>
          <w:rFonts w:hint="eastAsia" w:ascii="Times New Roman" w:hAnsi="Times New Roman" w:eastAsia="宋体" w:cs="Times New Roman"/>
        </w:rPr>
        <w:t>的相关规定，说明直井全角变化率和定向井（含水平井）的造斜井段与扭方位井段全角变化率。</w:t>
      </w:r>
    </w:p>
    <w:p w14:paraId="2374A410">
      <w:pPr>
        <w:pStyle w:val="5"/>
        <w:spacing w:line="276" w:lineRule="auto"/>
        <w:rPr>
          <w:rFonts w:ascii="黑体" w:hAnsi="黑体" w:eastAsia="黑体" w:cs="Times New Roman"/>
        </w:rPr>
      </w:pPr>
      <w:bookmarkStart w:id="59" w:name="_Toc193449101"/>
      <w:r>
        <w:rPr>
          <w:rFonts w:ascii="黑体" w:hAnsi="黑体" w:eastAsia="黑体" w:cs="Times New Roman"/>
          <w:szCs w:val="24"/>
        </w:rPr>
        <w:t>11</w:t>
      </w:r>
      <w:r>
        <w:rPr>
          <w:rFonts w:ascii="黑体" w:hAnsi="黑体" w:eastAsia="黑体" w:cs="Times New Roman"/>
        </w:rPr>
        <w:t xml:space="preserve">.2.2  </w:t>
      </w:r>
      <w:r>
        <w:rPr>
          <w:rFonts w:hint="eastAsia" w:ascii="黑体" w:hAnsi="黑体" w:eastAsia="黑体" w:cs="Times New Roman"/>
        </w:rPr>
        <w:t>固井质量</w:t>
      </w:r>
      <w:bookmarkEnd w:id="59"/>
    </w:p>
    <w:p w14:paraId="1092DD77">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.2.2.1 </w:t>
      </w:r>
      <w:r>
        <w:rPr>
          <w:rFonts w:ascii="黑体" w:hAnsi="黑体" w:eastAsia="黑体" w:cs="Times New Roman"/>
        </w:rPr>
        <w:t xml:space="preserve"> </w:t>
      </w:r>
      <w:r>
        <w:rPr>
          <w:rFonts w:hint="eastAsia" w:ascii="Times New Roman" w:hAnsi="Times New Roman" w:eastAsia="宋体" w:cs="Times New Roman"/>
        </w:rPr>
        <w:t>按照</w:t>
      </w:r>
      <w:r>
        <w:rPr>
          <w:rFonts w:ascii="Times New Roman" w:hAnsi="Times New Roman" w:eastAsia="宋体" w:cs="Times New Roman"/>
        </w:rPr>
        <w:t>SY/T 7648</w:t>
      </w:r>
      <w:r>
        <w:rPr>
          <w:rFonts w:hint="eastAsia" w:ascii="Times New Roman" w:hAnsi="Times New Roman" w:eastAsia="宋体" w:cs="Times New Roman"/>
        </w:rPr>
        <w:t>的相关规定，说明注采井各层套管固井水泥返高、水泥浆性能指标。</w:t>
      </w:r>
    </w:p>
    <w:p w14:paraId="794BACD4">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.2.2.2 </w:t>
      </w:r>
      <w:r>
        <w:rPr>
          <w:rFonts w:ascii="黑体" w:hAnsi="黑体" w:eastAsia="黑体" w:cs="Times New Roman"/>
        </w:rPr>
        <w:t xml:space="preserve"> </w:t>
      </w:r>
      <w:r>
        <w:rPr>
          <w:rFonts w:hint="eastAsia" w:ascii="Times New Roman" w:hAnsi="Times New Roman" w:eastAsia="宋体" w:cs="Times New Roman"/>
        </w:rPr>
        <w:t>按照</w:t>
      </w:r>
      <w:r>
        <w:rPr>
          <w:rFonts w:ascii="Times New Roman" w:hAnsi="Times New Roman" w:eastAsia="宋体" w:cs="Times New Roman"/>
        </w:rPr>
        <w:t>SY/T 7648</w:t>
      </w:r>
      <w:r>
        <w:rPr>
          <w:rFonts w:hint="eastAsia" w:ascii="Times New Roman" w:hAnsi="Times New Roman" w:eastAsia="宋体" w:cs="Times New Roman"/>
        </w:rPr>
        <w:t>的相关规定，说明固井质量和水泥封固质量的要求，包括固井质量测井评价方式和表层套管、技术套管、生产套管水泥封固合格率，盖层井段水泥封固质量连续优质井段长度。</w:t>
      </w:r>
    </w:p>
    <w:p w14:paraId="2F180358">
      <w:pPr>
        <w:pStyle w:val="5"/>
        <w:spacing w:line="276" w:lineRule="auto"/>
        <w:rPr>
          <w:rFonts w:ascii="黑体" w:hAnsi="黑体" w:eastAsia="黑体" w:cs="Times New Roman"/>
        </w:rPr>
      </w:pPr>
      <w:bookmarkStart w:id="60" w:name="_Toc193449102"/>
      <w:r>
        <w:rPr>
          <w:rFonts w:ascii="黑体" w:hAnsi="黑体" w:eastAsia="黑体" w:cs="Times New Roman"/>
          <w:szCs w:val="24"/>
        </w:rPr>
        <w:t>11</w:t>
      </w:r>
      <w:r>
        <w:rPr>
          <w:rFonts w:ascii="黑体" w:hAnsi="黑体" w:eastAsia="黑体" w:cs="Times New Roman"/>
        </w:rPr>
        <w:t xml:space="preserve">.2.3  </w:t>
      </w:r>
      <w:r>
        <w:rPr>
          <w:rFonts w:hint="eastAsia" w:ascii="黑体" w:hAnsi="黑体" w:eastAsia="黑体" w:cs="Times New Roman"/>
        </w:rPr>
        <w:t>老井处置</w:t>
      </w:r>
      <w:bookmarkEnd w:id="60"/>
    </w:p>
    <w:p w14:paraId="6917E464">
      <w:pPr>
        <w:rPr>
          <w:rFonts w:ascii="Times New Roman" w:hAnsi="Times New Roman" w:cs="Times New Roman" w:eastAsiaTheme="minorEastAsia"/>
          <w:b/>
          <w:szCs w:val="24"/>
        </w:rPr>
      </w:pPr>
      <w:r>
        <w:rPr>
          <w:rFonts w:hint="eastAsia" w:ascii="黑体" w:hAnsi="黑体" w:eastAsia="黑体" w:cs="Times New Roman"/>
          <w:b/>
          <w:szCs w:val="24"/>
        </w:rPr>
        <w:t xml:space="preserve">11.2.3.1  </w:t>
      </w:r>
      <w:r>
        <w:rPr>
          <w:rFonts w:hint="eastAsia" w:ascii="Times New Roman" w:hAnsi="Times New Roman" w:eastAsia="宋体" w:cs="Times New Roman"/>
          <w:bCs/>
        </w:rPr>
        <w:t>按照再利用检测评价和封堵相关规定，分类说明所涉及全部老井的处置措施。</w:t>
      </w:r>
    </w:p>
    <w:p w14:paraId="66E60C7C">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.2.3.2  </w:t>
      </w:r>
      <w:r>
        <w:rPr>
          <w:rFonts w:hint="eastAsia" w:ascii="Times New Roman" w:hAnsi="Times New Roman" w:eastAsia="宋体" w:cs="Times New Roman"/>
          <w:bCs/>
        </w:rPr>
        <w:t>按照</w:t>
      </w:r>
      <w:r>
        <w:rPr>
          <w:rFonts w:ascii="Times New Roman" w:hAnsi="Times New Roman" w:eastAsia="宋体" w:cs="Times New Roman"/>
        </w:rPr>
        <w:t>SY/T 6848</w:t>
      </w:r>
      <w:r>
        <w:rPr>
          <w:rFonts w:hint="eastAsia" w:ascii="Times New Roman" w:hAnsi="Times New Roman" w:eastAsia="宋体" w:cs="Times New Roman"/>
        </w:rPr>
        <w:t>的相关规定，</w:t>
      </w:r>
      <w:r>
        <w:rPr>
          <w:rFonts w:hint="eastAsia" w:ascii="Times New Roman" w:hAnsi="Times New Roman" w:eastAsia="宋体" w:cs="Times New Roman"/>
          <w:bCs/>
        </w:rPr>
        <w:t>说明</w:t>
      </w:r>
      <w:r>
        <w:rPr>
          <w:rFonts w:hint="eastAsia" w:ascii="Times New Roman" w:hAnsi="Times New Roman" w:eastAsia="宋体" w:cs="Times New Roman"/>
        </w:rPr>
        <w:t>老井再利用的检测评价结论和安全措施。</w:t>
      </w:r>
    </w:p>
    <w:p w14:paraId="39E5FA2A">
      <w:pPr>
        <w:rPr>
          <w:rFonts w:ascii="Times New Roman" w:hAnsi="Times New Roman" w:eastAsia="宋体" w:cs="Times New Roman"/>
        </w:rPr>
      </w:pPr>
      <w:r>
        <w:rPr>
          <w:rFonts w:ascii="黑体" w:hAnsi="黑体" w:eastAsia="黑体" w:cs="Times New Roman"/>
          <w:b/>
          <w:szCs w:val="24"/>
        </w:rPr>
        <w:t>11</w:t>
      </w:r>
      <w:r>
        <w:rPr>
          <w:rFonts w:ascii="黑体" w:hAnsi="黑体" w:eastAsia="黑体" w:cs="Times New Roman"/>
          <w:b/>
        </w:rPr>
        <w:t xml:space="preserve">.2.3.3  </w:t>
      </w:r>
      <w:r>
        <w:rPr>
          <w:rFonts w:hint="eastAsia" w:ascii="Times New Roman" w:hAnsi="Times New Roman" w:eastAsia="宋体" w:cs="Times New Roman"/>
        </w:rPr>
        <w:t>按照</w:t>
      </w:r>
      <w:r>
        <w:rPr>
          <w:rFonts w:ascii="Times New Roman" w:hAnsi="Times New Roman" w:eastAsia="宋体" w:cs="Times New Roman"/>
        </w:rPr>
        <w:t>SY/T 7688</w:t>
      </w:r>
      <w:r>
        <w:rPr>
          <w:rFonts w:hint="eastAsia" w:ascii="Times New Roman" w:hAnsi="Times New Roman" w:eastAsia="宋体" w:cs="Times New Roman"/>
        </w:rPr>
        <w:t>的相关规定，说明老井封堵的安全措施。</w:t>
      </w:r>
    </w:p>
    <w:p w14:paraId="68AC7193">
      <w:pPr>
        <w:pStyle w:val="4"/>
        <w:spacing w:before="156"/>
        <w:rPr>
          <w:rFonts w:ascii="黑体" w:hAnsi="黑体" w:eastAsia="黑体" w:cs="Times New Roman"/>
        </w:rPr>
      </w:pPr>
      <w:bookmarkStart w:id="61" w:name="_Toc195881865"/>
      <w:r>
        <w:rPr>
          <w:rFonts w:ascii="黑体" w:hAnsi="黑体" w:eastAsia="黑体" w:cs="Times New Roman"/>
          <w:szCs w:val="24"/>
        </w:rPr>
        <w:t>11</w:t>
      </w:r>
      <w:r>
        <w:rPr>
          <w:rFonts w:ascii="黑体" w:hAnsi="黑体" w:eastAsia="黑体" w:cs="Times New Roman"/>
        </w:rPr>
        <w:t xml:space="preserve">.3  </w:t>
      </w:r>
      <w:r>
        <w:rPr>
          <w:rFonts w:hint="eastAsia" w:ascii="黑体" w:hAnsi="黑体" w:eastAsia="黑体" w:cs="Times New Roman"/>
        </w:rPr>
        <w:t>完井安全设施</w:t>
      </w:r>
      <w:bookmarkEnd w:id="61"/>
    </w:p>
    <w:p w14:paraId="393B1C25">
      <w:pPr>
        <w:pStyle w:val="5"/>
        <w:spacing w:line="276" w:lineRule="auto"/>
        <w:rPr>
          <w:rFonts w:ascii="黑体" w:hAnsi="黑体" w:eastAsia="黑体" w:cs="Times New Roman"/>
        </w:rPr>
      </w:pPr>
      <w:bookmarkStart w:id="62" w:name="_Toc193449104"/>
      <w:r>
        <w:rPr>
          <w:rFonts w:ascii="黑体" w:hAnsi="黑体" w:eastAsia="黑体" w:cs="Times New Roman"/>
          <w:szCs w:val="24"/>
        </w:rPr>
        <w:t>11</w:t>
      </w:r>
      <w:r>
        <w:rPr>
          <w:rFonts w:ascii="黑体" w:hAnsi="黑体" w:eastAsia="黑体" w:cs="Times New Roman"/>
        </w:rPr>
        <w:t xml:space="preserve">.3.1  </w:t>
      </w:r>
      <w:r>
        <w:rPr>
          <w:rFonts w:hint="eastAsia" w:ascii="黑体" w:hAnsi="黑体" w:eastAsia="黑体" w:cs="Times New Roman"/>
        </w:rPr>
        <w:t>生产套管和注采管柱</w:t>
      </w:r>
      <w:bookmarkEnd w:id="62"/>
    </w:p>
    <w:p w14:paraId="5BEAED69">
      <w:pPr>
        <w:ind w:firstLine="420" w:firstLineChars="200"/>
        <w:rPr>
          <w:rFonts w:ascii="Times New Roman" w:hAnsi="Times New Roman" w:eastAsia="宋体" w:cs="Times New Roman"/>
        </w:rPr>
      </w:pPr>
      <w:r>
        <w:rPr>
          <w:rFonts w:hint="eastAsia" w:ascii="Times New Roman" w:hAnsi="Times New Roman" w:eastAsia="宋体" w:cs="Times New Roman"/>
        </w:rPr>
        <w:t>结合气藏流体性能、外来气质和注采工艺，按照</w:t>
      </w:r>
      <w:r>
        <w:rPr>
          <w:rFonts w:ascii="Times New Roman" w:hAnsi="Times New Roman" w:eastAsia="宋体" w:cs="Times New Roman"/>
        </w:rPr>
        <w:t>SY/T 7370</w:t>
      </w:r>
      <w:r>
        <w:rPr>
          <w:rFonts w:hint="eastAsia" w:ascii="Times New Roman" w:hAnsi="Times New Roman" w:eastAsia="宋体" w:cs="Times New Roman"/>
        </w:rPr>
        <w:t>和</w:t>
      </w:r>
      <w:r>
        <w:rPr>
          <w:rFonts w:ascii="Times New Roman" w:hAnsi="Times New Roman" w:eastAsia="宋体" w:cs="Times New Roman"/>
        </w:rPr>
        <w:t>SY/T 7451</w:t>
      </w:r>
      <w:r>
        <w:rPr>
          <w:rFonts w:hint="eastAsia" w:ascii="Times New Roman" w:hAnsi="Times New Roman" w:eastAsia="宋体" w:cs="Times New Roman"/>
        </w:rPr>
        <w:t>的相关规定，说明生产套管和注采管柱材质、强度、螺纹选用情况、试压要求、封隔器和井下安全阀配置等。</w:t>
      </w:r>
    </w:p>
    <w:p w14:paraId="4B3D902B">
      <w:pPr>
        <w:pStyle w:val="5"/>
        <w:spacing w:line="276" w:lineRule="auto"/>
        <w:rPr>
          <w:rFonts w:ascii="黑体" w:hAnsi="黑体" w:eastAsia="黑体" w:cs="Times New Roman"/>
        </w:rPr>
      </w:pPr>
      <w:bookmarkStart w:id="63" w:name="_Toc193449105"/>
      <w:r>
        <w:rPr>
          <w:rFonts w:ascii="黑体" w:hAnsi="黑体" w:eastAsia="黑体" w:cs="Times New Roman"/>
          <w:szCs w:val="24"/>
        </w:rPr>
        <w:t>11</w:t>
      </w:r>
      <w:r>
        <w:rPr>
          <w:rFonts w:ascii="黑体" w:hAnsi="黑体" w:eastAsia="黑体" w:cs="Times New Roman"/>
        </w:rPr>
        <w:t xml:space="preserve">.3.2  </w:t>
      </w:r>
      <w:r>
        <w:rPr>
          <w:rFonts w:hint="eastAsia" w:ascii="黑体" w:hAnsi="黑体" w:eastAsia="黑体" w:cs="Times New Roman"/>
        </w:rPr>
        <w:t>老井完井管柱</w:t>
      </w:r>
      <w:bookmarkEnd w:id="63"/>
    </w:p>
    <w:p w14:paraId="3C90DA57">
      <w:pPr>
        <w:ind w:firstLine="420" w:firstLineChars="200"/>
        <w:rPr>
          <w:rFonts w:ascii="Times New Roman" w:hAnsi="Times New Roman" w:eastAsia="宋体" w:cs="Times New Roman"/>
        </w:rPr>
      </w:pPr>
      <w:r>
        <w:rPr>
          <w:rFonts w:hint="eastAsia" w:ascii="Times New Roman" w:hAnsi="Times New Roman" w:eastAsia="宋体" w:cs="Times New Roman"/>
        </w:rPr>
        <w:t>说明再利用为采气井和同层监测井的老井完井管柱的配置。</w:t>
      </w:r>
    </w:p>
    <w:p w14:paraId="7E078D92">
      <w:pPr>
        <w:pStyle w:val="5"/>
        <w:spacing w:line="276" w:lineRule="auto"/>
        <w:rPr>
          <w:rFonts w:ascii="黑体" w:hAnsi="黑体" w:eastAsia="黑体" w:cs="Times New Roman"/>
          <w:b w:val="0"/>
          <w:szCs w:val="24"/>
        </w:rPr>
      </w:pPr>
      <w:bookmarkStart w:id="64" w:name="_Toc193449106"/>
      <w:r>
        <w:rPr>
          <w:rFonts w:ascii="黑体" w:hAnsi="黑体" w:eastAsia="黑体" w:cs="Times New Roman"/>
          <w:bCs w:val="0"/>
          <w:szCs w:val="24"/>
        </w:rPr>
        <w:t xml:space="preserve">11.3.3  </w:t>
      </w:r>
      <w:r>
        <w:rPr>
          <w:rFonts w:hint="eastAsia" w:ascii="黑体" w:hAnsi="黑体" w:eastAsia="黑体" w:cs="宋体"/>
          <w:bCs w:val="0"/>
          <w:szCs w:val="24"/>
        </w:rPr>
        <w:t>井口装置</w:t>
      </w:r>
      <w:bookmarkEnd w:id="64"/>
    </w:p>
    <w:p w14:paraId="2561128B">
      <w:pPr>
        <w:rPr>
          <w:rFonts w:ascii="Times New Roman" w:hAnsi="Times New Roman" w:eastAsia="宋体" w:cs="Times New Roman"/>
        </w:rPr>
      </w:pPr>
      <w:r>
        <w:rPr>
          <w:rFonts w:ascii="黑体" w:hAnsi="黑体" w:eastAsia="黑体" w:cs="Times New Roman"/>
          <w:b/>
        </w:rPr>
        <w:t xml:space="preserve">11.3.3.1  </w:t>
      </w:r>
      <w:r>
        <w:rPr>
          <w:rFonts w:hint="eastAsia" w:ascii="Times New Roman" w:hAnsi="Times New Roman" w:eastAsia="宋体" w:cs="Times New Roman"/>
        </w:rPr>
        <w:t>按照</w:t>
      </w:r>
      <w:r>
        <w:rPr>
          <w:rFonts w:ascii="Times New Roman" w:hAnsi="Times New Roman" w:eastAsia="宋体" w:cs="Times New Roman"/>
        </w:rPr>
        <w:t>GB/T 22513</w:t>
      </w:r>
      <w:r>
        <w:rPr>
          <w:rFonts w:hint="eastAsia" w:ascii="Times New Roman" w:hAnsi="Times New Roman" w:eastAsia="宋体" w:cs="Times New Roman"/>
        </w:rPr>
        <w:t>的相关规定，说明井口装置质量要求及试压要求。</w:t>
      </w:r>
    </w:p>
    <w:p w14:paraId="53298142">
      <w:pPr>
        <w:rPr>
          <w:rFonts w:ascii="Times New Roman" w:hAnsi="Times New Roman" w:eastAsia="宋体" w:cs="Times New Roman"/>
        </w:rPr>
      </w:pPr>
      <w:r>
        <w:rPr>
          <w:rFonts w:ascii="黑体" w:hAnsi="黑体" w:eastAsia="黑体" w:cs="Times New Roman"/>
          <w:b/>
        </w:rPr>
        <w:t xml:space="preserve">11.3.3.2  </w:t>
      </w:r>
      <w:r>
        <w:rPr>
          <w:rFonts w:hint="eastAsia" w:ascii="Times New Roman" w:hAnsi="Times New Roman" w:eastAsia="宋体" w:cs="Times New Roman"/>
        </w:rPr>
        <w:t>说明井口压力、温度及各级环空压力监测方式、井口抬升</w:t>
      </w:r>
      <w:r>
        <w:rPr>
          <w:rFonts w:ascii="Times New Roman" w:hAnsi="Times New Roman" w:eastAsia="宋体" w:cs="Times New Roman"/>
        </w:rPr>
        <w:t>/</w:t>
      </w:r>
      <w:r>
        <w:rPr>
          <w:rFonts w:hint="eastAsia" w:ascii="Times New Roman" w:hAnsi="Times New Roman" w:eastAsia="宋体" w:cs="Times New Roman"/>
        </w:rPr>
        <w:t>沉降监测方式和井周可燃气体浓度监测方式。</w:t>
      </w:r>
    </w:p>
    <w:p w14:paraId="1A7FCCED">
      <w:pPr>
        <w:pStyle w:val="4"/>
        <w:spacing w:before="156"/>
        <w:rPr>
          <w:rFonts w:ascii="黑体" w:hAnsi="黑体" w:eastAsia="黑体" w:cs="Times New Roman"/>
          <w:szCs w:val="24"/>
        </w:rPr>
      </w:pPr>
      <w:bookmarkStart w:id="65" w:name="_Toc195881866"/>
      <w:r>
        <w:rPr>
          <w:rFonts w:ascii="黑体" w:hAnsi="黑体" w:eastAsia="黑体" w:cs="Times New Roman"/>
          <w:szCs w:val="24"/>
        </w:rPr>
        <w:t xml:space="preserve">11.4  </w:t>
      </w:r>
      <w:r>
        <w:rPr>
          <w:rFonts w:hint="eastAsia" w:ascii="黑体" w:hAnsi="黑体" w:eastAsia="黑体" w:cs="Times New Roman"/>
          <w:szCs w:val="24"/>
        </w:rPr>
        <w:t>硫化氢防护</w:t>
      </w:r>
      <w:bookmarkEnd w:id="65"/>
    </w:p>
    <w:p w14:paraId="4D96F546">
      <w:pPr>
        <w:rPr>
          <w:rFonts w:ascii="Times New Roman" w:hAnsi="Times New Roman" w:eastAsia="宋体" w:cs="Times New Roman"/>
        </w:rPr>
      </w:pPr>
      <w:r>
        <w:rPr>
          <w:rFonts w:hint="eastAsia" w:ascii="黑体" w:hAnsi="黑体" w:eastAsia="黑体" w:cs="Times New Roman"/>
          <w:b/>
        </w:rPr>
        <w:t>1</w:t>
      </w:r>
      <w:r>
        <w:rPr>
          <w:rFonts w:ascii="黑体" w:hAnsi="黑体" w:eastAsia="黑体" w:cs="Times New Roman"/>
          <w:b/>
        </w:rPr>
        <w:t xml:space="preserve">1.4.1  </w:t>
      </w:r>
      <w:r>
        <w:rPr>
          <w:rFonts w:hint="eastAsia" w:ascii="Times New Roman" w:hAnsi="Times New Roman" w:eastAsia="宋体" w:cs="Times New Roman"/>
        </w:rPr>
        <w:t>按照</w:t>
      </w:r>
      <w:r>
        <w:rPr>
          <w:rFonts w:ascii="Times New Roman" w:hAnsi="Times New Roman" w:eastAsia="宋体" w:cs="Times New Roman"/>
        </w:rPr>
        <w:t>SY/T 6610</w:t>
      </w:r>
      <w:r>
        <w:rPr>
          <w:rFonts w:hint="eastAsia" w:ascii="Times New Roman" w:hAnsi="Times New Roman" w:eastAsia="宋体" w:cs="Times New Roman"/>
        </w:rPr>
        <w:t>和</w:t>
      </w:r>
      <w:r>
        <w:rPr>
          <w:rFonts w:ascii="Times New Roman" w:hAnsi="Times New Roman" w:eastAsia="宋体" w:cs="Times New Roman"/>
        </w:rPr>
        <w:t>SY/T 6277</w:t>
      </w:r>
      <w:r>
        <w:rPr>
          <w:rFonts w:hint="eastAsia" w:ascii="Times New Roman" w:hAnsi="Times New Roman" w:eastAsia="宋体" w:cs="Times New Roman"/>
        </w:rPr>
        <w:t>的相关规定，说明</w:t>
      </w:r>
      <w:r>
        <w:rPr>
          <w:rFonts w:hint="eastAsia" w:ascii="Times New Roman" w:hAnsi="Times New Roman" w:eastAsia="宋体" w:cs="Times New Roman"/>
          <w:bCs/>
        </w:rPr>
        <w:t>含硫气井的监测防护设施设置</w:t>
      </w:r>
      <w:r>
        <w:rPr>
          <w:rFonts w:hint="eastAsia" w:ascii="Times New Roman" w:hAnsi="Times New Roman" w:eastAsia="宋体" w:cs="Times New Roman"/>
        </w:rPr>
        <w:t>情况。</w:t>
      </w:r>
    </w:p>
    <w:p w14:paraId="6B4379A9">
      <w:pPr>
        <w:rPr>
          <w:rFonts w:ascii="Times New Roman" w:hAnsi="Times New Roman" w:eastAsia="宋体" w:cs="Times New Roman"/>
        </w:rPr>
      </w:pPr>
      <w:r>
        <w:rPr>
          <w:rFonts w:hint="eastAsia" w:ascii="黑体" w:hAnsi="黑体" w:eastAsia="黑体" w:cs="Times New Roman"/>
          <w:b/>
        </w:rPr>
        <w:t>1</w:t>
      </w:r>
      <w:r>
        <w:rPr>
          <w:rFonts w:ascii="黑体" w:hAnsi="黑体" w:eastAsia="黑体" w:cs="Times New Roman"/>
          <w:b/>
        </w:rPr>
        <w:t xml:space="preserve">1.4.2  </w:t>
      </w:r>
      <w:r>
        <w:rPr>
          <w:rFonts w:hint="eastAsia" w:ascii="Times New Roman" w:hAnsi="Times New Roman" w:eastAsia="宋体" w:cs="Times New Roman"/>
        </w:rPr>
        <w:t>说明含硫化氢环境中的作业人员上岗的安全措施。</w:t>
      </w:r>
    </w:p>
    <w:p w14:paraId="1723E54A">
      <w:pPr>
        <w:pStyle w:val="4"/>
        <w:spacing w:before="156"/>
        <w:rPr>
          <w:rFonts w:ascii="黑体" w:hAnsi="黑体" w:eastAsia="黑体" w:cs="Times New Roman"/>
          <w:szCs w:val="24"/>
        </w:rPr>
      </w:pPr>
      <w:bookmarkStart w:id="66" w:name="_Toc195881867"/>
      <w:r>
        <w:rPr>
          <w:rFonts w:ascii="黑体" w:hAnsi="黑体" w:eastAsia="黑体" w:cs="Times New Roman"/>
          <w:szCs w:val="24"/>
        </w:rPr>
        <w:t xml:space="preserve">11.5  </w:t>
      </w:r>
      <w:r>
        <w:rPr>
          <w:rFonts w:hint="eastAsia" w:ascii="黑体" w:hAnsi="黑体" w:eastAsia="黑体" w:cs="Times New Roman"/>
          <w:szCs w:val="24"/>
        </w:rPr>
        <w:t>防火防爆相关设施</w:t>
      </w:r>
      <w:bookmarkEnd w:id="66"/>
    </w:p>
    <w:p w14:paraId="20B78EAB">
      <w:pPr>
        <w:rPr>
          <w:rFonts w:ascii="Times New Roman" w:hAnsi="Times New Roman" w:eastAsia="宋体" w:cs="Times New Roman"/>
        </w:rPr>
      </w:pPr>
      <w:r>
        <w:rPr>
          <w:rFonts w:hint="eastAsia" w:ascii="黑体" w:hAnsi="黑体" w:eastAsia="黑体" w:cs="Times New Roman"/>
          <w:b/>
        </w:rPr>
        <w:t>1</w:t>
      </w:r>
      <w:r>
        <w:rPr>
          <w:rFonts w:ascii="黑体" w:hAnsi="黑体" w:eastAsia="黑体" w:cs="Times New Roman"/>
          <w:b/>
        </w:rPr>
        <w:t xml:space="preserve">1.5.1  </w:t>
      </w:r>
      <w:r>
        <w:rPr>
          <w:rFonts w:hint="eastAsia" w:ascii="Times New Roman" w:hAnsi="Times New Roman" w:eastAsia="宋体" w:cs="Times New Roman"/>
        </w:rPr>
        <w:t>说明井场防火的安全措施，主要包括井场设备的布局、消防车进出通道、井场储水罐配备等。</w:t>
      </w:r>
    </w:p>
    <w:p w14:paraId="449F83DF">
      <w:pPr>
        <w:rPr>
          <w:rFonts w:ascii="Times New Roman" w:hAnsi="Times New Roman" w:eastAsia="宋体" w:cs="Times New Roman"/>
        </w:rPr>
      </w:pPr>
      <w:r>
        <w:rPr>
          <w:rFonts w:ascii="黑体" w:hAnsi="黑体" w:eastAsia="黑体" w:cs="Times New Roman"/>
          <w:b/>
        </w:rPr>
        <w:t xml:space="preserve">11.5.2  </w:t>
      </w:r>
      <w:r>
        <w:rPr>
          <w:rFonts w:hint="eastAsia" w:ascii="Times New Roman" w:hAnsi="Times New Roman" w:eastAsia="宋体" w:cs="Times New Roman"/>
        </w:rPr>
        <w:t>说明安全警示标志设置，关键部位冷却灭火装置的安装，可燃气体监测设备安装、报警值设置等。</w:t>
      </w:r>
    </w:p>
    <w:p w14:paraId="28EA04B5">
      <w:pPr>
        <w:pStyle w:val="3"/>
        <w:rPr>
          <w:rFonts w:ascii="黑体" w:hAnsi="黑体" w:eastAsia="黑体" w:cs="Times New Roman"/>
          <w:szCs w:val="24"/>
        </w:rPr>
      </w:pPr>
      <w:bookmarkStart w:id="67" w:name="_Toc195881868"/>
      <w:bookmarkStart w:id="68" w:name="_Toc178069500"/>
      <w:r>
        <w:rPr>
          <w:rFonts w:ascii="黑体" w:hAnsi="黑体" w:eastAsia="黑体" w:cs="Times New Roman"/>
          <w:szCs w:val="24"/>
        </w:rPr>
        <w:t xml:space="preserve">12  </w:t>
      </w:r>
      <w:r>
        <w:rPr>
          <w:rFonts w:hint="eastAsia" w:ascii="黑体" w:hAnsi="黑体" w:eastAsia="黑体" w:cs="Times New Roman"/>
          <w:szCs w:val="24"/>
        </w:rPr>
        <w:t>地面工程安全措施</w:t>
      </w:r>
      <w:bookmarkEnd w:id="67"/>
      <w:bookmarkEnd w:id="68"/>
    </w:p>
    <w:p w14:paraId="64EE6A4A">
      <w:pPr>
        <w:pStyle w:val="4"/>
        <w:spacing w:before="156"/>
        <w:rPr>
          <w:rFonts w:ascii="黑体" w:hAnsi="黑体" w:eastAsia="黑体" w:cs="Times New Roman"/>
        </w:rPr>
      </w:pPr>
      <w:bookmarkStart w:id="69" w:name="_Toc178069501"/>
      <w:bookmarkStart w:id="70" w:name="_Toc195881869"/>
      <w:r>
        <w:rPr>
          <w:rFonts w:ascii="黑体" w:hAnsi="黑体" w:eastAsia="黑体" w:cs="Times New Roman"/>
        </w:rPr>
        <w:t xml:space="preserve">12.1  </w:t>
      </w:r>
      <w:r>
        <w:rPr>
          <w:rFonts w:hint="eastAsia" w:ascii="黑体" w:hAnsi="黑体" w:eastAsia="黑体" w:cs="Times New Roman"/>
        </w:rPr>
        <w:t>区域布置及总平面布置</w:t>
      </w:r>
      <w:bookmarkEnd w:id="69"/>
      <w:bookmarkEnd w:id="70"/>
    </w:p>
    <w:p w14:paraId="719FA620">
      <w:pPr>
        <w:pStyle w:val="5"/>
        <w:rPr>
          <w:rFonts w:ascii="黑体" w:hAnsi="黑体" w:eastAsia="黑体" w:cs="Times New Roman"/>
        </w:rPr>
      </w:pPr>
      <w:bookmarkStart w:id="71" w:name="_Toc178069502"/>
      <w:bookmarkStart w:id="72" w:name="_Toc193449111"/>
      <w:r>
        <w:rPr>
          <w:rFonts w:ascii="黑体" w:hAnsi="黑体" w:eastAsia="黑体" w:cs="Times New Roman"/>
        </w:rPr>
        <w:t xml:space="preserve">12.1.1  </w:t>
      </w:r>
      <w:r>
        <w:rPr>
          <w:rFonts w:hint="eastAsia" w:ascii="黑体" w:hAnsi="黑体" w:eastAsia="黑体" w:cs="Times New Roman"/>
        </w:rPr>
        <w:t>区域布置</w:t>
      </w:r>
      <w:bookmarkEnd w:id="71"/>
      <w:bookmarkEnd w:id="72"/>
    </w:p>
    <w:p w14:paraId="7F4D7FB9">
      <w:pPr>
        <w:rPr>
          <w:rFonts w:ascii="Times New Roman" w:hAnsi="Times New Roman" w:eastAsia="宋体" w:cs="Times New Roman"/>
        </w:rPr>
      </w:pPr>
      <w:r>
        <w:rPr>
          <w:rFonts w:ascii="黑体" w:hAnsi="黑体" w:eastAsia="黑体" w:cs="Times New Roman"/>
          <w:b/>
        </w:rPr>
        <w:t>12</w:t>
      </w:r>
      <w:r>
        <w:rPr>
          <w:rFonts w:ascii="黑体" w:hAnsi="黑体" w:eastAsia="黑体" w:cs="Times New Roman"/>
          <w:b/>
          <w:bCs/>
        </w:rPr>
        <w:t xml:space="preserve">.1.1.1  </w:t>
      </w:r>
      <w:r>
        <w:rPr>
          <w:rFonts w:hAnsi="宋体"/>
        </w:rPr>
        <w:t>说明</w:t>
      </w:r>
      <w:r>
        <w:rPr>
          <w:rFonts w:hint="eastAsia" w:ascii="Times New Roman" w:hAnsi="Times New Roman" w:eastAsia="宋体" w:cs="Times New Roman"/>
        </w:rPr>
        <w:t>井场、站场</w:t>
      </w:r>
      <w:r>
        <w:rPr>
          <w:rFonts w:hint="eastAsia" w:asciiTheme="minorEastAsia" w:hAnsiTheme="minorEastAsia" w:eastAsiaTheme="minorEastAsia"/>
        </w:rPr>
        <w:t>的</w:t>
      </w:r>
      <w:r>
        <w:rPr>
          <w:rFonts w:hAnsi="宋体"/>
        </w:rPr>
        <w:t>地理位置及周边环境情况，</w:t>
      </w:r>
      <w:r>
        <w:rPr>
          <w:rFonts w:hint="eastAsia" w:hAnsi="宋体"/>
        </w:rPr>
        <w:t>并</w:t>
      </w:r>
      <w:r>
        <w:rPr>
          <w:rFonts w:hAnsi="宋体"/>
        </w:rPr>
        <w:t>绘制井场、站场区域位置图</w:t>
      </w:r>
      <w:r>
        <w:rPr>
          <w:rFonts w:hint="eastAsia" w:ascii="Times New Roman" w:hAnsi="Times New Roman" w:eastAsia="宋体" w:cs="Times New Roman"/>
        </w:rPr>
        <w:t>。</w:t>
      </w:r>
    </w:p>
    <w:p w14:paraId="2209C3FE">
      <w:pPr>
        <w:rPr>
          <w:rFonts w:hAnsi="宋体" w:eastAsia="宋体"/>
        </w:rPr>
      </w:pPr>
      <w:r>
        <w:rPr>
          <w:rFonts w:ascii="黑体" w:hAnsi="黑体" w:eastAsia="黑体" w:cs="Times New Roman"/>
          <w:b/>
        </w:rPr>
        <w:t>12</w:t>
      </w:r>
      <w:r>
        <w:rPr>
          <w:rFonts w:ascii="黑体" w:hAnsi="黑体" w:eastAsia="黑体" w:cs="Times New Roman"/>
          <w:b/>
          <w:bCs/>
        </w:rPr>
        <w:t xml:space="preserve">.1.1.2  </w:t>
      </w:r>
      <w:r>
        <w:rPr>
          <w:rFonts w:hint="eastAsia" w:ascii="Times New Roman" w:hAnsi="Times New Roman" w:eastAsia="宋体" w:cs="Times New Roman"/>
        </w:rPr>
        <w:t>按照</w:t>
      </w:r>
      <w:r>
        <w:rPr>
          <w:rFonts w:ascii="Times New Roman" w:hAnsi="Times New Roman" w:cs="Times New Roman"/>
        </w:rPr>
        <w:t>GB 50183</w:t>
      </w:r>
      <w:r>
        <w:rPr>
          <w:rFonts w:hint="eastAsia" w:ascii="Times New Roman" w:hAnsi="Times New Roman" w:eastAsia="宋体" w:cs="Times New Roman"/>
        </w:rPr>
        <w:t>的相关规定，按表B</w:t>
      </w:r>
      <w:r>
        <w:rPr>
          <w:rFonts w:ascii="Times New Roman" w:hAnsi="Times New Roman" w:eastAsia="宋体" w:cs="Times New Roman"/>
        </w:rPr>
        <w:t>.13</w:t>
      </w:r>
      <w:r>
        <w:rPr>
          <w:rFonts w:hAnsi="宋体"/>
        </w:rPr>
        <w:t>说明</w:t>
      </w:r>
      <w:r>
        <w:rPr>
          <w:rFonts w:hint="eastAsia" w:ascii="Times New Roman" w:hAnsi="Times New Roman" w:eastAsia="宋体" w:cs="Times New Roman"/>
        </w:rPr>
        <w:t>井场、站场与</w:t>
      </w:r>
      <w:r>
        <w:rPr>
          <w:rFonts w:ascii="Times New Roman" w:hAnsi="Times New Roman" w:eastAsia="宋体" w:cs="Times New Roman"/>
        </w:rPr>
        <w:t>周边城镇、居民点、交通线、危险品仓库、爆炸作业场地、相邻厂矿企业等的外部最小允许距离的标准规范符合情况</w:t>
      </w:r>
      <w:r>
        <w:rPr>
          <w:rFonts w:hint="eastAsia" w:hAnsi="宋体" w:eastAsia="宋体"/>
        </w:rPr>
        <w:t>。</w:t>
      </w:r>
    </w:p>
    <w:p w14:paraId="030E78CE">
      <w:pPr>
        <w:rPr>
          <w:rFonts w:ascii="Times New Roman" w:hAnsi="Times New Roman" w:eastAsia="宋体" w:cs="Times New Roman"/>
        </w:rPr>
      </w:pPr>
      <w:r>
        <w:rPr>
          <w:rFonts w:ascii="黑体" w:hAnsi="黑体" w:eastAsia="黑体" w:cs="Times New Roman"/>
          <w:b/>
        </w:rPr>
        <w:t>12</w:t>
      </w:r>
      <w:r>
        <w:rPr>
          <w:rFonts w:ascii="黑体" w:hAnsi="黑体" w:eastAsia="黑体" w:cs="Times New Roman"/>
          <w:b/>
          <w:bCs/>
        </w:rPr>
        <w:t xml:space="preserve">.1.1.3 </w:t>
      </w:r>
      <w:r>
        <w:rPr>
          <w:rFonts w:ascii="黑体" w:hAnsi="黑体" w:eastAsia="黑体" w:cs="Times New Roman"/>
        </w:rPr>
        <w:t xml:space="preserve"> </w:t>
      </w:r>
      <w:r>
        <w:rPr>
          <w:rFonts w:hint="eastAsia" w:ascii="Times New Roman" w:hAnsi="Times New Roman" w:eastAsia="宋体" w:cs="Times New Roman"/>
        </w:rPr>
        <w:t>当井场、站场邻近城镇或居住区布置时，应说明生产区与邻近城镇或居住区的风频风向的相对关系。</w:t>
      </w:r>
    </w:p>
    <w:p w14:paraId="1E01189A">
      <w:pPr>
        <w:pStyle w:val="5"/>
        <w:rPr>
          <w:rFonts w:ascii="黑体" w:hAnsi="黑体" w:eastAsia="黑体" w:cs="Times New Roman"/>
        </w:rPr>
      </w:pPr>
      <w:bookmarkStart w:id="73" w:name="_Toc178069503"/>
      <w:bookmarkStart w:id="74" w:name="_Toc193449112"/>
      <w:r>
        <w:rPr>
          <w:rFonts w:ascii="黑体" w:hAnsi="黑体" w:eastAsia="黑体" w:cs="Times New Roman"/>
        </w:rPr>
        <w:t xml:space="preserve">12.1.2  </w:t>
      </w:r>
      <w:r>
        <w:rPr>
          <w:rFonts w:hint="eastAsia" w:ascii="黑体" w:hAnsi="黑体" w:eastAsia="黑体" w:cs="Times New Roman"/>
        </w:rPr>
        <w:t>总平面布置</w:t>
      </w:r>
      <w:bookmarkEnd w:id="73"/>
      <w:bookmarkEnd w:id="74"/>
    </w:p>
    <w:p w14:paraId="2E858694">
      <w:pPr>
        <w:rPr>
          <w:rFonts w:ascii="Times New Roman" w:hAnsi="Times New Roman" w:eastAsia="宋体" w:cs="Times New Roman"/>
        </w:rPr>
      </w:pPr>
      <w:r>
        <w:rPr>
          <w:rFonts w:ascii="黑体" w:hAnsi="黑体" w:eastAsia="黑体" w:cs="Times New Roman"/>
          <w:b/>
        </w:rPr>
        <w:t xml:space="preserve">12.1.2.1  </w:t>
      </w:r>
      <w:r>
        <w:rPr>
          <w:rFonts w:hAnsi="宋体"/>
        </w:rPr>
        <w:t>说明站场内各装置（设施）布置的主要安全</w:t>
      </w:r>
      <w:r>
        <w:rPr>
          <w:rFonts w:hint="eastAsia" w:ascii="宋体" w:hAnsi="宋体" w:eastAsia="宋体" w:cs="宋体"/>
        </w:rPr>
        <w:t>措施</w:t>
      </w:r>
      <w:r>
        <w:rPr>
          <w:rFonts w:hAnsi="宋体"/>
        </w:rPr>
        <w:t>，包括功能分区、风向、地形等</w:t>
      </w:r>
      <w:r>
        <w:rPr>
          <w:rFonts w:hint="eastAsia" w:hAnsi="宋体" w:eastAsia="宋体"/>
        </w:rPr>
        <w:t>。</w:t>
      </w:r>
    </w:p>
    <w:p w14:paraId="4769ECDF">
      <w:pPr>
        <w:rPr>
          <w:rFonts w:ascii="Times New Roman" w:hAnsi="Times New Roman" w:eastAsia="宋体" w:cs="Times New Roman"/>
        </w:rPr>
      </w:pPr>
      <w:r>
        <w:rPr>
          <w:rFonts w:ascii="黑体" w:hAnsi="黑体" w:eastAsia="黑体" w:cs="Times New Roman"/>
          <w:b/>
        </w:rPr>
        <w:t>12.1.2.2</w:t>
      </w:r>
      <w:r>
        <w:rPr>
          <w:rFonts w:ascii="黑体" w:hAnsi="黑体" w:eastAsia="黑体" w:cs="Times New Roman"/>
        </w:rPr>
        <w:t xml:space="preserve">  </w:t>
      </w:r>
      <w:r>
        <w:rPr>
          <w:rFonts w:hint="eastAsia" w:ascii="Times New Roman" w:hAnsi="Times New Roman" w:eastAsia="宋体" w:cs="Times New Roman"/>
        </w:rPr>
        <w:t>按照</w:t>
      </w:r>
      <w:r>
        <w:rPr>
          <w:rFonts w:ascii="Times New Roman" w:hAnsi="Times New Roman" w:eastAsia="宋体" w:cs="Times New Roman"/>
        </w:rPr>
        <w:t>GB 50183、SY/T 0048</w:t>
      </w:r>
      <w:r>
        <w:rPr>
          <w:rFonts w:hint="eastAsia" w:ascii="Times New Roman" w:hAnsi="Times New Roman" w:eastAsia="宋体" w:cs="Times New Roman"/>
        </w:rPr>
        <w:t>的相关规定，按表B</w:t>
      </w:r>
      <w:r>
        <w:rPr>
          <w:rFonts w:ascii="Times New Roman" w:hAnsi="Times New Roman" w:eastAsia="宋体" w:cs="Times New Roman"/>
        </w:rPr>
        <w:t>.14</w:t>
      </w:r>
      <w:r>
        <w:rPr>
          <w:rFonts w:hint="eastAsia" w:ascii="Times New Roman" w:hAnsi="Times New Roman" w:eastAsia="宋体" w:cs="Times New Roman"/>
        </w:rPr>
        <w:t>说明井场、集注站内总平面布置的防火间距。</w:t>
      </w:r>
    </w:p>
    <w:p w14:paraId="735AA0F7">
      <w:pPr>
        <w:rPr>
          <w:rFonts w:ascii="Times New Roman" w:hAnsi="Times New Roman" w:eastAsia="宋体" w:cs="Times New Roman"/>
        </w:rPr>
      </w:pPr>
      <w:bookmarkStart w:id="75" w:name="_Toc178069504"/>
      <w:r>
        <w:rPr>
          <w:rFonts w:ascii="黑体" w:hAnsi="黑体" w:eastAsia="黑体" w:cs="Times New Roman"/>
          <w:b/>
        </w:rPr>
        <w:t xml:space="preserve">12.1.2.3  </w:t>
      </w:r>
      <w:bookmarkEnd w:id="75"/>
      <w:r>
        <w:rPr>
          <w:rFonts w:ascii="Times New Roman" w:hAnsi="Times New Roman" w:eastAsia="宋体" w:cs="Times New Roman"/>
        </w:rPr>
        <w:t>沙漠地区的井场、站场，应说明其采取的防风固沙等措施</w:t>
      </w:r>
      <w:r>
        <w:rPr>
          <w:rFonts w:hint="eastAsia" w:ascii="Times New Roman" w:hAnsi="Times New Roman" w:eastAsia="宋体" w:cs="Times New Roman"/>
        </w:rPr>
        <w:t>。</w:t>
      </w:r>
      <w:bookmarkStart w:id="76" w:name="_Toc178069506"/>
    </w:p>
    <w:p w14:paraId="04033248">
      <w:pPr>
        <w:pStyle w:val="5"/>
        <w:rPr>
          <w:rFonts w:ascii="黑体" w:hAnsi="黑体" w:eastAsia="黑体" w:cs="Times New Roman"/>
        </w:rPr>
      </w:pPr>
      <w:bookmarkStart w:id="77" w:name="_Toc193449113"/>
      <w:r>
        <w:rPr>
          <w:rFonts w:ascii="黑体" w:hAnsi="黑体" w:eastAsia="黑体" w:cs="Times New Roman"/>
        </w:rPr>
        <w:t xml:space="preserve">12.1.3  </w:t>
      </w:r>
      <w:r>
        <w:rPr>
          <w:rFonts w:hint="eastAsia" w:ascii="黑体" w:hAnsi="黑体" w:eastAsia="黑体" w:cs="Times New Roman"/>
        </w:rPr>
        <w:t>竖向布置</w:t>
      </w:r>
      <w:bookmarkEnd w:id="77"/>
    </w:p>
    <w:p w14:paraId="58AEDFE0">
      <w:pPr>
        <w:ind w:firstLine="420" w:firstLineChars="200"/>
        <w:rPr>
          <w:rFonts w:ascii="Times New Roman" w:hAnsi="Times New Roman" w:eastAsia="宋体" w:cs="Times New Roman"/>
        </w:rPr>
      </w:pPr>
      <w:r>
        <w:rPr>
          <w:rFonts w:ascii="Times New Roman" w:hAnsi="Times New Roman" w:eastAsia="宋体" w:cs="Times New Roman"/>
        </w:rPr>
        <w:t>应</w:t>
      </w:r>
      <w:r>
        <w:rPr>
          <w:rFonts w:hint="eastAsia" w:ascii="Times New Roman" w:hAnsi="Times New Roman" w:eastAsia="宋体" w:cs="Times New Roman"/>
        </w:rPr>
        <w:t>按照</w:t>
      </w:r>
      <w:r>
        <w:rPr>
          <w:rFonts w:ascii="Times New Roman" w:hAnsi="Times New Roman" w:eastAsia="宋体" w:cs="Times New Roman"/>
        </w:rPr>
        <w:t xml:space="preserve">SY/T </w:t>
      </w:r>
      <w:r>
        <w:rPr>
          <w:rFonts w:hint="eastAsia" w:ascii="Times New Roman" w:hAnsi="Times New Roman" w:eastAsia="宋体" w:cs="Times New Roman"/>
        </w:rPr>
        <w:t>0048、GB</w:t>
      </w:r>
      <w:r>
        <w:rPr>
          <w:rFonts w:ascii="Times New Roman" w:hAnsi="Times New Roman" w:eastAsia="宋体" w:cs="Times New Roman"/>
        </w:rPr>
        <w:t xml:space="preserve"> </w:t>
      </w:r>
      <w:r>
        <w:rPr>
          <w:rFonts w:hint="eastAsia" w:ascii="Times New Roman" w:hAnsi="Times New Roman" w:eastAsia="宋体" w:cs="Times New Roman"/>
        </w:rPr>
        <w:t>50183、GB</w:t>
      </w:r>
      <w:r>
        <w:rPr>
          <w:rFonts w:ascii="Times New Roman" w:hAnsi="Times New Roman" w:eastAsia="宋体" w:cs="Times New Roman"/>
        </w:rPr>
        <w:t xml:space="preserve"> </w:t>
      </w:r>
      <w:r>
        <w:rPr>
          <w:rFonts w:hint="eastAsia" w:ascii="Times New Roman" w:hAnsi="Times New Roman" w:eastAsia="宋体" w:cs="Times New Roman"/>
        </w:rPr>
        <w:t>50025、GB</w:t>
      </w:r>
      <w:r>
        <w:rPr>
          <w:rFonts w:ascii="Times New Roman" w:hAnsi="Times New Roman" w:eastAsia="宋体" w:cs="Times New Roman"/>
        </w:rPr>
        <w:t xml:space="preserve"> </w:t>
      </w:r>
      <w:r>
        <w:rPr>
          <w:rFonts w:hint="eastAsia" w:ascii="Times New Roman" w:hAnsi="Times New Roman" w:eastAsia="宋体" w:cs="Times New Roman"/>
        </w:rPr>
        <w:t>50112、GB/T</w:t>
      </w:r>
      <w:r>
        <w:rPr>
          <w:rFonts w:ascii="Times New Roman" w:hAnsi="Times New Roman" w:eastAsia="宋体" w:cs="Times New Roman"/>
        </w:rPr>
        <w:t xml:space="preserve"> 50942的相关规定，</w:t>
      </w:r>
      <w:r>
        <w:rPr>
          <w:rFonts w:hint="eastAsia" w:ascii="Times New Roman" w:hAnsi="Times New Roman" w:eastAsia="宋体" w:cs="Times New Roman"/>
        </w:rPr>
        <w:t>说明站场所在位置自然地形情况及竖向设计的安全考虑，主要包括以下内容：</w:t>
      </w:r>
    </w:p>
    <w:p w14:paraId="743B2B33">
      <w:pPr>
        <w:ind w:firstLine="420" w:firstLineChars="200"/>
        <w:rPr>
          <w:rFonts w:ascii="Times New Roman" w:hAnsi="Times New Roman" w:eastAsia="宋体" w:cs="Times New Roman"/>
        </w:rPr>
      </w:pPr>
      <w:r>
        <w:rPr>
          <w:rFonts w:ascii="Times New Roman" w:hAnsi="Times New Roman" w:eastAsia="宋体" w:cs="Times New Roman"/>
        </w:rPr>
        <w:t>a</w:t>
      </w:r>
      <w:r>
        <w:rPr>
          <w:rFonts w:hint="eastAsia" w:ascii="Times New Roman" w:hAnsi="Times New Roman" w:eastAsia="宋体" w:cs="Times New Roman"/>
        </w:rPr>
        <w:t>）站场、井场等竖向设计依据及采取的支挡护措施；</w:t>
      </w:r>
    </w:p>
    <w:p w14:paraId="43CE4D93">
      <w:pPr>
        <w:ind w:firstLine="420" w:firstLineChars="200"/>
        <w:rPr>
          <w:rFonts w:ascii="Times New Roman" w:hAnsi="Times New Roman" w:eastAsia="宋体" w:cs="Times New Roman"/>
        </w:rPr>
      </w:pPr>
      <w:r>
        <w:rPr>
          <w:rFonts w:ascii="Times New Roman" w:hAnsi="Times New Roman" w:eastAsia="宋体" w:cs="Times New Roman"/>
        </w:rPr>
        <w:t>b</w:t>
      </w:r>
      <w:r>
        <w:rPr>
          <w:rFonts w:hint="eastAsia" w:ascii="Times New Roman" w:hAnsi="Times New Roman" w:eastAsia="宋体" w:cs="Times New Roman"/>
        </w:rPr>
        <w:t>）采用阶梯式竖向设计时，说明其为防止泄漏的可燃液体在阶梯间漫流以及流向站外工业、民用建筑或其他重要设施的区域所采取的有效措施；</w:t>
      </w:r>
    </w:p>
    <w:p w14:paraId="47D15779">
      <w:pPr>
        <w:ind w:firstLine="420" w:firstLineChars="200"/>
        <w:rPr>
          <w:rFonts w:ascii="Times New Roman" w:hAnsi="Times New Roman" w:eastAsia="宋体" w:cs="Times New Roman"/>
        </w:rPr>
      </w:pPr>
      <w:r>
        <w:rPr>
          <w:rFonts w:ascii="Times New Roman" w:hAnsi="Times New Roman" w:eastAsia="宋体" w:cs="Times New Roman"/>
        </w:rPr>
        <w:t>c</w:t>
      </w:r>
      <w:r>
        <w:rPr>
          <w:rFonts w:hint="eastAsia" w:ascii="Times New Roman" w:hAnsi="Times New Roman" w:eastAsia="宋体" w:cs="Times New Roman"/>
        </w:rPr>
        <w:t>）站场防洪标准及其竖向设计的符合性；</w:t>
      </w:r>
    </w:p>
    <w:p w14:paraId="409BD0DC">
      <w:pPr>
        <w:ind w:firstLine="420" w:firstLineChars="200"/>
        <w:rPr>
          <w:rFonts w:ascii="Times New Roman" w:hAnsi="Times New Roman" w:eastAsia="宋体" w:cs="Times New Roman"/>
        </w:rPr>
      </w:pPr>
      <w:r>
        <w:rPr>
          <w:rFonts w:hint="eastAsia" w:ascii="Times New Roman" w:hAnsi="Times New Roman" w:eastAsia="宋体" w:cs="Times New Roman"/>
        </w:rPr>
        <w:t>d）站场所在区域存在湿陷性黄土、膨胀土、盐渍土等特殊地质情况时，说明竖向设计对特殊地质采取的措施。</w:t>
      </w:r>
    </w:p>
    <w:p w14:paraId="6C752B68">
      <w:pPr>
        <w:pStyle w:val="5"/>
        <w:rPr>
          <w:rFonts w:ascii="黑体" w:hAnsi="黑体" w:eastAsia="黑体" w:cs="Times New Roman"/>
          <w:b w:val="0"/>
          <w:bCs w:val="0"/>
        </w:rPr>
      </w:pPr>
      <w:bookmarkStart w:id="78" w:name="_Toc193449114"/>
      <w:r>
        <w:rPr>
          <w:rFonts w:ascii="黑体" w:hAnsi="黑体" w:eastAsia="黑体" w:cs="Times New Roman"/>
        </w:rPr>
        <w:t xml:space="preserve">12.1.4  </w:t>
      </w:r>
      <w:r>
        <w:rPr>
          <w:rFonts w:hint="eastAsia" w:ascii="黑体" w:hAnsi="黑体" w:eastAsia="黑体" w:cs="Times New Roman"/>
        </w:rPr>
        <w:t>安全通道</w:t>
      </w:r>
      <w:bookmarkEnd w:id="78"/>
    </w:p>
    <w:p w14:paraId="4C076433">
      <w:pPr>
        <w:rPr>
          <w:rFonts w:ascii="Times New Roman" w:hAnsi="Times New Roman" w:cs="Times New Roman"/>
        </w:rPr>
      </w:pPr>
      <w:r>
        <w:rPr>
          <w:rFonts w:ascii="黑体" w:hAnsi="黑体" w:eastAsia="黑体" w:cs="Times New Roman"/>
          <w:b/>
        </w:rPr>
        <w:t xml:space="preserve">12.1.4.1  </w:t>
      </w:r>
      <w:r>
        <w:rPr>
          <w:rFonts w:hint="eastAsia" w:ascii="Times New Roman" w:hAnsi="Times New Roman" w:eastAsia="宋体" w:cs="Times New Roman"/>
        </w:rPr>
        <w:t>说明站场内消防通道适应性，包括消防车道宽度、转弯半径、净空高度、回车场地等。</w:t>
      </w:r>
    </w:p>
    <w:p w14:paraId="7CF3920A">
      <w:pPr>
        <w:rPr>
          <w:rFonts w:ascii="Times New Roman" w:hAnsi="Times New Roman" w:cs="Times New Roman"/>
        </w:rPr>
      </w:pPr>
      <w:r>
        <w:rPr>
          <w:rFonts w:ascii="黑体" w:hAnsi="黑体" w:eastAsia="黑体" w:cs="Times New Roman"/>
          <w:b/>
        </w:rPr>
        <w:t xml:space="preserve">12.1.4.2  </w:t>
      </w:r>
      <w:r>
        <w:rPr>
          <w:rFonts w:hint="eastAsia" w:ascii="Times New Roman" w:hAnsi="Times New Roman" w:eastAsia="宋体" w:cs="Times New Roman"/>
        </w:rPr>
        <w:t>说明安全疏散通道及出口设置情况。</w:t>
      </w:r>
    </w:p>
    <w:p w14:paraId="766393FC">
      <w:pPr>
        <w:pStyle w:val="4"/>
        <w:spacing w:before="156"/>
        <w:rPr>
          <w:rFonts w:ascii="黑体" w:hAnsi="黑体" w:eastAsia="黑体" w:cs="Times New Roman"/>
        </w:rPr>
      </w:pPr>
      <w:bookmarkStart w:id="79" w:name="_Toc195881870"/>
      <w:r>
        <w:rPr>
          <w:rFonts w:ascii="黑体" w:hAnsi="黑体" w:eastAsia="黑体" w:cs="Times New Roman"/>
        </w:rPr>
        <w:t xml:space="preserve">12.2  </w:t>
      </w:r>
      <w:r>
        <w:rPr>
          <w:rFonts w:hint="eastAsia" w:ascii="黑体" w:hAnsi="黑体" w:eastAsia="黑体" w:cs="Times New Roman"/>
        </w:rPr>
        <w:t>地面工艺</w:t>
      </w:r>
      <w:bookmarkEnd w:id="76"/>
      <w:bookmarkEnd w:id="79"/>
    </w:p>
    <w:p w14:paraId="7E711C8D">
      <w:pPr>
        <w:pStyle w:val="5"/>
        <w:rPr>
          <w:rFonts w:ascii="黑体" w:hAnsi="黑体" w:eastAsia="黑体" w:cs="Times New Roman"/>
        </w:rPr>
      </w:pPr>
      <w:bookmarkStart w:id="80" w:name="_Toc24949"/>
      <w:bookmarkStart w:id="81" w:name="_Toc193449116"/>
      <w:r>
        <w:rPr>
          <w:rFonts w:ascii="黑体" w:hAnsi="黑体" w:eastAsia="黑体" w:cs="Times New Roman"/>
        </w:rPr>
        <w:t xml:space="preserve">12.2.1  </w:t>
      </w:r>
      <w:r>
        <w:rPr>
          <w:rFonts w:hint="eastAsia" w:ascii="黑体" w:hAnsi="黑体" w:eastAsia="黑体" w:cs="Times New Roman"/>
        </w:rPr>
        <w:t>站场工艺</w:t>
      </w:r>
      <w:bookmarkEnd w:id="80"/>
      <w:bookmarkEnd w:id="81"/>
    </w:p>
    <w:p w14:paraId="265CA25D">
      <w:pPr>
        <w:pStyle w:val="41"/>
        <w:spacing w:line="276" w:lineRule="auto"/>
        <w:ind w:firstLine="0" w:firstLineChars="0"/>
        <w:rPr>
          <w:rFonts w:ascii="Times New Roman"/>
        </w:rPr>
      </w:pPr>
      <w:r>
        <w:rPr>
          <w:rFonts w:ascii="黑体" w:hAnsi="黑体" w:eastAsia="黑体"/>
          <w:b/>
        </w:rPr>
        <w:t>12</w:t>
      </w:r>
      <w:r>
        <w:rPr>
          <w:rFonts w:ascii="黑体" w:hAnsi="黑体" w:eastAsia="黑体"/>
          <w:b/>
          <w:kern w:val="2"/>
          <w:szCs w:val="22"/>
          <w14:ligatures w14:val="standardContextual"/>
        </w:rPr>
        <w:t xml:space="preserve">.2.1.1  </w:t>
      </w:r>
      <w:r>
        <w:rPr>
          <w:rFonts w:hint="eastAsia" w:ascii="Times New Roman"/>
        </w:rPr>
        <w:t>井场（集配站）工艺</w:t>
      </w:r>
    </w:p>
    <w:p w14:paraId="3FBC8E95">
      <w:pPr>
        <w:pStyle w:val="41"/>
        <w:spacing w:line="276" w:lineRule="auto"/>
        <w:ind w:firstLine="420"/>
        <w:rPr>
          <w:rFonts w:ascii="Times New Roman"/>
          <w:kern w:val="2"/>
          <w:szCs w:val="22"/>
          <w14:ligatures w14:val="standardContextual"/>
        </w:rPr>
      </w:pPr>
      <w:r>
        <w:rPr>
          <w:rFonts w:hint="eastAsia" w:ascii="Times New Roman"/>
          <w:kern w:val="2"/>
          <w:szCs w:val="22"/>
          <w14:ligatures w14:val="standardContextual"/>
        </w:rPr>
        <w:t>按照</w:t>
      </w:r>
      <w:r>
        <w:rPr>
          <w:rFonts w:ascii="Times New Roman"/>
          <w:kern w:val="2"/>
          <w:szCs w:val="22"/>
          <w14:ligatures w14:val="standardContextual"/>
        </w:rPr>
        <w:t>GB 50183</w:t>
      </w:r>
      <w:r>
        <w:rPr>
          <w:rFonts w:hint="eastAsia" w:ascii="Times New Roman"/>
          <w:kern w:val="2"/>
          <w:szCs w:val="22"/>
          <w14:ligatures w14:val="standardContextual"/>
        </w:rPr>
        <w:t>、</w:t>
      </w:r>
      <w:r>
        <w:rPr>
          <w:rFonts w:ascii="Times New Roman"/>
          <w:kern w:val="2"/>
          <w:szCs w:val="22"/>
          <w14:ligatures w14:val="standardContextual"/>
        </w:rPr>
        <w:t>GB 50349</w:t>
      </w:r>
      <w:r>
        <w:rPr>
          <w:rFonts w:hint="eastAsia" w:ascii="Times New Roman"/>
          <w:kern w:val="2"/>
          <w:szCs w:val="22"/>
          <w14:ligatures w14:val="standardContextual"/>
        </w:rPr>
        <w:t>、</w:t>
      </w:r>
      <w:r>
        <w:rPr>
          <w:rFonts w:ascii="Times New Roman"/>
          <w:kern w:val="2"/>
          <w:szCs w:val="22"/>
          <w14:ligatures w14:val="standardContextual"/>
        </w:rPr>
        <w:t>SY/T 6805</w:t>
      </w:r>
      <w:r>
        <w:rPr>
          <w:rFonts w:hint="eastAsia" w:ascii="Times New Roman"/>
          <w:kern w:val="2"/>
          <w:szCs w:val="22"/>
          <w14:ligatures w14:val="standardContextual"/>
        </w:rPr>
        <w:t>的相关规定，说明井场（集配站）工艺安全设施，主要包括以下内容：</w:t>
      </w:r>
    </w:p>
    <w:p w14:paraId="7B8278F8">
      <w:pPr>
        <w:pStyle w:val="41"/>
        <w:spacing w:line="276" w:lineRule="auto"/>
        <w:ind w:firstLine="420"/>
        <w:rPr>
          <w:rFonts w:ascii="Times New Roman"/>
        </w:rPr>
      </w:pPr>
      <w:r>
        <w:rPr>
          <w:rFonts w:ascii="Times New Roman"/>
        </w:rPr>
        <w:t>a</w:t>
      </w:r>
      <w:r>
        <w:rPr>
          <w:rFonts w:hint="eastAsia" w:ascii="Times New Roman"/>
        </w:rPr>
        <w:t>）对可能发生井口冻堵的井口采取的防冻堵、防凝措施；</w:t>
      </w:r>
    </w:p>
    <w:p w14:paraId="469073EF">
      <w:pPr>
        <w:pStyle w:val="41"/>
        <w:spacing w:line="276" w:lineRule="auto"/>
        <w:ind w:firstLine="420"/>
        <w:rPr>
          <w:rFonts w:ascii="Times New Roman"/>
        </w:rPr>
      </w:pPr>
      <w:r>
        <w:rPr>
          <w:rFonts w:hint="eastAsia" w:ascii="Times New Roman"/>
        </w:rPr>
        <w:t>b）井口有节流时的超压保护措施；</w:t>
      </w:r>
    </w:p>
    <w:p w14:paraId="328C4DA8">
      <w:pPr>
        <w:pStyle w:val="41"/>
        <w:spacing w:line="276" w:lineRule="auto"/>
        <w:ind w:firstLine="420"/>
        <w:rPr>
          <w:rFonts w:ascii="Times New Roman"/>
        </w:rPr>
      </w:pPr>
      <w:r>
        <w:rPr>
          <w:rFonts w:hint="eastAsia" w:ascii="Times New Roman"/>
        </w:rPr>
        <w:t>c）井口和井下安全阀的设置；</w:t>
      </w:r>
    </w:p>
    <w:p w14:paraId="77797CDD">
      <w:pPr>
        <w:pStyle w:val="41"/>
        <w:spacing w:line="276" w:lineRule="auto"/>
        <w:ind w:firstLine="420"/>
        <w:rPr>
          <w:rFonts w:ascii="Times New Roman"/>
        </w:rPr>
      </w:pPr>
      <w:r>
        <w:rPr>
          <w:rFonts w:hint="eastAsia" w:ascii="Times New Roman"/>
        </w:rPr>
        <w:t>d）说明注采转换的工艺系统设计，主要包括系统压力隔离、系统压力泄放等措施；</w:t>
      </w:r>
    </w:p>
    <w:p w14:paraId="7DEA19CF">
      <w:pPr>
        <w:pStyle w:val="41"/>
        <w:spacing w:line="276" w:lineRule="auto"/>
        <w:ind w:firstLine="420"/>
        <w:rPr>
          <w:rFonts w:ascii="Times New Roman"/>
        </w:rPr>
      </w:pPr>
      <w:r>
        <w:rPr>
          <w:rFonts w:hint="eastAsia" w:ascii="Times New Roman"/>
        </w:rPr>
        <w:t>e）</w:t>
      </w:r>
      <w:r>
        <w:rPr>
          <w:rFonts w:ascii="Times New Roman"/>
        </w:rPr>
        <w:t>分离设备的液位控制措施、防气窜措施和超压保护措施。</w:t>
      </w:r>
    </w:p>
    <w:p w14:paraId="3200415F">
      <w:pPr>
        <w:pStyle w:val="41"/>
        <w:spacing w:line="276" w:lineRule="auto"/>
        <w:ind w:firstLine="0" w:firstLineChars="0"/>
        <w:rPr>
          <w:rFonts w:ascii="Times New Roman"/>
        </w:rPr>
      </w:pPr>
      <w:r>
        <w:rPr>
          <w:rFonts w:ascii="黑体" w:hAnsi="黑体" w:eastAsia="黑体"/>
          <w:b/>
        </w:rPr>
        <w:t>12</w:t>
      </w:r>
      <w:r>
        <w:rPr>
          <w:rFonts w:ascii="黑体" w:hAnsi="黑体" w:eastAsia="黑体"/>
          <w:b/>
          <w:kern w:val="2"/>
          <w:szCs w:val="22"/>
          <w14:ligatures w14:val="standardContextual"/>
        </w:rPr>
        <w:t xml:space="preserve">.2.1.2  </w:t>
      </w:r>
      <w:r>
        <w:rPr>
          <w:rFonts w:hint="eastAsia" w:ascii="Times New Roman"/>
        </w:rPr>
        <w:t>集注站工艺</w:t>
      </w:r>
    </w:p>
    <w:p w14:paraId="2543D481">
      <w:pPr>
        <w:pStyle w:val="41"/>
        <w:spacing w:line="276" w:lineRule="auto"/>
        <w:ind w:firstLine="420"/>
        <w:rPr>
          <w:rFonts w:ascii="Times New Roman"/>
        </w:rPr>
      </w:pPr>
      <w:r>
        <w:rPr>
          <w:rFonts w:hint="eastAsia" w:ascii="Times New Roman"/>
        </w:rPr>
        <w:t>按照</w:t>
      </w:r>
      <w:r>
        <w:rPr>
          <w:rFonts w:ascii="Times New Roman"/>
        </w:rPr>
        <w:t>GB 50183</w:t>
      </w:r>
      <w:r>
        <w:rPr>
          <w:rFonts w:hint="eastAsia" w:ascii="Times New Roman"/>
        </w:rPr>
        <w:t>、</w:t>
      </w:r>
      <w:r>
        <w:rPr>
          <w:rFonts w:ascii="Times New Roman"/>
        </w:rPr>
        <w:t>GB 50349</w:t>
      </w:r>
      <w:r>
        <w:rPr>
          <w:rFonts w:hint="eastAsia" w:ascii="Times New Roman"/>
        </w:rPr>
        <w:t>、</w:t>
      </w:r>
      <w:r>
        <w:rPr>
          <w:rFonts w:ascii="Times New Roman"/>
        </w:rPr>
        <w:t>GB 50350等</w:t>
      </w:r>
      <w:r>
        <w:rPr>
          <w:rFonts w:hint="eastAsia" w:ascii="Times New Roman"/>
        </w:rPr>
        <w:t>的相关规定，说明集注站采气的工艺安全措施，</w:t>
      </w:r>
      <w:r>
        <w:rPr>
          <w:rFonts w:hint="eastAsia" w:ascii="Times New Roman"/>
          <w:kern w:val="2"/>
          <w:szCs w:val="22"/>
          <w14:ligatures w14:val="standardContextual"/>
        </w:rPr>
        <w:t>主要包括以下内容</w:t>
      </w:r>
      <w:r>
        <w:rPr>
          <w:rFonts w:hint="eastAsia" w:ascii="Times New Roman"/>
        </w:rPr>
        <w:t>：</w:t>
      </w:r>
    </w:p>
    <w:p w14:paraId="24F6BEF9">
      <w:pPr>
        <w:pStyle w:val="41"/>
        <w:spacing w:line="276" w:lineRule="auto"/>
        <w:ind w:firstLine="420"/>
        <w:rPr>
          <w:rFonts w:ascii="Times New Roman"/>
        </w:rPr>
      </w:pPr>
      <w:r>
        <w:rPr>
          <w:rFonts w:hint="eastAsia" w:ascii="Times New Roman"/>
        </w:rPr>
        <w:t>a）压力级制及采取的防超压措施，按表B</w:t>
      </w:r>
      <w:r>
        <w:rPr>
          <w:rFonts w:ascii="Times New Roman"/>
        </w:rPr>
        <w:t>.15</w:t>
      </w:r>
      <w:r>
        <w:rPr>
          <w:rFonts w:hint="eastAsia" w:ascii="Times New Roman"/>
        </w:rPr>
        <w:t>说明安全阀、</w:t>
      </w:r>
      <w:r>
        <w:rPr>
          <w:rFonts w:ascii="Times New Roman"/>
        </w:rPr>
        <w:t>BDV</w:t>
      </w:r>
      <w:r>
        <w:rPr>
          <w:rFonts w:hint="eastAsia" w:ascii="Times New Roman"/>
        </w:rPr>
        <w:t>的安装位置、规格、设计压力、整定压力等参数；</w:t>
      </w:r>
    </w:p>
    <w:p w14:paraId="7D32F01E">
      <w:pPr>
        <w:pStyle w:val="41"/>
        <w:spacing w:line="276" w:lineRule="auto"/>
        <w:ind w:firstLine="420"/>
        <w:rPr>
          <w:rFonts w:ascii="Times New Roman"/>
        </w:rPr>
      </w:pPr>
      <w:r>
        <w:rPr>
          <w:rFonts w:ascii="Times New Roman"/>
        </w:rPr>
        <w:t>b</w:t>
      </w:r>
      <w:r>
        <w:rPr>
          <w:rFonts w:hint="eastAsia" w:ascii="Times New Roman"/>
        </w:rPr>
        <w:t>）</w:t>
      </w:r>
      <w:r>
        <w:rPr>
          <w:rFonts w:ascii="Times New Roman"/>
        </w:rPr>
        <w:t>非正常工况下的安全措施，包括紧急截断、紧急停车、安全泄放等，应根据站场类型说明紧急关断分级</w:t>
      </w:r>
      <w:r>
        <w:rPr>
          <w:rFonts w:hint="eastAsia" w:ascii="Times New Roman"/>
        </w:rPr>
        <w:t>；</w:t>
      </w:r>
    </w:p>
    <w:p w14:paraId="16298E33">
      <w:pPr>
        <w:pStyle w:val="41"/>
        <w:spacing w:line="276" w:lineRule="auto"/>
        <w:ind w:firstLine="420"/>
        <w:rPr>
          <w:rFonts w:ascii="Times New Roman"/>
        </w:rPr>
      </w:pPr>
      <w:r>
        <w:rPr>
          <w:rFonts w:ascii="Times New Roman"/>
        </w:rPr>
        <w:t>c</w:t>
      </w:r>
      <w:r>
        <w:rPr>
          <w:rFonts w:hint="eastAsia" w:ascii="Times New Roman"/>
        </w:rPr>
        <w:t>）</w:t>
      </w:r>
      <w:r>
        <w:rPr>
          <w:rFonts w:ascii="Times New Roman"/>
        </w:rPr>
        <w:t>工艺运行参数（压力、温度、流量、液位等）控制、超出限定值时的报警和安全联锁（包括停车、关断及调节等）等保护措施</w:t>
      </w:r>
      <w:r>
        <w:rPr>
          <w:rFonts w:hint="eastAsia" w:ascii="Times New Roman"/>
        </w:rPr>
        <w:t>；</w:t>
      </w:r>
    </w:p>
    <w:p w14:paraId="583C1B21">
      <w:pPr>
        <w:pStyle w:val="41"/>
        <w:spacing w:line="276" w:lineRule="auto"/>
        <w:ind w:firstLine="420"/>
        <w:rPr>
          <w:rFonts w:ascii="Times New Roman"/>
        </w:rPr>
      </w:pPr>
      <w:r>
        <w:rPr>
          <w:rFonts w:ascii="Times New Roman"/>
        </w:rPr>
        <w:t>d</w:t>
      </w:r>
      <w:r>
        <w:rPr>
          <w:rFonts w:hint="eastAsia" w:ascii="Times New Roman"/>
        </w:rPr>
        <w:t>）</w:t>
      </w:r>
      <w:r>
        <w:rPr>
          <w:rFonts w:ascii="Times New Roman"/>
        </w:rPr>
        <w:t>对含有硫化氢、甲醇及其它有毒有害物质等的建设项目，说明在工艺、设备、设施和装置中采用的防毒安全设施和必要的控制、检测、检验设施</w:t>
      </w:r>
      <w:r>
        <w:rPr>
          <w:rFonts w:hint="eastAsia" w:ascii="Times New Roman"/>
        </w:rPr>
        <w:t>；</w:t>
      </w:r>
    </w:p>
    <w:p w14:paraId="2B23B05E">
      <w:pPr>
        <w:pStyle w:val="41"/>
        <w:spacing w:line="276" w:lineRule="auto"/>
        <w:ind w:firstLine="420"/>
        <w:rPr>
          <w:rFonts w:ascii="Times New Roman"/>
        </w:rPr>
      </w:pPr>
      <w:r>
        <w:rPr>
          <w:rFonts w:hint="eastAsia" w:ascii="Times New Roman"/>
        </w:rPr>
        <w:t>e）</w:t>
      </w:r>
      <w:r>
        <w:rPr>
          <w:rFonts w:ascii="Times New Roman"/>
        </w:rPr>
        <w:t>有毒有害物质的放空和排污，应根据毒性介质的排放限制要求说明采取的毒性消减或防控措施</w:t>
      </w:r>
      <w:r>
        <w:rPr>
          <w:rFonts w:hint="eastAsia" w:ascii="Times New Roman"/>
        </w:rPr>
        <w:t>；</w:t>
      </w:r>
    </w:p>
    <w:p w14:paraId="3E925558">
      <w:pPr>
        <w:pStyle w:val="41"/>
        <w:spacing w:line="276" w:lineRule="auto"/>
        <w:ind w:firstLine="420"/>
        <w:rPr>
          <w:rFonts w:ascii="Times New Roman"/>
        </w:rPr>
      </w:pPr>
      <w:r>
        <w:rPr>
          <w:rFonts w:hint="eastAsia" w:ascii="Times New Roman"/>
        </w:rPr>
        <w:t>f）</w:t>
      </w:r>
      <w:r>
        <w:rPr>
          <w:rFonts w:ascii="Times New Roman"/>
        </w:rPr>
        <w:t>采取的防冻堵、防凝、防烫伤措施</w:t>
      </w:r>
      <w:r>
        <w:rPr>
          <w:rFonts w:hint="eastAsia" w:ascii="Times New Roman"/>
        </w:rPr>
        <w:t>；</w:t>
      </w:r>
    </w:p>
    <w:p w14:paraId="6A613DD6">
      <w:pPr>
        <w:pStyle w:val="41"/>
        <w:spacing w:line="276" w:lineRule="auto"/>
        <w:ind w:firstLine="420"/>
        <w:rPr>
          <w:rFonts w:ascii="Times New Roman"/>
        </w:rPr>
      </w:pPr>
      <w:r>
        <w:rPr>
          <w:rFonts w:ascii="Times New Roman"/>
        </w:rPr>
        <w:t>g</w:t>
      </w:r>
      <w:r>
        <w:rPr>
          <w:rFonts w:hint="eastAsia" w:ascii="Times New Roman"/>
        </w:rPr>
        <w:t>）</w:t>
      </w:r>
      <w:r>
        <w:rPr>
          <w:rFonts w:ascii="Times New Roman"/>
        </w:rPr>
        <w:t>工艺设备操作平台、装卸车设置采取的安全措施。</w:t>
      </w:r>
    </w:p>
    <w:p w14:paraId="01212593">
      <w:pPr>
        <w:pStyle w:val="5"/>
        <w:rPr>
          <w:rFonts w:ascii="黑体" w:hAnsi="黑体" w:eastAsia="黑体" w:cs="Times New Roman"/>
        </w:rPr>
      </w:pPr>
      <w:bookmarkStart w:id="82" w:name="_Toc193449117"/>
      <w:bookmarkStart w:id="83" w:name="_Toc25797"/>
      <w:r>
        <w:rPr>
          <w:rFonts w:ascii="黑体" w:hAnsi="黑体" w:eastAsia="黑体" w:cs="Times New Roman"/>
        </w:rPr>
        <w:t xml:space="preserve">12.2.2  </w:t>
      </w:r>
      <w:r>
        <w:rPr>
          <w:rFonts w:hint="eastAsia" w:ascii="黑体" w:hAnsi="黑体" w:eastAsia="黑体" w:cs="Times New Roman"/>
        </w:rPr>
        <w:t>压缩机</w:t>
      </w:r>
      <w:bookmarkEnd w:id="82"/>
    </w:p>
    <w:p w14:paraId="773AF16E">
      <w:pPr>
        <w:pStyle w:val="41"/>
        <w:spacing w:line="276" w:lineRule="auto"/>
        <w:ind w:firstLine="0" w:firstLineChars="0"/>
        <w:rPr>
          <w:rFonts w:ascii="Times New Roman"/>
          <w:szCs w:val="22"/>
        </w:rPr>
      </w:pPr>
      <w:r>
        <w:rPr>
          <w:rFonts w:ascii="黑体" w:hAnsi="黑体" w:eastAsia="黑体"/>
          <w:b/>
          <w:szCs w:val="22"/>
        </w:rPr>
        <w:t xml:space="preserve">12.2.2.1  </w:t>
      </w:r>
      <w:r>
        <w:rPr>
          <w:rFonts w:hint="eastAsia" w:ascii="Times New Roman"/>
          <w:szCs w:val="22"/>
        </w:rPr>
        <w:t>说明往复式压缩机、离心压缩机防脉动、防喘振采取的安全措施。</w:t>
      </w:r>
    </w:p>
    <w:p w14:paraId="0709D025">
      <w:pPr>
        <w:pStyle w:val="41"/>
        <w:spacing w:line="276" w:lineRule="auto"/>
        <w:ind w:firstLine="0" w:firstLineChars="0"/>
        <w:rPr>
          <w:rFonts w:ascii="Times New Roman"/>
          <w:szCs w:val="22"/>
        </w:rPr>
      </w:pPr>
      <w:r>
        <w:rPr>
          <w:rFonts w:ascii="黑体" w:hAnsi="黑体" w:eastAsia="黑体"/>
          <w:b/>
          <w:szCs w:val="22"/>
        </w:rPr>
        <w:t xml:space="preserve">12.2.2.2  </w:t>
      </w:r>
      <w:r>
        <w:rPr>
          <w:rFonts w:hint="eastAsia" w:ascii="Times New Roman"/>
          <w:szCs w:val="22"/>
        </w:rPr>
        <w:t>说明压缩机组监测、控制、报警和联锁停车保护系统等采取的安全措施。</w:t>
      </w:r>
    </w:p>
    <w:p w14:paraId="24E3E526">
      <w:pPr>
        <w:pStyle w:val="41"/>
        <w:spacing w:line="276" w:lineRule="auto"/>
        <w:ind w:firstLine="0" w:firstLineChars="0"/>
        <w:rPr>
          <w:rFonts w:ascii="Times New Roman"/>
          <w:szCs w:val="22"/>
        </w:rPr>
      </w:pPr>
      <w:r>
        <w:rPr>
          <w:rFonts w:ascii="黑体" w:hAnsi="黑体" w:eastAsia="黑体"/>
          <w:b/>
          <w:szCs w:val="22"/>
        </w:rPr>
        <w:t xml:space="preserve">12.2.2.3  </w:t>
      </w:r>
      <w:r>
        <w:rPr>
          <w:rFonts w:hint="eastAsia" w:ascii="Times New Roman"/>
          <w:szCs w:val="22"/>
        </w:rPr>
        <w:t>说明压缩机组安全泄放系统的设置及超压保护措施。</w:t>
      </w:r>
    </w:p>
    <w:p w14:paraId="37C9E78A">
      <w:pPr>
        <w:pStyle w:val="5"/>
        <w:rPr>
          <w:rFonts w:ascii="黑体" w:hAnsi="黑体" w:eastAsia="黑体" w:cs="Times New Roman"/>
        </w:rPr>
      </w:pPr>
      <w:bookmarkStart w:id="84" w:name="_Toc193449118"/>
      <w:r>
        <w:rPr>
          <w:rFonts w:ascii="黑体" w:hAnsi="黑体" w:eastAsia="黑体" w:cs="Times New Roman"/>
        </w:rPr>
        <w:t xml:space="preserve">12.2.3  </w:t>
      </w:r>
      <w:bookmarkEnd w:id="83"/>
      <w:r>
        <w:rPr>
          <w:rFonts w:hint="eastAsia" w:ascii="黑体" w:hAnsi="黑体" w:eastAsia="黑体" w:cs="Times New Roman"/>
        </w:rPr>
        <w:t>管道</w:t>
      </w:r>
      <w:bookmarkEnd w:id="84"/>
    </w:p>
    <w:p w14:paraId="3FD2E922">
      <w:pPr>
        <w:pStyle w:val="41"/>
        <w:spacing w:line="276" w:lineRule="auto"/>
        <w:ind w:firstLine="0" w:firstLineChars="0"/>
        <w:rPr>
          <w:rFonts w:ascii="Times New Roman"/>
        </w:rPr>
      </w:pPr>
      <w:r>
        <w:rPr>
          <w:rFonts w:ascii="黑体" w:hAnsi="黑体" w:eastAsia="黑体"/>
          <w:b/>
          <w:szCs w:val="22"/>
        </w:rPr>
        <w:t xml:space="preserve">12.2.3.1 </w:t>
      </w:r>
      <w:r>
        <w:rPr>
          <w:rFonts w:ascii="黑体" w:hAnsi="黑体" w:eastAsia="黑体"/>
          <w:szCs w:val="22"/>
        </w:rPr>
        <w:t xml:space="preserve"> </w:t>
      </w:r>
      <w:r>
        <w:rPr>
          <w:rFonts w:hint="eastAsia" w:ascii="Times New Roman"/>
          <w:szCs w:val="22"/>
        </w:rPr>
        <w:t>按照</w:t>
      </w:r>
      <w:r>
        <w:rPr>
          <w:rFonts w:ascii="Times New Roman"/>
          <w:szCs w:val="22"/>
        </w:rPr>
        <w:t>GB 50183</w:t>
      </w:r>
      <w:r>
        <w:rPr>
          <w:rFonts w:hint="eastAsia" w:ascii="Times New Roman"/>
          <w:szCs w:val="22"/>
        </w:rPr>
        <w:t>、</w:t>
      </w:r>
      <w:r>
        <w:rPr>
          <w:rFonts w:ascii="Times New Roman"/>
          <w:szCs w:val="22"/>
        </w:rPr>
        <w:t>GB 50349</w:t>
      </w:r>
      <w:r>
        <w:rPr>
          <w:rFonts w:hint="eastAsia" w:ascii="Times New Roman"/>
          <w:szCs w:val="22"/>
        </w:rPr>
        <w:t>等的相关规定，说明集输管道干线</w:t>
      </w:r>
      <w:r>
        <w:rPr>
          <w:rFonts w:hint="eastAsia" w:ascii="Times New Roman"/>
        </w:rPr>
        <w:t>的清管及检测设施、</w:t>
      </w:r>
      <w:r>
        <w:rPr>
          <w:rFonts w:hint="eastAsia" w:ascii="Times New Roman"/>
          <w:szCs w:val="22"/>
        </w:rPr>
        <w:t>管道泄漏检测措施</w:t>
      </w:r>
      <w:r>
        <w:rPr>
          <w:rFonts w:hint="eastAsia" w:ascii="Times New Roman"/>
        </w:rPr>
        <w:t>以及集输系统段塞流情况采取的安全控制措施。</w:t>
      </w:r>
    </w:p>
    <w:p w14:paraId="0AB1C78E">
      <w:pPr>
        <w:pStyle w:val="41"/>
        <w:spacing w:line="276" w:lineRule="auto"/>
        <w:ind w:firstLine="0" w:firstLineChars="0"/>
        <w:rPr>
          <w:rFonts w:ascii="Times New Roman"/>
          <w:szCs w:val="22"/>
        </w:rPr>
      </w:pPr>
      <w:r>
        <w:rPr>
          <w:rFonts w:ascii="黑体" w:hAnsi="黑体" w:eastAsia="黑体"/>
          <w:b/>
          <w:szCs w:val="22"/>
        </w:rPr>
        <w:t xml:space="preserve">12.2.3.2  </w:t>
      </w:r>
      <w:r>
        <w:rPr>
          <w:rFonts w:hint="eastAsia" w:ascii="Times New Roman"/>
          <w:szCs w:val="22"/>
        </w:rPr>
        <w:t>按照</w:t>
      </w:r>
      <w:r>
        <w:rPr>
          <w:rFonts w:ascii="Times New Roman"/>
          <w:szCs w:val="22"/>
        </w:rPr>
        <w:t>GB 50251</w:t>
      </w:r>
      <w:r>
        <w:rPr>
          <w:rFonts w:hint="eastAsia" w:ascii="Times New Roman"/>
          <w:szCs w:val="22"/>
        </w:rPr>
        <w:t>的相关规定，说明双向输气管道</w:t>
      </w:r>
      <w:r>
        <w:rPr>
          <w:rFonts w:ascii="Times New Roman"/>
          <w:szCs w:val="22"/>
        </w:rPr>
        <w:t>/</w:t>
      </w:r>
      <w:r>
        <w:rPr>
          <w:rFonts w:hint="eastAsia" w:ascii="Times New Roman"/>
          <w:szCs w:val="22"/>
        </w:rPr>
        <w:t>联络线的清管及检测设施、管道泄漏检测措施。</w:t>
      </w:r>
    </w:p>
    <w:p w14:paraId="1528805B">
      <w:pPr>
        <w:pStyle w:val="5"/>
        <w:rPr>
          <w:rFonts w:ascii="黑体" w:hAnsi="黑体" w:eastAsia="黑体" w:cs="Times New Roman"/>
        </w:rPr>
      </w:pPr>
      <w:bookmarkStart w:id="85" w:name="_Toc193449119"/>
      <w:bookmarkStart w:id="86" w:name="_Toc10447"/>
      <w:r>
        <w:rPr>
          <w:rFonts w:ascii="黑体" w:hAnsi="黑体" w:eastAsia="黑体" w:cs="Times New Roman"/>
        </w:rPr>
        <w:t>12.2.4  辅助生产设施</w:t>
      </w:r>
      <w:bookmarkEnd w:id="85"/>
    </w:p>
    <w:p w14:paraId="559BFF59">
      <w:pPr>
        <w:pStyle w:val="41"/>
        <w:spacing w:line="276" w:lineRule="auto"/>
        <w:ind w:firstLine="0" w:firstLineChars="0"/>
        <w:rPr>
          <w:rFonts w:ascii="Times New Roman"/>
        </w:rPr>
      </w:pPr>
      <w:r>
        <w:rPr>
          <w:rFonts w:hint="eastAsia" w:ascii="黑体" w:hAnsi="黑体" w:eastAsia="黑体"/>
          <w:b/>
        </w:rPr>
        <w:t>1</w:t>
      </w:r>
      <w:r>
        <w:rPr>
          <w:rFonts w:ascii="黑体" w:hAnsi="黑体" w:eastAsia="黑体"/>
          <w:b/>
        </w:rPr>
        <w:t xml:space="preserve">2.2.4.1  </w:t>
      </w:r>
      <w:r>
        <w:rPr>
          <w:rFonts w:hint="eastAsia" w:ascii="Times New Roman"/>
        </w:rPr>
        <w:t>安全泄放系统</w:t>
      </w:r>
      <w:bookmarkEnd w:id="86"/>
    </w:p>
    <w:p w14:paraId="65569E0C">
      <w:pPr>
        <w:pStyle w:val="41"/>
        <w:spacing w:line="276" w:lineRule="auto"/>
        <w:ind w:firstLine="420"/>
        <w:rPr>
          <w:rFonts w:ascii="Times New Roman"/>
          <w:szCs w:val="22"/>
        </w:rPr>
      </w:pPr>
      <w:r>
        <w:rPr>
          <w:rFonts w:hint="eastAsia" w:ascii="Times New Roman"/>
          <w:szCs w:val="22"/>
        </w:rPr>
        <w:t>按照</w:t>
      </w:r>
      <w:r>
        <w:rPr>
          <w:rFonts w:ascii="Times New Roman"/>
          <w:szCs w:val="22"/>
        </w:rPr>
        <w:t>GB 50183</w:t>
      </w:r>
      <w:r>
        <w:rPr>
          <w:rFonts w:hint="eastAsia" w:ascii="Times New Roman"/>
          <w:szCs w:val="22"/>
        </w:rPr>
        <w:t>、</w:t>
      </w:r>
      <w:r>
        <w:rPr>
          <w:rFonts w:ascii="Times New Roman"/>
          <w:szCs w:val="22"/>
        </w:rPr>
        <w:t>SY/T 7757</w:t>
      </w:r>
      <w:r>
        <w:rPr>
          <w:rFonts w:hint="eastAsia" w:ascii="Times New Roman"/>
          <w:szCs w:val="22"/>
        </w:rPr>
        <w:t>、</w:t>
      </w:r>
      <w:r>
        <w:rPr>
          <w:rFonts w:ascii="Times New Roman"/>
          <w:szCs w:val="22"/>
        </w:rPr>
        <w:t>SY/T 10043</w:t>
      </w:r>
      <w:r>
        <w:rPr>
          <w:rFonts w:hint="eastAsia" w:ascii="Times New Roman"/>
          <w:szCs w:val="22"/>
        </w:rPr>
        <w:t>等的相关规定，说明安全泄放系统采取的措施，主要包括以下内容：</w:t>
      </w:r>
    </w:p>
    <w:p w14:paraId="3FAC7D50">
      <w:pPr>
        <w:pStyle w:val="41"/>
        <w:numPr>
          <w:ilvl w:val="0"/>
          <w:numId w:val="5"/>
        </w:numPr>
        <w:adjustRightInd w:val="0"/>
        <w:snapToGrid w:val="0"/>
        <w:spacing w:line="276" w:lineRule="auto"/>
        <w:ind w:firstLineChars="0"/>
        <w:rPr>
          <w:rFonts w:ascii="Times New Roman"/>
          <w:szCs w:val="22"/>
        </w:rPr>
      </w:pPr>
      <w:r>
        <w:rPr>
          <w:rFonts w:hint="eastAsia" w:ascii="Times New Roman"/>
          <w:szCs w:val="22"/>
        </w:rPr>
        <w:t>放空管或放空火炬的设计放空量；</w:t>
      </w:r>
    </w:p>
    <w:p w14:paraId="729F67A5">
      <w:pPr>
        <w:pStyle w:val="41"/>
        <w:numPr>
          <w:ilvl w:val="0"/>
          <w:numId w:val="5"/>
        </w:numPr>
        <w:adjustRightInd w:val="0"/>
        <w:snapToGrid w:val="0"/>
        <w:spacing w:line="276" w:lineRule="auto"/>
        <w:ind w:firstLineChars="0"/>
        <w:rPr>
          <w:rFonts w:ascii="Times New Roman"/>
          <w:szCs w:val="22"/>
        </w:rPr>
      </w:pPr>
      <w:r>
        <w:rPr>
          <w:rFonts w:hint="eastAsia" w:ascii="Times New Roman"/>
          <w:szCs w:val="22"/>
        </w:rPr>
        <w:t>放空管网管径、马赫数；</w:t>
      </w:r>
    </w:p>
    <w:p w14:paraId="7F8E48ED">
      <w:pPr>
        <w:pStyle w:val="41"/>
        <w:numPr>
          <w:ilvl w:val="0"/>
          <w:numId w:val="5"/>
        </w:numPr>
        <w:adjustRightInd w:val="0"/>
        <w:snapToGrid w:val="0"/>
        <w:spacing w:line="276" w:lineRule="auto"/>
        <w:ind w:firstLineChars="0"/>
        <w:rPr>
          <w:rFonts w:ascii="Times New Roman"/>
          <w:szCs w:val="22"/>
        </w:rPr>
      </w:pPr>
      <w:r>
        <w:rPr>
          <w:rFonts w:hint="eastAsia" w:ascii="Times New Roman"/>
          <w:szCs w:val="22"/>
        </w:rPr>
        <w:t>放空管或放空火炬的直径、高度；</w:t>
      </w:r>
    </w:p>
    <w:p w14:paraId="31735854">
      <w:pPr>
        <w:pStyle w:val="41"/>
        <w:numPr>
          <w:ilvl w:val="0"/>
          <w:numId w:val="5"/>
        </w:numPr>
        <w:adjustRightInd w:val="0"/>
        <w:snapToGrid w:val="0"/>
        <w:spacing w:line="276" w:lineRule="auto"/>
        <w:ind w:firstLineChars="0"/>
        <w:rPr>
          <w:rFonts w:ascii="Times New Roman"/>
          <w:szCs w:val="22"/>
        </w:rPr>
      </w:pPr>
      <w:r>
        <w:rPr>
          <w:rFonts w:hint="eastAsia" w:ascii="Times New Roman"/>
          <w:szCs w:val="22"/>
        </w:rPr>
        <w:t>放空火炬允许热辐射强度、防止回火措施；</w:t>
      </w:r>
    </w:p>
    <w:p w14:paraId="325153CE">
      <w:pPr>
        <w:pStyle w:val="41"/>
        <w:numPr>
          <w:ilvl w:val="0"/>
          <w:numId w:val="5"/>
        </w:numPr>
        <w:adjustRightInd w:val="0"/>
        <w:snapToGrid w:val="0"/>
        <w:spacing w:line="276" w:lineRule="auto"/>
        <w:ind w:firstLineChars="0"/>
        <w:rPr>
          <w:rFonts w:ascii="Times New Roman"/>
          <w:szCs w:val="22"/>
        </w:rPr>
      </w:pPr>
      <w:r>
        <w:rPr>
          <w:rFonts w:hint="eastAsia" w:ascii="Times New Roman"/>
          <w:szCs w:val="22"/>
        </w:rPr>
        <w:t>不同设计压力放空管道的压力界面；</w:t>
      </w:r>
    </w:p>
    <w:p w14:paraId="30B276C6">
      <w:pPr>
        <w:pStyle w:val="41"/>
        <w:numPr>
          <w:ilvl w:val="0"/>
          <w:numId w:val="5"/>
        </w:numPr>
        <w:adjustRightInd w:val="0"/>
        <w:snapToGrid w:val="0"/>
        <w:spacing w:line="276" w:lineRule="auto"/>
        <w:ind w:left="0" w:firstLine="420" w:firstLineChars="0"/>
        <w:rPr>
          <w:rFonts w:ascii="Times New Roman"/>
        </w:rPr>
      </w:pPr>
      <w:r>
        <w:rPr>
          <w:rFonts w:hint="eastAsia" w:ascii="Times New Roman"/>
          <w:szCs w:val="22"/>
        </w:rPr>
        <w:t>列表说明放空分液罐、限流孔板、阻火器、爆破片的安装位置、规格、设计压力等参数</w:t>
      </w:r>
      <w:r>
        <w:rPr>
          <w:rFonts w:hint="eastAsia" w:ascii="Times New Roman"/>
        </w:rPr>
        <w:t>。</w:t>
      </w:r>
    </w:p>
    <w:p w14:paraId="5F2DE0D9">
      <w:pPr>
        <w:pStyle w:val="41"/>
        <w:spacing w:line="276" w:lineRule="auto"/>
        <w:ind w:firstLine="0" w:firstLineChars="0"/>
        <w:rPr>
          <w:rFonts w:ascii="Times New Roman"/>
        </w:rPr>
      </w:pPr>
      <w:r>
        <w:rPr>
          <w:rFonts w:hint="eastAsia" w:ascii="黑体" w:hAnsi="黑体" w:eastAsia="黑体"/>
          <w:b/>
        </w:rPr>
        <w:t>1</w:t>
      </w:r>
      <w:r>
        <w:rPr>
          <w:rFonts w:ascii="黑体" w:hAnsi="黑体" w:eastAsia="黑体"/>
          <w:b/>
        </w:rPr>
        <w:t xml:space="preserve">2.2.4.2  </w:t>
      </w:r>
      <w:r>
        <w:rPr>
          <w:rFonts w:hint="eastAsia" w:ascii="Times New Roman"/>
        </w:rPr>
        <w:t>空氮系统</w:t>
      </w:r>
    </w:p>
    <w:p w14:paraId="53E26B53">
      <w:pPr>
        <w:pStyle w:val="41"/>
        <w:spacing w:line="276" w:lineRule="auto"/>
        <w:ind w:firstLine="420"/>
        <w:rPr>
          <w:rFonts w:ascii="Times New Roman"/>
          <w:szCs w:val="22"/>
        </w:rPr>
      </w:pPr>
      <w:r>
        <w:rPr>
          <w:rFonts w:hint="eastAsia" w:ascii="Times New Roman"/>
          <w:szCs w:val="22"/>
        </w:rPr>
        <w:t>应说明空氮系统采取的措施，主要包括以下内容：</w:t>
      </w:r>
    </w:p>
    <w:p w14:paraId="2151FBF0">
      <w:pPr>
        <w:pStyle w:val="41"/>
        <w:spacing w:line="276" w:lineRule="auto"/>
        <w:ind w:firstLine="420"/>
        <w:rPr>
          <w:rFonts w:ascii="Times New Roman"/>
          <w:szCs w:val="22"/>
        </w:rPr>
      </w:pPr>
      <w:r>
        <w:rPr>
          <w:rFonts w:hint="eastAsia" w:ascii="Times New Roman"/>
          <w:szCs w:val="22"/>
        </w:rPr>
        <w:t>a）空气、氮气站净化空气、非净化空气、氮气的生产规模、气质条件、供气压力；</w:t>
      </w:r>
    </w:p>
    <w:p w14:paraId="0BE497C8">
      <w:pPr>
        <w:pStyle w:val="41"/>
        <w:spacing w:line="276" w:lineRule="auto"/>
        <w:ind w:firstLine="420"/>
        <w:rPr>
          <w:rFonts w:ascii="Times New Roman"/>
          <w:szCs w:val="22"/>
        </w:rPr>
      </w:pPr>
      <w:r>
        <w:rPr>
          <w:rFonts w:hint="eastAsia" w:ascii="Times New Roman"/>
          <w:szCs w:val="22"/>
        </w:rPr>
        <w:t>b）泄压保护设施；</w:t>
      </w:r>
    </w:p>
    <w:p w14:paraId="39204E68">
      <w:pPr>
        <w:pStyle w:val="41"/>
        <w:spacing w:line="276" w:lineRule="auto"/>
        <w:ind w:firstLine="420"/>
        <w:rPr>
          <w:rFonts w:ascii="Times New Roman"/>
          <w:szCs w:val="22"/>
        </w:rPr>
      </w:pPr>
      <w:r>
        <w:rPr>
          <w:rFonts w:ascii="Times New Roman"/>
          <w:szCs w:val="22"/>
        </w:rPr>
        <w:t>c）</w:t>
      </w:r>
      <w:r>
        <w:rPr>
          <w:rFonts w:hint="eastAsia" w:ascii="Times New Roman"/>
          <w:szCs w:val="22"/>
        </w:rPr>
        <w:t>仪表用净化空气储罐维持时间。</w:t>
      </w:r>
    </w:p>
    <w:p w14:paraId="3CAB88EF">
      <w:pPr>
        <w:pStyle w:val="41"/>
        <w:spacing w:line="276" w:lineRule="auto"/>
        <w:ind w:firstLine="0" w:firstLineChars="0"/>
        <w:rPr>
          <w:rFonts w:ascii="Times New Roman"/>
        </w:rPr>
      </w:pPr>
      <w:r>
        <w:rPr>
          <w:rFonts w:hint="eastAsia" w:ascii="黑体" w:hAnsi="黑体" w:eastAsia="黑体"/>
          <w:b/>
        </w:rPr>
        <w:t>12.2.4.3</w:t>
      </w:r>
      <w:r>
        <w:rPr>
          <w:rFonts w:ascii="黑体" w:hAnsi="黑体" w:eastAsia="黑体"/>
          <w:b/>
        </w:rPr>
        <w:t xml:space="preserve"> </w:t>
      </w:r>
      <w:r>
        <w:rPr>
          <w:rFonts w:hint="eastAsia" w:ascii="黑体" w:hAnsi="黑体" w:eastAsia="黑体"/>
          <w:b/>
        </w:rPr>
        <w:t xml:space="preserve"> </w:t>
      </w:r>
      <w:r>
        <w:rPr>
          <w:rFonts w:hint="eastAsia" w:ascii="Times New Roman"/>
        </w:rPr>
        <w:t>燃料气系统</w:t>
      </w:r>
    </w:p>
    <w:p w14:paraId="4B7B140B">
      <w:pPr>
        <w:pStyle w:val="41"/>
        <w:spacing w:line="276" w:lineRule="auto"/>
        <w:ind w:firstLine="420"/>
        <w:rPr>
          <w:rFonts w:ascii="Times New Roman"/>
          <w:szCs w:val="22"/>
        </w:rPr>
      </w:pPr>
      <w:r>
        <w:rPr>
          <w:rFonts w:hint="eastAsia" w:ascii="Times New Roman"/>
          <w:szCs w:val="22"/>
        </w:rPr>
        <w:t>说明燃料气系统采取的措施，主要包括以下内容：</w:t>
      </w:r>
    </w:p>
    <w:p w14:paraId="63BDBD3B">
      <w:pPr>
        <w:pStyle w:val="41"/>
        <w:spacing w:line="276" w:lineRule="auto"/>
        <w:ind w:firstLine="420"/>
        <w:rPr>
          <w:rFonts w:ascii="Times New Roman"/>
          <w:szCs w:val="22"/>
        </w:rPr>
      </w:pPr>
      <w:r>
        <w:rPr>
          <w:rFonts w:hint="eastAsia" w:ascii="Times New Roman"/>
          <w:szCs w:val="22"/>
        </w:rPr>
        <w:t>a）燃料气用量，正常生产及开、停工燃料气来源、供气压力；</w:t>
      </w:r>
    </w:p>
    <w:p w14:paraId="0722C5CA">
      <w:pPr>
        <w:pStyle w:val="41"/>
        <w:spacing w:line="276" w:lineRule="auto"/>
        <w:ind w:firstLine="420"/>
        <w:rPr>
          <w:rFonts w:ascii="Times New Roman"/>
          <w:szCs w:val="22"/>
        </w:rPr>
      </w:pPr>
      <w:r>
        <w:rPr>
          <w:rFonts w:hint="eastAsia" w:ascii="Times New Roman"/>
          <w:szCs w:val="22"/>
        </w:rPr>
        <w:t>b）防止燃料气超压措施。</w:t>
      </w:r>
    </w:p>
    <w:p w14:paraId="7E0BF189">
      <w:pPr>
        <w:pStyle w:val="5"/>
        <w:rPr>
          <w:rFonts w:ascii="黑体" w:hAnsi="黑体" w:eastAsia="黑体"/>
        </w:rPr>
      </w:pPr>
      <w:bookmarkStart w:id="87" w:name="_Toc193449120"/>
      <w:r>
        <w:rPr>
          <w:rFonts w:ascii="黑体" w:hAnsi="黑体" w:eastAsia="黑体" w:cs="Times New Roman"/>
        </w:rPr>
        <w:t xml:space="preserve">12.2.5  </w:t>
      </w:r>
      <w:r>
        <w:rPr>
          <w:rFonts w:hint="eastAsia" w:ascii="黑体" w:hAnsi="黑体" w:eastAsia="黑体" w:cs="Times New Roman"/>
        </w:rPr>
        <w:t>材质选择</w:t>
      </w:r>
      <w:bookmarkEnd w:id="87"/>
    </w:p>
    <w:p w14:paraId="16934A50">
      <w:pPr>
        <w:pStyle w:val="41"/>
        <w:spacing w:line="276" w:lineRule="auto"/>
        <w:ind w:firstLine="420"/>
      </w:pPr>
      <w:r>
        <w:rPr>
          <w:rFonts w:hint="eastAsia" w:ascii="Times New Roman"/>
          <w:szCs w:val="22"/>
        </w:rPr>
        <w:t>按照</w:t>
      </w:r>
      <w:r>
        <w:rPr>
          <w:rFonts w:ascii="Times New Roman"/>
          <w:szCs w:val="21"/>
          <w:lang w:bidi="ar"/>
        </w:rPr>
        <w:t>GB/T 150.1</w:t>
      </w:r>
      <w:r>
        <w:rPr>
          <w:rFonts w:hint="eastAsia" w:ascii="Times New Roman"/>
          <w:szCs w:val="22"/>
        </w:rPr>
        <w:t>、</w:t>
      </w:r>
      <w:r>
        <w:rPr>
          <w:rFonts w:ascii="Times New Roman"/>
          <w:szCs w:val="21"/>
          <w:lang w:bidi="ar"/>
        </w:rPr>
        <w:t>TSG 21</w:t>
      </w:r>
      <w:r>
        <w:rPr>
          <w:rFonts w:hint="eastAsia" w:ascii="Times New Roman"/>
          <w:szCs w:val="21"/>
          <w:lang w:bidi="ar"/>
        </w:rPr>
        <w:t>、</w:t>
      </w:r>
      <w:r>
        <w:rPr>
          <w:rFonts w:ascii="Times New Roman"/>
          <w:szCs w:val="22"/>
        </w:rPr>
        <w:t>SY/T 0599</w:t>
      </w:r>
      <w:r>
        <w:rPr>
          <w:rFonts w:hint="eastAsia" w:ascii="Times New Roman"/>
          <w:szCs w:val="22"/>
        </w:rPr>
        <w:t>等的相关规定，说明工艺设备</w:t>
      </w:r>
      <w:r>
        <w:rPr>
          <w:rFonts w:hint="eastAsia" w:hAnsi="宋体"/>
          <w:szCs w:val="22"/>
        </w:rPr>
        <w:t>材质和选择依据</w:t>
      </w:r>
      <w:r>
        <w:rPr>
          <w:rFonts w:hint="eastAsia" w:ascii="Times New Roman"/>
          <w:szCs w:val="22"/>
        </w:rPr>
        <w:t>，主要包括以下内容：</w:t>
      </w:r>
    </w:p>
    <w:p w14:paraId="0D2C0A8D">
      <w:pPr>
        <w:pStyle w:val="41"/>
        <w:numPr>
          <w:ilvl w:val="0"/>
          <w:numId w:val="6"/>
        </w:numPr>
        <w:adjustRightInd w:val="0"/>
        <w:snapToGrid w:val="0"/>
        <w:spacing w:line="276" w:lineRule="auto"/>
        <w:ind w:left="0" w:firstLine="420"/>
        <w:rPr>
          <w:rFonts w:ascii="Times New Roman"/>
          <w:szCs w:val="22"/>
        </w:rPr>
      </w:pPr>
      <w:r>
        <w:rPr>
          <w:rFonts w:hint="eastAsia" w:hAnsi="宋体"/>
          <w:szCs w:val="22"/>
        </w:rPr>
        <w:t>结合介质和工况，说明主要工艺设备的材质和选择依据；</w:t>
      </w:r>
    </w:p>
    <w:p w14:paraId="68946290">
      <w:pPr>
        <w:pStyle w:val="41"/>
        <w:numPr>
          <w:ilvl w:val="0"/>
          <w:numId w:val="6"/>
        </w:numPr>
        <w:adjustRightInd w:val="0"/>
        <w:snapToGrid w:val="0"/>
        <w:spacing w:line="276" w:lineRule="auto"/>
        <w:ind w:left="0" w:firstLine="420"/>
        <w:rPr>
          <w:rFonts w:ascii="Times New Roman"/>
          <w:szCs w:val="22"/>
        </w:rPr>
      </w:pPr>
      <w:r>
        <w:rPr>
          <w:rFonts w:hint="eastAsia" w:ascii="Times New Roman"/>
          <w:szCs w:val="22"/>
        </w:rPr>
        <w:t>结合介质和工况，说明主要工艺设备、阀门的材质和选择依据；</w:t>
      </w:r>
    </w:p>
    <w:p w14:paraId="13B106F1">
      <w:pPr>
        <w:pStyle w:val="41"/>
        <w:numPr>
          <w:ilvl w:val="0"/>
          <w:numId w:val="6"/>
        </w:numPr>
        <w:adjustRightInd w:val="0"/>
        <w:snapToGrid w:val="0"/>
        <w:spacing w:line="276" w:lineRule="auto"/>
        <w:ind w:left="0" w:firstLine="420"/>
        <w:rPr>
          <w:rFonts w:ascii="Times New Roman"/>
          <w:szCs w:val="22"/>
        </w:rPr>
      </w:pPr>
      <w:r>
        <w:rPr>
          <w:rFonts w:hint="eastAsia" w:ascii="Times New Roman"/>
          <w:szCs w:val="22"/>
        </w:rPr>
        <w:t>结合介质和工况，说明管道的材质和选择依据；</w:t>
      </w:r>
    </w:p>
    <w:p w14:paraId="5C057E90">
      <w:pPr>
        <w:pStyle w:val="41"/>
        <w:numPr>
          <w:ilvl w:val="0"/>
          <w:numId w:val="6"/>
        </w:numPr>
        <w:adjustRightInd w:val="0"/>
        <w:snapToGrid w:val="0"/>
        <w:spacing w:line="276" w:lineRule="auto"/>
        <w:ind w:left="0" w:firstLine="420"/>
        <w:rPr>
          <w:rFonts w:ascii="Times New Roman"/>
          <w:szCs w:val="22"/>
        </w:rPr>
      </w:pPr>
      <w:r>
        <w:rPr>
          <w:rFonts w:hint="eastAsia" w:ascii="Times New Roman"/>
          <w:szCs w:val="22"/>
        </w:rPr>
        <w:t>说明主要工艺介质接触的仪表设备、材料的材质和选择依据。</w:t>
      </w:r>
    </w:p>
    <w:p w14:paraId="4023D99D">
      <w:pPr>
        <w:pStyle w:val="5"/>
        <w:rPr>
          <w:rFonts w:ascii="黑体" w:hAnsi="黑体" w:eastAsia="黑体" w:cs="Times New Roman"/>
        </w:rPr>
      </w:pPr>
      <w:bookmarkStart w:id="88" w:name="_Toc193449121"/>
      <w:r>
        <w:rPr>
          <w:rFonts w:hint="eastAsia" w:ascii="黑体" w:hAnsi="黑体" w:eastAsia="黑体" w:cs="Times New Roman"/>
        </w:rPr>
        <w:t>1</w:t>
      </w:r>
      <w:r>
        <w:rPr>
          <w:rFonts w:ascii="黑体" w:hAnsi="黑体" w:eastAsia="黑体" w:cs="Times New Roman"/>
        </w:rPr>
        <w:t>2.2.6  HAZOP落实情况</w:t>
      </w:r>
      <w:bookmarkEnd w:id="88"/>
    </w:p>
    <w:p w14:paraId="5C1DA89B">
      <w:pPr>
        <w:pStyle w:val="41"/>
        <w:spacing w:line="276" w:lineRule="auto"/>
        <w:ind w:firstLine="420"/>
        <w:rPr>
          <w:rFonts w:ascii="Times New Roman"/>
          <w:szCs w:val="22"/>
        </w:rPr>
      </w:pPr>
      <w:bookmarkStart w:id="89" w:name="_Toc178069505"/>
      <w:bookmarkStart w:id="90" w:name="_Toc178069512"/>
      <w:r>
        <w:rPr>
          <w:rFonts w:ascii="Times New Roman"/>
          <w:szCs w:val="22"/>
        </w:rPr>
        <w:t>按表</w:t>
      </w:r>
      <w:r>
        <w:rPr>
          <w:rFonts w:hint="eastAsia" w:ascii="Times New Roman"/>
          <w:szCs w:val="22"/>
        </w:rPr>
        <w:t>B</w:t>
      </w:r>
      <w:r>
        <w:rPr>
          <w:rFonts w:ascii="Times New Roman"/>
          <w:szCs w:val="22"/>
        </w:rPr>
        <w:t>.16说明HAZOP及其他危险性评估报告建议措施的落实情况。</w:t>
      </w:r>
    </w:p>
    <w:p w14:paraId="624A3520">
      <w:pPr>
        <w:pStyle w:val="4"/>
        <w:spacing w:before="156"/>
        <w:rPr>
          <w:rFonts w:ascii="黑体" w:hAnsi="黑体" w:eastAsia="黑体" w:cs="Times New Roman"/>
        </w:rPr>
      </w:pPr>
      <w:bookmarkStart w:id="91" w:name="_Toc195881871"/>
      <w:r>
        <w:rPr>
          <w:rFonts w:ascii="黑体" w:hAnsi="黑体" w:eastAsia="黑体" w:cs="Times New Roman"/>
        </w:rPr>
        <w:t xml:space="preserve">12.3  </w:t>
      </w:r>
      <w:bookmarkEnd w:id="89"/>
      <w:r>
        <w:rPr>
          <w:rFonts w:hint="eastAsia" w:ascii="黑体" w:hAnsi="黑体" w:eastAsia="黑体" w:cs="Times New Roman"/>
        </w:rPr>
        <w:t>线路工程</w:t>
      </w:r>
      <w:bookmarkEnd w:id="91"/>
    </w:p>
    <w:p w14:paraId="3B9DD053">
      <w:pPr>
        <w:pStyle w:val="5"/>
        <w:rPr>
          <w:rFonts w:ascii="黑体" w:hAnsi="黑体" w:eastAsia="黑体" w:cs="Times New Roman"/>
        </w:rPr>
      </w:pPr>
      <w:bookmarkStart w:id="92" w:name="_Toc193449123"/>
      <w:r>
        <w:rPr>
          <w:rFonts w:ascii="黑体" w:hAnsi="黑体" w:eastAsia="黑体" w:cs="Times New Roman"/>
        </w:rPr>
        <w:t xml:space="preserve">12.3.1  </w:t>
      </w:r>
      <w:r>
        <w:rPr>
          <w:rFonts w:hint="eastAsia" w:ascii="黑体" w:hAnsi="黑体" w:eastAsia="黑体" w:cs="Times New Roman"/>
        </w:rPr>
        <w:t>管道本体</w:t>
      </w:r>
      <w:bookmarkEnd w:id="92"/>
    </w:p>
    <w:p w14:paraId="24D86B3F">
      <w:pPr>
        <w:ind w:firstLine="420" w:firstLineChars="200"/>
        <w:rPr>
          <w:rFonts w:ascii="Times New Roman" w:hAnsi="Times New Roman" w:eastAsia="宋体" w:cs="Times New Roman"/>
          <w:b/>
        </w:rPr>
      </w:pPr>
      <w:r>
        <w:rPr>
          <w:rFonts w:hint="eastAsia" w:ascii="Times New Roman" w:hAnsi="Times New Roman" w:eastAsia="宋体"/>
        </w:rPr>
        <w:t>按照</w:t>
      </w:r>
      <w:r>
        <w:rPr>
          <w:rFonts w:ascii="Times New Roman" w:hAnsi="Times New Roman" w:eastAsia="宋体"/>
        </w:rPr>
        <w:t>GB 50349</w:t>
      </w:r>
      <w:r>
        <w:rPr>
          <w:rFonts w:hint="eastAsia" w:ascii="Times New Roman" w:hAnsi="Times New Roman" w:eastAsia="宋体"/>
        </w:rPr>
        <w:t>、</w:t>
      </w:r>
      <w:r>
        <w:rPr>
          <w:rFonts w:ascii="Times New Roman" w:hAnsi="Times New Roman" w:eastAsia="宋体"/>
        </w:rPr>
        <w:t>GB 50251</w:t>
      </w:r>
      <w:r>
        <w:rPr>
          <w:rFonts w:hint="eastAsia" w:ascii="Times New Roman" w:hAnsi="Times New Roman" w:eastAsia="宋体"/>
        </w:rPr>
        <w:t>的相关规定，从管道强度设计系数、管材及管件主要技术条件、焊接与无损检测、清管、测径、试压等方面说明管道本体设计所采取的安全措施。</w:t>
      </w:r>
    </w:p>
    <w:p w14:paraId="5C350859">
      <w:pPr>
        <w:pStyle w:val="5"/>
        <w:rPr>
          <w:rFonts w:ascii="黑体" w:hAnsi="黑体" w:eastAsia="黑体" w:cs="Times New Roman"/>
          <w:b w:val="0"/>
          <w:bCs w:val="0"/>
        </w:rPr>
      </w:pPr>
      <w:bookmarkStart w:id="93" w:name="_Toc193449124"/>
      <w:r>
        <w:rPr>
          <w:rFonts w:ascii="黑体" w:hAnsi="黑体" w:eastAsia="黑体" w:cs="Times New Roman"/>
        </w:rPr>
        <w:t xml:space="preserve">12.3.2  </w:t>
      </w:r>
      <w:r>
        <w:rPr>
          <w:rFonts w:hint="eastAsia" w:ascii="黑体" w:hAnsi="黑体" w:eastAsia="黑体" w:cs="Times New Roman"/>
        </w:rPr>
        <w:t>管道敷设</w:t>
      </w:r>
      <w:bookmarkEnd w:id="93"/>
    </w:p>
    <w:p w14:paraId="7DB8F668">
      <w:pPr>
        <w:ind w:firstLine="420" w:firstLineChars="200"/>
        <w:rPr>
          <w:rFonts w:ascii="Times New Roman" w:hAnsi="Times New Roman" w:eastAsia="宋体"/>
        </w:rPr>
      </w:pPr>
      <w:r>
        <w:rPr>
          <w:rFonts w:hint="eastAsia" w:ascii="Times New Roman" w:hAnsi="Times New Roman" w:eastAsia="宋体"/>
        </w:rPr>
        <w:t>按照</w:t>
      </w:r>
      <w:r>
        <w:rPr>
          <w:rFonts w:ascii="Times New Roman" w:hAnsi="Times New Roman" w:eastAsia="宋体"/>
        </w:rPr>
        <w:t>GB 50349</w:t>
      </w:r>
      <w:r>
        <w:rPr>
          <w:rFonts w:hint="eastAsia" w:ascii="Times New Roman" w:hAnsi="Times New Roman" w:eastAsia="宋体"/>
        </w:rPr>
        <w:t>、</w:t>
      </w:r>
      <w:r>
        <w:rPr>
          <w:rFonts w:ascii="Times New Roman" w:hAnsi="Times New Roman" w:eastAsia="宋体"/>
        </w:rPr>
        <w:t>GB 50251</w:t>
      </w:r>
      <w:r>
        <w:rPr>
          <w:rFonts w:hint="eastAsia" w:ascii="Times New Roman" w:hAnsi="Times New Roman" w:eastAsia="宋体"/>
        </w:rPr>
        <w:t>的相关规定，从管道敷设方式、管道埋深、管沟开挖、管沟回填、地貌恢复、水工保护等方面说明管道敷设的安全措施。</w:t>
      </w:r>
    </w:p>
    <w:p w14:paraId="63DDE91A">
      <w:pPr>
        <w:pStyle w:val="5"/>
        <w:rPr>
          <w:rFonts w:ascii="黑体" w:hAnsi="黑体" w:eastAsia="黑体" w:cs="Times New Roman"/>
          <w:b w:val="0"/>
        </w:rPr>
      </w:pPr>
      <w:bookmarkStart w:id="94" w:name="_Toc193449125"/>
      <w:bookmarkStart w:id="95" w:name="_Toc13721"/>
      <w:r>
        <w:rPr>
          <w:rFonts w:ascii="黑体" w:hAnsi="黑体" w:eastAsia="黑体" w:cs="Times New Roman"/>
        </w:rPr>
        <w:t xml:space="preserve">12.3.3  </w:t>
      </w:r>
      <w:r>
        <w:rPr>
          <w:rFonts w:hint="eastAsia" w:ascii="黑体" w:hAnsi="黑体" w:eastAsia="黑体" w:cs="Times New Roman"/>
        </w:rPr>
        <w:t>人员密集型高后果区</w:t>
      </w:r>
      <w:bookmarkEnd w:id="94"/>
    </w:p>
    <w:p w14:paraId="166EE442">
      <w:pPr>
        <w:pStyle w:val="41"/>
        <w:spacing w:line="276" w:lineRule="auto"/>
        <w:ind w:firstLine="420"/>
        <w:rPr>
          <w:rFonts w:ascii="Times New Roman"/>
          <w:szCs w:val="22"/>
        </w:rPr>
      </w:pPr>
      <w:r>
        <w:rPr>
          <w:rFonts w:ascii="Times New Roman"/>
          <w:szCs w:val="22"/>
        </w:rPr>
        <w:t>双向输气管道/联络线、注采干线</w:t>
      </w:r>
      <w:r>
        <w:rPr>
          <w:rFonts w:hint="eastAsia" w:ascii="Times New Roman"/>
          <w:szCs w:val="22"/>
        </w:rPr>
        <w:t>应按照</w:t>
      </w:r>
      <w:r>
        <w:rPr>
          <w:rFonts w:ascii="Times New Roman"/>
          <w:szCs w:val="22"/>
        </w:rPr>
        <w:t>GB 32167</w:t>
      </w:r>
      <w:r>
        <w:rPr>
          <w:rFonts w:hint="eastAsia" w:ascii="Times New Roman"/>
          <w:szCs w:val="22"/>
        </w:rPr>
        <w:t>的相关规定，按表B</w:t>
      </w:r>
      <w:r>
        <w:rPr>
          <w:rFonts w:ascii="Times New Roman"/>
          <w:szCs w:val="22"/>
        </w:rPr>
        <w:t>.17</w:t>
      </w:r>
      <w:r>
        <w:rPr>
          <w:rFonts w:hint="eastAsia" w:ascii="Times New Roman"/>
          <w:szCs w:val="22"/>
        </w:rPr>
        <w:t>完成人员密集型高后果区统计，并分类说明管道经过高后果区采取的安全措施。</w:t>
      </w:r>
      <w:bookmarkEnd w:id="95"/>
    </w:p>
    <w:p w14:paraId="4645AF7F">
      <w:pPr>
        <w:pStyle w:val="5"/>
        <w:rPr>
          <w:rFonts w:ascii="黑体" w:hAnsi="黑体" w:eastAsia="黑体" w:cs="Times New Roman"/>
          <w:b w:val="0"/>
        </w:rPr>
      </w:pPr>
      <w:bookmarkStart w:id="96" w:name="_Toc193449126"/>
      <w:bookmarkStart w:id="97" w:name="_Toc25120"/>
      <w:r>
        <w:rPr>
          <w:rFonts w:ascii="黑体" w:hAnsi="黑体" w:eastAsia="黑体" w:cs="Times New Roman"/>
        </w:rPr>
        <w:t xml:space="preserve">12.3.4  </w:t>
      </w:r>
      <w:r>
        <w:rPr>
          <w:rFonts w:hint="eastAsia" w:ascii="黑体" w:hAnsi="黑体" w:eastAsia="黑体" w:cs="Times New Roman"/>
        </w:rPr>
        <w:t>地质灾害</w:t>
      </w:r>
      <w:bookmarkEnd w:id="96"/>
    </w:p>
    <w:p w14:paraId="200585BA">
      <w:pPr>
        <w:pStyle w:val="41"/>
        <w:ind w:firstLine="420"/>
        <w:rPr>
          <w:rFonts w:ascii="Times New Roman"/>
          <w:szCs w:val="22"/>
        </w:rPr>
      </w:pPr>
      <w:r>
        <w:rPr>
          <w:rFonts w:hint="eastAsia" w:ascii="Times New Roman"/>
          <w:szCs w:val="22"/>
        </w:rPr>
        <w:t>根据地质灾害危险性评估报告、地质勘察报告，说明管道经过地质灾害段采取的安全措施。</w:t>
      </w:r>
      <w:bookmarkEnd w:id="97"/>
    </w:p>
    <w:p w14:paraId="6B69FA77">
      <w:pPr>
        <w:pStyle w:val="5"/>
        <w:rPr>
          <w:rFonts w:ascii="黑体" w:hAnsi="黑体" w:eastAsia="黑体" w:cs="Times New Roman"/>
          <w:b w:val="0"/>
        </w:rPr>
      </w:pPr>
      <w:bookmarkStart w:id="98" w:name="_Toc193449127"/>
      <w:bookmarkStart w:id="99" w:name="_Toc10740"/>
      <w:r>
        <w:rPr>
          <w:rFonts w:ascii="黑体" w:hAnsi="黑体" w:eastAsia="黑体" w:cs="Times New Roman"/>
        </w:rPr>
        <w:t xml:space="preserve">12.3.5  </w:t>
      </w:r>
      <w:r>
        <w:rPr>
          <w:rFonts w:hint="eastAsia" w:ascii="黑体" w:hAnsi="黑体" w:eastAsia="黑体" w:cs="Times New Roman"/>
        </w:rPr>
        <w:t>地震</w:t>
      </w:r>
      <w:bookmarkEnd w:id="98"/>
    </w:p>
    <w:p w14:paraId="0BF61845">
      <w:pPr>
        <w:pStyle w:val="41"/>
        <w:ind w:firstLine="420"/>
        <w:rPr>
          <w:rFonts w:ascii="Times New Roman"/>
          <w:szCs w:val="22"/>
        </w:rPr>
      </w:pPr>
      <w:r>
        <w:rPr>
          <w:rFonts w:ascii="Times New Roman"/>
          <w:szCs w:val="22"/>
        </w:rPr>
        <w:t>根据地震安全性评价报告和中国地震动参数区划图，描述管道沿线地震参数及全新世活动断裂带分布情况，说明管道经过地震及</w:t>
      </w:r>
      <w:r>
        <w:rPr>
          <w:rFonts w:hint="eastAsia" w:ascii="Times New Roman"/>
          <w:szCs w:val="22"/>
        </w:rPr>
        <w:t>全新世</w:t>
      </w:r>
      <w:r>
        <w:rPr>
          <w:rFonts w:ascii="Times New Roman"/>
          <w:szCs w:val="22"/>
        </w:rPr>
        <w:t>活动断裂带采取的安全措施</w:t>
      </w:r>
      <w:r>
        <w:rPr>
          <w:rFonts w:hint="eastAsia" w:ascii="Times New Roman"/>
          <w:szCs w:val="22"/>
        </w:rPr>
        <w:t>。</w:t>
      </w:r>
      <w:bookmarkEnd w:id="99"/>
    </w:p>
    <w:p w14:paraId="4414ECEF">
      <w:pPr>
        <w:pStyle w:val="5"/>
        <w:rPr>
          <w:rFonts w:ascii="黑体" w:hAnsi="黑体" w:eastAsia="黑体" w:cs="Times New Roman"/>
          <w:b w:val="0"/>
        </w:rPr>
      </w:pPr>
      <w:bookmarkStart w:id="100" w:name="_Toc193449128"/>
      <w:bookmarkStart w:id="101" w:name="_Toc11311"/>
      <w:r>
        <w:rPr>
          <w:rFonts w:ascii="黑体" w:hAnsi="黑体" w:eastAsia="黑体" w:cs="Times New Roman"/>
        </w:rPr>
        <w:t xml:space="preserve">12.3.6  </w:t>
      </w:r>
      <w:r>
        <w:rPr>
          <w:rFonts w:hint="eastAsia" w:ascii="黑体" w:hAnsi="黑体" w:eastAsia="黑体" w:cs="Times New Roman"/>
        </w:rPr>
        <w:t>采矿区</w:t>
      </w:r>
      <w:bookmarkEnd w:id="100"/>
    </w:p>
    <w:p w14:paraId="4069FFD1">
      <w:pPr>
        <w:pStyle w:val="41"/>
        <w:ind w:firstLine="420"/>
        <w:rPr>
          <w:rFonts w:ascii="Times New Roman"/>
          <w:szCs w:val="22"/>
        </w:rPr>
      </w:pPr>
      <w:r>
        <w:rPr>
          <w:rFonts w:hint="eastAsia" w:ascii="Times New Roman"/>
          <w:szCs w:val="22"/>
        </w:rPr>
        <w:t>根据压覆矿产资源评估报告，说明管道经过采矿区采取的安全措施。</w:t>
      </w:r>
      <w:bookmarkEnd w:id="101"/>
    </w:p>
    <w:p w14:paraId="2A990FF2">
      <w:pPr>
        <w:pStyle w:val="5"/>
        <w:rPr>
          <w:rFonts w:ascii="黑体" w:hAnsi="黑体" w:eastAsia="黑体" w:cs="Times New Roman"/>
          <w:b w:val="0"/>
        </w:rPr>
      </w:pPr>
      <w:bookmarkStart w:id="102" w:name="_Toc193449129"/>
      <w:bookmarkStart w:id="103" w:name="_Toc4740"/>
      <w:r>
        <w:rPr>
          <w:rFonts w:ascii="黑体" w:hAnsi="黑体" w:eastAsia="黑体" w:cs="Times New Roman"/>
        </w:rPr>
        <w:t xml:space="preserve">12.3.7  </w:t>
      </w:r>
      <w:r>
        <w:rPr>
          <w:rFonts w:hint="eastAsia" w:ascii="黑体" w:hAnsi="黑体" w:eastAsia="黑体" w:cs="Times New Roman"/>
        </w:rPr>
        <w:t>穿跨越段</w:t>
      </w:r>
      <w:bookmarkEnd w:id="102"/>
    </w:p>
    <w:bookmarkEnd w:id="103"/>
    <w:p w14:paraId="585A17E2">
      <w:pPr>
        <w:pStyle w:val="41"/>
        <w:spacing w:line="276" w:lineRule="auto"/>
        <w:ind w:firstLine="420"/>
        <w:rPr>
          <w:rFonts w:ascii="Times New Roman"/>
          <w:szCs w:val="22"/>
        </w:rPr>
      </w:pPr>
      <w:r>
        <w:rPr>
          <w:rFonts w:hint="eastAsia" w:ascii="Times New Roman"/>
          <w:szCs w:val="22"/>
        </w:rPr>
        <w:t>按照</w:t>
      </w:r>
      <w:r>
        <w:rPr>
          <w:rFonts w:ascii="Times New Roman"/>
          <w:szCs w:val="22"/>
        </w:rPr>
        <w:t>GB 50349、GB 50350、GB 50423、GB 50459等的相关规定，按表</w:t>
      </w:r>
      <w:r>
        <w:rPr>
          <w:rFonts w:hint="eastAsia" w:ascii="Times New Roman"/>
          <w:szCs w:val="22"/>
        </w:rPr>
        <w:t>B</w:t>
      </w:r>
      <w:r>
        <w:rPr>
          <w:rFonts w:ascii="Times New Roman"/>
          <w:szCs w:val="22"/>
        </w:rPr>
        <w:t>.18说明</w:t>
      </w:r>
      <w:r>
        <w:rPr>
          <w:rFonts w:hint="eastAsia" w:ascii="Times New Roman"/>
          <w:szCs w:val="22"/>
        </w:rPr>
        <w:t>河流大、中型穿（跨）越</w:t>
      </w:r>
      <w:r>
        <w:rPr>
          <w:rFonts w:ascii="Times New Roman"/>
          <w:szCs w:val="22"/>
        </w:rPr>
        <w:t>、铁路穿越、公路穿越、隧道穿越、架空线路穿越、管道穿越等情况</w:t>
      </w:r>
      <w:r>
        <w:rPr>
          <w:rFonts w:hint="eastAsia" w:ascii="Times New Roman"/>
          <w:szCs w:val="22"/>
        </w:rPr>
        <w:t>，并</w:t>
      </w:r>
      <w:r>
        <w:rPr>
          <w:rFonts w:ascii="Times New Roman"/>
          <w:szCs w:val="22"/>
        </w:rPr>
        <w:t>说明采取的安全防护措施。</w:t>
      </w:r>
    </w:p>
    <w:p w14:paraId="549F3119">
      <w:pPr>
        <w:pStyle w:val="5"/>
        <w:rPr>
          <w:rFonts w:ascii="黑体" w:hAnsi="黑体" w:eastAsia="黑体" w:cs="Times New Roman"/>
          <w:b w:val="0"/>
        </w:rPr>
      </w:pPr>
      <w:bookmarkStart w:id="104" w:name="_Toc193449130"/>
      <w:bookmarkStart w:id="105" w:name="_Toc27109"/>
      <w:r>
        <w:rPr>
          <w:rFonts w:ascii="黑体" w:hAnsi="黑体" w:eastAsia="黑体" w:cs="Times New Roman"/>
        </w:rPr>
        <w:t xml:space="preserve">12.3.8  </w:t>
      </w:r>
      <w:r>
        <w:rPr>
          <w:rFonts w:hint="eastAsia" w:ascii="黑体" w:hAnsi="黑体" w:eastAsia="黑体" w:cs="Times New Roman"/>
        </w:rPr>
        <w:t>并行段</w:t>
      </w:r>
      <w:bookmarkEnd w:id="104"/>
    </w:p>
    <w:bookmarkEnd w:id="105"/>
    <w:p w14:paraId="3298A091">
      <w:pPr>
        <w:pStyle w:val="41"/>
        <w:ind w:firstLine="420"/>
        <w:rPr>
          <w:rFonts w:ascii="Times New Roman"/>
          <w:szCs w:val="22"/>
        </w:rPr>
      </w:pPr>
      <w:r>
        <w:rPr>
          <w:rFonts w:hint="eastAsia" w:ascii="Times New Roman"/>
          <w:szCs w:val="22"/>
        </w:rPr>
        <w:t>按照</w:t>
      </w:r>
      <w:r>
        <w:rPr>
          <w:rFonts w:ascii="Times New Roman"/>
          <w:szCs w:val="22"/>
        </w:rPr>
        <w:t xml:space="preserve">GB </w:t>
      </w:r>
      <w:r>
        <w:rPr>
          <w:rFonts w:hint="eastAsia" w:ascii="Times New Roman"/>
          <w:szCs w:val="22"/>
        </w:rPr>
        <w:t>50349、GB</w:t>
      </w:r>
      <w:r>
        <w:rPr>
          <w:rFonts w:ascii="Times New Roman"/>
          <w:szCs w:val="22"/>
        </w:rPr>
        <w:t xml:space="preserve"> </w:t>
      </w:r>
      <w:r>
        <w:rPr>
          <w:rFonts w:hint="eastAsia" w:ascii="Times New Roman"/>
          <w:szCs w:val="22"/>
        </w:rPr>
        <w:t>50350、SY/T</w:t>
      </w:r>
      <w:r>
        <w:rPr>
          <w:rFonts w:ascii="Times New Roman"/>
          <w:szCs w:val="22"/>
        </w:rPr>
        <w:t xml:space="preserve"> </w:t>
      </w:r>
      <w:r>
        <w:rPr>
          <w:rFonts w:hint="eastAsia" w:ascii="Times New Roman"/>
          <w:szCs w:val="22"/>
        </w:rPr>
        <w:t>7365等的相关规定，按表B.19说明管道与铁路、公路、架空输电线路、其他管道等并行情况，并说明采取的安全防护措施。</w:t>
      </w:r>
    </w:p>
    <w:p w14:paraId="0A1124AF">
      <w:pPr>
        <w:pStyle w:val="5"/>
        <w:rPr>
          <w:rFonts w:ascii="黑体" w:hAnsi="黑体" w:eastAsia="黑体" w:cs="Times New Roman"/>
          <w:b w:val="0"/>
        </w:rPr>
      </w:pPr>
      <w:bookmarkStart w:id="106" w:name="_Toc193449131"/>
      <w:bookmarkStart w:id="107" w:name="_Toc4181"/>
      <w:r>
        <w:rPr>
          <w:rFonts w:ascii="黑体" w:hAnsi="黑体" w:eastAsia="黑体" w:cs="Times New Roman"/>
        </w:rPr>
        <w:t xml:space="preserve">12.3.9  </w:t>
      </w:r>
      <w:r>
        <w:rPr>
          <w:rFonts w:hint="eastAsia" w:ascii="黑体" w:hAnsi="黑体" w:eastAsia="黑体" w:cs="Times New Roman"/>
        </w:rPr>
        <w:t>标识与伴行路</w:t>
      </w:r>
      <w:bookmarkEnd w:id="106"/>
    </w:p>
    <w:p w14:paraId="1A289A00">
      <w:pPr>
        <w:pStyle w:val="41"/>
        <w:spacing w:line="276" w:lineRule="auto"/>
        <w:ind w:firstLine="420"/>
        <w:rPr>
          <w:rFonts w:ascii="Times New Roman"/>
          <w:szCs w:val="22"/>
        </w:rPr>
      </w:pPr>
      <w:r>
        <w:rPr>
          <w:rFonts w:hint="eastAsia" w:ascii="Times New Roman"/>
          <w:szCs w:val="22"/>
        </w:rPr>
        <w:t>按照</w:t>
      </w:r>
      <w:r>
        <w:rPr>
          <w:rFonts w:ascii="Times New Roman"/>
          <w:szCs w:val="22"/>
        </w:rPr>
        <w:t>GB 50349</w:t>
      </w:r>
      <w:r>
        <w:rPr>
          <w:rFonts w:hint="eastAsia" w:ascii="Times New Roman"/>
          <w:szCs w:val="22"/>
        </w:rPr>
        <w:t>、</w:t>
      </w:r>
      <w:r>
        <w:rPr>
          <w:rFonts w:ascii="Times New Roman"/>
          <w:szCs w:val="22"/>
        </w:rPr>
        <w:t>GB 50251</w:t>
      </w:r>
      <w:r>
        <w:rPr>
          <w:rFonts w:hint="eastAsia" w:ascii="Times New Roman"/>
          <w:szCs w:val="22"/>
        </w:rPr>
        <w:t>的相关规定，说明管道标识种类、伴行路设置情况及设置要求。</w:t>
      </w:r>
      <w:bookmarkEnd w:id="107"/>
    </w:p>
    <w:p w14:paraId="3B5B67B3">
      <w:pPr>
        <w:pStyle w:val="5"/>
        <w:rPr>
          <w:rFonts w:ascii="黑体" w:hAnsi="黑体" w:eastAsia="黑体" w:cs="Times New Roman"/>
          <w:b w:val="0"/>
        </w:rPr>
      </w:pPr>
      <w:bookmarkStart w:id="108" w:name="_Toc193449132"/>
      <w:r>
        <w:rPr>
          <w:rFonts w:ascii="黑体" w:hAnsi="黑体" w:eastAsia="黑体" w:cs="Times New Roman"/>
        </w:rPr>
        <w:t xml:space="preserve">12.3.10  </w:t>
      </w:r>
      <w:r>
        <w:rPr>
          <w:rFonts w:hint="eastAsia" w:ascii="黑体" w:hAnsi="黑体" w:eastAsia="黑体" w:cs="Times New Roman"/>
        </w:rPr>
        <w:t>截断阀室</w:t>
      </w:r>
      <w:bookmarkEnd w:id="108"/>
    </w:p>
    <w:p w14:paraId="4121C34C">
      <w:pPr>
        <w:ind w:firstLine="420" w:firstLineChars="200"/>
        <w:rPr>
          <w:rFonts w:ascii="Times New Roman" w:hAnsi="Times New Roman" w:eastAsia="宋体"/>
        </w:rPr>
      </w:pPr>
      <w:r>
        <w:rPr>
          <w:rFonts w:hint="eastAsia" w:ascii="Times New Roman" w:hAnsi="Times New Roman" w:eastAsia="宋体"/>
        </w:rPr>
        <w:t>按照</w:t>
      </w:r>
      <w:r>
        <w:rPr>
          <w:rFonts w:ascii="Times New Roman" w:hAnsi="Times New Roman" w:eastAsia="宋体"/>
        </w:rPr>
        <w:t>GB 50349</w:t>
      </w:r>
      <w:r>
        <w:rPr>
          <w:rFonts w:hint="eastAsia" w:ascii="Times New Roman" w:hAnsi="Times New Roman" w:eastAsia="宋体"/>
        </w:rPr>
        <w:t>、</w:t>
      </w:r>
      <w:r>
        <w:rPr>
          <w:rFonts w:ascii="Times New Roman" w:hAnsi="Times New Roman" w:eastAsia="宋体"/>
        </w:rPr>
        <w:t>GB 50251</w:t>
      </w:r>
      <w:r>
        <w:rPr>
          <w:rFonts w:hint="eastAsia" w:ascii="Times New Roman" w:hAnsi="Times New Roman" w:eastAsia="宋体"/>
        </w:rPr>
        <w:t>的相关规定，说明线路截断阀室设置情况及设置要求。</w:t>
      </w:r>
    </w:p>
    <w:bookmarkEnd w:id="90"/>
    <w:p w14:paraId="4BE1890F">
      <w:pPr>
        <w:pStyle w:val="4"/>
        <w:spacing w:before="156"/>
        <w:rPr>
          <w:rFonts w:ascii="黑体" w:hAnsi="黑体" w:eastAsia="黑体" w:cs="Times New Roman"/>
        </w:rPr>
      </w:pPr>
      <w:bookmarkStart w:id="109" w:name="_Toc195881872"/>
      <w:bookmarkStart w:id="110" w:name="_Toc30846"/>
      <w:bookmarkStart w:id="111" w:name="_Toc178069519"/>
      <w:r>
        <w:rPr>
          <w:rFonts w:ascii="黑体" w:hAnsi="黑体" w:eastAsia="黑体" w:cs="Times New Roman"/>
        </w:rPr>
        <w:t xml:space="preserve">12.4  </w:t>
      </w:r>
      <w:r>
        <w:rPr>
          <w:rFonts w:hint="eastAsia" w:ascii="黑体" w:hAnsi="黑体" w:eastAsia="黑体" w:cs="Times New Roman"/>
        </w:rPr>
        <w:t>自控</w:t>
      </w:r>
      <w:bookmarkEnd w:id="109"/>
      <w:bookmarkEnd w:id="110"/>
    </w:p>
    <w:p w14:paraId="0B1DA87C">
      <w:pPr>
        <w:pStyle w:val="5"/>
        <w:rPr>
          <w:rFonts w:ascii="黑体" w:hAnsi="黑体" w:eastAsia="黑体" w:cs="Times New Roman"/>
        </w:rPr>
      </w:pPr>
      <w:bookmarkStart w:id="112" w:name="_Toc27731"/>
      <w:bookmarkStart w:id="113" w:name="_Toc193449134"/>
      <w:r>
        <w:rPr>
          <w:rFonts w:ascii="黑体" w:hAnsi="黑体" w:eastAsia="黑体" w:cs="Times New Roman"/>
        </w:rPr>
        <w:t xml:space="preserve">12.4.1  </w:t>
      </w:r>
      <w:bookmarkEnd w:id="112"/>
      <w:r>
        <w:rPr>
          <w:rFonts w:ascii="黑体" w:hAnsi="黑体" w:eastAsia="黑体" w:cs="Times New Roman"/>
        </w:rPr>
        <w:t>监控和数据采集（SCADA）系统和基本过程控制系统</w:t>
      </w:r>
      <w:bookmarkEnd w:id="113"/>
    </w:p>
    <w:p w14:paraId="53DDD932">
      <w:pPr>
        <w:pStyle w:val="41"/>
        <w:spacing w:before="120" w:after="120" w:line="276" w:lineRule="auto"/>
        <w:ind w:firstLine="420" w:firstLineChars="0"/>
        <w:rPr>
          <w:rFonts w:ascii="Times New Roman"/>
          <w:szCs w:val="22"/>
        </w:rPr>
      </w:pPr>
      <w:r>
        <w:rPr>
          <w:rFonts w:hint="eastAsia" w:ascii="Times New Roman"/>
          <w:szCs w:val="22"/>
        </w:rPr>
        <w:t>按照</w:t>
      </w:r>
      <w:r>
        <w:rPr>
          <w:rFonts w:ascii="Times New Roman"/>
          <w:szCs w:val="22"/>
        </w:rPr>
        <w:t>SY/T 7700、SY/T 7628等的相关规定设置SCADA系统和基本过程控制系统，说明SCADA系统及基本过程控制系统的系统结构、报警及联锁保护功能，系统间的网络安全防护功能及设置，通信中断处理方法。附SCADA系统及基本过程控制系统结构图。</w:t>
      </w:r>
    </w:p>
    <w:p w14:paraId="4550CF60">
      <w:pPr>
        <w:pStyle w:val="5"/>
        <w:rPr>
          <w:rFonts w:ascii="黑体" w:hAnsi="黑体" w:eastAsia="黑体" w:cs="Times New Roman"/>
        </w:rPr>
      </w:pPr>
      <w:bookmarkStart w:id="114" w:name="_Toc23261"/>
      <w:bookmarkStart w:id="115" w:name="_Toc193449135"/>
      <w:r>
        <w:rPr>
          <w:rFonts w:ascii="黑体" w:hAnsi="黑体" w:eastAsia="黑体" w:cs="Times New Roman"/>
        </w:rPr>
        <w:t xml:space="preserve">12.4.2  </w:t>
      </w:r>
      <w:r>
        <w:rPr>
          <w:rFonts w:hint="eastAsia" w:ascii="黑体" w:hAnsi="黑体" w:eastAsia="黑体" w:cs="Times New Roman"/>
        </w:rPr>
        <w:t>安全仪表系统</w:t>
      </w:r>
      <w:bookmarkEnd w:id="114"/>
      <w:bookmarkEnd w:id="115"/>
    </w:p>
    <w:p w14:paraId="5208681B">
      <w:pPr>
        <w:ind w:firstLine="410"/>
        <w:rPr>
          <w:rFonts w:ascii="Times New Roman" w:hAnsi="Times New Roman" w:eastAsia="宋体" w:cs="Times New Roman"/>
          <w:bCs/>
          <w:szCs w:val="32"/>
        </w:rPr>
      </w:pPr>
      <w:r>
        <w:rPr>
          <w:rFonts w:hint="eastAsia" w:ascii="Times New Roman" w:hAnsi="Times New Roman" w:eastAsia="宋体" w:cs="Times New Roman"/>
          <w:bCs/>
          <w:szCs w:val="32"/>
        </w:rPr>
        <w:t>按照</w:t>
      </w:r>
      <w:r>
        <w:rPr>
          <w:rFonts w:ascii="Times New Roman" w:hAnsi="Times New Roman" w:eastAsia="宋体" w:cs="Times New Roman"/>
          <w:bCs/>
          <w:szCs w:val="32"/>
        </w:rPr>
        <w:t>SY/T 6966、SY/T 7628等的相关规定设置安全仪表系统，分别说明集注/配站、井场等安全仪表系统的安全措施，主要包括以下内容：</w:t>
      </w:r>
    </w:p>
    <w:p w14:paraId="788B4616">
      <w:pPr>
        <w:ind w:firstLine="410"/>
        <w:rPr>
          <w:rFonts w:ascii="Times New Roman" w:hAnsi="Times New Roman" w:eastAsia="宋体" w:cs="Times New Roman"/>
          <w:bCs/>
          <w:szCs w:val="32"/>
        </w:rPr>
      </w:pPr>
      <w:r>
        <w:rPr>
          <w:rFonts w:ascii="Times New Roman" w:hAnsi="Times New Roman" w:eastAsia="宋体" w:cs="Times New Roman"/>
          <w:bCs/>
          <w:szCs w:val="32"/>
        </w:rPr>
        <w:t>a）安全仪表系统的结构、配置、功能、设备选型原则及SIL</w:t>
      </w:r>
      <w:r>
        <w:rPr>
          <w:rFonts w:hint="eastAsia" w:ascii="Times New Roman" w:hAnsi="Times New Roman" w:eastAsia="宋体" w:cs="Times New Roman"/>
          <w:bCs/>
          <w:szCs w:val="32"/>
        </w:rPr>
        <w:t>定级结论</w:t>
      </w:r>
      <w:r>
        <w:rPr>
          <w:rFonts w:ascii="Times New Roman" w:hAnsi="Times New Roman" w:eastAsia="宋体" w:cs="Times New Roman"/>
          <w:bCs/>
          <w:szCs w:val="32"/>
        </w:rPr>
        <w:t>，附安全仪表系统结构图和因果表（图）；</w:t>
      </w:r>
    </w:p>
    <w:p w14:paraId="4749264C">
      <w:pPr>
        <w:ind w:firstLine="410"/>
        <w:rPr>
          <w:rFonts w:ascii="Times New Roman" w:hAnsi="Times New Roman" w:eastAsia="宋体" w:cs="Times New Roman"/>
          <w:bCs/>
          <w:szCs w:val="32"/>
        </w:rPr>
      </w:pPr>
      <w:r>
        <w:rPr>
          <w:rFonts w:ascii="Times New Roman" w:hAnsi="Times New Roman" w:eastAsia="宋体" w:cs="Times New Roman"/>
          <w:bCs/>
          <w:szCs w:val="32"/>
        </w:rPr>
        <w:t>b）按表</w:t>
      </w:r>
      <w:r>
        <w:rPr>
          <w:rFonts w:hint="eastAsia" w:ascii="Times New Roman" w:hAnsi="Times New Roman" w:eastAsia="宋体" w:cs="Times New Roman"/>
          <w:bCs/>
          <w:szCs w:val="32"/>
        </w:rPr>
        <w:t>B</w:t>
      </w:r>
      <w:r>
        <w:rPr>
          <w:rFonts w:ascii="Times New Roman" w:hAnsi="Times New Roman" w:eastAsia="宋体" w:cs="Times New Roman"/>
          <w:bCs/>
          <w:szCs w:val="32"/>
        </w:rPr>
        <w:t>.20说明安全仪表系统SIF回路；</w:t>
      </w:r>
    </w:p>
    <w:p w14:paraId="04C7E8CB">
      <w:pPr>
        <w:ind w:firstLine="410"/>
        <w:rPr>
          <w:rFonts w:ascii="Times New Roman" w:hAnsi="Times New Roman" w:eastAsia="宋体" w:cs="Times New Roman"/>
          <w:bCs/>
          <w:szCs w:val="32"/>
        </w:rPr>
      </w:pPr>
      <w:r>
        <w:rPr>
          <w:rFonts w:ascii="Times New Roman" w:hAnsi="Times New Roman" w:eastAsia="宋体" w:cs="Times New Roman"/>
          <w:bCs/>
          <w:szCs w:val="32"/>
        </w:rPr>
        <w:t>c）安全联锁关断级别；</w:t>
      </w:r>
    </w:p>
    <w:p w14:paraId="390C1E1F">
      <w:pPr>
        <w:ind w:firstLine="410"/>
        <w:rPr>
          <w:rFonts w:hAnsi="宋体" w:cs="宋体"/>
        </w:rPr>
      </w:pPr>
      <w:r>
        <w:rPr>
          <w:rFonts w:ascii="Times New Roman" w:hAnsi="Times New Roman" w:eastAsia="宋体" w:cs="Times New Roman"/>
          <w:bCs/>
          <w:szCs w:val="32"/>
        </w:rPr>
        <w:t>d）控制室辅助操作台、手动报警按钮、声光报警器的设置情况。</w:t>
      </w:r>
    </w:p>
    <w:p w14:paraId="5D8417FB">
      <w:pPr>
        <w:pStyle w:val="5"/>
        <w:rPr>
          <w:rFonts w:ascii="黑体" w:hAnsi="黑体" w:eastAsia="黑体" w:cs="Times New Roman"/>
          <w:b w:val="0"/>
        </w:rPr>
      </w:pPr>
      <w:bookmarkStart w:id="116" w:name="_Toc10428"/>
      <w:bookmarkStart w:id="117" w:name="_Toc193449136"/>
      <w:r>
        <w:rPr>
          <w:rFonts w:ascii="黑体" w:hAnsi="黑体" w:eastAsia="黑体" w:cs="Times New Roman"/>
        </w:rPr>
        <w:t xml:space="preserve">12.4.3  </w:t>
      </w:r>
      <w:r>
        <w:rPr>
          <w:rFonts w:hint="eastAsia" w:ascii="黑体" w:hAnsi="黑体" w:eastAsia="黑体" w:cs="Times New Roman"/>
        </w:rPr>
        <w:t>单井井口安全控制系统</w:t>
      </w:r>
      <w:bookmarkEnd w:id="116"/>
      <w:bookmarkEnd w:id="117"/>
    </w:p>
    <w:p w14:paraId="0B80196A">
      <w:pPr>
        <w:ind w:firstLine="420" w:firstLineChars="200"/>
        <w:rPr>
          <w:rFonts w:ascii="Times New Roman" w:hAnsi="Times New Roman" w:eastAsia="宋体" w:cs="Times New Roman"/>
          <w:bCs/>
          <w:szCs w:val="32"/>
        </w:rPr>
      </w:pPr>
      <w:r>
        <w:rPr>
          <w:rFonts w:hint="eastAsia" w:ascii="Times New Roman" w:hAnsi="Times New Roman" w:eastAsia="宋体" w:cs="Times New Roman"/>
          <w:bCs/>
          <w:szCs w:val="32"/>
        </w:rPr>
        <w:t>说明单井井口安全控制系统配置、关断触发条件及结果以及与站控系统的联锁。</w:t>
      </w:r>
    </w:p>
    <w:p w14:paraId="254465D0">
      <w:pPr>
        <w:pStyle w:val="5"/>
        <w:spacing w:line="276" w:lineRule="auto"/>
        <w:rPr>
          <w:rFonts w:ascii="黑体" w:hAnsi="黑体" w:eastAsia="黑体"/>
        </w:rPr>
      </w:pPr>
      <w:bookmarkStart w:id="118" w:name="_Toc27924"/>
      <w:bookmarkStart w:id="119" w:name="_Toc193449137"/>
      <w:r>
        <w:rPr>
          <w:rFonts w:ascii="黑体" w:hAnsi="黑体" w:eastAsia="黑体" w:cs="Times New Roman"/>
        </w:rPr>
        <w:t xml:space="preserve">12.4.4  </w:t>
      </w:r>
      <w:r>
        <w:rPr>
          <w:rFonts w:hint="eastAsia" w:ascii="黑体" w:hAnsi="黑体" w:eastAsia="黑体" w:cs="Times New Roman"/>
        </w:rPr>
        <w:t>管道泄漏检测系统</w:t>
      </w:r>
      <w:bookmarkEnd w:id="118"/>
      <w:bookmarkEnd w:id="119"/>
    </w:p>
    <w:p w14:paraId="43420E8D">
      <w:pPr>
        <w:pStyle w:val="41"/>
        <w:spacing w:line="276" w:lineRule="auto"/>
        <w:ind w:firstLine="420"/>
        <w:rPr>
          <w:rFonts w:hAnsi="宋体"/>
          <w:szCs w:val="22"/>
        </w:rPr>
      </w:pPr>
      <w:r>
        <w:rPr>
          <w:rFonts w:hint="eastAsia" w:hAnsi="宋体"/>
          <w:szCs w:val="22"/>
        </w:rPr>
        <w:t>当设置管道泄漏检测系统时，说明</w:t>
      </w:r>
      <w:r>
        <w:rPr>
          <w:rFonts w:hAnsi="宋体"/>
          <w:szCs w:val="22"/>
        </w:rPr>
        <w:t>管道泄漏检测系统</w:t>
      </w:r>
      <w:r>
        <w:rPr>
          <w:rFonts w:hint="eastAsia" w:hAnsi="宋体"/>
          <w:szCs w:val="22"/>
        </w:rPr>
        <w:t>软硬件配置、检测原理、定位精度、灵敏度、响应时间、报警管理等措施。</w:t>
      </w:r>
    </w:p>
    <w:p w14:paraId="62089182">
      <w:pPr>
        <w:pStyle w:val="5"/>
        <w:rPr>
          <w:rFonts w:ascii="黑体" w:hAnsi="黑体" w:eastAsia="黑体" w:cs="Times New Roman"/>
        </w:rPr>
      </w:pPr>
      <w:bookmarkStart w:id="120" w:name="_Toc193449138"/>
      <w:bookmarkStart w:id="121" w:name="_Toc12022"/>
      <w:r>
        <w:rPr>
          <w:rFonts w:ascii="黑体" w:hAnsi="黑体" w:eastAsia="黑体" w:cs="Times New Roman"/>
        </w:rPr>
        <w:t>12.4.5  气体检测和报警系统</w:t>
      </w:r>
      <w:bookmarkEnd w:id="120"/>
    </w:p>
    <w:p w14:paraId="5619D507">
      <w:pPr>
        <w:pStyle w:val="41"/>
        <w:spacing w:line="276" w:lineRule="auto"/>
        <w:ind w:firstLine="420"/>
        <w:rPr>
          <w:rFonts w:ascii="Times New Roman"/>
        </w:rPr>
      </w:pPr>
      <w:r>
        <w:rPr>
          <w:rFonts w:hint="eastAsia" w:ascii="Times New Roman"/>
        </w:rPr>
        <w:t>按照</w:t>
      </w:r>
      <w:r>
        <w:rPr>
          <w:rFonts w:ascii="Times New Roman"/>
        </w:rPr>
        <w:t>SY/T 6503的相关规定设置气体检测和报警系统</w:t>
      </w:r>
      <w:r>
        <w:rPr>
          <w:rFonts w:hint="eastAsia" w:ascii="Times New Roman"/>
        </w:rPr>
        <w:t>，说明</w:t>
      </w:r>
      <w:r>
        <w:rPr>
          <w:rFonts w:ascii="Times New Roman"/>
        </w:rPr>
        <w:t>气体检测和报警系统包含的内容、设置及报警联锁功能、探测器</w:t>
      </w:r>
      <w:r>
        <w:rPr>
          <w:rFonts w:hint="eastAsia" w:ascii="Times New Roman"/>
        </w:rPr>
        <w:t>和</w:t>
      </w:r>
      <w:r>
        <w:rPr>
          <w:rFonts w:ascii="Times New Roman"/>
        </w:rPr>
        <w:t>报警控制器</w:t>
      </w:r>
      <w:r>
        <w:rPr>
          <w:rFonts w:hint="eastAsia" w:ascii="Times New Roman"/>
        </w:rPr>
        <w:t>的</w:t>
      </w:r>
      <w:r>
        <w:rPr>
          <w:rFonts w:ascii="Times New Roman"/>
        </w:rPr>
        <w:t>设置原则、选型、数量及安装位置等</w:t>
      </w:r>
      <w:r>
        <w:rPr>
          <w:rFonts w:hint="eastAsia" w:ascii="Times New Roman"/>
        </w:rPr>
        <w:t>，并</w:t>
      </w:r>
      <w:r>
        <w:rPr>
          <w:rFonts w:ascii="Times New Roman"/>
        </w:rPr>
        <w:t>附气体检测报警设备布置图。</w:t>
      </w:r>
    </w:p>
    <w:p w14:paraId="4BD06879">
      <w:pPr>
        <w:pStyle w:val="5"/>
        <w:rPr>
          <w:rFonts w:ascii="黑体" w:hAnsi="黑体" w:eastAsia="黑体" w:cs="Times New Roman"/>
        </w:rPr>
      </w:pPr>
      <w:bookmarkStart w:id="122" w:name="_Toc193449139"/>
      <w:r>
        <w:rPr>
          <w:rFonts w:ascii="黑体" w:hAnsi="黑体" w:eastAsia="黑体" w:cs="Times New Roman"/>
        </w:rPr>
        <w:t xml:space="preserve">12.4.6  </w:t>
      </w:r>
      <w:r>
        <w:rPr>
          <w:rFonts w:hint="eastAsia" w:ascii="黑体" w:hAnsi="黑体" w:eastAsia="黑体" w:cs="Times New Roman"/>
        </w:rPr>
        <w:t>火灾报警系统</w:t>
      </w:r>
      <w:bookmarkEnd w:id="121"/>
      <w:bookmarkEnd w:id="122"/>
    </w:p>
    <w:p w14:paraId="3F599342">
      <w:pPr>
        <w:pStyle w:val="41"/>
        <w:spacing w:line="276" w:lineRule="auto"/>
        <w:ind w:firstLine="420"/>
        <w:rPr>
          <w:rFonts w:ascii="Times New Roman"/>
        </w:rPr>
      </w:pPr>
      <w:bookmarkStart w:id="123" w:name="_Toc16248"/>
      <w:r>
        <w:rPr>
          <w:rFonts w:hint="eastAsia" w:ascii="Times New Roman"/>
        </w:rPr>
        <w:t>按照</w:t>
      </w:r>
      <w:r>
        <w:rPr>
          <w:rFonts w:ascii="Times New Roman"/>
        </w:rPr>
        <w:t>GB 50116的相关规定设置火灾自动报警系统，</w:t>
      </w:r>
      <w:r>
        <w:rPr>
          <w:rFonts w:hint="eastAsia" w:ascii="Times New Roman"/>
        </w:rPr>
        <w:t>说明</w:t>
      </w:r>
      <w:r>
        <w:rPr>
          <w:rFonts w:ascii="Times New Roman"/>
        </w:rPr>
        <w:t>火灾报警系统的设置及报警联锁功能</w:t>
      </w:r>
      <w:r>
        <w:rPr>
          <w:rFonts w:hint="eastAsia" w:ascii="Times New Roman"/>
        </w:rPr>
        <w:t>、</w:t>
      </w:r>
      <w:r>
        <w:rPr>
          <w:rFonts w:ascii="Times New Roman"/>
        </w:rPr>
        <w:t>探测器</w:t>
      </w:r>
      <w:r>
        <w:rPr>
          <w:rFonts w:hint="eastAsia" w:ascii="Times New Roman"/>
        </w:rPr>
        <w:t>和</w:t>
      </w:r>
      <w:r>
        <w:rPr>
          <w:rFonts w:ascii="Times New Roman"/>
        </w:rPr>
        <w:t>报警</w:t>
      </w:r>
      <w:r>
        <w:rPr>
          <w:rFonts w:hint="eastAsia" w:ascii="Times New Roman"/>
        </w:rPr>
        <w:t>控制器的</w:t>
      </w:r>
      <w:r>
        <w:rPr>
          <w:rFonts w:ascii="Times New Roman"/>
        </w:rPr>
        <w:t>设置原则、选型、数量及安装位置，</w:t>
      </w:r>
      <w:r>
        <w:rPr>
          <w:rFonts w:hint="eastAsia" w:ascii="Times New Roman"/>
        </w:rPr>
        <w:t>并</w:t>
      </w:r>
      <w:r>
        <w:rPr>
          <w:rFonts w:ascii="Times New Roman"/>
        </w:rPr>
        <w:t>附火灾报警系统图</w:t>
      </w:r>
      <w:r>
        <w:rPr>
          <w:rFonts w:hint="eastAsia" w:ascii="Times New Roman"/>
        </w:rPr>
        <w:t>；说明</w:t>
      </w:r>
      <w:r>
        <w:rPr>
          <w:rFonts w:ascii="Times New Roman"/>
        </w:rPr>
        <w:t>消防联动控制系统的设置、构成、配置、功能及触发条件，传感器的设置、报警及联锁控制的功能。</w:t>
      </w:r>
    </w:p>
    <w:p w14:paraId="5D4934A1">
      <w:pPr>
        <w:pStyle w:val="5"/>
        <w:rPr>
          <w:rFonts w:ascii="黑体" w:hAnsi="黑体" w:eastAsia="黑体" w:cs="Times New Roman"/>
        </w:rPr>
      </w:pPr>
      <w:bookmarkStart w:id="124" w:name="_Toc193449140"/>
      <w:r>
        <w:rPr>
          <w:rFonts w:ascii="黑体" w:hAnsi="黑体" w:eastAsia="黑体" w:cs="Times New Roman"/>
        </w:rPr>
        <w:t>12.4.7</w:t>
      </w:r>
      <w:r>
        <w:rPr>
          <w:rFonts w:hint="eastAsia" w:ascii="黑体" w:hAnsi="黑体" w:eastAsia="黑体" w:cs="Times New Roman"/>
        </w:rPr>
        <w:t xml:space="preserve"> </w:t>
      </w:r>
      <w:r>
        <w:rPr>
          <w:rFonts w:ascii="黑体" w:hAnsi="黑体" w:eastAsia="黑体" w:cs="Times New Roman"/>
        </w:rPr>
        <w:t xml:space="preserve"> 站控制室的设置</w:t>
      </w:r>
      <w:bookmarkEnd w:id="124"/>
    </w:p>
    <w:p w14:paraId="42ED09E4">
      <w:pPr>
        <w:pStyle w:val="41"/>
        <w:spacing w:line="276" w:lineRule="auto"/>
        <w:ind w:firstLine="420"/>
        <w:rPr>
          <w:rFonts w:ascii="Times New Roman"/>
        </w:rPr>
      </w:pPr>
      <w:r>
        <w:rPr>
          <w:rFonts w:hint="eastAsia" w:hAnsi="宋体" w:cs="宋体"/>
          <w:szCs w:val="21"/>
        </w:rPr>
        <w:t>按照</w:t>
      </w:r>
      <w:r>
        <w:rPr>
          <w:rFonts w:ascii="Times New Roman"/>
          <w:szCs w:val="21"/>
        </w:rPr>
        <w:t>GB 50183</w:t>
      </w:r>
      <w:r>
        <w:rPr>
          <w:rFonts w:hint="eastAsia" w:hAnsi="宋体" w:cs="宋体"/>
          <w:szCs w:val="21"/>
        </w:rPr>
        <w:t>、</w:t>
      </w:r>
      <w:r>
        <w:rPr>
          <w:rFonts w:ascii="Times New Roman"/>
          <w:szCs w:val="21"/>
        </w:rPr>
        <w:t>SY/T 7628等</w:t>
      </w:r>
      <w:r>
        <w:rPr>
          <w:rFonts w:hint="eastAsia" w:hAnsi="宋体" w:cs="宋体"/>
          <w:szCs w:val="21"/>
        </w:rPr>
        <w:t>相关</w:t>
      </w:r>
      <w:r>
        <w:rPr>
          <w:rFonts w:hAnsi="宋体" w:cs="宋体"/>
          <w:szCs w:val="21"/>
        </w:rPr>
        <w:t>规定</w:t>
      </w:r>
      <w:r>
        <w:rPr>
          <w:rFonts w:hint="eastAsia" w:hAnsi="宋体" w:cs="宋体"/>
          <w:szCs w:val="21"/>
        </w:rPr>
        <w:t>设置</w:t>
      </w:r>
      <w:r>
        <w:rPr>
          <w:rFonts w:hAnsi="宋体" w:cs="宋体"/>
          <w:szCs w:val="21"/>
        </w:rPr>
        <w:t>站控制室，</w:t>
      </w:r>
      <w:r>
        <w:rPr>
          <w:rFonts w:hint="eastAsia" w:hAnsi="宋体" w:cs="宋体"/>
          <w:szCs w:val="21"/>
        </w:rPr>
        <w:t>说明</w:t>
      </w:r>
      <w:r>
        <w:rPr>
          <w:rFonts w:ascii="Times New Roman"/>
        </w:rPr>
        <w:t>控制系统机柜的房间（如控制室、机柜间等）的设置情况</w:t>
      </w:r>
      <w:r>
        <w:rPr>
          <w:rFonts w:hint="eastAsia" w:ascii="Times New Roman"/>
        </w:rPr>
        <w:t>，</w:t>
      </w:r>
      <w:r>
        <w:rPr>
          <w:rFonts w:ascii="Times New Roman"/>
        </w:rPr>
        <w:t>如采用橇装化设备间，</w:t>
      </w:r>
      <w:r>
        <w:rPr>
          <w:rFonts w:hint="eastAsia" w:ascii="Times New Roman"/>
        </w:rPr>
        <w:t>应</w:t>
      </w:r>
      <w:r>
        <w:rPr>
          <w:rFonts w:ascii="Times New Roman"/>
        </w:rPr>
        <w:t>说明采取的安全措施。</w:t>
      </w:r>
    </w:p>
    <w:p w14:paraId="561985C3">
      <w:pPr>
        <w:pStyle w:val="5"/>
        <w:rPr>
          <w:rFonts w:ascii="黑体" w:hAnsi="黑体" w:eastAsia="黑体"/>
        </w:rPr>
      </w:pPr>
      <w:bookmarkStart w:id="125" w:name="_Toc193449141"/>
      <w:r>
        <w:rPr>
          <w:rFonts w:ascii="黑体" w:hAnsi="黑体" w:eastAsia="黑体" w:cs="Times New Roman"/>
        </w:rPr>
        <w:t xml:space="preserve">12.4.8  </w:t>
      </w:r>
      <w:r>
        <w:rPr>
          <w:rFonts w:hint="eastAsia" w:ascii="黑体" w:hAnsi="黑体" w:eastAsia="黑体" w:cs="Times New Roman"/>
        </w:rPr>
        <w:t>其他安全措施</w:t>
      </w:r>
      <w:bookmarkEnd w:id="123"/>
      <w:bookmarkEnd w:id="125"/>
    </w:p>
    <w:p w14:paraId="19F7C323">
      <w:pPr>
        <w:pStyle w:val="41"/>
        <w:spacing w:line="276" w:lineRule="auto"/>
        <w:ind w:firstLine="420"/>
        <w:rPr>
          <w:rFonts w:hAnsi="宋体"/>
          <w:szCs w:val="22"/>
        </w:rPr>
      </w:pPr>
      <w:bookmarkStart w:id="126" w:name="_Toc30737"/>
      <w:r>
        <w:rPr>
          <w:rFonts w:hint="eastAsia" w:ascii="Times New Roman"/>
        </w:rPr>
        <w:t>说明</w:t>
      </w:r>
      <w:r>
        <w:rPr>
          <w:rFonts w:hint="eastAsia" w:hAnsi="宋体"/>
          <w:szCs w:val="22"/>
        </w:rPr>
        <w:t>其他安全措施，</w:t>
      </w:r>
      <w:r>
        <w:rPr>
          <w:rFonts w:hint="eastAsia" w:ascii="Times New Roman"/>
          <w:bCs/>
          <w:szCs w:val="32"/>
        </w:rPr>
        <w:t>主要包括以下内容</w:t>
      </w:r>
      <w:r>
        <w:rPr>
          <w:rFonts w:hint="eastAsia" w:hAnsi="宋体"/>
          <w:szCs w:val="22"/>
        </w:rPr>
        <w:t>：</w:t>
      </w:r>
    </w:p>
    <w:p w14:paraId="2A5752D9">
      <w:pPr>
        <w:pStyle w:val="41"/>
        <w:spacing w:line="276" w:lineRule="auto"/>
        <w:ind w:firstLine="420"/>
        <w:rPr>
          <w:rFonts w:ascii="Times New Roman"/>
        </w:rPr>
      </w:pPr>
      <w:r>
        <w:rPr>
          <w:rFonts w:ascii="Times New Roman"/>
        </w:rPr>
        <w:t>a）仪表设备防爆</w:t>
      </w:r>
      <w:r>
        <w:rPr>
          <w:rFonts w:hint="eastAsia" w:ascii="Times New Roman"/>
        </w:rPr>
        <w:t>及</w:t>
      </w:r>
      <w:r>
        <w:rPr>
          <w:rFonts w:ascii="Times New Roman"/>
        </w:rPr>
        <w:t>防护等级</w:t>
      </w:r>
      <w:r>
        <w:rPr>
          <w:rFonts w:hint="eastAsia" w:ascii="Times New Roman"/>
        </w:rPr>
        <w:t>，保温伴热的安全措施</w:t>
      </w:r>
      <w:r>
        <w:rPr>
          <w:rFonts w:ascii="Times New Roman"/>
        </w:rPr>
        <w:t>；</w:t>
      </w:r>
    </w:p>
    <w:p w14:paraId="3A8E1FB4">
      <w:pPr>
        <w:pStyle w:val="41"/>
        <w:spacing w:line="276" w:lineRule="auto"/>
        <w:ind w:firstLine="420"/>
        <w:rPr>
          <w:rFonts w:ascii="Times New Roman"/>
        </w:rPr>
      </w:pPr>
      <w:r>
        <w:rPr>
          <w:rFonts w:hint="eastAsia" w:ascii="Times New Roman"/>
        </w:rPr>
        <w:t>b）仪表接地系统的电阻要求，工作接地、保护接地、防雷接地的方式以及防电涌保护措施；</w:t>
      </w:r>
    </w:p>
    <w:p w14:paraId="16B05D1C">
      <w:pPr>
        <w:pStyle w:val="41"/>
        <w:spacing w:line="276" w:lineRule="auto"/>
        <w:ind w:firstLine="420"/>
        <w:rPr>
          <w:rFonts w:ascii="Times New Roman"/>
        </w:rPr>
      </w:pPr>
      <w:r>
        <w:rPr>
          <w:rFonts w:hint="eastAsia" w:ascii="Times New Roman"/>
        </w:rPr>
        <w:t>c）仪表电缆的阻燃、耐火特性、敷设方式选择，与工艺管道、设备、电力电缆的安全间距要求；</w:t>
      </w:r>
    </w:p>
    <w:p w14:paraId="5F2DCEA4">
      <w:pPr>
        <w:pStyle w:val="41"/>
        <w:spacing w:line="276" w:lineRule="auto"/>
        <w:ind w:firstLine="420"/>
        <w:rPr>
          <w:rFonts w:ascii="Times New Roman"/>
        </w:rPr>
      </w:pPr>
      <w:r>
        <w:rPr>
          <w:rFonts w:hint="eastAsia" w:ascii="Times New Roman"/>
        </w:rPr>
        <w:t>d）酷热、寒冷、存在盐雾腐蚀、多雷暴和多狂风等特殊地区的仪表选型、材料选择、安装要求；</w:t>
      </w:r>
    </w:p>
    <w:p w14:paraId="3B97F9F4">
      <w:pPr>
        <w:pStyle w:val="41"/>
        <w:spacing w:line="276" w:lineRule="auto"/>
        <w:ind w:firstLine="420"/>
        <w:rPr>
          <w:rFonts w:ascii="Times New Roman"/>
        </w:rPr>
      </w:pPr>
      <w:r>
        <w:rPr>
          <w:rFonts w:hint="eastAsia" w:ascii="Times New Roman"/>
        </w:rPr>
        <w:t>e）用电仪表的供电电源类型、电压等级、</w:t>
      </w:r>
      <w:r>
        <w:rPr>
          <w:rFonts w:ascii="Times New Roman"/>
        </w:rPr>
        <w:t>UPS</w:t>
      </w:r>
      <w:r>
        <w:rPr>
          <w:rFonts w:hint="eastAsia" w:ascii="Times New Roman"/>
        </w:rPr>
        <w:t>电源后备时间；</w:t>
      </w:r>
    </w:p>
    <w:p w14:paraId="15848000">
      <w:pPr>
        <w:pStyle w:val="41"/>
        <w:spacing w:line="276" w:lineRule="auto"/>
        <w:ind w:firstLine="420"/>
        <w:rPr>
          <w:rFonts w:ascii="Times New Roman"/>
        </w:rPr>
      </w:pPr>
      <w:r>
        <w:rPr>
          <w:rFonts w:hint="eastAsia" w:ascii="Times New Roman"/>
        </w:rPr>
        <w:t>f）仪表风介质、压力、露点、断电后供气时间。</w:t>
      </w:r>
    </w:p>
    <w:p w14:paraId="5F013E8C">
      <w:pPr>
        <w:pStyle w:val="4"/>
        <w:spacing w:before="156"/>
        <w:rPr>
          <w:rFonts w:ascii="黑体" w:hAnsi="黑体" w:eastAsia="黑体" w:cs="Times New Roman"/>
        </w:rPr>
      </w:pPr>
      <w:bookmarkStart w:id="127" w:name="_Toc195881873"/>
      <w:r>
        <w:rPr>
          <w:rFonts w:ascii="黑体" w:hAnsi="黑体" w:eastAsia="黑体" w:cs="Times New Roman"/>
        </w:rPr>
        <w:t xml:space="preserve">12.5  </w:t>
      </w:r>
      <w:r>
        <w:rPr>
          <w:rFonts w:hint="eastAsia" w:ascii="黑体" w:hAnsi="黑体" w:eastAsia="黑体" w:cs="Times New Roman"/>
        </w:rPr>
        <w:t>公用工程</w:t>
      </w:r>
      <w:bookmarkEnd w:id="126"/>
      <w:bookmarkEnd w:id="127"/>
    </w:p>
    <w:p w14:paraId="2C08B657">
      <w:pPr>
        <w:pStyle w:val="5"/>
        <w:rPr>
          <w:rFonts w:ascii="黑体" w:hAnsi="黑体" w:eastAsia="黑体" w:cs="Times New Roman"/>
        </w:rPr>
      </w:pPr>
      <w:bookmarkStart w:id="128" w:name="_Toc193449143"/>
      <w:bookmarkStart w:id="129" w:name="_Toc521"/>
      <w:r>
        <w:rPr>
          <w:rFonts w:hint="eastAsia" w:ascii="黑体" w:hAnsi="黑体" w:eastAsia="黑体" w:cs="Times New Roman"/>
        </w:rPr>
        <w:t>1</w:t>
      </w:r>
      <w:r>
        <w:rPr>
          <w:rFonts w:ascii="黑体" w:hAnsi="黑体" w:eastAsia="黑体" w:cs="Times New Roman"/>
        </w:rPr>
        <w:t xml:space="preserve">2.5.1  </w:t>
      </w:r>
      <w:r>
        <w:rPr>
          <w:rFonts w:hint="eastAsia" w:ascii="黑体" w:hAnsi="黑体" w:eastAsia="黑体" w:cs="Times New Roman"/>
        </w:rPr>
        <w:t>供配电</w:t>
      </w:r>
      <w:bookmarkEnd w:id="128"/>
      <w:bookmarkEnd w:id="129"/>
    </w:p>
    <w:p w14:paraId="32003928">
      <w:pPr>
        <w:pStyle w:val="41"/>
        <w:spacing w:line="276" w:lineRule="auto"/>
        <w:ind w:firstLine="0" w:firstLineChars="0"/>
        <w:rPr>
          <w:rFonts w:ascii="Times New Roman"/>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2.5.1.1  </w:t>
      </w:r>
      <w:r>
        <w:rPr>
          <w:rFonts w:ascii="Times New Roman"/>
          <w:bCs/>
          <w:kern w:val="2"/>
          <w:szCs w:val="32"/>
          <w14:ligatures w14:val="standardContextual"/>
        </w:rPr>
        <w:t>应急电源</w:t>
      </w:r>
    </w:p>
    <w:p w14:paraId="0C6B499E">
      <w:pPr>
        <w:pStyle w:val="41"/>
        <w:spacing w:line="276" w:lineRule="auto"/>
        <w:ind w:firstLine="420"/>
        <w:rPr>
          <w:rFonts w:ascii="Times New Roman"/>
          <w:szCs w:val="22"/>
        </w:rPr>
      </w:pPr>
      <w:r>
        <w:rPr>
          <w:rFonts w:hint="eastAsia" w:ascii="Times New Roman"/>
        </w:rPr>
        <w:t>按照GB 50052、SY/T 0033等的相关规定设置应急电源，</w:t>
      </w:r>
      <w:r>
        <w:rPr>
          <w:rFonts w:ascii="Times New Roman"/>
        </w:rPr>
        <w:t>说明应急电源的设置情况</w:t>
      </w:r>
      <w:r>
        <w:rPr>
          <w:rFonts w:hint="eastAsia" w:ascii="Times New Roman"/>
        </w:rPr>
        <w:t>。</w:t>
      </w:r>
      <w:r>
        <w:rPr>
          <w:rFonts w:hint="eastAsia" w:ascii="Times New Roman"/>
          <w:szCs w:val="22"/>
        </w:rPr>
        <w:t>采用UPS、EPS或直流电源等作为应急电源时，列表说明安装场所、容量、台数、型式、蓄电池后备供电时间、计算负荷等；采用发电机作为应急电源时，说明安装场所、设备选型、电压等级、容量、台数、运行方式、计算负荷等。</w:t>
      </w:r>
    </w:p>
    <w:p w14:paraId="15001A02">
      <w:pPr>
        <w:pStyle w:val="41"/>
        <w:spacing w:line="276" w:lineRule="auto"/>
        <w:ind w:firstLine="0" w:firstLineChars="0"/>
        <w:rPr>
          <w:rFonts w:ascii="Times New Roman"/>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2.5.1.2 </w:t>
      </w:r>
      <w:r>
        <w:rPr>
          <w:rFonts w:ascii="黑体" w:hAnsi="黑体" w:eastAsia="黑体"/>
          <w:bCs/>
          <w:kern w:val="2"/>
          <w:szCs w:val="32"/>
          <w14:ligatures w14:val="standardContextual"/>
        </w:rPr>
        <w:t xml:space="preserve"> </w:t>
      </w:r>
      <w:r>
        <w:rPr>
          <w:rFonts w:ascii="Times New Roman"/>
          <w:bCs/>
          <w:kern w:val="2"/>
          <w:szCs w:val="32"/>
          <w14:ligatures w14:val="standardContextual"/>
        </w:rPr>
        <w:t>防火防爆</w:t>
      </w:r>
    </w:p>
    <w:p w14:paraId="2C683FE6">
      <w:pPr>
        <w:pStyle w:val="41"/>
        <w:spacing w:line="276" w:lineRule="auto"/>
        <w:ind w:firstLine="420"/>
        <w:rPr>
          <w:rFonts w:ascii="Times New Roman"/>
        </w:rPr>
      </w:pPr>
      <w:r>
        <w:rPr>
          <w:rFonts w:hint="eastAsia" w:ascii="Times New Roman"/>
        </w:rPr>
        <w:t>按照SY/T 6671的相关规定进行爆炸危险区域划分，爆炸和火灾危险场所应按照GB 50058、GB 55037、GB 50016等的相关规定采取防爆、防火措施，</w:t>
      </w:r>
      <w:r>
        <w:rPr>
          <w:rFonts w:hint="eastAsia" w:ascii="Times New Roman"/>
          <w:bCs/>
          <w:szCs w:val="32"/>
        </w:rPr>
        <w:t>主要包括以下内容</w:t>
      </w:r>
      <w:r>
        <w:rPr>
          <w:rFonts w:hint="eastAsia" w:ascii="Times New Roman"/>
          <w:szCs w:val="22"/>
        </w:rPr>
        <w:t>：</w:t>
      </w:r>
    </w:p>
    <w:p w14:paraId="3083B371">
      <w:pPr>
        <w:pStyle w:val="41"/>
        <w:numPr>
          <w:ilvl w:val="0"/>
          <w:numId w:val="7"/>
        </w:numPr>
        <w:adjustRightInd w:val="0"/>
        <w:spacing w:line="276" w:lineRule="auto"/>
        <w:ind w:left="0" w:firstLine="420"/>
        <w:rPr>
          <w:rFonts w:ascii="Times New Roman"/>
          <w:szCs w:val="22"/>
        </w:rPr>
      </w:pPr>
      <w:r>
        <w:rPr>
          <w:rFonts w:ascii="Times New Roman"/>
          <w:szCs w:val="22"/>
        </w:rPr>
        <w:t>电气设备的防爆和防护等级</w:t>
      </w:r>
      <w:r>
        <w:rPr>
          <w:rFonts w:hint="eastAsia" w:ascii="Times New Roman"/>
          <w:szCs w:val="22"/>
        </w:rPr>
        <w:t>、</w:t>
      </w:r>
      <w:r>
        <w:rPr>
          <w:rFonts w:ascii="Times New Roman"/>
          <w:szCs w:val="22"/>
        </w:rPr>
        <w:t>户外电气设备的防腐措施</w:t>
      </w:r>
      <w:r>
        <w:rPr>
          <w:rFonts w:hint="eastAsia" w:ascii="Times New Roman"/>
          <w:szCs w:val="22"/>
        </w:rPr>
        <w:t>；</w:t>
      </w:r>
    </w:p>
    <w:p w14:paraId="44BF2F02">
      <w:pPr>
        <w:pStyle w:val="41"/>
        <w:numPr>
          <w:ilvl w:val="0"/>
          <w:numId w:val="7"/>
        </w:numPr>
        <w:adjustRightInd w:val="0"/>
        <w:spacing w:line="276" w:lineRule="auto"/>
        <w:ind w:left="0" w:firstLine="420"/>
        <w:rPr>
          <w:rFonts w:ascii="Times New Roman"/>
          <w:szCs w:val="22"/>
        </w:rPr>
      </w:pPr>
      <w:r>
        <w:rPr>
          <w:rFonts w:ascii="Times New Roman"/>
          <w:szCs w:val="22"/>
        </w:rPr>
        <w:t>电缆选型</w:t>
      </w:r>
      <w:r>
        <w:rPr>
          <w:rFonts w:hint="eastAsia" w:ascii="Times New Roman"/>
          <w:szCs w:val="22"/>
        </w:rPr>
        <w:t>；</w:t>
      </w:r>
    </w:p>
    <w:p w14:paraId="34E76F53">
      <w:pPr>
        <w:pStyle w:val="41"/>
        <w:numPr>
          <w:ilvl w:val="0"/>
          <w:numId w:val="7"/>
        </w:numPr>
        <w:adjustRightInd w:val="0"/>
        <w:spacing w:line="276" w:lineRule="auto"/>
        <w:ind w:left="0" w:firstLine="420"/>
        <w:rPr>
          <w:rFonts w:ascii="Times New Roman"/>
          <w:szCs w:val="22"/>
        </w:rPr>
      </w:pPr>
      <w:r>
        <w:rPr>
          <w:rFonts w:ascii="Times New Roman"/>
          <w:szCs w:val="22"/>
        </w:rPr>
        <w:t>电气线路敷设方案及防爆防火封堵措施等。</w:t>
      </w:r>
    </w:p>
    <w:p w14:paraId="2B2CA70F">
      <w:pPr>
        <w:pStyle w:val="41"/>
        <w:spacing w:line="276" w:lineRule="auto"/>
        <w:ind w:firstLine="0" w:firstLineChars="0"/>
        <w:rPr>
          <w:rFonts w:ascii="Times New Roman"/>
          <w:bCs/>
          <w:kern w:val="2"/>
          <w:szCs w:val="32"/>
          <w14:ligatures w14:val="standardContextual"/>
        </w:rPr>
      </w:pPr>
      <w:bookmarkStart w:id="130" w:name="_Toc27068"/>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2.5.1.3 </w:t>
      </w:r>
      <w:r>
        <w:rPr>
          <w:rFonts w:ascii="黑体" w:hAnsi="黑体" w:eastAsia="黑体"/>
          <w:bCs/>
          <w:kern w:val="2"/>
          <w:szCs w:val="32"/>
          <w14:ligatures w14:val="standardContextual"/>
        </w:rPr>
        <w:t xml:space="preserve"> </w:t>
      </w:r>
      <w:r>
        <w:rPr>
          <w:rFonts w:hint="eastAsia" w:ascii="Times New Roman"/>
          <w:bCs/>
          <w:kern w:val="2"/>
          <w:szCs w:val="32"/>
          <w14:ligatures w14:val="standardContextual"/>
        </w:rPr>
        <w:t>应急照明</w:t>
      </w:r>
      <w:bookmarkEnd w:id="130"/>
    </w:p>
    <w:p w14:paraId="1AAEE51E">
      <w:pPr>
        <w:pStyle w:val="41"/>
        <w:spacing w:line="276" w:lineRule="auto"/>
        <w:ind w:firstLine="420"/>
        <w:rPr>
          <w:rFonts w:ascii="Times New Roman"/>
          <w:szCs w:val="22"/>
        </w:rPr>
      </w:pPr>
      <w:r>
        <w:rPr>
          <w:rFonts w:hint="eastAsia" w:ascii="Times New Roman"/>
          <w:szCs w:val="22"/>
        </w:rPr>
        <w:t xml:space="preserve">按照GB </w:t>
      </w:r>
      <w:r>
        <w:rPr>
          <w:rFonts w:hint="eastAsia" w:ascii="Times New Roman"/>
        </w:rPr>
        <w:t>55037</w:t>
      </w:r>
      <w:r>
        <w:rPr>
          <w:rFonts w:hint="eastAsia" w:ascii="Times New Roman"/>
          <w:szCs w:val="22"/>
        </w:rPr>
        <w:t>、GB 50183、GB 51309等的相关规定设置应急照明，分别说明备用照明、消防应急疏散照明和指示系统的设置场所、照度值、控制方式、电源型式、持续时间等。</w:t>
      </w:r>
    </w:p>
    <w:p w14:paraId="67ACAF7F">
      <w:pPr>
        <w:pStyle w:val="41"/>
        <w:spacing w:line="276" w:lineRule="auto"/>
        <w:ind w:firstLine="0" w:firstLineChars="0"/>
        <w:rPr>
          <w:rFonts w:ascii="Times New Roman"/>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2.5.1.4 </w:t>
      </w:r>
      <w:r>
        <w:rPr>
          <w:rFonts w:ascii="黑体" w:hAnsi="黑体" w:eastAsia="黑体"/>
          <w:bCs/>
          <w:kern w:val="2"/>
          <w:szCs w:val="32"/>
          <w14:ligatures w14:val="standardContextual"/>
        </w:rPr>
        <w:t xml:space="preserve"> </w:t>
      </w:r>
      <w:r>
        <w:rPr>
          <w:rFonts w:ascii="Times New Roman"/>
          <w:bCs/>
          <w:kern w:val="2"/>
          <w:szCs w:val="32"/>
          <w14:ligatures w14:val="standardContextual"/>
        </w:rPr>
        <w:t>防雷、防静电</w:t>
      </w:r>
      <w:r>
        <w:rPr>
          <w:rFonts w:hint="eastAsia" w:ascii="Times New Roman"/>
          <w:bCs/>
          <w:kern w:val="2"/>
          <w:szCs w:val="32"/>
          <w14:ligatures w14:val="standardContextual"/>
        </w:rPr>
        <w:t>措施</w:t>
      </w:r>
    </w:p>
    <w:p w14:paraId="3A7CB38D">
      <w:pPr>
        <w:pStyle w:val="41"/>
        <w:spacing w:line="276" w:lineRule="auto"/>
        <w:ind w:firstLine="420"/>
        <w:rPr>
          <w:rFonts w:ascii="Times New Roman"/>
        </w:rPr>
      </w:pPr>
      <w:r>
        <w:rPr>
          <w:rFonts w:hint="eastAsia" w:ascii="Times New Roman"/>
          <w:szCs w:val="22"/>
        </w:rPr>
        <w:t>按照</w:t>
      </w:r>
      <w:r>
        <w:rPr>
          <w:rFonts w:ascii="Times New Roman"/>
        </w:rPr>
        <w:t xml:space="preserve">GB/T </w:t>
      </w:r>
      <w:r>
        <w:rPr>
          <w:rFonts w:hint="eastAsia" w:ascii="Times New Roman"/>
        </w:rPr>
        <w:t>50064、GB/T</w:t>
      </w:r>
      <w:r>
        <w:rPr>
          <w:rFonts w:ascii="Times New Roman"/>
        </w:rPr>
        <w:t xml:space="preserve"> </w:t>
      </w:r>
      <w:r>
        <w:rPr>
          <w:rFonts w:hint="eastAsia" w:ascii="Times New Roman"/>
        </w:rPr>
        <w:t>50065、GB</w:t>
      </w:r>
      <w:r>
        <w:rPr>
          <w:rFonts w:ascii="Times New Roman"/>
        </w:rPr>
        <w:t xml:space="preserve"> </w:t>
      </w:r>
      <w:r>
        <w:rPr>
          <w:rFonts w:hint="eastAsia" w:ascii="Times New Roman"/>
        </w:rPr>
        <w:t>50057、GB</w:t>
      </w:r>
      <w:r>
        <w:rPr>
          <w:rFonts w:ascii="Times New Roman"/>
        </w:rPr>
        <w:t xml:space="preserve"> </w:t>
      </w:r>
      <w:r>
        <w:rPr>
          <w:rFonts w:hint="eastAsia" w:ascii="Times New Roman"/>
        </w:rPr>
        <w:t>50343、GB</w:t>
      </w:r>
      <w:r>
        <w:rPr>
          <w:rFonts w:ascii="Times New Roman"/>
        </w:rPr>
        <w:t xml:space="preserve"> </w:t>
      </w:r>
      <w:r>
        <w:rPr>
          <w:rFonts w:hint="eastAsia" w:ascii="Times New Roman"/>
        </w:rPr>
        <w:t>50183、SY/T</w:t>
      </w:r>
      <w:r>
        <w:rPr>
          <w:rFonts w:ascii="Times New Roman"/>
        </w:rPr>
        <w:t xml:space="preserve"> </w:t>
      </w:r>
      <w:r>
        <w:rPr>
          <w:rFonts w:hint="eastAsia" w:ascii="Times New Roman"/>
        </w:rPr>
        <w:t>6885、SY/T</w:t>
      </w:r>
      <w:r>
        <w:rPr>
          <w:rFonts w:ascii="Times New Roman"/>
        </w:rPr>
        <w:t xml:space="preserve"> 0060</w:t>
      </w:r>
      <w:r>
        <w:rPr>
          <w:rFonts w:hint="eastAsia" w:ascii="Times New Roman"/>
        </w:rPr>
        <w:t>等的相关规定，说明</w:t>
      </w:r>
      <w:r>
        <w:rPr>
          <w:rFonts w:ascii="Times New Roman"/>
        </w:rPr>
        <w:t>对工艺设施、建（构）筑物、电气设施等采取</w:t>
      </w:r>
      <w:r>
        <w:rPr>
          <w:rFonts w:hint="eastAsia" w:ascii="Times New Roman"/>
        </w:rPr>
        <w:t>的</w:t>
      </w:r>
      <w:r>
        <w:rPr>
          <w:rFonts w:ascii="Times New Roman"/>
        </w:rPr>
        <w:t>防雷、防静电措施，</w:t>
      </w:r>
      <w:r>
        <w:rPr>
          <w:rFonts w:hint="eastAsia" w:ascii="Times New Roman"/>
          <w:bCs/>
          <w:szCs w:val="32"/>
        </w:rPr>
        <w:t>主要包括以下内容</w:t>
      </w:r>
      <w:r>
        <w:rPr>
          <w:rFonts w:hint="eastAsia" w:ascii="Times New Roman"/>
          <w:szCs w:val="22"/>
        </w:rPr>
        <w:t>：</w:t>
      </w:r>
    </w:p>
    <w:p w14:paraId="73C0EE6B">
      <w:pPr>
        <w:pStyle w:val="41"/>
        <w:numPr>
          <w:ilvl w:val="0"/>
          <w:numId w:val="8"/>
        </w:numPr>
        <w:adjustRightInd w:val="0"/>
        <w:spacing w:line="276" w:lineRule="auto"/>
        <w:ind w:left="0" w:firstLine="420"/>
        <w:rPr>
          <w:rFonts w:ascii="Times New Roman"/>
          <w:szCs w:val="22"/>
        </w:rPr>
      </w:pPr>
      <w:r>
        <w:rPr>
          <w:rFonts w:ascii="Times New Roman"/>
          <w:szCs w:val="22"/>
        </w:rPr>
        <w:t>35 kV及以上变配电所防雷措施</w:t>
      </w:r>
      <w:r>
        <w:rPr>
          <w:rFonts w:hint="eastAsia" w:ascii="Times New Roman"/>
          <w:szCs w:val="22"/>
        </w:rPr>
        <w:t>；</w:t>
      </w:r>
    </w:p>
    <w:p w14:paraId="7603CD4B">
      <w:pPr>
        <w:pStyle w:val="41"/>
        <w:numPr>
          <w:ilvl w:val="0"/>
          <w:numId w:val="8"/>
        </w:numPr>
        <w:adjustRightInd w:val="0"/>
        <w:spacing w:line="276" w:lineRule="auto"/>
        <w:ind w:left="0" w:firstLine="420"/>
        <w:rPr>
          <w:rFonts w:ascii="Times New Roman"/>
          <w:szCs w:val="22"/>
        </w:rPr>
      </w:pPr>
      <w:r>
        <w:rPr>
          <w:rFonts w:ascii="Times New Roman"/>
          <w:szCs w:val="22"/>
        </w:rPr>
        <w:t>建筑物防雷分类及相应防雷措施</w:t>
      </w:r>
      <w:r>
        <w:rPr>
          <w:rFonts w:hint="eastAsia" w:ascii="Times New Roman"/>
          <w:szCs w:val="22"/>
        </w:rPr>
        <w:t>；</w:t>
      </w:r>
    </w:p>
    <w:p w14:paraId="63F15381">
      <w:pPr>
        <w:pStyle w:val="41"/>
        <w:numPr>
          <w:ilvl w:val="0"/>
          <w:numId w:val="8"/>
        </w:numPr>
        <w:adjustRightInd w:val="0"/>
        <w:spacing w:line="276" w:lineRule="auto"/>
        <w:ind w:left="0" w:firstLine="420"/>
        <w:rPr>
          <w:rFonts w:ascii="Times New Roman"/>
          <w:szCs w:val="22"/>
        </w:rPr>
      </w:pPr>
      <w:r>
        <w:rPr>
          <w:rFonts w:hint="eastAsia" w:ascii="Times New Roman"/>
          <w:szCs w:val="22"/>
        </w:rPr>
        <w:t>工艺设施</w:t>
      </w:r>
      <w:r>
        <w:rPr>
          <w:rFonts w:ascii="Times New Roman"/>
          <w:szCs w:val="22"/>
        </w:rPr>
        <w:t>防雷及防静电措施</w:t>
      </w:r>
      <w:r>
        <w:rPr>
          <w:rFonts w:hint="eastAsia" w:ascii="Times New Roman"/>
          <w:szCs w:val="22"/>
        </w:rPr>
        <w:t>；</w:t>
      </w:r>
    </w:p>
    <w:p w14:paraId="394269A2">
      <w:pPr>
        <w:pStyle w:val="41"/>
        <w:numPr>
          <w:ilvl w:val="0"/>
          <w:numId w:val="8"/>
        </w:numPr>
        <w:adjustRightInd w:val="0"/>
        <w:spacing w:line="276" w:lineRule="auto"/>
        <w:ind w:left="0" w:firstLine="420"/>
        <w:rPr>
          <w:rFonts w:ascii="Times New Roman"/>
          <w:szCs w:val="22"/>
        </w:rPr>
      </w:pPr>
      <w:r>
        <w:rPr>
          <w:rFonts w:ascii="Times New Roman"/>
          <w:szCs w:val="22"/>
        </w:rPr>
        <w:t>消除人体静电装置</w:t>
      </w:r>
      <w:r>
        <w:rPr>
          <w:rFonts w:hint="eastAsia" w:ascii="Times New Roman"/>
          <w:szCs w:val="22"/>
        </w:rPr>
        <w:t>设置；</w:t>
      </w:r>
    </w:p>
    <w:p w14:paraId="1BC42720">
      <w:pPr>
        <w:pStyle w:val="41"/>
        <w:numPr>
          <w:ilvl w:val="0"/>
          <w:numId w:val="8"/>
        </w:numPr>
        <w:adjustRightInd w:val="0"/>
        <w:spacing w:line="276" w:lineRule="auto"/>
        <w:ind w:left="0" w:firstLine="420"/>
        <w:rPr>
          <w:rFonts w:ascii="Times New Roman"/>
          <w:szCs w:val="22"/>
        </w:rPr>
      </w:pPr>
      <w:r>
        <w:rPr>
          <w:rFonts w:ascii="Times New Roman"/>
          <w:szCs w:val="22"/>
        </w:rPr>
        <w:t>电子信息系统的电源防雷击电磁脉冲</w:t>
      </w:r>
      <w:r>
        <w:rPr>
          <w:rFonts w:hint="eastAsia" w:ascii="Times New Roman"/>
          <w:szCs w:val="22"/>
        </w:rPr>
        <w:t>措施；</w:t>
      </w:r>
    </w:p>
    <w:p w14:paraId="265C3E69">
      <w:pPr>
        <w:pStyle w:val="41"/>
        <w:numPr>
          <w:ilvl w:val="0"/>
          <w:numId w:val="8"/>
        </w:numPr>
        <w:adjustRightInd w:val="0"/>
        <w:spacing w:line="276" w:lineRule="auto"/>
        <w:ind w:left="0" w:firstLine="420"/>
        <w:rPr>
          <w:rFonts w:ascii="Times New Roman"/>
          <w:szCs w:val="22"/>
        </w:rPr>
      </w:pPr>
      <w:r>
        <w:rPr>
          <w:rFonts w:ascii="Times New Roman"/>
          <w:szCs w:val="22"/>
        </w:rPr>
        <w:t>接地</w:t>
      </w:r>
      <w:r>
        <w:rPr>
          <w:rFonts w:hint="eastAsia" w:ascii="Times New Roman"/>
          <w:szCs w:val="22"/>
        </w:rPr>
        <w:t>系统</w:t>
      </w:r>
      <w:r>
        <w:rPr>
          <w:rFonts w:ascii="Times New Roman"/>
          <w:szCs w:val="22"/>
        </w:rPr>
        <w:t>设计及阻值要求</w:t>
      </w:r>
      <w:r>
        <w:rPr>
          <w:rFonts w:hint="eastAsia" w:ascii="Times New Roman"/>
          <w:szCs w:val="22"/>
        </w:rPr>
        <w:t>等。</w:t>
      </w:r>
    </w:p>
    <w:p w14:paraId="62B1AC97">
      <w:pPr>
        <w:pStyle w:val="41"/>
        <w:spacing w:line="276" w:lineRule="auto"/>
        <w:ind w:firstLine="0" w:firstLineChars="0"/>
        <w:rPr>
          <w:rFonts w:ascii="Times New Roman"/>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2.5.1.5  </w:t>
      </w:r>
      <w:r>
        <w:rPr>
          <w:rFonts w:ascii="Times New Roman"/>
          <w:bCs/>
          <w:kern w:val="2"/>
          <w:szCs w:val="32"/>
          <w14:ligatures w14:val="standardContextual"/>
        </w:rPr>
        <w:t>电击防护</w:t>
      </w:r>
    </w:p>
    <w:p w14:paraId="27888B97">
      <w:pPr>
        <w:pStyle w:val="41"/>
        <w:spacing w:line="276" w:lineRule="auto"/>
        <w:ind w:firstLine="420"/>
        <w:rPr>
          <w:rFonts w:ascii="Times New Roman"/>
          <w:szCs w:val="22"/>
        </w:rPr>
      </w:pPr>
      <w:r>
        <w:rPr>
          <w:rFonts w:hint="eastAsia" w:ascii="Times New Roman"/>
          <w:szCs w:val="22"/>
        </w:rPr>
        <w:t>按照</w:t>
      </w:r>
      <w:r>
        <w:rPr>
          <w:rFonts w:ascii="Times New Roman"/>
          <w:szCs w:val="22"/>
        </w:rPr>
        <w:t>GB 50054、GB 50060、GB/T 50064、GB/T 50065、</w:t>
      </w:r>
      <w:r>
        <w:rPr>
          <w:rFonts w:hint="eastAsia" w:ascii="Times New Roman"/>
          <w:szCs w:val="22"/>
        </w:rPr>
        <w:t>GB 50797、GB/T 51096</w:t>
      </w:r>
      <w:r>
        <w:rPr>
          <w:rFonts w:ascii="Times New Roman"/>
          <w:szCs w:val="22"/>
        </w:rPr>
        <w:t>等的</w:t>
      </w:r>
      <w:r>
        <w:rPr>
          <w:rFonts w:hint="eastAsia" w:ascii="Times New Roman"/>
          <w:szCs w:val="22"/>
        </w:rPr>
        <w:t>相关规定采取电击防护措施，分别说明直接接触、间接接触相应措施，</w:t>
      </w:r>
      <w:r>
        <w:rPr>
          <w:rFonts w:hint="eastAsia" w:ascii="Times New Roman"/>
          <w:bCs/>
          <w:szCs w:val="32"/>
        </w:rPr>
        <w:t>主要包括以下内容</w:t>
      </w:r>
      <w:r>
        <w:rPr>
          <w:rFonts w:hint="eastAsia" w:ascii="Times New Roman"/>
          <w:szCs w:val="22"/>
        </w:rPr>
        <w:t>：</w:t>
      </w:r>
    </w:p>
    <w:p w14:paraId="454736FF">
      <w:pPr>
        <w:pStyle w:val="41"/>
        <w:numPr>
          <w:ilvl w:val="0"/>
          <w:numId w:val="9"/>
        </w:numPr>
        <w:adjustRightInd w:val="0"/>
        <w:spacing w:line="276" w:lineRule="auto"/>
        <w:ind w:left="0" w:firstLine="420"/>
        <w:rPr>
          <w:rFonts w:ascii="Times New Roman"/>
          <w:szCs w:val="22"/>
        </w:rPr>
      </w:pPr>
      <w:r>
        <w:rPr>
          <w:rFonts w:ascii="Times New Roman"/>
          <w:szCs w:val="22"/>
        </w:rPr>
        <w:t>电气设备的绝缘水平、外壳防护等级、防护遮栏设置、安全间距、防误操作等直接接触防护措施，设置剩余电流保护器等附加防护措施</w:t>
      </w:r>
      <w:r>
        <w:rPr>
          <w:rFonts w:hint="eastAsia" w:ascii="Times New Roman"/>
          <w:szCs w:val="22"/>
        </w:rPr>
        <w:t>；</w:t>
      </w:r>
    </w:p>
    <w:p w14:paraId="52EC13A5">
      <w:pPr>
        <w:pStyle w:val="41"/>
        <w:numPr>
          <w:ilvl w:val="0"/>
          <w:numId w:val="9"/>
        </w:numPr>
        <w:adjustRightInd w:val="0"/>
        <w:spacing w:line="276" w:lineRule="auto"/>
        <w:ind w:left="0" w:firstLine="420"/>
        <w:rPr>
          <w:rFonts w:ascii="Times New Roman"/>
          <w:szCs w:val="22"/>
        </w:rPr>
      </w:pPr>
      <w:r>
        <w:rPr>
          <w:rFonts w:hint="eastAsia" w:ascii="Times New Roman"/>
          <w:szCs w:val="22"/>
        </w:rPr>
        <w:t>风、光等新能源分布式发电、储能系统等防孤岛措施；</w:t>
      </w:r>
    </w:p>
    <w:p w14:paraId="7378CA26">
      <w:pPr>
        <w:pStyle w:val="41"/>
        <w:numPr>
          <w:ilvl w:val="0"/>
          <w:numId w:val="9"/>
        </w:numPr>
        <w:adjustRightInd w:val="0"/>
        <w:spacing w:line="276" w:lineRule="auto"/>
        <w:ind w:left="0" w:firstLine="420"/>
        <w:rPr>
          <w:rFonts w:ascii="Times New Roman"/>
          <w:szCs w:val="22"/>
        </w:rPr>
      </w:pPr>
      <w:r>
        <w:rPr>
          <w:rFonts w:ascii="Times New Roman"/>
          <w:szCs w:val="22"/>
        </w:rPr>
        <w:t>变压器中性点接地方式、重复接地、电气设备和电气装置的保护接地、等电位联结、自动切断电源等间接接触防护措施。</w:t>
      </w:r>
    </w:p>
    <w:p w14:paraId="66FAB7CE">
      <w:pPr>
        <w:pStyle w:val="5"/>
        <w:rPr>
          <w:rFonts w:ascii="黑体" w:hAnsi="黑体" w:eastAsia="黑体" w:cs="Times New Roman"/>
        </w:rPr>
      </w:pPr>
      <w:bookmarkStart w:id="131" w:name="_Toc193449144"/>
      <w:r>
        <w:rPr>
          <w:rFonts w:ascii="黑体" w:hAnsi="黑体" w:eastAsia="黑体" w:cs="Times New Roman"/>
        </w:rPr>
        <w:t>12.5.2  通信</w:t>
      </w:r>
      <w:bookmarkEnd w:id="131"/>
    </w:p>
    <w:p w14:paraId="6153E649">
      <w:pPr>
        <w:pStyle w:val="41"/>
        <w:ind w:firstLine="0" w:firstLineChars="0"/>
        <w:rPr>
          <w:rFonts w:ascii="Times New Roman"/>
          <w:bCs/>
          <w:kern w:val="2"/>
          <w:szCs w:val="32"/>
          <w14:ligatures w14:val="standardContextual"/>
        </w:rPr>
      </w:pPr>
      <w:r>
        <w:rPr>
          <w:rFonts w:ascii="黑体" w:hAnsi="黑体" w:eastAsia="黑体"/>
          <w:b/>
          <w:bCs/>
          <w:kern w:val="2"/>
          <w:szCs w:val="32"/>
          <w14:ligatures w14:val="standardContextual"/>
        </w:rPr>
        <w:t xml:space="preserve">12.5.2.1  </w:t>
      </w:r>
      <w:r>
        <w:rPr>
          <w:rFonts w:ascii="Times New Roman"/>
          <w:bCs/>
          <w:kern w:val="2"/>
          <w:szCs w:val="32"/>
          <w14:ligatures w14:val="standardContextual"/>
        </w:rPr>
        <w:t>电话系统</w:t>
      </w:r>
    </w:p>
    <w:p w14:paraId="251A5388">
      <w:pPr>
        <w:pStyle w:val="41"/>
        <w:spacing w:line="276" w:lineRule="auto"/>
        <w:ind w:firstLine="420"/>
        <w:rPr>
          <w:rFonts w:ascii="Times New Roman"/>
        </w:rPr>
      </w:pPr>
      <w:r>
        <w:rPr>
          <w:rFonts w:ascii="Times New Roman"/>
        </w:rPr>
        <w:t>说明电话系统的设置情况，包括生产调度电话的系统组成、网络结构、点位布置、中继方式，消防直通电话的接入方式、点位布置、接警要求等。</w:t>
      </w:r>
    </w:p>
    <w:p w14:paraId="2346588F">
      <w:pPr>
        <w:pStyle w:val="41"/>
        <w:ind w:firstLine="0" w:firstLineChars="0"/>
        <w:rPr>
          <w:rFonts w:ascii="Times New Roman"/>
          <w:bCs/>
          <w:kern w:val="2"/>
          <w:szCs w:val="32"/>
          <w14:ligatures w14:val="standardContextual"/>
        </w:rPr>
      </w:pPr>
      <w:r>
        <w:rPr>
          <w:rFonts w:ascii="黑体" w:hAnsi="黑体" w:eastAsia="黑体"/>
          <w:b/>
          <w:bCs/>
          <w:kern w:val="2"/>
          <w:szCs w:val="32"/>
          <w14:ligatures w14:val="standardContextual"/>
        </w:rPr>
        <w:t xml:space="preserve">12.5.2.2  </w:t>
      </w:r>
      <w:r>
        <w:rPr>
          <w:rFonts w:ascii="Times New Roman"/>
          <w:bCs/>
          <w:kern w:val="2"/>
          <w:szCs w:val="32"/>
          <w14:ligatures w14:val="standardContextual"/>
        </w:rPr>
        <w:t>扩音对讲及广播系统</w:t>
      </w:r>
    </w:p>
    <w:p w14:paraId="6BD051A6">
      <w:pPr>
        <w:pStyle w:val="41"/>
        <w:spacing w:line="276" w:lineRule="auto"/>
        <w:ind w:firstLine="420"/>
        <w:rPr>
          <w:rFonts w:ascii="Times New Roman"/>
        </w:rPr>
      </w:pPr>
      <w:r>
        <w:rPr>
          <w:rFonts w:hint="eastAsia" w:ascii="Times New Roman"/>
        </w:rPr>
        <w:t>按照</w:t>
      </w:r>
      <w:r>
        <w:rPr>
          <w:rFonts w:ascii="Times New Roman"/>
        </w:rPr>
        <w:t>GB 50526</w:t>
      </w:r>
      <w:r>
        <w:rPr>
          <w:rFonts w:hint="eastAsia" w:ascii="Times New Roman"/>
        </w:rPr>
        <w:t>的</w:t>
      </w:r>
      <w:r>
        <w:rPr>
          <w:rFonts w:ascii="Times New Roman"/>
        </w:rPr>
        <w:t>相关</w:t>
      </w:r>
      <w:r>
        <w:rPr>
          <w:rFonts w:hint="eastAsia" w:ascii="Times New Roman"/>
        </w:rPr>
        <w:t>规定</w:t>
      </w:r>
      <w:r>
        <w:rPr>
          <w:rFonts w:ascii="Times New Roman"/>
        </w:rPr>
        <w:t>，</w:t>
      </w:r>
      <w:r>
        <w:rPr>
          <w:rFonts w:hint="eastAsia" w:ascii="Times New Roman"/>
        </w:rPr>
        <w:t>说明</w:t>
      </w:r>
      <w:r>
        <w:rPr>
          <w:rFonts w:ascii="Times New Roman"/>
        </w:rPr>
        <w:t>扩音对讲及广播系统的设置情况</w:t>
      </w:r>
      <w:r>
        <w:rPr>
          <w:rFonts w:hint="eastAsia" w:ascii="Times New Roman"/>
          <w:szCs w:val="22"/>
        </w:rPr>
        <w:t>，</w:t>
      </w:r>
      <w:r>
        <w:rPr>
          <w:rFonts w:hint="eastAsia" w:ascii="Times New Roman"/>
          <w:bCs/>
          <w:szCs w:val="32"/>
        </w:rPr>
        <w:t>主要包括以下内容</w:t>
      </w:r>
      <w:r>
        <w:rPr>
          <w:rFonts w:ascii="Times New Roman"/>
        </w:rPr>
        <w:t>：</w:t>
      </w:r>
    </w:p>
    <w:p w14:paraId="041C93A5">
      <w:pPr>
        <w:pStyle w:val="41"/>
        <w:spacing w:line="276" w:lineRule="auto"/>
        <w:ind w:firstLine="420"/>
        <w:rPr>
          <w:rFonts w:ascii="Times New Roman"/>
        </w:rPr>
      </w:pPr>
      <w:r>
        <w:rPr>
          <w:rFonts w:ascii="Times New Roman"/>
        </w:rPr>
        <w:t>a）扩音对讲及广播系统的技术制式、设备组成以及系统架构；</w:t>
      </w:r>
    </w:p>
    <w:p w14:paraId="3F600337">
      <w:pPr>
        <w:pStyle w:val="41"/>
        <w:spacing w:line="276" w:lineRule="auto"/>
        <w:ind w:firstLine="420"/>
        <w:rPr>
          <w:rFonts w:ascii="Times New Roman"/>
        </w:rPr>
      </w:pPr>
      <w:r>
        <w:rPr>
          <w:rFonts w:ascii="Times New Roman"/>
        </w:rPr>
        <w:t>b）扬声器及话站的配置原则及安装位置；</w:t>
      </w:r>
    </w:p>
    <w:p w14:paraId="55B5397D">
      <w:pPr>
        <w:pStyle w:val="41"/>
        <w:spacing w:line="276" w:lineRule="auto"/>
        <w:ind w:firstLine="420"/>
        <w:rPr>
          <w:rFonts w:ascii="Times New Roman"/>
        </w:rPr>
      </w:pPr>
      <w:r>
        <w:rPr>
          <w:rFonts w:ascii="Times New Roman"/>
        </w:rPr>
        <w:t>c）系统与火灾报警、</w:t>
      </w:r>
      <w:r>
        <w:rPr>
          <w:rFonts w:hint="eastAsia" w:ascii="Times New Roman"/>
        </w:rPr>
        <w:t>可燃</w:t>
      </w:r>
      <w:r>
        <w:rPr>
          <w:rFonts w:ascii="Times New Roman"/>
        </w:rPr>
        <w:t>气体</w:t>
      </w:r>
      <w:r>
        <w:rPr>
          <w:rFonts w:hint="eastAsia" w:ascii="Times New Roman"/>
        </w:rPr>
        <w:t>探测</w:t>
      </w:r>
      <w:r>
        <w:rPr>
          <w:rFonts w:ascii="Times New Roman"/>
        </w:rPr>
        <w:t>等第三方系统的联动报警方案；</w:t>
      </w:r>
    </w:p>
    <w:p w14:paraId="2EE7198A">
      <w:pPr>
        <w:pStyle w:val="41"/>
        <w:spacing w:line="276" w:lineRule="auto"/>
        <w:ind w:firstLine="420"/>
        <w:rPr>
          <w:rFonts w:ascii="Times New Roman"/>
        </w:rPr>
      </w:pPr>
      <w:r>
        <w:rPr>
          <w:rFonts w:ascii="Times New Roman"/>
        </w:rPr>
        <w:t>d）针对高含硫化氢工况，应说明应急疏散广播和社区广播的工程配置，包括技术制式、设备组成、系统架构、点位布置、联动报警方案等。</w:t>
      </w:r>
    </w:p>
    <w:p w14:paraId="6FDEEDCB">
      <w:pPr>
        <w:pStyle w:val="41"/>
        <w:ind w:firstLine="0" w:firstLineChars="0"/>
        <w:rPr>
          <w:rFonts w:ascii="Times New Roman"/>
          <w:bCs/>
          <w:kern w:val="2"/>
          <w:szCs w:val="32"/>
          <w14:ligatures w14:val="standardContextual"/>
        </w:rPr>
      </w:pPr>
      <w:r>
        <w:rPr>
          <w:rFonts w:ascii="黑体" w:hAnsi="黑体" w:eastAsia="黑体"/>
          <w:b/>
          <w:bCs/>
          <w:kern w:val="2"/>
          <w:szCs w:val="32"/>
          <w14:ligatures w14:val="standardContextual"/>
        </w:rPr>
        <w:t xml:space="preserve">12.5.2.3  </w:t>
      </w:r>
      <w:r>
        <w:rPr>
          <w:rFonts w:ascii="Times New Roman"/>
          <w:bCs/>
          <w:kern w:val="2"/>
          <w:szCs w:val="32"/>
          <w14:ligatures w14:val="standardContextual"/>
        </w:rPr>
        <w:t>应急通信系统</w:t>
      </w:r>
    </w:p>
    <w:p w14:paraId="754D528A">
      <w:pPr>
        <w:pStyle w:val="41"/>
        <w:spacing w:line="276" w:lineRule="auto"/>
        <w:ind w:firstLine="420"/>
        <w:rPr>
          <w:rFonts w:ascii="Times New Roman"/>
        </w:rPr>
      </w:pPr>
      <w:r>
        <w:rPr>
          <w:rFonts w:ascii="Times New Roman"/>
        </w:rPr>
        <w:t>根据生产管理需要设置应急通信系统，包括应急通信采用的技术制式</w:t>
      </w:r>
      <w:r>
        <w:rPr>
          <w:rFonts w:hint="eastAsia" w:ascii="Times New Roman"/>
        </w:rPr>
        <w:t>、</w:t>
      </w:r>
      <w:r>
        <w:rPr>
          <w:rFonts w:ascii="Times New Roman"/>
        </w:rPr>
        <w:t>设备类型、设备环境要求等。</w:t>
      </w:r>
    </w:p>
    <w:p w14:paraId="0A325F9A">
      <w:pPr>
        <w:pStyle w:val="5"/>
        <w:rPr>
          <w:rFonts w:ascii="黑体" w:hAnsi="黑体" w:eastAsia="黑体" w:cs="Times New Roman"/>
        </w:rPr>
      </w:pPr>
      <w:bookmarkStart w:id="132" w:name="_Toc193449145"/>
      <w:bookmarkStart w:id="133" w:name="_Toc16002"/>
      <w:r>
        <w:rPr>
          <w:rFonts w:hint="eastAsia" w:ascii="黑体" w:hAnsi="黑体" w:eastAsia="黑体" w:cs="Times New Roman"/>
        </w:rPr>
        <w:t>1</w:t>
      </w:r>
      <w:r>
        <w:rPr>
          <w:rFonts w:ascii="黑体" w:hAnsi="黑体" w:eastAsia="黑体" w:cs="Times New Roman"/>
        </w:rPr>
        <w:t xml:space="preserve">2.5.3  </w:t>
      </w:r>
      <w:r>
        <w:rPr>
          <w:rFonts w:hint="eastAsia" w:ascii="黑体" w:hAnsi="黑体" w:eastAsia="黑体" w:cs="Times New Roman"/>
        </w:rPr>
        <w:t>热工</w:t>
      </w:r>
      <w:bookmarkEnd w:id="132"/>
      <w:bookmarkEnd w:id="133"/>
    </w:p>
    <w:p w14:paraId="270609C3">
      <w:pPr>
        <w:pStyle w:val="41"/>
        <w:ind w:firstLine="420"/>
        <w:rPr>
          <w:rFonts w:ascii="Times New Roman"/>
        </w:rPr>
      </w:pPr>
      <w:r>
        <w:rPr>
          <w:rFonts w:hint="eastAsia" w:ascii="Times New Roman"/>
        </w:rPr>
        <w:t>按照</w:t>
      </w:r>
      <w:r>
        <w:rPr>
          <w:rFonts w:ascii="Times New Roman"/>
        </w:rPr>
        <w:t>GB</w:t>
      </w:r>
      <w:r>
        <w:rPr>
          <w:rFonts w:hint="eastAsia" w:ascii="Times New Roman"/>
        </w:rPr>
        <w:t xml:space="preserve"> </w:t>
      </w:r>
      <w:r>
        <w:rPr>
          <w:rFonts w:ascii="Times New Roman"/>
        </w:rPr>
        <w:t>50041</w:t>
      </w:r>
      <w:r>
        <w:rPr>
          <w:rFonts w:hint="eastAsia" w:ascii="Times New Roman"/>
        </w:rPr>
        <w:t>、</w:t>
      </w:r>
      <w:bookmarkStart w:id="134" w:name="OLE_LINK5"/>
      <w:r>
        <w:rPr>
          <w:rFonts w:ascii="Times New Roman"/>
        </w:rPr>
        <w:t>GB/T 36699</w:t>
      </w:r>
      <w:bookmarkEnd w:id="134"/>
      <w:r>
        <w:rPr>
          <w:rFonts w:hint="eastAsia" w:ascii="Times New Roman"/>
        </w:rPr>
        <w:t>、</w:t>
      </w:r>
      <w:r>
        <w:rPr>
          <w:rFonts w:ascii="Times New Roman"/>
        </w:rPr>
        <w:t>SY/T 0524</w:t>
      </w:r>
      <w:r>
        <w:rPr>
          <w:rFonts w:hint="eastAsia" w:ascii="Times New Roman"/>
        </w:rPr>
        <w:t>、</w:t>
      </w:r>
      <w:r>
        <w:rPr>
          <w:rFonts w:ascii="Times New Roman"/>
        </w:rPr>
        <w:t>SY/T 7405</w:t>
      </w:r>
      <w:r>
        <w:rPr>
          <w:rFonts w:hint="eastAsia" w:ascii="Times New Roman"/>
        </w:rPr>
        <w:t>等的相关规定，说明热工的安全措施</w:t>
      </w:r>
      <w:r>
        <w:rPr>
          <w:rFonts w:hint="eastAsia" w:ascii="Times New Roman"/>
          <w:szCs w:val="22"/>
        </w:rPr>
        <w:t>，</w:t>
      </w:r>
      <w:r>
        <w:rPr>
          <w:rFonts w:hint="eastAsia" w:ascii="Times New Roman"/>
          <w:bCs/>
          <w:szCs w:val="32"/>
        </w:rPr>
        <w:t>主要包括以下内容</w:t>
      </w:r>
      <w:r>
        <w:rPr>
          <w:rFonts w:hint="eastAsia" w:ascii="Times New Roman"/>
        </w:rPr>
        <w:t>：</w:t>
      </w:r>
    </w:p>
    <w:p w14:paraId="361460C6">
      <w:pPr>
        <w:pStyle w:val="41"/>
        <w:numPr>
          <w:ilvl w:val="0"/>
          <w:numId w:val="10"/>
        </w:numPr>
        <w:ind w:left="0" w:firstLine="420"/>
        <w:rPr>
          <w:rFonts w:ascii="Times New Roman"/>
        </w:rPr>
      </w:pPr>
      <w:r>
        <w:rPr>
          <w:rFonts w:hint="eastAsia" w:ascii="Times New Roman"/>
        </w:rPr>
        <w:t>锅炉及管道系统泄放措施</w:t>
      </w:r>
      <w:r>
        <w:rPr>
          <w:rFonts w:hint="eastAsia" w:ascii="Times New Roman"/>
          <w:szCs w:val="22"/>
        </w:rPr>
        <w:t>；</w:t>
      </w:r>
    </w:p>
    <w:p w14:paraId="10C98235">
      <w:pPr>
        <w:pStyle w:val="41"/>
        <w:numPr>
          <w:ilvl w:val="0"/>
          <w:numId w:val="10"/>
        </w:numPr>
        <w:ind w:left="0" w:firstLine="420"/>
        <w:rPr>
          <w:rFonts w:ascii="Times New Roman"/>
        </w:rPr>
      </w:pPr>
      <w:r>
        <w:rPr>
          <w:rFonts w:hint="eastAsia" w:ascii="Times New Roman"/>
        </w:rPr>
        <w:t>燃料气供应管道紧急切断措施；</w:t>
      </w:r>
    </w:p>
    <w:p w14:paraId="41C175DE">
      <w:pPr>
        <w:pStyle w:val="41"/>
        <w:numPr>
          <w:ilvl w:val="0"/>
          <w:numId w:val="10"/>
        </w:numPr>
        <w:ind w:left="0" w:firstLine="420"/>
        <w:rPr>
          <w:rFonts w:ascii="Times New Roman"/>
        </w:rPr>
      </w:pPr>
      <w:r>
        <w:rPr>
          <w:rFonts w:hint="eastAsia" w:ascii="Times New Roman"/>
        </w:rPr>
        <w:t>锅炉和加热炉等燃烧器熄火保护、设备过热保护措施；</w:t>
      </w:r>
    </w:p>
    <w:p w14:paraId="30B21BD6">
      <w:pPr>
        <w:pStyle w:val="41"/>
        <w:numPr>
          <w:ilvl w:val="0"/>
          <w:numId w:val="10"/>
        </w:numPr>
        <w:ind w:left="0" w:firstLine="420"/>
        <w:rPr>
          <w:rFonts w:ascii="Times New Roman"/>
        </w:rPr>
      </w:pPr>
      <w:r>
        <w:rPr>
          <w:rFonts w:hint="eastAsia" w:ascii="Times New Roman"/>
        </w:rPr>
        <w:t>热泵机组压缩机与换热器过热保护、冷剂泄漏保护、流量开关措施；</w:t>
      </w:r>
    </w:p>
    <w:p w14:paraId="30768EB8">
      <w:pPr>
        <w:pStyle w:val="41"/>
        <w:numPr>
          <w:ilvl w:val="0"/>
          <w:numId w:val="10"/>
        </w:numPr>
        <w:spacing w:line="276" w:lineRule="auto"/>
        <w:ind w:left="0" w:firstLine="420"/>
        <w:rPr>
          <w:rFonts w:ascii="Times New Roman"/>
        </w:rPr>
      </w:pPr>
      <w:r>
        <w:rPr>
          <w:rFonts w:hint="eastAsia" w:ascii="Times New Roman"/>
        </w:rPr>
        <w:t>管道及设备采取的保温、防腐、防冻及热膨胀补偿措施。</w:t>
      </w:r>
    </w:p>
    <w:p w14:paraId="7B5F9AB9">
      <w:pPr>
        <w:pStyle w:val="5"/>
        <w:rPr>
          <w:rFonts w:ascii="黑体" w:hAnsi="黑体" w:eastAsia="黑体" w:cs="Times New Roman"/>
        </w:rPr>
      </w:pPr>
      <w:r>
        <w:rPr>
          <w:rFonts w:ascii="黑体" w:hAnsi="黑体" w:eastAsia="黑体" w:cs="Times New Roman"/>
        </w:rPr>
        <w:t xml:space="preserve">12.5.4  </w:t>
      </w:r>
      <w:r>
        <w:rPr>
          <w:rFonts w:hint="eastAsia" w:ascii="黑体" w:hAnsi="黑体" w:eastAsia="黑体" w:cs="Times New Roman"/>
        </w:rPr>
        <w:t>通风</w:t>
      </w:r>
    </w:p>
    <w:p w14:paraId="2714CC40">
      <w:pPr>
        <w:pStyle w:val="41"/>
        <w:spacing w:line="276" w:lineRule="auto"/>
        <w:ind w:firstLine="0" w:firstLineChars="0"/>
        <w:rPr>
          <w:rFonts w:ascii="Times New Roman"/>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2.5.4.1 </w:t>
      </w:r>
      <w:r>
        <w:rPr>
          <w:rFonts w:ascii="黑体" w:hAnsi="黑体" w:eastAsia="黑体"/>
          <w:bCs/>
          <w:kern w:val="2"/>
          <w:szCs w:val="32"/>
          <w14:ligatures w14:val="standardContextual"/>
        </w:rPr>
        <w:t xml:space="preserve"> </w:t>
      </w:r>
      <w:r>
        <w:rPr>
          <w:rFonts w:hint="eastAsia" w:ascii="Times New Roman"/>
          <w:bCs/>
          <w:kern w:val="2"/>
          <w:szCs w:val="32"/>
          <w14:ligatures w14:val="standardContextual"/>
        </w:rPr>
        <w:t>通风设置</w:t>
      </w:r>
    </w:p>
    <w:p w14:paraId="1AB63A6B">
      <w:pPr>
        <w:pStyle w:val="41"/>
        <w:spacing w:line="276" w:lineRule="auto"/>
        <w:ind w:firstLine="420"/>
        <w:rPr>
          <w:rFonts w:ascii="Times New Roman"/>
        </w:rPr>
      </w:pPr>
      <w:r>
        <w:rPr>
          <w:rFonts w:hint="eastAsia" w:ascii="Times New Roman"/>
          <w:szCs w:val="22"/>
        </w:rPr>
        <w:t>按照</w:t>
      </w:r>
      <w:r>
        <w:rPr>
          <w:rFonts w:hint="eastAsia" w:ascii="Times New Roman"/>
        </w:rPr>
        <w:t>GB</w:t>
      </w:r>
      <w:r>
        <w:rPr>
          <w:rFonts w:ascii="Times New Roman"/>
        </w:rPr>
        <w:t xml:space="preserve"> </w:t>
      </w:r>
      <w:r>
        <w:rPr>
          <w:rFonts w:hint="eastAsia" w:ascii="Times New Roman"/>
        </w:rPr>
        <w:t>50019、SY/T 7021等的相关</w:t>
      </w:r>
      <w:r>
        <w:rPr>
          <w:rFonts w:ascii="Times New Roman"/>
        </w:rPr>
        <w:t>规定</w:t>
      </w:r>
      <w:r>
        <w:rPr>
          <w:rFonts w:hint="eastAsia" w:ascii="Times New Roman"/>
        </w:rPr>
        <w:t>说明建筑物通风及通风设备的设置情况，</w:t>
      </w:r>
      <w:r>
        <w:rPr>
          <w:rFonts w:hint="eastAsia" w:ascii="Times New Roman"/>
          <w:bCs/>
          <w:szCs w:val="32"/>
        </w:rPr>
        <w:t>主要包括以下内容</w:t>
      </w:r>
      <w:r>
        <w:rPr>
          <w:rFonts w:hint="eastAsia" w:ascii="Times New Roman"/>
        </w:rPr>
        <w:t>：</w:t>
      </w:r>
    </w:p>
    <w:p w14:paraId="316B0AD5">
      <w:pPr>
        <w:pStyle w:val="41"/>
        <w:spacing w:line="276" w:lineRule="auto"/>
        <w:ind w:firstLine="420"/>
        <w:rPr>
          <w:rFonts w:ascii="Times New Roman"/>
        </w:rPr>
      </w:pPr>
      <w:r>
        <w:rPr>
          <w:rFonts w:hint="eastAsia" w:ascii="Times New Roman"/>
        </w:rPr>
        <w:t>a）房间名称、通风方式、换气次数，明确通风设备的型式、防爆等级；</w:t>
      </w:r>
    </w:p>
    <w:p w14:paraId="759CBC44">
      <w:pPr>
        <w:pStyle w:val="41"/>
        <w:spacing w:line="276" w:lineRule="auto"/>
        <w:ind w:firstLine="420"/>
        <w:rPr>
          <w:rFonts w:ascii="Times New Roman"/>
        </w:rPr>
      </w:pPr>
      <w:r>
        <w:rPr>
          <w:rFonts w:hint="eastAsia" w:ascii="Times New Roman"/>
        </w:rPr>
        <w:t>b）可能突然散发大量有毒有害气体或爆炸危险气体的建筑物的事故通风设置及运行情况。</w:t>
      </w:r>
    </w:p>
    <w:p w14:paraId="1F64726F">
      <w:pPr>
        <w:pStyle w:val="41"/>
        <w:spacing w:line="276" w:lineRule="auto"/>
        <w:ind w:firstLine="0" w:firstLineChars="0"/>
        <w:rPr>
          <w:rFonts w:ascii="Times New Roman"/>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2.5.4.2</w:t>
      </w:r>
      <w:r>
        <w:rPr>
          <w:rFonts w:ascii="黑体" w:hAnsi="黑体" w:eastAsia="黑体"/>
          <w:bCs/>
          <w:kern w:val="2"/>
          <w:szCs w:val="32"/>
          <w14:ligatures w14:val="standardContextual"/>
        </w:rPr>
        <w:t xml:space="preserve">  </w:t>
      </w:r>
      <w:r>
        <w:rPr>
          <w:rFonts w:hint="eastAsia" w:ascii="Times New Roman"/>
          <w:bCs/>
          <w:kern w:val="2"/>
          <w:szCs w:val="32"/>
          <w14:ligatures w14:val="standardContextual"/>
        </w:rPr>
        <w:t>防烟排烟</w:t>
      </w:r>
    </w:p>
    <w:p w14:paraId="57770194">
      <w:pPr>
        <w:pStyle w:val="41"/>
        <w:spacing w:line="276" w:lineRule="auto"/>
        <w:ind w:firstLine="420"/>
        <w:rPr>
          <w:rFonts w:ascii="Times New Roman"/>
        </w:rPr>
      </w:pPr>
      <w:r>
        <w:rPr>
          <w:rFonts w:hint="eastAsia" w:ascii="Times New Roman"/>
          <w:szCs w:val="22"/>
        </w:rPr>
        <w:t>按照</w:t>
      </w:r>
      <w:r>
        <w:rPr>
          <w:rFonts w:hint="eastAsia" w:ascii="Times New Roman"/>
        </w:rPr>
        <w:t>GB</w:t>
      </w:r>
      <w:r>
        <w:rPr>
          <w:rFonts w:ascii="Times New Roman"/>
        </w:rPr>
        <w:t xml:space="preserve"> </w:t>
      </w:r>
      <w:r>
        <w:rPr>
          <w:rFonts w:hint="eastAsia" w:ascii="Times New Roman"/>
        </w:rPr>
        <w:t>55036、GB</w:t>
      </w:r>
      <w:r>
        <w:rPr>
          <w:rFonts w:ascii="Times New Roman"/>
        </w:rPr>
        <w:t xml:space="preserve"> </w:t>
      </w:r>
      <w:r>
        <w:rPr>
          <w:rFonts w:hint="eastAsia" w:ascii="Times New Roman"/>
        </w:rPr>
        <w:t>55037等的相关规定说明防排烟区域及形式，按照GB</w:t>
      </w:r>
      <w:r>
        <w:rPr>
          <w:rFonts w:ascii="Times New Roman"/>
        </w:rPr>
        <w:t xml:space="preserve"> </w:t>
      </w:r>
      <w:r>
        <w:rPr>
          <w:rFonts w:hint="eastAsia" w:ascii="Times New Roman"/>
        </w:rPr>
        <w:t>51251的相关规定说明防排烟系统具体设置情况，</w:t>
      </w:r>
      <w:r>
        <w:rPr>
          <w:rFonts w:hint="eastAsia" w:ascii="Times New Roman"/>
          <w:bCs/>
          <w:szCs w:val="32"/>
        </w:rPr>
        <w:t>主要包括以下内容</w:t>
      </w:r>
      <w:r>
        <w:rPr>
          <w:rFonts w:hint="eastAsia" w:ascii="Times New Roman"/>
        </w:rPr>
        <w:t>：</w:t>
      </w:r>
    </w:p>
    <w:p w14:paraId="5910A539">
      <w:pPr>
        <w:pStyle w:val="41"/>
        <w:spacing w:line="276" w:lineRule="auto"/>
        <w:ind w:firstLine="420"/>
        <w:rPr>
          <w:rFonts w:ascii="Times New Roman"/>
        </w:rPr>
      </w:pPr>
      <w:r>
        <w:rPr>
          <w:rFonts w:hint="eastAsia" w:ascii="Times New Roman"/>
        </w:rPr>
        <w:t>a）采用自然排烟时应说明采用自然排烟的区域、自然排烟系统的设置、挡烟垂壁的设置等；</w:t>
      </w:r>
    </w:p>
    <w:p w14:paraId="111EFAB1">
      <w:pPr>
        <w:pStyle w:val="41"/>
        <w:spacing w:line="276" w:lineRule="auto"/>
        <w:ind w:firstLine="420"/>
        <w:rPr>
          <w:rFonts w:ascii="Times New Roman"/>
        </w:rPr>
      </w:pPr>
      <w:r>
        <w:rPr>
          <w:rFonts w:hint="eastAsia" w:ascii="Times New Roman"/>
        </w:rPr>
        <w:t>b）采用机械排烟时应说明设置机械排烟的区域、机械排烟系统的设置、挡烟垂壁的设置等；</w:t>
      </w:r>
    </w:p>
    <w:p w14:paraId="0F215A22">
      <w:pPr>
        <w:pStyle w:val="41"/>
        <w:spacing w:line="276" w:lineRule="auto"/>
        <w:ind w:firstLine="420"/>
        <w:rPr>
          <w:rFonts w:ascii="Times New Roman"/>
        </w:rPr>
      </w:pPr>
      <w:r>
        <w:rPr>
          <w:rFonts w:hint="eastAsia" w:ascii="Times New Roman"/>
        </w:rPr>
        <w:t>c）设置补风系统时，应说明排烟补风的方式及设置情况；</w:t>
      </w:r>
    </w:p>
    <w:p w14:paraId="4B1FD63C">
      <w:pPr>
        <w:pStyle w:val="41"/>
        <w:spacing w:line="276" w:lineRule="auto"/>
        <w:ind w:firstLine="420"/>
        <w:rPr>
          <w:rFonts w:ascii="Times New Roman"/>
        </w:rPr>
      </w:pPr>
      <w:r>
        <w:rPr>
          <w:rFonts w:ascii="Times New Roman"/>
        </w:rPr>
        <w:t>d）</w:t>
      </w:r>
      <w:r>
        <w:rPr>
          <w:rFonts w:hint="eastAsia" w:ascii="Times New Roman"/>
        </w:rPr>
        <w:t>说明挡烟垂壁、防排烟系统的控制方式。</w:t>
      </w:r>
    </w:p>
    <w:p w14:paraId="4ABFC124">
      <w:pPr>
        <w:pStyle w:val="5"/>
        <w:rPr>
          <w:rFonts w:ascii="黑体" w:hAnsi="黑体" w:eastAsia="黑体" w:cs="Times New Roman"/>
        </w:rPr>
      </w:pPr>
      <w:bookmarkStart w:id="135" w:name="_Toc11516"/>
      <w:bookmarkStart w:id="136" w:name="_Toc193449147"/>
      <w:r>
        <w:rPr>
          <w:rFonts w:hint="eastAsia" w:ascii="黑体" w:hAnsi="黑体" w:eastAsia="黑体" w:cs="Times New Roman"/>
        </w:rPr>
        <w:t>1</w:t>
      </w:r>
      <w:r>
        <w:rPr>
          <w:rFonts w:ascii="黑体" w:hAnsi="黑体" w:eastAsia="黑体" w:cs="Times New Roman"/>
        </w:rPr>
        <w:t xml:space="preserve">2.5.5  </w:t>
      </w:r>
      <w:bookmarkEnd w:id="135"/>
      <w:bookmarkEnd w:id="136"/>
      <w:r>
        <w:rPr>
          <w:rFonts w:hint="eastAsia" w:ascii="黑体" w:hAnsi="黑体" w:eastAsia="黑体" w:cs="Times New Roman"/>
        </w:rPr>
        <w:t>建筑与构筑物</w:t>
      </w:r>
    </w:p>
    <w:p w14:paraId="5023AF92">
      <w:pPr>
        <w:pStyle w:val="41"/>
        <w:spacing w:line="276" w:lineRule="auto"/>
        <w:ind w:firstLine="0" w:firstLineChars="0"/>
        <w:rPr>
          <w:rFonts w:ascii="Times New Roman"/>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2.5.5.1  </w:t>
      </w:r>
      <w:r>
        <w:rPr>
          <w:rFonts w:ascii="Times New Roman"/>
          <w:bCs/>
          <w:kern w:val="2"/>
          <w:szCs w:val="32"/>
          <w14:ligatures w14:val="standardContextual"/>
        </w:rPr>
        <w:t>主要建</w:t>
      </w:r>
      <w:r>
        <w:rPr>
          <w:rFonts w:hint="eastAsia" w:ascii="Times New Roman"/>
          <w:bCs/>
          <w:kern w:val="2"/>
          <w:szCs w:val="32"/>
          <w14:ligatures w14:val="standardContextual"/>
        </w:rPr>
        <w:t>（</w:t>
      </w:r>
      <w:r>
        <w:rPr>
          <w:rFonts w:ascii="Times New Roman"/>
          <w:bCs/>
          <w:kern w:val="2"/>
          <w:szCs w:val="32"/>
          <w14:ligatures w14:val="standardContextual"/>
        </w:rPr>
        <w:t>构</w:t>
      </w:r>
      <w:r>
        <w:rPr>
          <w:rFonts w:hint="eastAsia" w:ascii="Times New Roman"/>
          <w:bCs/>
          <w:kern w:val="2"/>
          <w:szCs w:val="32"/>
          <w14:ligatures w14:val="standardContextual"/>
        </w:rPr>
        <w:t>）</w:t>
      </w:r>
      <w:r>
        <w:rPr>
          <w:rFonts w:ascii="Times New Roman"/>
          <w:bCs/>
          <w:kern w:val="2"/>
          <w:szCs w:val="32"/>
          <w14:ligatures w14:val="standardContextual"/>
        </w:rPr>
        <w:t>筑物</w:t>
      </w:r>
    </w:p>
    <w:p w14:paraId="3E7D765C">
      <w:pPr>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rPr>
        <w:t>按照GB</w:t>
      </w:r>
      <w:r>
        <w:rPr>
          <w:rFonts w:ascii="Times New Roman" w:hAnsi="Times New Roman" w:eastAsia="宋体" w:cs="Times New Roman"/>
        </w:rPr>
        <w:t xml:space="preserve"> </w:t>
      </w:r>
      <w:r>
        <w:rPr>
          <w:rFonts w:hint="eastAsia" w:ascii="Times New Roman" w:hAnsi="Times New Roman" w:eastAsia="宋体" w:cs="Times New Roman"/>
        </w:rPr>
        <w:t>50016、GB</w:t>
      </w:r>
      <w:r>
        <w:rPr>
          <w:rFonts w:ascii="Times New Roman" w:hAnsi="Times New Roman" w:eastAsia="宋体" w:cs="Times New Roman"/>
        </w:rPr>
        <w:t xml:space="preserve"> </w:t>
      </w:r>
      <w:r>
        <w:rPr>
          <w:rFonts w:hint="eastAsia" w:ascii="Times New Roman" w:hAnsi="Times New Roman" w:eastAsia="宋体" w:cs="Times New Roman"/>
        </w:rPr>
        <w:t>51251、GB</w:t>
      </w:r>
      <w:r>
        <w:rPr>
          <w:rFonts w:ascii="Times New Roman" w:hAnsi="Times New Roman" w:eastAsia="宋体" w:cs="Times New Roman"/>
        </w:rPr>
        <w:t xml:space="preserve"> </w:t>
      </w:r>
      <w:r>
        <w:rPr>
          <w:rFonts w:hint="eastAsia" w:ascii="Times New Roman" w:hAnsi="Times New Roman" w:eastAsia="宋体" w:cs="Times New Roman"/>
        </w:rPr>
        <w:t>55037</w:t>
      </w:r>
      <w:r>
        <w:rPr>
          <w:rFonts w:hint="eastAsia" w:ascii="Times New Roman" w:hAnsi="Times New Roman" w:eastAsia="宋体" w:cs="Times New Roman"/>
          <w:kern w:val="0"/>
          <w:szCs w:val="20"/>
        </w:rPr>
        <w:t>等</w:t>
      </w:r>
      <w:r>
        <w:rPr>
          <w:rFonts w:hint="eastAsia" w:ascii="Times New Roman" w:hAnsi="Times New Roman" w:eastAsia="宋体" w:cs="Times New Roman"/>
        </w:rPr>
        <w:t>的相关规定，</w:t>
      </w:r>
      <w:r>
        <w:rPr>
          <w:rFonts w:hint="eastAsia" w:ascii="Times New Roman" w:hAnsi="Times New Roman" w:eastAsia="宋体" w:cs="Times New Roman"/>
          <w:kern w:val="0"/>
          <w:szCs w:val="20"/>
        </w:rPr>
        <w:t>说明</w:t>
      </w:r>
      <w:r>
        <w:rPr>
          <w:rFonts w:ascii="Times New Roman" w:hAnsi="Times New Roman" w:eastAsia="宋体" w:cs="Times New Roman"/>
          <w:kern w:val="0"/>
          <w:szCs w:val="20"/>
        </w:rPr>
        <w:t>建（构）筑物防火分区、安全出口及安全疏散距离</w:t>
      </w:r>
      <w:r>
        <w:rPr>
          <w:rFonts w:hint="eastAsia" w:ascii="Times New Roman" w:hAnsi="Times New Roman" w:eastAsia="宋体" w:cs="Times New Roman"/>
          <w:kern w:val="0"/>
          <w:szCs w:val="20"/>
        </w:rPr>
        <w:t>，建（构）筑物设置的防火、泄爆、抗爆、排烟、防腐等安全措施</w:t>
      </w:r>
      <w:r>
        <w:rPr>
          <w:rFonts w:hint="eastAsia" w:ascii="Times New Roman"/>
        </w:rPr>
        <w:t>，</w:t>
      </w:r>
      <w:r>
        <w:rPr>
          <w:rFonts w:hint="eastAsia" w:ascii="宋体" w:hAnsi="宋体" w:eastAsia="宋体" w:cs="宋体"/>
          <w:bCs/>
          <w:szCs w:val="32"/>
        </w:rPr>
        <w:t>主要包括以下内容</w:t>
      </w:r>
      <w:r>
        <w:rPr>
          <w:rFonts w:hint="eastAsia" w:ascii="Times New Roman" w:hAnsi="Times New Roman" w:eastAsia="宋体" w:cs="Times New Roman"/>
          <w:kern w:val="0"/>
          <w:szCs w:val="20"/>
        </w:rPr>
        <w:t>：</w:t>
      </w:r>
    </w:p>
    <w:p w14:paraId="20C118A8">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a）建筑物火灾危险性类别、规范限值、防火分区的设置及面积；</w:t>
      </w:r>
    </w:p>
    <w:p w14:paraId="6986420B">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b）建筑物安全出口的数量、安全疏散距离、疏散宽度等；</w:t>
      </w:r>
    </w:p>
    <w:p w14:paraId="6BFC7C96">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c）建筑物主体材料的耐火极限、保温材料的燃烧性能等级，防火墙、防火门窗的设置位置；</w:t>
      </w:r>
    </w:p>
    <w:p w14:paraId="3692CFCD">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d）处于爆炸危险区范围内建筑物的爆炸冲击波峰值，以及采取的抗爆措施；</w:t>
      </w:r>
    </w:p>
    <w:p w14:paraId="73D25F86">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e）有爆炸危险建筑物的介质、泄压面积，采取的泄压、防静电、防止可燃气体积聚等措施；</w:t>
      </w:r>
    </w:p>
    <w:p w14:paraId="2F7DD2FB">
      <w:pPr>
        <w:widowControl/>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f）建筑物</w:t>
      </w:r>
      <w:r>
        <w:rPr>
          <w:rFonts w:ascii="Times New Roman" w:hAnsi="Times New Roman" w:eastAsia="宋体" w:cs="Times New Roman"/>
          <w:kern w:val="0"/>
          <w:szCs w:val="20"/>
        </w:rPr>
        <w:t>采取的其他安全防范设施</w:t>
      </w:r>
      <w:r>
        <w:rPr>
          <w:rFonts w:hint="eastAsia" w:ascii="Times New Roman" w:hAnsi="Times New Roman" w:eastAsia="宋体" w:cs="Times New Roman"/>
          <w:kern w:val="0"/>
          <w:szCs w:val="20"/>
        </w:rPr>
        <w:t>；</w:t>
      </w:r>
    </w:p>
    <w:p w14:paraId="64FEC0DC">
      <w:pPr>
        <w:pStyle w:val="41"/>
        <w:ind w:firstLine="420"/>
        <w:rPr>
          <w:rFonts w:ascii="Times New Roman"/>
          <w:szCs w:val="22"/>
        </w:rPr>
      </w:pPr>
      <w:r>
        <w:rPr>
          <w:rFonts w:hint="eastAsia" w:ascii="Times New Roman"/>
        </w:rPr>
        <w:t>g）按表B.</w:t>
      </w:r>
      <w:r>
        <w:rPr>
          <w:rFonts w:ascii="Times New Roman"/>
        </w:rPr>
        <w:t>21</w:t>
      </w:r>
      <w:r>
        <w:rPr>
          <w:rFonts w:hint="eastAsia" w:ascii="Times New Roman"/>
        </w:rPr>
        <w:t>说明生产场站新建、改建、扩建的建筑物的建筑面积、建筑物高度、建筑结构、火灾危险性、耐火等级、泄压比值（对有爆炸危险的甲、乙类生产厂房）等。</w:t>
      </w:r>
    </w:p>
    <w:p w14:paraId="29FAFA3B">
      <w:pPr>
        <w:pStyle w:val="41"/>
        <w:spacing w:line="276" w:lineRule="auto"/>
        <w:ind w:firstLine="0" w:firstLineChars="0"/>
        <w:rPr>
          <w:rFonts w:ascii="Times New Roman"/>
          <w:b/>
          <w:bCs/>
          <w:kern w:val="2"/>
          <w:szCs w:val="32"/>
          <w14:ligatures w14:val="standardContextual"/>
        </w:rPr>
      </w:pPr>
      <w:r>
        <w:rPr>
          <w:rFonts w:hint="eastAsia" w:ascii="黑体" w:hAnsi="黑体" w:eastAsia="黑体"/>
          <w:b/>
          <w:bCs/>
          <w:kern w:val="2"/>
          <w:szCs w:val="32"/>
          <w14:ligatures w14:val="standardContextual"/>
        </w:rPr>
        <w:t>1</w:t>
      </w:r>
      <w:r>
        <w:rPr>
          <w:rFonts w:ascii="黑体" w:hAnsi="黑体" w:eastAsia="黑体"/>
          <w:b/>
          <w:bCs/>
          <w:kern w:val="2"/>
          <w:szCs w:val="32"/>
          <w14:ligatures w14:val="standardContextual"/>
        </w:rPr>
        <w:t xml:space="preserve">2.5.5.2  </w:t>
      </w:r>
      <w:r>
        <w:rPr>
          <w:rFonts w:hint="eastAsia" w:ascii="Times New Roman"/>
          <w:bCs/>
          <w:kern w:val="2"/>
          <w:szCs w:val="32"/>
          <w14:ligatures w14:val="standardContextual"/>
        </w:rPr>
        <w:t>抗震</w:t>
      </w:r>
    </w:p>
    <w:p w14:paraId="0B18B1A1">
      <w:pPr>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按照GB</w:t>
      </w:r>
      <w:r>
        <w:rPr>
          <w:rFonts w:ascii="Times New Roman" w:hAnsi="Times New Roman" w:eastAsia="宋体" w:cs="Times New Roman"/>
          <w:kern w:val="0"/>
          <w:szCs w:val="20"/>
        </w:rPr>
        <w:t xml:space="preserve">/T </w:t>
      </w:r>
      <w:r>
        <w:rPr>
          <w:rFonts w:hint="eastAsia" w:ascii="Times New Roman" w:hAnsi="Times New Roman" w:eastAsia="宋体" w:cs="Times New Roman"/>
          <w:kern w:val="0"/>
          <w:szCs w:val="20"/>
        </w:rPr>
        <w:t>50011、GB</w:t>
      </w:r>
      <w:r>
        <w:rPr>
          <w:rFonts w:ascii="Times New Roman" w:hAnsi="Times New Roman" w:eastAsia="宋体" w:cs="Times New Roman"/>
          <w:kern w:val="0"/>
          <w:szCs w:val="20"/>
        </w:rPr>
        <w:t xml:space="preserve"> </w:t>
      </w:r>
      <w:r>
        <w:rPr>
          <w:rFonts w:hint="eastAsia" w:ascii="Times New Roman" w:hAnsi="Times New Roman" w:eastAsia="宋体" w:cs="Times New Roman"/>
          <w:kern w:val="0"/>
          <w:szCs w:val="20"/>
        </w:rPr>
        <w:t>50223、GB</w:t>
      </w:r>
      <w:r>
        <w:rPr>
          <w:rFonts w:ascii="Times New Roman" w:hAnsi="Times New Roman" w:eastAsia="宋体" w:cs="Times New Roman"/>
          <w:kern w:val="0"/>
          <w:szCs w:val="20"/>
        </w:rPr>
        <w:t xml:space="preserve"> </w:t>
      </w:r>
      <w:r>
        <w:rPr>
          <w:rFonts w:hint="eastAsia" w:ascii="Times New Roman" w:hAnsi="Times New Roman" w:eastAsia="宋体" w:cs="Times New Roman"/>
          <w:kern w:val="0"/>
          <w:szCs w:val="20"/>
        </w:rPr>
        <w:t>55002等的相关规定，说明建（构）筑物的抗震设防烈度、抗震设防分类、结构抗震等级、结构形式及采用的抗震构造措施等。对于说明重点设防类、标准设防类等建构筑物在不同场地类别、不同抗震设防烈度区域采取的抗震措施。</w:t>
      </w:r>
    </w:p>
    <w:p w14:paraId="400C83C3">
      <w:pPr>
        <w:pStyle w:val="41"/>
        <w:spacing w:line="276" w:lineRule="auto"/>
        <w:ind w:firstLine="0" w:firstLineChars="0"/>
        <w:rPr>
          <w:rFonts w:ascii="Times New Roman"/>
          <w:bCs/>
          <w:kern w:val="2"/>
          <w:szCs w:val="32"/>
          <w14:ligatures w14:val="standardContextual"/>
        </w:rPr>
      </w:pPr>
      <w:r>
        <w:rPr>
          <w:rFonts w:ascii="黑体" w:hAnsi="黑体" w:eastAsia="黑体"/>
          <w:b/>
          <w:bCs/>
          <w:kern w:val="2"/>
          <w:szCs w:val="32"/>
          <w14:ligatures w14:val="standardContextual"/>
        </w:rPr>
        <w:t xml:space="preserve">12.5.5.3  </w:t>
      </w:r>
      <w:r>
        <w:rPr>
          <w:rFonts w:ascii="Times New Roman"/>
          <w:bCs/>
          <w:kern w:val="2"/>
          <w:szCs w:val="32"/>
          <w14:ligatures w14:val="standardContextual"/>
        </w:rPr>
        <w:t>地基处理</w:t>
      </w:r>
    </w:p>
    <w:p w14:paraId="6BDBA53E">
      <w:pPr>
        <w:autoSpaceDE w:val="0"/>
        <w:autoSpaceDN w:val="0"/>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按照GB 50025、GB/T 50942、GB 50112等的相关规定，说明液化土、湿陷性黄土、盐渍土、膨胀岩土、厚填土、淤泥、溶洞等不良地质土层的地基处理方案和采取的安全措施。</w:t>
      </w:r>
    </w:p>
    <w:p w14:paraId="225371F9">
      <w:pPr>
        <w:pStyle w:val="4"/>
        <w:spacing w:before="156"/>
        <w:rPr>
          <w:rFonts w:ascii="黑体" w:hAnsi="黑体" w:eastAsia="黑体" w:cs="Times New Roman"/>
        </w:rPr>
      </w:pPr>
      <w:bookmarkStart w:id="137" w:name="_Toc195881874"/>
      <w:bookmarkStart w:id="138" w:name="_Toc18965"/>
      <w:r>
        <w:rPr>
          <w:rFonts w:ascii="黑体" w:hAnsi="黑体" w:eastAsia="黑体" w:cs="Times New Roman"/>
        </w:rPr>
        <w:t>12.6</w:t>
      </w:r>
      <w:r>
        <w:rPr>
          <w:rFonts w:hint="eastAsia" w:ascii="黑体" w:hAnsi="黑体" w:eastAsia="黑体" w:cs="Times New Roman"/>
        </w:rPr>
        <w:t xml:space="preserve"> </w:t>
      </w:r>
      <w:r>
        <w:rPr>
          <w:rFonts w:ascii="黑体" w:hAnsi="黑体" w:eastAsia="黑体" w:cs="Times New Roman"/>
        </w:rPr>
        <w:t xml:space="preserve"> </w:t>
      </w:r>
      <w:r>
        <w:rPr>
          <w:rFonts w:hint="eastAsia" w:ascii="黑体" w:hAnsi="黑体" w:eastAsia="黑体" w:cs="Times New Roman"/>
        </w:rPr>
        <w:t>防腐及绝热</w:t>
      </w:r>
      <w:bookmarkEnd w:id="137"/>
    </w:p>
    <w:p w14:paraId="39EF37B6">
      <w:pPr>
        <w:pStyle w:val="5"/>
        <w:rPr>
          <w:rFonts w:ascii="黑体" w:hAnsi="黑体" w:eastAsia="黑体" w:cs="Times New Roman"/>
        </w:rPr>
      </w:pPr>
      <w:bookmarkStart w:id="139" w:name="_Toc193449149"/>
      <w:r>
        <w:rPr>
          <w:rFonts w:hint="eastAsia" w:ascii="黑体" w:hAnsi="黑体" w:eastAsia="黑体" w:cs="Times New Roman"/>
        </w:rPr>
        <w:t>1</w:t>
      </w:r>
      <w:r>
        <w:rPr>
          <w:rFonts w:ascii="黑体" w:hAnsi="黑体" w:eastAsia="黑体" w:cs="Times New Roman"/>
        </w:rPr>
        <w:t>2.6.1  防腐</w:t>
      </w:r>
      <w:bookmarkEnd w:id="139"/>
    </w:p>
    <w:p w14:paraId="7AE4674C">
      <w:pPr>
        <w:rPr>
          <w:rFonts w:ascii="Times New Roman" w:hAnsi="Times New Roman" w:eastAsia="宋体" w:cs="Times New Roman"/>
          <w:b/>
        </w:rPr>
      </w:pPr>
      <w:r>
        <w:rPr>
          <w:rFonts w:ascii="黑体" w:hAnsi="黑体" w:eastAsia="黑体" w:cs="Times New Roman"/>
          <w:b/>
        </w:rPr>
        <w:t xml:space="preserve">12.6.1.1  </w:t>
      </w:r>
      <w:r>
        <w:rPr>
          <w:rFonts w:hint="eastAsia" w:ascii="Times New Roman" w:hAnsi="Times New Roman" w:eastAsia="宋体" w:cs="Times New Roman"/>
        </w:rPr>
        <w:t>线路管道防腐</w:t>
      </w:r>
    </w:p>
    <w:p w14:paraId="03A2351A">
      <w:pPr>
        <w:pStyle w:val="41"/>
        <w:spacing w:line="276" w:lineRule="auto"/>
        <w:ind w:firstLine="420"/>
        <w:rPr>
          <w:rFonts w:ascii="Times New Roman"/>
        </w:rPr>
      </w:pPr>
      <w:r>
        <w:rPr>
          <w:rFonts w:hint="eastAsia" w:ascii="Times New Roman"/>
          <w:szCs w:val="22"/>
        </w:rPr>
        <w:t>按照</w:t>
      </w:r>
      <w:r>
        <w:rPr>
          <w:rFonts w:ascii="Times New Roman"/>
          <w:szCs w:val="22"/>
        </w:rPr>
        <w:t>GB/T 21447</w:t>
      </w:r>
      <w:r>
        <w:rPr>
          <w:rFonts w:hint="eastAsia" w:ascii="Times New Roman"/>
          <w:szCs w:val="22"/>
        </w:rPr>
        <w:t>、</w:t>
      </w:r>
      <w:r>
        <w:rPr>
          <w:rFonts w:ascii="Times New Roman"/>
          <w:szCs w:val="22"/>
        </w:rPr>
        <w:t>GB/T 50538</w:t>
      </w:r>
      <w:r>
        <w:rPr>
          <w:rFonts w:hint="eastAsia" w:ascii="Times New Roman"/>
          <w:szCs w:val="22"/>
        </w:rPr>
        <w:t>、</w:t>
      </w:r>
      <w:r>
        <w:rPr>
          <w:rFonts w:ascii="Times New Roman"/>
          <w:szCs w:val="22"/>
        </w:rPr>
        <w:t>GB/T 23257</w:t>
      </w:r>
      <w:r>
        <w:rPr>
          <w:rFonts w:hint="eastAsia" w:ascii="Times New Roman"/>
          <w:szCs w:val="22"/>
        </w:rPr>
        <w:t>等的相关规定，说明</w:t>
      </w:r>
      <w:r>
        <w:rPr>
          <w:rFonts w:hint="eastAsia" w:ascii="Times New Roman"/>
        </w:rPr>
        <w:t>线路</w:t>
      </w:r>
      <w:r>
        <w:rPr>
          <w:rFonts w:hint="eastAsia" w:ascii="Times New Roman"/>
          <w:szCs w:val="22"/>
        </w:rPr>
        <w:t>管道防腐方案，</w:t>
      </w:r>
      <w:r>
        <w:rPr>
          <w:rFonts w:hint="eastAsia" w:ascii="Times New Roman"/>
          <w:bCs/>
          <w:szCs w:val="32"/>
        </w:rPr>
        <w:t>主要包括以下内容</w:t>
      </w:r>
      <w:r>
        <w:rPr>
          <w:rFonts w:hint="eastAsia" w:ascii="Times New Roman"/>
          <w:szCs w:val="22"/>
        </w:rPr>
        <w:t>：</w:t>
      </w:r>
    </w:p>
    <w:p w14:paraId="15059AD4">
      <w:pPr>
        <w:pStyle w:val="41"/>
        <w:numPr>
          <w:ilvl w:val="0"/>
          <w:numId w:val="11"/>
        </w:numPr>
        <w:adjustRightInd w:val="0"/>
        <w:spacing w:line="276" w:lineRule="auto"/>
        <w:ind w:left="0" w:firstLine="357" w:firstLineChars="0"/>
        <w:rPr>
          <w:rFonts w:ascii="Times New Roman"/>
        </w:rPr>
      </w:pPr>
      <w:r>
        <w:rPr>
          <w:rFonts w:hint="eastAsia" w:ascii="Times New Roman"/>
        </w:rPr>
        <w:t>直管段、冷弯弯管</w:t>
      </w:r>
      <w:r>
        <w:rPr>
          <w:rFonts w:hint="eastAsia" w:ascii="Times New Roman"/>
          <w:szCs w:val="22"/>
        </w:rPr>
        <w:t>、</w:t>
      </w:r>
      <w:r>
        <w:rPr>
          <w:rFonts w:hint="eastAsia" w:ascii="Times New Roman"/>
        </w:rPr>
        <w:t>热煨弯管防腐方案；</w:t>
      </w:r>
    </w:p>
    <w:p w14:paraId="74ED0223">
      <w:pPr>
        <w:pStyle w:val="41"/>
        <w:numPr>
          <w:ilvl w:val="0"/>
          <w:numId w:val="11"/>
        </w:numPr>
        <w:adjustRightInd w:val="0"/>
        <w:spacing w:line="276" w:lineRule="auto"/>
        <w:ind w:left="0" w:firstLine="357" w:firstLineChars="0"/>
        <w:rPr>
          <w:rFonts w:ascii="Times New Roman"/>
        </w:rPr>
      </w:pPr>
      <w:bookmarkStart w:id="140" w:name="_Hlk179538590"/>
      <w:r>
        <w:rPr>
          <w:rFonts w:hint="eastAsia"/>
        </w:rPr>
        <w:t>特殊地段管道外防腐层及防护方案</w:t>
      </w:r>
      <w:bookmarkEnd w:id="140"/>
      <w:r>
        <w:rPr>
          <w:rFonts w:hint="eastAsia"/>
        </w:rPr>
        <w:t>等；</w:t>
      </w:r>
    </w:p>
    <w:p w14:paraId="0585FE1B">
      <w:pPr>
        <w:pStyle w:val="41"/>
        <w:numPr>
          <w:ilvl w:val="0"/>
          <w:numId w:val="11"/>
        </w:numPr>
        <w:adjustRightInd w:val="0"/>
        <w:spacing w:line="276" w:lineRule="auto"/>
        <w:ind w:left="0" w:firstLine="357" w:firstLineChars="0"/>
        <w:rPr>
          <w:rFonts w:ascii="Times New Roman"/>
          <w:szCs w:val="22"/>
        </w:rPr>
      </w:pPr>
      <w:r>
        <w:rPr>
          <w:rFonts w:hint="eastAsia" w:ascii="Times New Roman"/>
        </w:rPr>
        <w:t>线路</w:t>
      </w:r>
      <w:r>
        <w:rPr>
          <w:rFonts w:hint="eastAsia" w:ascii="Times New Roman"/>
          <w:szCs w:val="22"/>
        </w:rPr>
        <w:t>管道补口</w:t>
      </w:r>
      <w:r>
        <w:rPr>
          <w:rFonts w:hint="eastAsia" w:ascii="Times New Roman"/>
        </w:rPr>
        <w:t>、补伤</w:t>
      </w:r>
      <w:r>
        <w:rPr>
          <w:rFonts w:hint="eastAsia" w:ascii="Times New Roman"/>
          <w:szCs w:val="22"/>
        </w:rPr>
        <w:t>方案</w:t>
      </w:r>
      <w:r>
        <w:rPr>
          <w:rFonts w:hint="eastAsia" w:ascii="Times New Roman"/>
        </w:rPr>
        <w:t>等。</w:t>
      </w:r>
    </w:p>
    <w:p w14:paraId="02E780C4">
      <w:pPr>
        <w:rPr>
          <w:rFonts w:ascii="Times New Roman" w:hAnsi="Times New Roman" w:eastAsia="宋体" w:cs="Times New Roman"/>
          <w:b/>
        </w:rPr>
      </w:pPr>
      <w:r>
        <w:rPr>
          <w:rFonts w:ascii="黑体" w:hAnsi="黑体" w:eastAsia="黑体" w:cs="Times New Roman"/>
          <w:b/>
        </w:rPr>
        <w:t xml:space="preserve">12.6.1.2  </w:t>
      </w:r>
      <w:r>
        <w:rPr>
          <w:rFonts w:hint="eastAsia" w:ascii="Times New Roman" w:hAnsi="Times New Roman" w:eastAsia="宋体" w:cs="Times New Roman"/>
        </w:rPr>
        <w:t>站场</w:t>
      </w:r>
      <w:r>
        <w:rPr>
          <w:rFonts w:ascii="Times New Roman" w:hAnsi="Times New Roman" w:eastAsia="宋体" w:cs="Times New Roman"/>
        </w:rPr>
        <w:t>/</w:t>
      </w:r>
      <w:r>
        <w:rPr>
          <w:rFonts w:hint="eastAsia" w:ascii="Times New Roman" w:hAnsi="Times New Roman" w:eastAsia="宋体" w:cs="Times New Roman"/>
        </w:rPr>
        <w:t>井场内管道及设备防腐</w:t>
      </w:r>
    </w:p>
    <w:p w14:paraId="44A367BD">
      <w:pPr>
        <w:pStyle w:val="41"/>
        <w:spacing w:line="276" w:lineRule="auto"/>
        <w:ind w:firstLine="420"/>
        <w:rPr>
          <w:rFonts w:ascii="Times New Roman"/>
        </w:rPr>
      </w:pPr>
      <w:r>
        <w:rPr>
          <w:rFonts w:ascii="Times New Roman"/>
          <w:szCs w:val="22"/>
        </w:rPr>
        <w:t>按照GB/T 21447</w:t>
      </w:r>
      <w:r>
        <w:rPr>
          <w:rFonts w:hint="eastAsia" w:ascii="Times New Roman"/>
          <w:szCs w:val="22"/>
        </w:rPr>
        <w:t>、</w:t>
      </w:r>
      <w:r>
        <w:rPr>
          <w:rFonts w:ascii="Times New Roman"/>
          <w:szCs w:val="22"/>
        </w:rPr>
        <w:t>GB/T 50393</w:t>
      </w:r>
      <w:r>
        <w:rPr>
          <w:rFonts w:hint="eastAsia" w:ascii="Times New Roman"/>
          <w:szCs w:val="22"/>
        </w:rPr>
        <w:t>、</w:t>
      </w:r>
      <w:r>
        <w:rPr>
          <w:rFonts w:ascii="Times New Roman"/>
          <w:szCs w:val="22"/>
        </w:rPr>
        <w:t>SY/T 0319</w:t>
      </w:r>
      <w:r>
        <w:rPr>
          <w:rFonts w:hint="eastAsia" w:ascii="Times New Roman"/>
          <w:szCs w:val="22"/>
        </w:rPr>
        <w:t>、</w:t>
      </w:r>
      <w:r>
        <w:rPr>
          <w:rFonts w:ascii="Times New Roman"/>
          <w:szCs w:val="22"/>
        </w:rPr>
        <w:t>SY/T 7036</w:t>
      </w:r>
      <w:r>
        <w:rPr>
          <w:rFonts w:hint="eastAsia" w:ascii="Times New Roman"/>
          <w:szCs w:val="22"/>
        </w:rPr>
        <w:t>等的相关规定，说明站场</w:t>
      </w:r>
      <w:r>
        <w:rPr>
          <w:rFonts w:ascii="Times New Roman"/>
          <w:szCs w:val="22"/>
        </w:rPr>
        <w:t>/</w:t>
      </w:r>
      <w:r>
        <w:rPr>
          <w:rFonts w:hint="eastAsia" w:ascii="Times New Roman"/>
          <w:szCs w:val="22"/>
        </w:rPr>
        <w:t>井场</w:t>
      </w:r>
      <w:r>
        <w:rPr>
          <w:rFonts w:hint="eastAsia" w:ascii="Times New Roman"/>
        </w:rPr>
        <w:t>内</w:t>
      </w:r>
      <w:r>
        <w:rPr>
          <w:rFonts w:hint="eastAsia" w:ascii="Times New Roman"/>
          <w:szCs w:val="22"/>
        </w:rPr>
        <w:t>管道及设备防腐方案，包括站场</w:t>
      </w:r>
      <w:r>
        <w:rPr>
          <w:rFonts w:ascii="Times New Roman"/>
          <w:szCs w:val="22"/>
        </w:rPr>
        <w:t>/</w:t>
      </w:r>
      <w:r>
        <w:rPr>
          <w:rFonts w:hint="eastAsia" w:ascii="Times New Roman"/>
          <w:szCs w:val="22"/>
        </w:rPr>
        <w:t>井场</w:t>
      </w:r>
      <w:r>
        <w:rPr>
          <w:rFonts w:hint="eastAsia" w:ascii="Times New Roman"/>
        </w:rPr>
        <w:t>内管道及设备的防腐层方案、补口方案等。</w:t>
      </w:r>
    </w:p>
    <w:p w14:paraId="399127CA">
      <w:pPr>
        <w:rPr>
          <w:rFonts w:ascii="Times New Roman" w:hAnsi="Times New Roman" w:eastAsia="宋体" w:cs="Times New Roman"/>
        </w:rPr>
      </w:pPr>
      <w:r>
        <w:rPr>
          <w:rFonts w:ascii="黑体" w:hAnsi="黑体" w:eastAsia="黑体" w:cs="Times New Roman"/>
          <w:b/>
        </w:rPr>
        <w:t xml:space="preserve">12.6.1.3  </w:t>
      </w:r>
      <w:r>
        <w:rPr>
          <w:rFonts w:hint="eastAsia" w:ascii="Times New Roman" w:hAnsi="Times New Roman" w:eastAsia="宋体" w:cs="Times New Roman"/>
        </w:rPr>
        <w:t>管道内腐蚀控制</w:t>
      </w:r>
    </w:p>
    <w:p w14:paraId="6D9D0F0D">
      <w:pPr>
        <w:pStyle w:val="41"/>
        <w:spacing w:line="276" w:lineRule="auto"/>
        <w:ind w:firstLine="420"/>
        <w:rPr>
          <w:rFonts w:ascii="Times New Roman"/>
          <w:szCs w:val="22"/>
        </w:rPr>
      </w:pPr>
      <w:r>
        <w:rPr>
          <w:rFonts w:ascii="Times New Roman"/>
          <w:szCs w:val="22"/>
        </w:rPr>
        <w:t>按照GB/T 23258</w:t>
      </w:r>
      <w:r>
        <w:rPr>
          <w:rFonts w:hint="eastAsia" w:ascii="Times New Roman"/>
          <w:szCs w:val="22"/>
        </w:rPr>
        <w:t>、</w:t>
      </w:r>
      <w:r>
        <w:rPr>
          <w:rFonts w:ascii="Times New Roman"/>
          <w:szCs w:val="22"/>
        </w:rPr>
        <w:t>GB 50349</w:t>
      </w:r>
      <w:r>
        <w:rPr>
          <w:rFonts w:hint="eastAsia" w:ascii="Times New Roman"/>
          <w:szCs w:val="22"/>
        </w:rPr>
        <w:t>的相关规定，说明管道内腐蚀控制方案，包括</w:t>
      </w:r>
      <w:r>
        <w:rPr>
          <w:rFonts w:hint="eastAsia" w:ascii="Times New Roman"/>
        </w:rPr>
        <w:t>内防腐层</w:t>
      </w:r>
      <w:r>
        <w:rPr>
          <w:rFonts w:ascii="Times New Roman"/>
        </w:rPr>
        <w:t>/</w:t>
      </w:r>
      <w:r>
        <w:rPr>
          <w:rFonts w:hint="eastAsia" w:ascii="Times New Roman"/>
        </w:rPr>
        <w:t>内衬层方案、</w:t>
      </w:r>
      <w:r>
        <w:rPr>
          <w:rFonts w:hint="eastAsia" w:ascii="Times New Roman"/>
          <w:szCs w:val="22"/>
        </w:rPr>
        <w:t>缓蚀剂</w:t>
      </w:r>
      <w:r>
        <w:rPr>
          <w:rFonts w:hint="eastAsia" w:ascii="Times New Roman"/>
        </w:rPr>
        <w:t>及加注方案</w:t>
      </w:r>
      <w:r>
        <w:rPr>
          <w:rFonts w:hint="eastAsia" w:ascii="Times New Roman"/>
          <w:szCs w:val="22"/>
        </w:rPr>
        <w:t>、内腐蚀监测方案</w:t>
      </w:r>
      <w:r>
        <w:rPr>
          <w:rFonts w:hint="eastAsia" w:ascii="Times New Roman"/>
        </w:rPr>
        <w:t>。</w:t>
      </w:r>
    </w:p>
    <w:p w14:paraId="4FB2376A">
      <w:pPr>
        <w:rPr>
          <w:rFonts w:ascii="Times New Roman" w:hAnsi="Times New Roman" w:eastAsia="宋体" w:cs="Times New Roman"/>
        </w:rPr>
      </w:pPr>
      <w:r>
        <w:rPr>
          <w:rFonts w:ascii="黑体" w:hAnsi="黑体" w:eastAsia="黑体" w:cs="Times New Roman"/>
          <w:b/>
        </w:rPr>
        <w:t xml:space="preserve">12.6.1.4  </w:t>
      </w:r>
      <w:r>
        <w:rPr>
          <w:rFonts w:hint="eastAsia" w:ascii="Times New Roman" w:hAnsi="Times New Roman" w:eastAsia="宋体" w:cs="Times New Roman"/>
        </w:rPr>
        <w:t>阴极保护</w:t>
      </w:r>
    </w:p>
    <w:p w14:paraId="53D4AFB3">
      <w:pPr>
        <w:pStyle w:val="41"/>
        <w:spacing w:line="276" w:lineRule="auto"/>
        <w:ind w:firstLine="420"/>
        <w:rPr>
          <w:rFonts w:ascii="Times New Roman"/>
        </w:rPr>
      </w:pPr>
      <w:r>
        <w:rPr>
          <w:rFonts w:hint="eastAsia" w:ascii="Times New Roman"/>
        </w:rPr>
        <w:t>按照</w:t>
      </w:r>
      <w:r>
        <w:rPr>
          <w:rFonts w:ascii="Times New Roman"/>
        </w:rPr>
        <w:t>GB/T 21447</w:t>
      </w:r>
      <w:r>
        <w:rPr>
          <w:rFonts w:hint="eastAsia" w:ascii="Times New Roman"/>
        </w:rPr>
        <w:t>、</w:t>
      </w:r>
      <w:r>
        <w:rPr>
          <w:rFonts w:ascii="Times New Roman"/>
        </w:rPr>
        <w:t xml:space="preserve">GB/T 21448 </w:t>
      </w:r>
      <w:r>
        <w:rPr>
          <w:rFonts w:hint="eastAsia" w:ascii="Times New Roman"/>
        </w:rPr>
        <w:t>、</w:t>
      </w:r>
      <w:r>
        <w:rPr>
          <w:rFonts w:ascii="Times New Roman"/>
        </w:rPr>
        <w:t>GB 50349</w:t>
      </w:r>
      <w:r>
        <w:rPr>
          <w:rFonts w:hint="eastAsia" w:ascii="Times New Roman"/>
        </w:rPr>
        <w:t>、</w:t>
      </w:r>
      <w:r>
        <w:rPr>
          <w:rFonts w:ascii="Times New Roman"/>
        </w:rPr>
        <w:t>GB 50251</w:t>
      </w:r>
      <w:r>
        <w:rPr>
          <w:rFonts w:hint="eastAsia" w:ascii="Times New Roman"/>
        </w:rPr>
        <w:t>等的相关规定，</w:t>
      </w:r>
      <w:r>
        <w:rPr>
          <w:rFonts w:hint="eastAsia" w:ascii="Times New Roman"/>
          <w:szCs w:val="22"/>
        </w:rPr>
        <w:t>说明</w:t>
      </w:r>
      <w:r>
        <w:rPr>
          <w:rFonts w:hint="eastAsia" w:ascii="Times New Roman"/>
        </w:rPr>
        <w:t>线路管道阴极保护方案，按照</w:t>
      </w:r>
      <w:r>
        <w:rPr>
          <w:rFonts w:ascii="Times New Roman"/>
        </w:rPr>
        <w:t>GB/T 21447</w:t>
      </w:r>
      <w:r>
        <w:rPr>
          <w:rFonts w:hint="eastAsia" w:ascii="Times New Roman"/>
        </w:rPr>
        <w:t>、</w:t>
      </w:r>
      <w:r>
        <w:rPr>
          <w:rFonts w:ascii="Times New Roman"/>
          <w:szCs w:val="22"/>
        </w:rPr>
        <w:t>GB/T 21448</w:t>
      </w:r>
      <w:r>
        <w:rPr>
          <w:rFonts w:hint="eastAsia" w:ascii="Times New Roman"/>
        </w:rPr>
        <w:t>、</w:t>
      </w:r>
      <w:r>
        <w:rPr>
          <w:rFonts w:ascii="Times New Roman"/>
          <w:szCs w:val="22"/>
        </w:rPr>
        <w:t>GB/T 50393</w:t>
      </w:r>
      <w:r>
        <w:rPr>
          <w:rFonts w:hint="eastAsia" w:ascii="Times New Roman"/>
        </w:rPr>
        <w:t>、</w:t>
      </w:r>
      <w:r>
        <w:rPr>
          <w:rFonts w:ascii="Times New Roman"/>
        </w:rPr>
        <w:t>SY/T 6536</w:t>
      </w:r>
      <w:r>
        <w:rPr>
          <w:rFonts w:hint="eastAsia" w:ascii="Times New Roman"/>
        </w:rPr>
        <w:t>、</w:t>
      </w:r>
      <w:r>
        <w:rPr>
          <w:rFonts w:ascii="Times New Roman"/>
        </w:rPr>
        <w:t>SY/T 6964</w:t>
      </w:r>
      <w:r>
        <w:rPr>
          <w:rFonts w:hint="eastAsia" w:ascii="Times New Roman"/>
        </w:rPr>
        <w:t>等的相关规定，</w:t>
      </w:r>
      <w:r>
        <w:rPr>
          <w:rFonts w:hint="eastAsia" w:ascii="Times New Roman"/>
          <w:szCs w:val="22"/>
        </w:rPr>
        <w:t>说明站场</w:t>
      </w:r>
      <w:r>
        <w:rPr>
          <w:rFonts w:ascii="Times New Roman"/>
          <w:szCs w:val="22"/>
        </w:rPr>
        <w:t>/</w:t>
      </w:r>
      <w:r>
        <w:rPr>
          <w:rFonts w:hint="eastAsia" w:ascii="Times New Roman"/>
          <w:szCs w:val="22"/>
        </w:rPr>
        <w:t>井场内</w:t>
      </w:r>
      <w:r>
        <w:rPr>
          <w:rFonts w:hint="eastAsia" w:ascii="Times New Roman"/>
        </w:rPr>
        <w:t>阴极保护方案，</w:t>
      </w:r>
      <w:r>
        <w:rPr>
          <w:rFonts w:hint="eastAsia" w:ascii="Times New Roman"/>
          <w:bCs/>
          <w:szCs w:val="32"/>
        </w:rPr>
        <w:t>主要包括以下内容</w:t>
      </w:r>
      <w:r>
        <w:rPr>
          <w:rFonts w:hint="eastAsia" w:ascii="Times New Roman"/>
          <w:szCs w:val="22"/>
        </w:rPr>
        <w:t>：</w:t>
      </w:r>
    </w:p>
    <w:p w14:paraId="1BF660B2">
      <w:pPr>
        <w:pStyle w:val="41"/>
        <w:numPr>
          <w:ilvl w:val="0"/>
          <w:numId w:val="12"/>
        </w:numPr>
        <w:adjustRightInd w:val="0"/>
        <w:spacing w:line="276" w:lineRule="auto"/>
        <w:ind w:left="0" w:firstLine="357" w:firstLineChars="0"/>
        <w:rPr>
          <w:rFonts w:ascii="Times New Roman"/>
        </w:rPr>
      </w:pPr>
      <w:r>
        <w:rPr>
          <w:rFonts w:hint="eastAsia" w:ascii="Times New Roman"/>
        </w:rPr>
        <w:t>线路管道阴极保护方案，说明线路管道阴极保护方案、并行管道联合阴极保护方案、</w:t>
      </w:r>
      <w:bookmarkStart w:id="141" w:name="_Hlk179538679"/>
      <w:r>
        <w:rPr>
          <w:rFonts w:hint="eastAsia" w:ascii="Times New Roman"/>
        </w:rPr>
        <w:t>定向钻和穿跨越等特殊管段阴极保护方案及交、直流干扰防护等</w:t>
      </w:r>
      <w:bookmarkEnd w:id="141"/>
      <w:r>
        <w:rPr>
          <w:rFonts w:hint="eastAsia" w:ascii="Times New Roman"/>
        </w:rPr>
        <w:t>；</w:t>
      </w:r>
    </w:p>
    <w:p w14:paraId="5CF3B4F1">
      <w:pPr>
        <w:pStyle w:val="41"/>
        <w:numPr>
          <w:ilvl w:val="0"/>
          <w:numId w:val="12"/>
        </w:numPr>
        <w:adjustRightInd w:val="0"/>
        <w:spacing w:line="276" w:lineRule="auto"/>
        <w:ind w:left="0" w:firstLine="357" w:firstLineChars="0"/>
        <w:rPr>
          <w:rFonts w:ascii="Times New Roman"/>
          <w:szCs w:val="22"/>
        </w:rPr>
      </w:pPr>
      <w:r>
        <w:rPr>
          <w:rFonts w:hint="eastAsia" w:ascii="Times New Roman"/>
          <w:szCs w:val="22"/>
        </w:rPr>
        <w:t>站场</w:t>
      </w:r>
      <w:r>
        <w:rPr>
          <w:rFonts w:ascii="Times New Roman"/>
          <w:szCs w:val="22"/>
        </w:rPr>
        <w:t>/</w:t>
      </w:r>
      <w:r>
        <w:rPr>
          <w:rFonts w:hint="eastAsia" w:ascii="Times New Roman"/>
          <w:szCs w:val="22"/>
        </w:rPr>
        <w:t>井场内</w:t>
      </w:r>
      <w:r>
        <w:rPr>
          <w:rFonts w:hint="eastAsia" w:ascii="Times New Roman"/>
        </w:rPr>
        <w:t>阴极保护方案，说明</w:t>
      </w:r>
      <w:r>
        <w:rPr>
          <w:rFonts w:hint="eastAsia" w:ascii="Times New Roman"/>
          <w:szCs w:val="22"/>
        </w:rPr>
        <w:t>站场</w:t>
      </w:r>
      <w:r>
        <w:rPr>
          <w:rFonts w:ascii="Times New Roman"/>
          <w:szCs w:val="22"/>
        </w:rPr>
        <w:t>/</w:t>
      </w:r>
      <w:r>
        <w:rPr>
          <w:rFonts w:hint="eastAsia" w:ascii="Times New Roman"/>
          <w:szCs w:val="22"/>
        </w:rPr>
        <w:t>井场内埋地钢质管道阴极保护方案、设备</w:t>
      </w:r>
      <w:r>
        <w:rPr>
          <w:rFonts w:ascii="Times New Roman"/>
          <w:szCs w:val="22"/>
        </w:rPr>
        <w:t>/</w:t>
      </w:r>
      <w:r>
        <w:rPr>
          <w:rFonts w:hint="eastAsia" w:ascii="Times New Roman"/>
          <w:szCs w:val="22"/>
        </w:rPr>
        <w:t>储罐的阴极保护方案等；</w:t>
      </w:r>
    </w:p>
    <w:p w14:paraId="1CDB797E">
      <w:pPr>
        <w:pStyle w:val="41"/>
        <w:numPr>
          <w:ilvl w:val="0"/>
          <w:numId w:val="12"/>
        </w:numPr>
        <w:adjustRightInd w:val="0"/>
        <w:spacing w:line="276" w:lineRule="auto"/>
        <w:ind w:left="0" w:firstLine="357" w:firstLineChars="0"/>
        <w:rPr>
          <w:rFonts w:ascii="Times New Roman"/>
        </w:rPr>
      </w:pPr>
      <w:r>
        <w:rPr>
          <w:rFonts w:hint="eastAsia" w:ascii="Times New Roman"/>
          <w:szCs w:val="22"/>
        </w:rPr>
        <w:t>强制电流保护系统应说明阴极保护站的分布和数量、阴极保护设备、辅助阳极类型及阴极保护测试监测等情况，牺牲阳极保护系统应说明阳极材料的类型、数量和分布、阴极保护测试监测等情况。</w:t>
      </w:r>
    </w:p>
    <w:p w14:paraId="51A2B4EC">
      <w:pPr>
        <w:pStyle w:val="5"/>
        <w:rPr>
          <w:rFonts w:ascii="黑体" w:hAnsi="黑体" w:eastAsia="黑体" w:cs="Times New Roman"/>
        </w:rPr>
      </w:pPr>
      <w:bookmarkStart w:id="142" w:name="_Toc193449150"/>
      <w:r>
        <w:rPr>
          <w:rFonts w:ascii="黑体" w:hAnsi="黑体" w:eastAsia="黑体" w:cs="Times New Roman"/>
        </w:rPr>
        <w:t xml:space="preserve">12.6.2  </w:t>
      </w:r>
      <w:r>
        <w:rPr>
          <w:rFonts w:hint="eastAsia" w:ascii="黑体" w:hAnsi="黑体" w:eastAsia="黑体" w:cs="Times New Roman"/>
        </w:rPr>
        <w:t>绝热</w:t>
      </w:r>
      <w:bookmarkEnd w:id="142"/>
    </w:p>
    <w:p w14:paraId="46FAE6E3">
      <w:pPr>
        <w:pStyle w:val="41"/>
        <w:adjustRightInd w:val="0"/>
        <w:spacing w:line="276" w:lineRule="auto"/>
        <w:ind w:firstLine="420"/>
        <w:rPr>
          <w:rFonts w:ascii="Times New Roman"/>
        </w:rPr>
      </w:pPr>
      <w:r>
        <w:rPr>
          <w:rFonts w:ascii="Times New Roman"/>
          <w:szCs w:val="22"/>
        </w:rPr>
        <w:t>按照GB 50264</w:t>
      </w:r>
      <w:r>
        <w:rPr>
          <w:rFonts w:hint="eastAsia" w:ascii="Times New Roman"/>
          <w:szCs w:val="22"/>
        </w:rPr>
        <w:t>、</w:t>
      </w:r>
      <w:r>
        <w:rPr>
          <w:rFonts w:ascii="Times New Roman"/>
          <w:szCs w:val="22"/>
        </w:rPr>
        <w:t>GB/T 50538</w:t>
      </w:r>
      <w:r>
        <w:rPr>
          <w:rFonts w:hint="eastAsia" w:ascii="Times New Roman"/>
          <w:szCs w:val="22"/>
        </w:rPr>
        <w:t>、</w:t>
      </w:r>
      <w:r>
        <w:rPr>
          <w:rFonts w:ascii="Times New Roman"/>
          <w:szCs w:val="22"/>
        </w:rPr>
        <w:t>SY/T 7350</w:t>
      </w:r>
      <w:r>
        <w:rPr>
          <w:rFonts w:hint="eastAsia" w:ascii="Times New Roman"/>
          <w:szCs w:val="22"/>
        </w:rPr>
        <w:t>等的相关规定，说明</w:t>
      </w:r>
      <w:r>
        <w:rPr>
          <w:rFonts w:hint="eastAsia" w:ascii="Times New Roman"/>
        </w:rPr>
        <w:t>线路管道绝热、</w:t>
      </w:r>
      <w:r>
        <w:rPr>
          <w:rFonts w:hint="eastAsia" w:ascii="Times New Roman"/>
          <w:szCs w:val="22"/>
        </w:rPr>
        <w:t>工艺站场</w:t>
      </w:r>
      <w:r>
        <w:rPr>
          <w:rFonts w:ascii="Times New Roman"/>
          <w:szCs w:val="22"/>
        </w:rPr>
        <w:t>/</w:t>
      </w:r>
      <w:r>
        <w:rPr>
          <w:rFonts w:hint="eastAsia" w:ascii="Times New Roman"/>
          <w:szCs w:val="22"/>
        </w:rPr>
        <w:t>井场管道及设备绝热方案，包括</w:t>
      </w:r>
      <w:bookmarkStart w:id="143" w:name="_Hlk179538713"/>
      <w:r>
        <w:rPr>
          <w:rFonts w:hint="eastAsia" w:ascii="Times New Roman"/>
        </w:rPr>
        <w:t>线路管道主管段及弯管的绝热结构及措施、</w:t>
      </w:r>
      <w:r>
        <w:rPr>
          <w:rFonts w:hint="eastAsia"/>
        </w:rPr>
        <w:t>特殊地段管道绝热及防护措施、</w:t>
      </w:r>
      <w:r>
        <w:rPr>
          <w:rFonts w:hint="eastAsia" w:ascii="Times New Roman"/>
        </w:rPr>
        <w:t>补口措施，</w:t>
      </w:r>
      <w:bookmarkEnd w:id="143"/>
      <w:r>
        <w:rPr>
          <w:rFonts w:hint="eastAsia" w:ascii="Times New Roman"/>
        </w:rPr>
        <w:t>以及工艺站场</w:t>
      </w:r>
      <w:r>
        <w:rPr>
          <w:rFonts w:ascii="Times New Roman"/>
        </w:rPr>
        <w:t>/</w:t>
      </w:r>
      <w:r>
        <w:rPr>
          <w:rFonts w:hint="eastAsia" w:ascii="Times New Roman"/>
        </w:rPr>
        <w:t>井场管道及设备绝热结构及措施等。</w:t>
      </w:r>
    </w:p>
    <w:p w14:paraId="4CBC77C2">
      <w:pPr>
        <w:pStyle w:val="4"/>
        <w:spacing w:before="156"/>
        <w:rPr>
          <w:rFonts w:ascii="黑体" w:hAnsi="黑体" w:eastAsia="黑体" w:cs="Times New Roman"/>
        </w:rPr>
      </w:pPr>
      <w:bookmarkStart w:id="144" w:name="_Toc195881875"/>
      <w:bookmarkStart w:id="145" w:name="_Toc24164"/>
      <w:r>
        <w:rPr>
          <w:rFonts w:hint="eastAsia" w:ascii="黑体" w:hAnsi="黑体" w:eastAsia="黑体" w:cs="Times New Roman"/>
        </w:rPr>
        <w:t>1</w:t>
      </w:r>
      <w:r>
        <w:rPr>
          <w:rFonts w:ascii="黑体" w:hAnsi="黑体" w:eastAsia="黑体" w:cs="Times New Roman"/>
        </w:rPr>
        <w:t xml:space="preserve">2.7  </w:t>
      </w:r>
      <w:r>
        <w:rPr>
          <w:rFonts w:hint="eastAsia" w:ascii="黑体" w:hAnsi="黑体" w:eastAsia="黑体" w:cs="Times New Roman"/>
        </w:rPr>
        <w:t>防范其他危险、危害因素的安全措施</w:t>
      </w:r>
      <w:bookmarkEnd w:id="144"/>
      <w:bookmarkEnd w:id="145"/>
    </w:p>
    <w:p w14:paraId="64FE5A99">
      <w:pPr>
        <w:rPr>
          <w:rFonts w:ascii="Times New Roman" w:hAnsi="Times New Roman" w:eastAsia="宋体"/>
        </w:rPr>
      </w:pPr>
      <w:bookmarkStart w:id="146" w:name="_Toc2428"/>
      <w:bookmarkStart w:id="147" w:name="_Toc22399"/>
      <w:bookmarkStart w:id="148" w:name="_Toc32171"/>
      <w:bookmarkStart w:id="149" w:name="_Toc22419"/>
      <w:bookmarkStart w:id="150" w:name="_Toc7360"/>
      <w:r>
        <w:rPr>
          <w:rFonts w:hint="eastAsia" w:ascii="黑体" w:hAnsi="黑体" w:eastAsia="黑体"/>
          <w:b/>
        </w:rPr>
        <w:t>1</w:t>
      </w:r>
      <w:r>
        <w:rPr>
          <w:rFonts w:ascii="黑体" w:hAnsi="黑体" w:eastAsia="黑体"/>
          <w:b/>
        </w:rPr>
        <w:t xml:space="preserve">2.7.1  </w:t>
      </w:r>
      <w:r>
        <w:rPr>
          <w:rFonts w:hint="eastAsia" w:ascii="Times New Roman" w:hAnsi="Times New Roman" w:eastAsia="宋体"/>
        </w:rPr>
        <w:t>说明</w:t>
      </w:r>
      <w:r>
        <w:rPr>
          <w:rFonts w:ascii="Times New Roman" w:hAnsi="Times New Roman" w:eastAsia="宋体"/>
        </w:rPr>
        <w:t>防噪声、防机械伤害、物体打击高处坠落</w:t>
      </w:r>
      <w:r>
        <w:rPr>
          <w:rFonts w:hint="eastAsia" w:ascii="Times New Roman" w:hAnsi="Times New Roman" w:eastAsia="宋体"/>
        </w:rPr>
        <w:t>、自然灾害</w:t>
      </w:r>
      <w:r>
        <w:rPr>
          <w:rFonts w:ascii="Times New Roman" w:hAnsi="Times New Roman" w:eastAsia="宋体"/>
        </w:rPr>
        <w:t>的措施</w:t>
      </w:r>
      <w:r>
        <w:rPr>
          <w:rFonts w:hint="eastAsia" w:ascii="Times New Roman" w:hAnsi="Times New Roman" w:eastAsia="宋体"/>
        </w:rPr>
        <w:t>。</w:t>
      </w:r>
      <w:bookmarkEnd w:id="146"/>
      <w:bookmarkEnd w:id="147"/>
      <w:bookmarkEnd w:id="148"/>
      <w:bookmarkEnd w:id="149"/>
      <w:bookmarkEnd w:id="150"/>
    </w:p>
    <w:p w14:paraId="3E34D541">
      <w:pPr>
        <w:rPr>
          <w:rFonts w:ascii="Times New Roman" w:hAnsi="Times New Roman" w:eastAsia="宋体"/>
        </w:rPr>
      </w:pPr>
      <w:bookmarkStart w:id="151" w:name="_Toc28072"/>
      <w:bookmarkStart w:id="152" w:name="_Toc30416"/>
      <w:bookmarkStart w:id="153" w:name="_Toc4012"/>
      <w:bookmarkStart w:id="154" w:name="_Toc7269"/>
      <w:bookmarkStart w:id="155" w:name="_Toc5478"/>
      <w:r>
        <w:rPr>
          <w:rFonts w:ascii="黑体" w:hAnsi="黑体" w:eastAsia="黑体"/>
          <w:b/>
        </w:rPr>
        <w:t xml:space="preserve">12.7.2  </w:t>
      </w:r>
      <w:r>
        <w:rPr>
          <w:rFonts w:hint="eastAsia" w:ascii="Times New Roman" w:hAnsi="Times New Roman" w:eastAsia="宋体"/>
        </w:rPr>
        <w:t>说明</w:t>
      </w:r>
      <w:r>
        <w:rPr>
          <w:rFonts w:ascii="Times New Roman" w:hAnsi="Times New Roman" w:eastAsia="宋体"/>
        </w:rPr>
        <w:t>周边</w:t>
      </w:r>
      <w:r>
        <w:rPr>
          <w:rFonts w:hint="eastAsia" w:ascii="Times New Roman" w:hAnsi="Times New Roman" w:eastAsia="宋体"/>
        </w:rPr>
        <w:t>防范的</w:t>
      </w:r>
      <w:r>
        <w:rPr>
          <w:rFonts w:ascii="Times New Roman" w:hAnsi="Times New Roman" w:eastAsia="宋体"/>
        </w:rPr>
        <w:t>安全措施</w:t>
      </w:r>
      <w:r>
        <w:rPr>
          <w:rFonts w:hint="eastAsia" w:ascii="Times New Roman" w:hAnsi="Times New Roman" w:eastAsia="宋体"/>
        </w:rPr>
        <w:t>。</w:t>
      </w:r>
      <w:bookmarkEnd w:id="151"/>
      <w:bookmarkEnd w:id="152"/>
      <w:bookmarkEnd w:id="153"/>
      <w:bookmarkEnd w:id="154"/>
      <w:bookmarkEnd w:id="155"/>
    </w:p>
    <w:p w14:paraId="601B9AFE">
      <w:pPr>
        <w:rPr>
          <w:rFonts w:ascii="Times New Roman" w:hAnsi="Times New Roman" w:eastAsia="宋体"/>
        </w:rPr>
      </w:pPr>
      <w:bookmarkStart w:id="156" w:name="_Toc28452"/>
      <w:bookmarkStart w:id="157" w:name="_Toc9384"/>
      <w:bookmarkStart w:id="158" w:name="_Toc12515"/>
      <w:bookmarkStart w:id="159" w:name="_Toc28336"/>
      <w:bookmarkStart w:id="160" w:name="_Toc9887"/>
      <w:r>
        <w:rPr>
          <w:rFonts w:ascii="黑体" w:hAnsi="黑体" w:eastAsia="黑体"/>
          <w:b/>
        </w:rPr>
        <w:t xml:space="preserve">12.7.3  </w:t>
      </w:r>
      <w:r>
        <w:rPr>
          <w:rFonts w:hint="eastAsia" w:ascii="Times New Roman" w:hAnsi="Times New Roman" w:eastAsia="宋体"/>
        </w:rPr>
        <w:t>说明</w:t>
      </w:r>
      <w:r>
        <w:rPr>
          <w:rFonts w:ascii="Times New Roman" w:hAnsi="Times New Roman" w:eastAsia="宋体"/>
        </w:rPr>
        <w:t>目视化及安全</w:t>
      </w:r>
      <w:r>
        <w:rPr>
          <w:rFonts w:hint="eastAsia" w:ascii="Times New Roman" w:hAnsi="Times New Roman" w:eastAsia="宋体"/>
        </w:rPr>
        <w:t>标识</w:t>
      </w:r>
      <w:r>
        <w:rPr>
          <w:rFonts w:ascii="Times New Roman" w:hAnsi="Times New Roman" w:eastAsia="宋体"/>
        </w:rPr>
        <w:t>的安全措施。</w:t>
      </w:r>
      <w:bookmarkEnd w:id="156"/>
      <w:bookmarkEnd w:id="157"/>
      <w:bookmarkEnd w:id="158"/>
      <w:bookmarkEnd w:id="159"/>
      <w:bookmarkEnd w:id="160"/>
    </w:p>
    <w:bookmarkEnd w:id="111"/>
    <w:bookmarkEnd w:id="138"/>
    <w:p w14:paraId="5CCC7B1E">
      <w:pPr>
        <w:pStyle w:val="4"/>
        <w:spacing w:before="156"/>
        <w:rPr>
          <w:rFonts w:ascii="黑体" w:hAnsi="黑体" w:eastAsia="黑体" w:cs="Times New Roman"/>
        </w:rPr>
      </w:pPr>
      <w:bookmarkStart w:id="161" w:name="_Toc178069530"/>
      <w:bookmarkStart w:id="162" w:name="_Toc195881876"/>
      <w:bookmarkStart w:id="163" w:name="_Toc179641290"/>
      <w:r>
        <w:rPr>
          <w:rFonts w:ascii="黑体" w:hAnsi="黑体" w:eastAsia="黑体" w:cs="Times New Roman"/>
        </w:rPr>
        <w:t xml:space="preserve">12.8  </w:t>
      </w:r>
      <w:r>
        <w:rPr>
          <w:rFonts w:hint="eastAsia" w:ascii="黑体" w:hAnsi="黑体" w:eastAsia="黑体" w:cs="Times New Roman"/>
        </w:rPr>
        <w:t>逃生及救生</w:t>
      </w:r>
      <w:bookmarkEnd w:id="161"/>
      <w:bookmarkEnd w:id="162"/>
      <w:bookmarkEnd w:id="163"/>
    </w:p>
    <w:p w14:paraId="227CAC6F">
      <w:pPr>
        <w:pStyle w:val="5"/>
        <w:spacing w:line="276" w:lineRule="auto"/>
        <w:rPr>
          <w:rFonts w:ascii="黑体" w:hAnsi="黑体" w:eastAsia="黑体" w:cs="Times New Roman"/>
        </w:rPr>
      </w:pPr>
      <w:bookmarkStart w:id="164" w:name="_Toc193449153"/>
      <w:bookmarkStart w:id="165" w:name="_Toc179641291"/>
      <w:bookmarkStart w:id="166" w:name="_Toc178069531"/>
      <w:r>
        <w:rPr>
          <w:rFonts w:ascii="黑体" w:hAnsi="黑体" w:eastAsia="黑体" w:cs="Times New Roman"/>
        </w:rPr>
        <w:t xml:space="preserve">12.8.1  </w:t>
      </w:r>
      <w:r>
        <w:rPr>
          <w:rFonts w:hint="eastAsia" w:ascii="黑体" w:hAnsi="黑体" w:eastAsia="黑体" w:cs="Times New Roman"/>
        </w:rPr>
        <w:t>逃生</w:t>
      </w:r>
      <w:bookmarkEnd w:id="164"/>
    </w:p>
    <w:p w14:paraId="01267E5A">
      <w:pPr>
        <w:ind w:firstLine="420" w:firstLineChars="200"/>
        <w:rPr>
          <w:rFonts w:ascii="Times New Roman" w:hAnsi="Times New Roman"/>
        </w:rPr>
      </w:pPr>
      <w:r>
        <w:rPr>
          <w:rFonts w:hint="eastAsia" w:ascii="Times New Roman" w:hAnsi="Times New Roman" w:eastAsia="宋体"/>
        </w:rPr>
        <w:t>说明发生火灾爆炸事故、有毒气体泄漏和急性中毒事故，人员逃生路线的设计原则和逃生通道、逃生路线、疏散方式和应急措施，主要建筑物的疏散门数量、开启方向、逃生路线图等。</w:t>
      </w:r>
    </w:p>
    <w:p w14:paraId="106B3BF2">
      <w:pPr>
        <w:pStyle w:val="5"/>
        <w:spacing w:line="276" w:lineRule="auto"/>
        <w:rPr>
          <w:rFonts w:ascii="黑体" w:hAnsi="黑体" w:eastAsia="黑体" w:cs="Times New Roman"/>
        </w:rPr>
      </w:pPr>
      <w:bookmarkStart w:id="167" w:name="_Toc193449154"/>
      <w:r>
        <w:rPr>
          <w:rFonts w:ascii="黑体" w:hAnsi="黑体" w:eastAsia="黑体" w:cs="Times New Roman"/>
        </w:rPr>
        <w:t xml:space="preserve">12.8.2  </w:t>
      </w:r>
      <w:r>
        <w:rPr>
          <w:rFonts w:hint="eastAsia" w:ascii="黑体" w:hAnsi="黑体" w:eastAsia="黑体" w:cs="Times New Roman"/>
        </w:rPr>
        <w:t>救生</w:t>
      </w:r>
      <w:bookmarkEnd w:id="167"/>
    </w:p>
    <w:p w14:paraId="07DF440D">
      <w:pPr>
        <w:ind w:firstLine="420" w:firstLineChars="200"/>
        <w:rPr>
          <w:rFonts w:ascii="Times New Roman" w:hAnsi="Times New Roman" w:eastAsia="宋体"/>
        </w:rPr>
      </w:pPr>
      <w:r>
        <w:rPr>
          <w:rFonts w:hint="eastAsia" w:ascii="Times New Roman" w:hAnsi="Times New Roman" w:eastAsia="宋体"/>
        </w:rPr>
        <w:t>按照</w:t>
      </w:r>
      <w:r>
        <w:rPr>
          <w:rFonts w:ascii="Times New Roman" w:hAnsi="Times New Roman" w:eastAsia="宋体"/>
        </w:rPr>
        <w:t>GB 39800.2</w:t>
      </w:r>
      <w:r>
        <w:rPr>
          <w:rFonts w:hint="eastAsia" w:ascii="Times New Roman" w:hAnsi="Times New Roman" w:eastAsia="宋体"/>
        </w:rPr>
        <w:t>、</w:t>
      </w:r>
      <w:r>
        <w:rPr>
          <w:rFonts w:ascii="Times New Roman" w:hAnsi="Times New Roman" w:eastAsia="宋体"/>
        </w:rPr>
        <w:t>SY/T 6524</w:t>
      </w:r>
      <w:r>
        <w:rPr>
          <w:rFonts w:hint="eastAsia" w:ascii="Times New Roman" w:hAnsi="Times New Roman" w:eastAsia="宋体"/>
        </w:rPr>
        <w:t>的相关规定，说明逃生所需安全防护物资，包括工程庇护所及维持生存所需物资、数量，列表说明个体安全防护用品配备情况。</w:t>
      </w:r>
    </w:p>
    <w:bookmarkEnd w:id="165"/>
    <w:bookmarkEnd w:id="166"/>
    <w:p w14:paraId="76C98190">
      <w:pPr>
        <w:pStyle w:val="3"/>
        <w:rPr>
          <w:rFonts w:ascii="黑体" w:hAnsi="黑体" w:eastAsia="黑体" w:cs="Times New Roman"/>
          <w:szCs w:val="24"/>
        </w:rPr>
      </w:pPr>
      <w:bookmarkStart w:id="168" w:name="_Toc195881877"/>
      <w:r>
        <w:rPr>
          <w:rFonts w:ascii="黑体" w:hAnsi="黑体" w:eastAsia="黑体" w:cs="Times New Roman"/>
          <w:szCs w:val="24"/>
        </w:rPr>
        <w:t xml:space="preserve">13  </w:t>
      </w:r>
      <w:r>
        <w:rPr>
          <w:rFonts w:hint="eastAsia" w:ascii="黑体" w:hAnsi="黑体" w:eastAsia="黑体" w:cs="Times New Roman"/>
          <w:szCs w:val="24"/>
        </w:rPr>
        <w:t>安全管理</w:t>
      </w:r>
      <w:bookmarkEnd w:id="168"/>
    </w:p>
    <w:p w14:paraId="55D0B02A">
      <w:pPr>
        <w:pStyle w:val="4"/>
        <w:spacing w:before="156"/>
        <w:rPr>
          <w:rFonts w:ascii="黑体" w:hAnsi="黑体" w:eastAsia="黑体" w:cs="Times New Roman"/>
        </w:rPr>
      </w:pPr>
      <w:bookmarkStart w:id="169" w:name="_Toc195881878"/>
      <w:r>
        <w:rPr>
          <w:rFonts w:ascii="黑体" w:hAnsi="黑体" w:eastAsia="黑体" w:cs="Times New Roman"/>
        </w:rPr>
        <w:t xml:space="preserve">13.1  </w:t>
      </w:r>
      <w:r>
        <w:rPr>
          <w:rFonts w:hint="eastAsia" w:ascii="黑体" w:hAnsi="黑体" w:eastAsia="黑体" w:cs="Times New Roman"/>
        </w:rPr>
        <w:t>安全管理机构设置及人员配备</w:t>
      </w:r>
      <w:bookmarkEnd w:id="169"/>
    </w:p>
    <w:p w14:paraId="6CEDEA93">
      <w:pPr>
        <w:ind w:firstLine="420" w:firstLineChars="200"/>
        <w:rPr>
          <w:rFonts w:ascii="Times New Roman" w:hAnsi="Times New Roman" w:cs="Times New Roman"/>
        </w:rPr>
      </w:pPr>
      <w:r>
        <w:rPr>
          <w:rFonts w:ascii="Times New Roman" w:hAnsi="Times New Roman" w:eastAsia="宋体" w:cs="Times New Roman"/>
        </w:rPr>
        <w:t>简述建设项目定员编制与安全管理人员设置情况；依托原有管理机构的项目，简述依托管理机构原定员编制和安全管理人员情况，以及新增定员编制和安全管理人员情况。</w:t>
      </w:r>
    </w:p>
    <w:p w14:paraId="19675298">
      <w:pPr>
        <w:pStyle w:val="4"/>
        <w:spacing w:before="156"/>
        <w:rPr>
          <w:rFonts w:ascii="黑体" w:hAnsi="黑体" w:eastAsia="黑体" w:cs="Times New Roman"/>
        </w:rPr>
      </w:pPr>
      <w:bookmarkStart w:id="170" w:name="_Toc195881879"/>
      <w:r>
        <w:rPr>
          <w:rFonts w:ascii="黑体" w:hAnsi="黑体" w:eastAsia="黑体" w:cs="Times New Roman"/>
        </w:rPr>
        <w:t xml:space="preserve">13.2  </w:t>
      </w:r>
      <w:r>
        <w:rPr>
          <w:rFonts w:hint="eastAsia" w:ascii="黑体" w:hAnsi="黑体" w:eastAsia="黑体" w:cs="Times New Roman"/>
        </w:rPr>
        <w:t>安全教育和培训</w:t>
      </w:r>
      <w:bookmarkEnd w:id="170"/>
    </w:p>
    <w:p w14:paraId="4B5E7FEA">
      <w:pPr>
        <w:ind w:firstLine="420" w:firstLineChars="200"/>
        <w:rPr>
          <w:rFonts w:ascii="Times New Roman" w:hAnsi="Times New Roman"/>
        </w:rPr>
      </w:pPr>
      <w:r>
        <w:rPr>
          <w:rFonts w:hint="eastAsia" w:ascii="Times New Roman" w:hAnsi="Times New Roman" w:eastAsia="宋体"/>
        </w:rPr>
        <w:t>说明建设项目投入生产或者使用后从业人员的安全教育和培训要求。</w:t>
      </w:r>
    </w:p>
    <w:p w14:paraId="7CE0368E">
      <w:pPr>
        <w:pStyle w:val="4"/>
        <w:spacing w:before="156"/>
        <w:rPr>
          <w:rFonts w:ascii="黑体" w:hAnsi="黑体" w:eastAsia="黑体" w:cs="Times New Roman"/>
        </w:rPr>
      </w:pPr>
      <w:bookmarkStart w:id="171" w:name="_Toc195881880"/>
      <w:r>
        <w:rPr>
          <w:rFonts w:ascii="黑体" w:hAnsi="黑体" w:eastAsia="黑体" w:cs="Times New Roman"/>
        </w:rPr>
        <w:t xml:space="preserve">13.3  </w:t>
      </w:r>
      <w:r>
        <w:rPr>
          <w:rFonts w:hint="eastAsia" w:ascii="黑体" w:hAnsi="黑体" w:eastAsia="黑体" w:cs="Times New Roman"/>
        </w:rPr>
        <w:t>劳动防护用品和装备</w:t>
      </w:r>
      <w:bookmarkEnd w:id="171"/>
    </w:p>
    <w:p w14:paraId="33C38068">
      <w:pPr>
        <w:ind w:firstLine="420" w:firstLineChars="200"/>
        <w:rPr>
          <w:rFonts w:ascii="Times New Roman" w:hAnsi="Times New Roman"/>
        </w:rPr>
      </w:pPr>
      <w:r>
        <w:rPr>
          <w:rFonts w:hint="eastAsia" w:ascii="Times New Roman" w:hAnsi="Times New Roman" w:eastAsia="宋体"/>
        </w:rPr>
        <w:t>列表说明建设项目投入生产或者使用后劳动防护用品和装备等。</w:t>
      </w:r>
    </w:p>
    <w:p w14:paraId="26937FBC">
      <w:pPr>
        <w:pStyle w:val="4"/>
        <w:spacing w:before="156"/>
        <w:rPr>
          <w:rFonts w:ascii="黑体" w:hAnsi="黑体" w:eastAsia="黑体" w:cs="Times New Roman"/>
        </w:rPr>
      </w:pPr>
      <w:bookmarkStart w:id="172" w:name="_Toc6218"/>
      <w:bookmarkStart w:id="173" w:name="_Toc195881881"/>
      <w:r>
        <w:rPr>
          <w:rFonts w:hint="eastAsia" w:ascii="黑体" w:hAnsi="黑体" w:eastAsia="黑体" w:cs="Times New Roman"/>
        </w:rPr>
        <w:t>1</w:t>
      </w:r>
      <w:r>
        <w:rPr>
          <w:rFonts w:ascii="黑体" w:hAnsi="黑体" w:eastAsia="黑体" w:cs="Times New Roman"/>
        </w:rPr>
        <w:t xml:space="preserve">3.4  </w:t>
      </w:r>
      <w:r>
        <w:rPr>
          <w:rFonts w:hint="eastAsia" w:ascii="黑体" w:hAnsi="黑体" w:eastAsia="黑体" w:cs="Times New Roman"/>
        </w:rPr>
        <w:t>抢（维）修</w:t>
      </w:r>
      <w:bookmarkEnd w:id="172"/>
      <w:r>
        <w:rPr>
          <w:rFonts w:ascii="黑体" w:hAnsi="黑体" w:eastAsia="黑体" w:cs="Times New Roman"/>
        </w:rPr>
        <w:t>设备配备</w:t>
      </w:r>
      <w:bookmarkEnd w:id="173"/>
    </w:p>
    <w:p w14:paraId="28290093">
      <w:pPr>
        <w:pStyle w:val="41"/>
        <w:ind w:firstLine="420"/>
        <w:rPr>
          <w:rFonts w:ascii="Times New Roman"/>
          <w:szCs w:val="22"/>
        </w:rPr>
      </w:pPr>
      <w:r>
        <w:rPr>
          <w:rFonts w:ascii="Times New Roman"/>
          <w:szCs w:val="22"/>
        </w:rPr>
        <w:t>说明建设项目抢（维）修设备器具配备情况。</w:t>
      </w:r>
    </w:p>
    <w:p w14:paraId="4437FF97">
      <w:pPr>
        <w:pStyle w:val="4"/>
        <w:spacing w:before="156"/>
        <w:rPr>
          <w:rFonts w:ascii="黑体" w:hAnsi="黑体" w:eastAsia="黑体" w:cs="Times New Roman"/>
        </w:rPr>
      </w:pPr>
      <w:bookmarkStart w:id="174" w:name="_Toc195881882"/>
      <w:r>
        <w:rPr>
          <w:rFonts w:ascii="黑体" w:hAnsi="黑体" w:eastAsia="黑体" w:cs="Times New Roman"/>
        </w:rPr>
        <w:t>13.</w:t>
      </w:r>
      <w:r>
        <w:rPr>
          <w:rFonts w:hint="eastAsia" w:ascii="黑体" w:hAnsi="黑体" w:eastAsia="黑体" w:cs="Times New Roman"/>
        </w:rPr>
        <w:t>5</w:t>
      </w:r>
      <w:r>
        <w:rPr>
          <w:rFonts w:ascii="黑体" w:hAnsi="黑体" w:eastAsia="黑体" w:cs="Times New Roman"/>
        </w:rPr>
        <w:t xml:space="preserve">  </w:t>
      </w:r>
      <w:r>
        <w:rPr>
          <w:rFonts w:hint="eastAsia" w:ascii="黑体" w:hAnsi="黑体" w:eastAsia="黑体" w:cs="Times New Roman"/>
        </w:rPr>
        <w:t>应急机构及配置</w:t>
      </w:r>
      <w:bookmarkEnd w:id="174"/>
    </w:p>
    <w:p w14:paraId="6932FE0F">
      <w:pPr>
        <w:rPr>
          <w:rFonts w:ascii="Times New Roman" w:hAnsi="Times New Roman"/>
        </w:rPr>
      </w:pPr>
      <w:r>
        <w:rPr>
          <w:rFonts w:ascii="黑体" w:hAnsi="黑体" w:eastAsia="黑体"/>
          <w:b/>
        </w:rPr>
        <w:t>13.</w:t>
      </w:r>
      <w:r>
        <w:rPr>
          <w:rFonts w:hint="eastAsia" w:ascii="黑体" w:hAnsi="黑体" w:eastAsia="黑体"/>
          <w:b/>
        </w:rPr>
        <w:t>5</w:t>
      </w:r>
      <w:r>
        <w:rPr>
          <w:rFonts w:ascii="黑体" w:hAnsi="黑体" w:eastAsia="黑体"/>
          <w:b/>
        </w:rPr>
        <w:t>.1</w:t>
      </w:r>
      <w:r>
        <w:rPr>
          <w:rFonts w:ascii="黑体" w:hAnsi="黑体" w:eastAsia="黑体"/>
        </w:rPr>
        <w:t xml:space="preserve">  </w:t>
      </w:r>
      <w:r>
        <w:rPr>
          <w:rFonts w:hint="eastAsia" w:ascii="Times New Roman" w:hAnsi="Times New Roman" w:eastAsia="宋体"/>
        </w:rPr>
        <w:t>简述建设项目投入生产或者使用后应急机构、应急设备、应急人员的设置和组成情况。</w:t>
      </w:r>
    </w:p>
    <w:p w14:paraId="3BFDB4B9">
      <w:pPr>
        <w:rPr>
          <w:rFonts w:ascii="Times New Roman" w:hAnsi="Times New Roman"/>
        </w:rPr>
      </w:pPr>
      <w:r>
        <w:rPr>
          <w:rFonts w:ascii="黑体" w:hAnsi="黑体" w:eastAsia="黑体"/>
          <w:b/>
        </w:rPr>
        <w:t>13.</w:t>
      </w:r>
      <w:r>
        <w:rPr>
          <w:rFonts w:hint="eastAsia" w:ascii="黑体" w:hAnsi="黑体" w:eastAsia="黑体"/>
          <w:b/>
        </w:rPr>
        <w:t>5</w:t>
      </w:r>
      <w:r>
        <w:rPr>
          <w:rFonts w:ascii="黑体" w:hAnsi="黑体" w:eastAsia="黑体"/>
          <w:b/>
        </w:rPr>
        <w:t>.2</w:t>
      </w:r>
      <w:r>
        <w:rPr>
          <w:rFonts w:ascii="黑体" w:hAnsi="黑体" w:eastAsia="黑体"/>
        </w:rPr>
        <w:t xml:space="preserve">  </w:t>
      </w:r>
      <w:r>
        <w:rPr>
          <w:rFonts w:hint="eastAsia" w:ascii="Times New Roman" w:hAnsi="Times New Roman" w:eastAsia="宋体"/>
        </w:rPr>
        <w:t>简述建设项目投入生产或者使用后所依托的消防、</w:t>
      </w:r>
      <w:r>
        <w:rPr>
          <w:rFonts w:ascii="Times New Roman" w:hAnsi="Times New Roman" w:eastAsia="宋体"/>
        </w:rPr>
        <w:t>抢（维）修</w:t>
      </w:r>
      <w:r>
        <w:rPr>
          <w:rFonts w:hint="eastAsia" w:ascii="Times New Roman" w:hAnsi="Times New Roman" w:eastAsia="宋体"/>
        </w:rPr>
        <w:t>和人员急救的依托力量。</w:t>
      </w:r>
    </w:p>
    <w:p w14:paraId="1F337C8D">
      <w:pPr>
        <w:pStyle w:val="3"/>
        <w:rPr>
          <w:rFonts w:ascii="黑体" w:hAnsi="黑体" w:eastAsia="黑体" w:cs="Times New Roman"/>
          <w:szCs w:val="24"/>
        </w:rPr>
      </w:pPr>
      <w:bookmarkStart w:id="175" w:name="_Toc195881883"/>
      <w:r>
        <w:rPr>
          <w:rFonts w:ascii="黑体" w:hAnsi="黑体" w:eastAsia="黑体" w:cs="Times New Roman"/>
          <w:szCs w:val="24"/>
        </w:rPr>
        <w:t xml:space="preserve">14  </w:t>
      </w:r>
      <w:r>
        <w:rPr>
          <w:rFonts w:hint="eastAsia" w:ascii="黑体" w:hAnsi="黑体" w:eastAsia="黑体" w:cs="Times New Roman"/>
          <w:szCs w:val="24"/>
        </w:rPr>
        <w:t>专用投资概算</w:t>
      </w:r>
      <w:bookmarkEnd w:id="175"/>
    </w:p>
    <w:p w14:paraId="61FEF7A6">
      <w:pPr>
        <w:pStyle w:val="41"/>
        <w:spacing w:line="276" w:lineRule="auto"/>
        <w:ind w:firstLine="420"/>
        <w:rPr>
          <w:rFonts w:ascii="Times New Roman"/>
          <w:szCs w:val="22"/>
        </w:rPr>
      </w:pPr>
      <w:r>
        <w:rPr>
          <w:rFonts w:hint="eastAsia" w:ascii="Times New Roman"/>
          <w:szCs w:val="22"/>
        </w:rPr>
        <w:t>按表B</w:t>
      </w:r>
      <w:r>
        <w:rPr>
          <w:rFonts w:ascii="Times New Roman"/>
          <w:szCs w:val="22"/>
        </w:rPr>
        <w:t>.22</w:t>
      </w:r>
      <w:r>
        <w:rPr>
          <w:rFonts w:hint="eastAsia" w:ascii="Times New Roman"/>
          <w:szCs w:val="22"/>
        </w:rPr>
        <w:t>列</w:t>
      </w:r>
      <w:r>
        <w:rPr>
          <w:rFonts w:ascii="Times New Roman"/>
          <w:szCs w:val="22"/>
        </w:rPr>
        <w:t>出工程概算总投资，</w:t>
      </w:r>
      <w:r>
        <w:rPr>
          <w:rFonts w:hint="eastAsia" w:ascii="Times New Roman"/>
          <w:szCs w:val="22"/>
        </w:rPr>
        <w:t>说明用于安全</w:t>
      </w:r>
      <w:r>
        <w:rPr>
          <w:rFonts w:hint="eastAsia"/>
        </w:rPr>
        <w:t>设施专项</w:t>
      </w:r>
      <w:r>
        <w:rPr>
          <w:rFonts w:hint="eastAsia" w:ascii="Times New Roman"/>
          <w:szCs w:val="22"/>
        </w:rPr>
        <w:t>投资及其占总投资的比例。用于安全设施专项投资主要包括</w:t>
      </w:r>
      <w:bookmarkStart w:id="176" w:name="_Toc180210671"/>
      <w:bookmarkStart w:id="177" w:name="_Toc180221686"/>
      <w:bookmarkStart w:id="178" w:name="_Toc179944504"/>
      <w:bookmarkStart w:id="179" w:name="_Toc180216728"/>
      <w:bookmarkStart w:id="180" w:name="_Toc180211552"/>
      <w:bookmarkStart w:id="181" w:name="_Toc184117967"/>
      <w:bookmarkStart w:id="182" w:name="_Toc180211457"/>
      <w:bookmarkStart w:id="183" w:name="_Toc184550417"/>
      <w:bookmarkStart w:id="184" w:name="_Toc180212677"/>
      <w:r>
        <w:rPr>
          <w:rFonts w:hint="eastAsia" w:ascii="Times New Roman"/>
        </w:rPr>
        <w:t>预防事故设施</w:t>
      </w:r>
      <w:r>
        <w:rPr>
          <w:rFonts w:hint="eastAsia" w:ascii="Times New Roman"/>
          <w:szCs w:val="22"/>
        </w:rPr>
        <w:t>费用</w:t>
      </w:r>
      <w:bookmarkEnd w:id="176"/>
      <w:bookmarkEnd w:id="177"/>
      <w:bookmarkEnd w:id="178"/>
      <w:bookmarkEnd w:id="179"/>
      <w:bookmarkEnd w:id="180"/>
      <w:bookmarkEnd w:id="181"/>
      <w:bookmarkEnd w:id="182"/>
      <w:bookmarkEnd w:id="183"/>
      <w:bookmarkEnd w:id="184"/>
      <w:r>
        <w:rPr>
          <w:rFonts w:hint="eastAsia" w:ascii="Times New Roman"/>
          <w:szCs w:val="22"/>
        </w:rPr>
        <w:t>、</w:t>
      </w:r>
      <w:r>
        <w:rPr>
          <w:rFonts w:hint="eastAsia" w:ascii="Times New Roman"/>
        </w:rPr>
        <w:t>控制事故设施</w:t>
      </w:r>
      <w:r>
        <w:rPr>
          <w:rFonts w:hint="eastAsia" w:ascii="Times New Roman"/>
          <w:szCs w:val="22"/>
        </w:rPr>
        <w:t>费用和</w:t>
      </w:r>
      <w:bookmarkStart w:id="185" w:name="_Toc180216731"/>
      <w:bookmarkStart w:id="186" w:name="_Toc180210674"/>
      <w:bookmarkStart w:id="187" w:name="_Toc180211555"/>
      <w:bookmarkStart w:id="188" w:name="_Toc184117970"/>
      <w:bookmarkStart w:id="189" w:name="_Toc179944507"/>
      <w:bookmarkStart w:id="190" w:name="_Toc180211460"/>
      <w:bookmarkStart w:id="191" w:name="_Toc180221689"/>
      <w:bookmarkStart w:id="192" w:name="_Toc180212680"/>
      <w:r>
        <w:rPr>
          <w:rFonts w:hint="eastAsia" w:ascii="Times New Roman"/>
        </w:rPr>
        <w:t>消减事故及影响设施费用</w:t>
      </w:r>
      <w:r>
        <w:rPr>
          <w:rFonts w:hint="eastAsia" w:ascii="Times New Roman"/>
          <w:szCs w:val="22"/>
        </w:rPr>
        <w:t>。</w:t>
      </w:r>
    </w:p>
    <w:bookmarkEnd w:id="185"/>
    <w:bookmarkEnd w:id="186"/>
    <w:bookmarkEnd w:id="187"/>
    <w:bookmarkEnd w:id="188"/>
    <w:bookmarkEnd w:id="189"/>
    <w:bookmarkEnd w:id="190"/>
    <w:bookmarkEnd w:id="191"/>
    <w:bookmarkEnd w:id="192"/>
    <w:p w14:paraId="4BC51DB8">
      <w:pPr>
        <w:pStyle w:val="3"/>
        <w:rPr>
          <w:rFonts w:ascii="黑体" w:hAnsi="黑体" w:eastAsia="黑体" w:cs="Times New Roman"/>
          <w:szCs w:val="24"/>
        </w:rPr>
      </w:pPr>
      <w:bookmarkStart w:id="193" w:name="_Toc195881884"/>
      <w:r>
        <w:rPr>
          <w:rFonts w:ascii="黑体" w:hAnsi="黑体" w:eastAsia="黑体" w:cs="Times New Roman"/>
          <w:szCs w:val="24"/>
        </w:rPr>
        <w:t xml:space="preserve">15  </w:t>
      </w:r>
      <w:r>
        <w:rPr>
          <w:rFonts w:hint="eastAsia" w:ascii="黑体" w:hAnsi="黑体" w:eastAsia="黑体" w:cs="Times New Roman"/>
          <w:szCs w:val="24"/>
        </w:rPr>
        <w:t>主要结论和建议</w:t>
      </w:r>
      <w:bookmarkEnd w:id="193"/>
    </w:p>
    <w:p w14:paraId="5F592376">
      <w:pPr>
        <w:pStyle w:val="4"/>
        <w:spacing w:before="156"/>
        <w:rPr>
          <w:rFonts w:ascii="黑体" w:hAnsi="黑体" w:eastAsia="黑体" w:cs="Times New Roman"/>
        </w:rPr>
      </w:pPr>
      <w:bookmarkStart w:id="194" w:name="_Toc195881885"/>
      <w:r>
        <w:rPr>
          <w:rFonts w:ascii="黑体" w:hAnsi="黑体" w:eastAsia="黑体" w:cs="Times New Roman"/>
        </w:rPr>
        <w:t xml:space="preserve">15.1  </w:t>
      </w:r>
      <w:r>
        <w:rPr>
          <w:rFonts w:hint="eastAsia" w:ascii="黑体" w:hAnsi="黑体" w:eastAsia="黑体" w:cs="Times New Roman"/>
        </w:rPr>
        <w:t>主要结论</w:t>
      </w:r>
      <w:bookmarkEnd w:id="194"/>
    </w:p>
    <w:p w14:paraId="03E202CD">
      <w:pPr>
        <w:ind w:firstLine="420" w:firstLineChars="200"/>
        <w:rPr>
          <w:rFonts w:ascii="Times New Roman" w:hAnsi="Times New Roman" w:eastAsia="宋体" w:cs="Times New Roman"/>
        </w:rPr>
      </w:pPr>
      <w:r>
        <w:rPr>
          <w:rFonts w:hint="eastAsia" w:ascii="Times New Roman" w:hAnsi="Times New Roman" w:eastAsia="宋体" w:cs="Times New Roman"/>
        </w:rPr>
        <w:t>根据上述安全设施设计内容</w:t>
      </w:r>
      <w:r>
        <w:rPr>
          <w:rFonts w:ascii="Times New Roman" w:hAnsi="Times New Roman" w:eastAsia="宋体" w:cs="Times New Roman"/>
        </w:rPr>
        <w:t>，从以下方面给出结论：</w:t>
      </w:r>
    </w:p>
    <w:p w14:paraId="1D342F13">
      <w:pPr>
        <w:ind w:firstLine="420" w:firstLineChars="200"/>
        <w:rPr>
          <w:rFonts w:ascii="Times New Roman" w:hAnsi="Times New Roman" w:cs="Times New Roman"/>
        </w:rPr>
      </w:pPr>
      <w:r>
        <w:rPr>
          <w:rFonts w:ascii="Times New Roman" w:hAnsi="Times New Roman" w:cs="Times New Roman"/>
        </w:rPr>
        <w:t>a）</w:t>
      </w:r>
      <w:r>
        <w:rPr>
          <w:rFonts w:ascii="Times New Roman" w:hAnsi="Times New Roman" w:eastAsia="宋体" w:cs="Times New Roman"/>
        </w:rPr>
        <w:t>安全预评价</w:t>
      </w:r>
      <w:r>
        <w:rPr>
          <w:rFonts w:hint="eastAsia" w:ascii="Times New Roman" w:hAnsi="Times New Roman" w:eastAsia="宋体" w:cs="Times New Roman"/>
        </w:rPr>
        <w:t>提出的</w:t>
      </w:r>
      <w:r>
        <w:rPr>
          <w:rFonts w:ascii="Times New Roman" w:hAnsi="Times New Roman" w:eastAsia="宋体" w:cs="Times New Roman"/>
        </w:rPr>
        <w:t>安全对策措施</w:t>
      </w:r>
      <w:r>
        <w:rPr>
          <w:rFonts w:hint="eastAsia" w:ascii="Times New Roman" w:hAnsi="Times New Roman" w:eastAsia="宋体" w:cs="Times New Roman"/>
        </w:rPr>
        <w:t>的</w:t>
      </w:r>
      <w:r>
        <w:rPr>
          <w:rFonts w:ascii="Times New Roman" w:hAnsi="Times New Roman" w:eastAsia="宋体" w:cs="Times New Roman"/>
        </w:rPr>
        <w:t>落实情况</w:t>
      </w:r>
      <w:r>
        <w:rPr>
          <w:rFonts w:ascii="Times New Roman" w:hAnsi="Times New Roman" w:cs="Times New Roman"/>
        </w:rPr>
        <w:t xml:space="preserve">； </w:t>
      </w:r>
    </w:p>
    <w:p w14:paraId="111EC0D4">
      <w:pPr>
        <w:ind w:firstLine="420" w:firstLineChars="200"/>
        <w:rPr>
          <w:rFonts w:ascii="Times New Roman" w:hAnsi="Times New Roman" w:eastAsia="宋体" w:cs="Times New Roman"/>
        </w:rPr>
      </w:pPr>
      <w:r>
        <w:rPr>
          <w:rFonts w:ascii="Times New Roman" w:hAnsi="Times New Roman" w:eastAsia="宋体" w:cs="Times New Roman"/>
        </w:rPr>
        <w:t>b）选用的主要技术、工艺的安全可靠性；</w:t>
      </w:r>
    </w:p>
    <w:p w14:paraId="36AAA059">
      <w:pPr>
        <w:ind w:firstLine="420" w:firstLineChars="200"/>
        <w:rPr>
          <w:rFonts w:ascii="Times New Roman" w:hAnsi="Times New Roman" w:eastAsia="宋体" w:cs="Times New Roman"/>
        </w:rPr>
      </w:pPr>
      <w:r>
        <w:rPr>
          <w:rFonts w:ascii="Times New Roman" w:hAnsi="Times New Roman" w:eastAsia="宋体" w:cs="Times New Roman"/>
        </w:rPr>
        <w:t>c）说明与现行安全法律、法规、规章及相关标准、规范的符合</w:t>
      </w:r>
      <w:r>
        <w:rPr>
          <w:rFonts w:hint="eastAsia" w:ascii="Times New Roman" w:hAnsi="Times New Roman" w:eastAsia="宋体" w:cs="Times New Roman"/>
        </w:rPr>
        <w:t>性。</w:t>
      </w:r>
    </w:p>
    <w:p w14:paraId="0AFE4B17">
      <w:pPr>
        <w:pStyle w:val="4"/>
        <w:spacing w:before="156" w:line="276" w:lineRule="auto"/>
        <w:rPr>
          <w:rFonts w:ascii="黑体" w:hAnsi="黑体" w:eastAsia="黑体" w:cs="Times New Roman"/>
        </w:rPr>
      </w:pPr>
      <w:bookmarkStart w:id="195" w:name="_Toc195881886"/>
      <w:r>
        <w:rPr>
          <w:rFonts w:ascii="黑体" w:hAnsi="黑体" w:eastAsia="黑体" w:cs="Times New Roman"/>
        </w:rPr>
        <w:t xml:space="preserve">15.2  </w:t>
      </w:r>
      <w:r>
        <w:rPr>
          <w:rFonts w:hint="eastAsia" w:ascii="黑体" w:hAnsi="黑体" w:eastAsia="黑体" w:cs="Times New Roman"/>
        </w:rPr>
        <w:t>建议</w:t>
      </w:r>
      <w:bookmarkEnd w:id="195"/>
    </w:p>
    <w:p w14:paraId="4E1CD238">
      <w:pPr>
        <w:rPr>
          <w:rFonts w:ascii="黑体" w:hAnsi="黑体" w:eastAsia="黑体"/>
          <w:b/>
        </w:rPr>
      </w:pPr>
      <w:r>
        <w:rPr>
          <w:rFonts w:ascii="黑体" w:hAnsi="黑体" w:eastAsia="黑体" w:cs="Times New Roman"/>
          <w:b/>
        </w:rPr>
        <w:t xml:space="preserve">15.2.1  </w:t>
      </w:r>
      <w:r>
        <w:rPr>
          <w:rFonts w:hint="eastAsia" w:ascii="黑体" w:hAnsi="黑体" w:eastAsia="黑体" w:cs="Times New Roman"/>
          <w:b/>
        </w:rPr>
        <w:t>施工图设计阶段</w:t>
      </w:r>
    </w:p>
    <w:p w14:paraId="605A8537">
      <w:pPr>
        <w:pStyle w:val="41"/>
        <w:spacing w:line="276" w:lineRule="auto"/>
        <w:ind w:firstLine="420"/>
        <w:rPr>
          <w:rFonts w:ascii="Times New Roman"/>
          <w:szCs w:val="22"/>
        </w:rPr>
      </w:pPr>
      <w:r>
        <w:rPr>
          <w:rFonts w:hint="eastAsia" w:ascii="Times New Roman"/>
          <w:szCs w:val="22"/>
        </w:rPr>
        <w:t>根据同类建设项目的管理情况和发展趋势，说明还需要改进或增加的其他内容和建议，如已运行正常的同类建设项目的经验，需要开展专题攻关研究的内容，在施工图设计中需进一步落实的问题等。</w:t>
      </w:r>
    </w:p>
    <w:p w14:paraId="6ED8D777">
      <w:pPr>
        <w:rPr>
          <w:rFonts w:ascii="黑体" w:hAnsi="黑体" w:eastAsia="黑体"/>
          <w:b/>
        </w:rPr>
      </w:pPr>
      <w:r>
        <w:rPr>
          <w:rFonts w:ascii="黑体" w:hAnsi="黑体" w:eastAsia="黑体" w:cs="Times New Roman"/>
          <w:b/>
        </w:rPr>
        <w:t xml:space="preserve">15.2.2  </w:t>
      </w:r>
      <w:r>
        <w:rPr>
          <w:rFonts w:hint="eastAsia" w:ascii="黑体" w:hAnsi="黑体" w:eastAsia="黑体" w:cs="Times New Roman"/>
          <w:b/>
        </w:rPr>
        <w:t>施工及生产运行阶段</w:t>
      </w:r>
    </w:p>
    <w:p w14:paraId="7B0EB8C7">
      <w:pPr>
        <w:pStyle w:val="41"/>
        <w:spacing w:line="276" w:lineRule="auto"/>
        <w:ind w:firstLine="420"/>
        <w:rPr>
          <w:rFonts w:ascii="Times New Roman"/>
          <w:szCs w:val="22"/>
        </w:rPr>
      </w:pPr>
      <w:r>
        <w:rPr>
          <w:rFonts w:hint="eastAsia" w:ascii="Times New Roman"/>
          <w:szCs w:val="22"/>
        </w:rPr>
        <w:t>对建设项目施工及生产运行提出有针对性的安全措施建议。</w:t>
      </w:r>
    </w:p>
    <w:p w14:paraId="066E66FF">
      <w:pPr>
        <w:pStyle w:val="3"/>
        <w:rPr>
          <w:rFonts w:ascii="黑体" w:hAnsi="黑体" w:eastAsia="黑体" w:cs="Times New Roman"/>
          <w:szCs w:val="24"/>
        </w:rPr>
      </w:pPr>
      <w:bookmarkStart w:id="196" w:name="_Toc195881887"/>
      <w:r>
        <w:rPr>
          <w:rFonts w:ascii="黑体" w:hAnsi="黑体" w:eastAsia="黑体" w:cs="Times New Roman"/>
          <w:szCs w:val="24"/>
        </w:rPr>
        <w:t xml:space="preserve">16  </w:t>
      </w:r>
      <w:r>
        <w:rPr>
          <w:rFonts w:hint="eastAsia" w:ascii="黑体" w:hAnsi="黑体" w:eastAsia="黑体" w:cs="Times New Roman"/>
          <w:szCs w:val="24"/>
        </w:rPr>
        <w:t>安全设施设计格式要求</w:t>
      </w:r>
      <w:bookmarkEnd w:id="196"/>
    </w:p>
    <w:p w14:paraId="13FA9B72">
      <w:pPr>
        <w:pStyle w:val="4"/>
        <w:spacing w:before="156" w:line="276" w:lineRule="auto"/>
        <w:rPr>
          <w:rFonts w:ascii="黑体" w:hAnsi="黑体" w:eastAsia="黑体" w:cs="Times New Roman"/>
        </w:rPr>
      </w:pPr>
      <w:bookmarkStart w:id="197" w:name="_Toc195881888"/>
      <w:r>
        <w:rPr>
          <w:rFonts w:ascii="黑体" w:hAnsi="黑体" w:eastAsia="黑体" w:cs="Times New Roman"/>
        </w:rPr>
        <w:t xml:space="preserve">16.1  </w:t>
      </w:r>
      <w:r>
        <w:rPr>
          <w:rFonts w:hint="eastAsia" w:ascii="黑体" w:hAnsi="黑体" w:eastAsia="黑体" w:cs="Times New Roman"/>
        </w:rPr>
        <w:t>结构</w:t>
      </w:r>
      <w:bookmarkEnd w:id="197"/>
    </w:p>
    <w:p w14:paraId="6A5A8B04">
      <w:pPr>
        <w:rPr>
          <w:rFonts w:ascii="黑体" w:hAnsi="黑体" w:eastAsia="黑体"/>
          <w:b/>
        </w:rPr>
      </w:pPr>
      <w:r>
        <w:rPr>
          <w:rFonts w:ascii="黑体" w:hAnsi="黑体" w:eastAsia="黑体" w:cs="Times New Roman"/>
          <w:b/>
        </w:rPr>
        <w:t xml:space="preserve">16.1.1  </w:t>
      </w:r>
      <w:r>
        <w:rPr>
          <w:rFonts w:hint="eastAsia" w:ascii="黑体" w:hAnsi="黑体" w:eastAsia="黑体" w:cs="Times New Roman"/>
          <w:b/>
        </w:rPr>
        <w:t>封面</w:t>
      </w:r>
    </w:p>
    <w:p w14:paraId="305528E0">
      <w:pPr>
        <w:pStyle w:val="41"/>
        <w:spacing w:line="276" w:lineRule="auto"/>
        <w:ind w:firstLine="420"/>
        <w:rPr>
          <w:rFonts w:ascii="Times New Roman"/>
          <w:szCs w:val="22"/>
        </w:rPr>
      </w:pPr>
      <w:r>
        <w:rPr>
          <w:rFonts w:hint="eastAsia" w:ascii="Times New Roman"/>
          <w:szCs w:val="22"/>
        </w:rPr>
        <w:t>封面格式应符合附录C的要求。</w:t>
      </w:r>
    </w:p>
    <w:p w14:paraId="1678C551">
      <w:pPr>
        <w:rPr>
          <w:rFonts w:ascii="黑体" w:hAnsi="黑体" w:eastAsia="黑体"/>
          <w:b/>
        </w:rPr>
      </w:pPr>
      <w:r>
        <w:rPr>
          <w:rFonts w:ascii="黑体" w:hAnsi="黑体" w:eastAsia="黑体" w:cs="Times New Roman"/>
          <w:b/>
        </w:rPr>
        <w:t xml:space="preserve">16.1.2  </w:t>
      </w:r>
      <w:r>
        <w:rPr>
          <w:rFonts w:hint="eastAsia" w:ascii="黑体" w:hAnsi="黑体" w:eastAsia="黑体" w:cs="Times New Roman"/>
          <w:b/>
        </w:rPr>
        <w:t>扉页</w:t>
      </w:r>
    </w:p>
    <w:p w14:paraId="652B2FD2">
      <w:pPr>
        <w:pStyle w:val="41"/>
        <w:spacing w:line="276" w:lineRule="auto"/>
        <w:ind w:firstLine="420"/>
        <w:rPr>
          <w:rFonts w:ascii="Times New Roman"/>
          <w:szCs w:val="22"/>
        </w:rPr>
      </w:pPr>
      <w:r>
        <w:rPr>
          <w:rFonts w:hint="eastAsia" w:ascii="Times New Roman"/>
          <w:szCs w:val="22"/>
        </w:rPr>
        <w:t>扉页的字号和字体应符合附录D的要求。</w:t>
      </w:r>
    </w:p>
    <w:p w14:paraId="40559FCC">
      <w:pPr>
        <w:rPr>
          <w:rFonts w:ascii="黑体" w:hAnsi="黑体" w:eastAsia="黑体"/>
          <w:b/>
        </w:rPr>
      </w:pPr>
      <w:r>
        <w:rPr>
          <w:rFonts w:ascii="黑体" w:hAnsi="黑体" w:eastAsia="黑体" w:cs="Times New Roman"/>
          <w:b/>
        </w:rPr>
        <w:t xml:space="preserve">16.1.3  </w:t>
      </w:r>
      <w:r>
        <w:rPr>
          <w:rFonts w:hint="eastAsia" w:ascii="黑体" w:hAnsi="黑体" w:eastAsia="黑体" w:cs="Times New Roman"/>
          <w:b/>
        </w:rPr>
        <w:t>设计校审人员名单</w:t>
      </w:r>
    </w:p>
    <w:p w14:paraId="7D51F77E">
      <w:pPr>
        <w:pStyle w:val="41"/>
        <w:spacing w:line="276" w:lineRule="auto"/>
        <w:ind w:firstLine="420"/>
        <w:rPr>
          <w:rFonts w:ascii="Times New Roman"/>
          <w:szCs w:val="22"/>
        </w:rPr>
      </w:pPr>
      <w:r>
        <w:rPr>
          <w:rFonts w:hint="eastAsia" w:ascii="Times New Roman"/>
          <w:szCs w:val="22"/>
        </w:rPr>
        <w:t>设计校审人员名单的字号和字体应符合附录E的要求。</w:t>
      </w:r>
    </w:p>
    <w:p w14:paraId="1B2C1526">
      <w:pPr>
        <w:rPr>
          <w:rFonts w:ascii="黑体" w:hAnsi="黑体" w:eastAsia="黑体"/>
          <w:b/>
        </w:rPr>
      </w:pPr>
      <w:r>
        <w:rPr>
          <w:rFonts w:ascii="黑体" w:hAnsi="黑体" w:eastAsia="黑体" w:cs="Times New Roman"/>
          <w:b/>
        </w:rPr>
        <w:t xml:space="preserve">16.1.4  </w:t>
      </w:r>
      <w:r>
        <w:rPr>
          <w:rFonts w:hint="eastAsia" w:ascii="黑体" w:hAnsi="黑体" w:eastAsia="黑体" w:cs="Times New Roman"/>
          <w:b/>
        </w:rPr>
        <w:t>目录</w:t>
      </w:r>
    </w:p>
    <w:p w14:paraId="27E06F37">
      <w:pPr>
        <w:pStyle w:val="41"/>
        <w:spacing w:line="276" w:lineRule="auto"/>
        <w:ind w:firstLine="420"/>
        <w:rPr>
          <w:rFonts w:ascii="Times New Roman"/>
          <w:szCs w:val="22"/>
        </w:rPr>
      </w:pPr>
      <w:r>
        <w:rPr>
          <w:rFonts w:hint="eastAsia" w:ascii="Times New Roman"/>
          <w:szCs w:val="22"/>
        </w:rPr>
        <w:t>目录应采用三号黑体字，章、节标题采用小四号宋体字。</w:t>
      </w:r>
    </w:p>
    <w:p w14:paraId="05D24ABC">
      <w:pPr>
        <w:rPr>
          <w:rFonts w:ascii="黑体" w:hAnsi="黑体" w:eastAsia="黑体"/>
          <w:b/>
        </w:rPr>
      </w:pPr>
      <w:r>
        <w:rPr>
          <w:rFonts w:ascii="黑体" w:hAnsi="黑体" w:eastAsia="黑体" w:cs="Times New Roman"/>
          <w:b/>
        </w:rPr>
        <w:t xml:space="preserve">16.1.5  </w:t>
      </w:r>
      <w:r>
        <w:rPr>
          <w:rFonts w:hint="eastAsia" w:ascii="黑体" w:hAnsi="黑体" w:eastAsia="黑体" w:cs="Times New Roman"/>
          <w:b/>
        </w:rPr>
        <w:t>正文</w:t>
      </w:r>
    </w:p>
    <w:p w14:paraId="4E877113">
      <w:pPr>
        <w:pStyle w:val="68"/>
        <w:numPr>
          <w:ilvl w:val="2"/>
          <w:numId w:val="0"/>
        </w:numPr>
        <w:spacing w:line="276" w:lineRule="auto"/>
        <w:ind w:firstLine="420" w:firstLineChars="200"/>
        <w:rPr>
          <w:rFonts w:ascii="Times New Roman" w:hAnsi="Times New Roman"/>
        </w:rPr>
      </w:pPr>
      <w:bookmarkStart w:id="198" w:name="_Toc293"/>
      <w:bookmarkStart w:id="199" w:name="_Toc21139"/>
      <w:bookmarkStart w:id="200" w:name="_Toc20713"/>
      <w:bookmarkStart w:id="201" w:name="_Toc22028"/>
      <w:r>
        <w:rPr>
          <w:rFonts w:hint="eastAsia" w:ascii="Times New Roman" w:hAnsi="Times New Roman"/>
        </w:rPr>
        <w:t>报告主要内容的章、节标题应分别采用三号黑体、四号黑体字，内容的文字表述部分采用小四号宋体字，表名、图名采用五号黑体，表格文字可选择采用五号或者小五号宋体字；页眉报告名称采用五号楷体</w:t>
      </w:r>
      <w:r>
        <w:rPr>
          <w:rFonts w:ascii="Times New Roman" w:hAnsi="Times New Roman"/>
        </w:rPr>
        <w:t>_GB 2312</w:t>
      </w:r>
      <w:r>
        <w:rPr>
          <w:rFonts w:hint="eastAsia" w:ascii="Times New Roman" w:hAnsi="Times New Roman"/>
        </w:rPr>
        <w:t>字，页脚页码采用五号楷体</w:t>
      </w:r>
      <w:r>
        <w:rPr>
          <w:rFonts w:ascii="Times New Roman" w:hAnsi="Times New Roman"/>
        </w:rPr>
        <w:t>_GB 2312</w:t>
      </w:r>
      <w:r>
        <w:rPr>
          <w:rFonts w:hint="eastAsia" w:ascii="Times New Roman" w:hAnsi="Times New Roman"/>
        </w:rPr>
        <w:t>字。</w:t>
      </w:r>
      <w:bookmarkEnd w:id="198"/>
      <w:bookmarkEnd w:id="199"/>
      <w:bookmarkEnd w:id="200"/>
      <w:bookmarkEnd w:id="201"/>
    </w:p>
    <w:p w14:paraId="781B1C1E">
      <w:pPr>
        <w:rPr>
          <w:rFonts w:ascii="黑体" w:hAnsi="黑体" w:eastAsia="黑体"/>
          <w:b/>
        </w:rPr>
      </w:pPr>
      <w:r>
        <w:rPr>
          <w:rFonts w:ascii="黑体" w:hAnsi="黑体" w:eastAsia="黑体" w:cs="Times New Roman"/>
          <w:b/>
        </w:rPr>
        <w:t xml:space="preserve">16.1.6  </w:t>
      </w:r>
      <w:r>
        <w:rPr>
          <w:rFonts w:hint="eastAsia" w:ascii="黑体" w:hAnsi="黑体" w:eastAsia="黑体" w:cs="Times New Roman"/>
          <w:b/>
        </w:rPr>
        <w:t>附件与附图</w:t>
      </w:r>
    </w:p>
    <w:p w14:paraId="18C836B2">
      <w:pPr>
        <w:rPr>
          <w:rFonts w:ascii="Times New Roman"/>
        </w:rPr>
      </w:pPr>
      <w:r>
        <w:rPr>
          <w:rFonts w:ascii="黑体" w:hAnsi="黑体" w:eastAsia="黑体"/>
          <w:b/>
        </w:rPr>
        <w:t xml:space="preserve">16.1.6.1  </w:t>
      </w:r>
      <w:r>
        <w:rPr>
          <w:rFonts w:hint="eastAsia" w:ascii="宋体" w:hAnsi="宋体" w:eastAsia="宋体" w:cs="宋体"/>
        </w:rPr>
        <w:t>附件</w:t>
      </w:r>
      <w:r>
        <w:rPr>
          <w:rFonts w:ascii="宋体" w:hAnsi="宋体" w:eastAsia="宋体" w:cs="宋体"/>
        </w:rPr>
        <w:t>应</w:t>
      </w:r>
      <w:r>
        <w:rPr>
          <w:rFonts w:hint="eastAsia" w:ascii="宋体" w:hAnsi="宋体" w:eastAsia="宋体" w:cs="宋体"/>
        </w:rPr>
        <w:t>主要包括以下内容</w:t>
      </w:r>
      <w:r>
        <w:rPr>
          <w:rFonts w:ascii="Times New Roman"/>
        </w:rPr>
        <w:t>的复印件(</w:t>
      </w:r>
      <w:r>
        <w:rPr>
          <w:rFonts w:hint="eastAsia" w:ascii="Times New Roman"/>
        </w:rPr>
        <w:t>复印比例为</w:t>
      </w:r>
      <w:r>
        <w:rPr>
          <w:rFonts w:ascii="Times New Roman"/>
        </w:rPr>
        <w:t>1</w:t>
      </w:r>
      <w:r>
        <w:rPr>
          <w:rFonts w:hint="eastAsia" w:hAnsi="宋体" w:cs="宋体"/>
        </w:rPr>
        <w:t>∶</w:t>
      </w:r>
      <w:r>
        <w:rPr>
          <w:rFonts w:ascii="Times New Roman"/>
        </w:rPr>
        <w:t>1</w:t>
      </w:r>
      <w:r>
        <w:rPr>
          <w:rFonts w:hint="eastAsia" w:ascii="Times New Roman"/>
        </w:rPr>
        <w:t>）</w:t>
      </w:r>
      <w:r>
        <w:rPr>
          <w:rFonts w:ascii="Times New Roman"/>
        </w:rPr>
        <w:t>：</w:t>
      </w:r>
    </w:p>
    <w:p w14:paraId="34AD1B0A">
      <w:pPr>
        <w:pStyle w:val="41"/>
        <w:numPr>
          <w:ilvl w:val="0"/>
          <w:numId w:val="13"/>
        </w:numPr>
        <w:ind w:firstLineChars="0"/>
        <w:rPr>
          <w:rFonts w:ascii="Times New Roman"/>
        </w:rPr>
      </w:pPr>
      <w:bookmarkStart w:id="202" w:name="_Toc16772"/>
      <w:r>
        <w:rPr>
          <w:rFonts w:hint="eastAsia" w:ascii="Times New Roman"/>
        </w:rPr>
        <w:t>建设项目审批、核准或者备案的文件；</w:t>
      </w:r>
    </w:p>
    <w:p w14:paraId="2ED138F1">
      <w:pPr>
        <w:pStyle w:val="41"/>
        <w:numPr>
          <w:ilvl w:val="0"/>
          <w:numId w:val="13"/>
        </w:numPr>
        <w:ind w:firstLineChars="0"/>
        <w:rPr>
          <w:rFonts w:ascii="Times New Roman"/>
        </w:rPr>
      </w:pPr>
      <w:r>
        <w:rPr>
          <w:rFonts w:hint="eastAsia" w:ascii="Times New Roman"/>
        </w:rPr>
        <w:t>设计委托书；</w:t>
      </w:r>
    </w:p>
    <w:p w14:paraId="6CE6DBF7">
      <w:pPr>
        <w:pStyle w:val="41"/>
        <w:numPr>
          <w:ilvl w:val="0"/>
          <w:numId w:val="13"/>
        </w:numPr>
        <w:ind w:firstLineChars="0"/>
        <w:rPr>
          <w:rFonts w:ascii="Times New Roman"/>
        </w:rPr>
      </w:pPr>
      <w:r>
        <w:rPr>
          <w:rFonts w:hint="eastAsia" w:ascii="Times New Roman"/>
        </w:rPr>
        <w:t>建设单位的经营范围；</w:t>
      </w:r>
    </w:p>
    <w:p w14:paraId="4CD7E7EF">
      <w:pPr>
        <w:pStyle w:val="41"/>
        <w:numPr>
          <w:ilvl w:val="0"/>
          <w:numId w:val="13"/>
        </w:numPr>
        <w:ind w:firstLineChars="0"/>
        <w:rPr>
          <w:rFonts w:ascii="Times New Roman"/>
        </w:rPr>
      </w:pPr>
      <w:r>
        <w:rPr>
          <w:rFonts w:hint="eastAsia" w:ascii="Times New Roman"/>
        </w:rPr>
        <w:t>设计单位的设计资质证明文件</w:t>
      </w:r>
      <w:r>
        <w:rPr>
          <w:rFonts w:hint="eastAsia" w:ascii="Times New Roman"/>
          <w:szCs w:val="22"/>
        </w:rPr>
        <w:t>。</w:t>
      </w:r>
    </w:p>
    <w:bookmarkEnd w:id="202"/>
    <w:p w14:paraId="1A2A6C1F">
      <w:pPr>
        <w:rPr>
          <w:rFonts w:ascii="Times New Roman" w:hAnsi="Times New Roman"/>
        </w:rPr>
      </w:pPr>
      <w:bookmarkStart w:id="203" w:name="_Toc17759"/>
      <w:bookmarkStart w:id="204" w:name="_Toc31521"/>
      <w:r>
        <w:rPr>
          <w:rFonts w:ascii="黑体" w:hAnsi="黑体" w:eastAsia="黑体"/>
          <w:b/>
        </w:rPr>
        <w:t xml:space="preserve">16.1.6.2  </w:t>
      </w:r>
      <w:r>
        <w:rPr>
          <w:rFonts w:hint="eastAsia" w:ascii="宋体" w:hAnsi="宋体" w:eastAsia="宋体" w:cs="宋体"/>
        </w:rPr>
        <w:t>附图</w:t>
      </w:r>
      <w:bookmarkStart w:id="205" w:name="_Toc6857"/>
      <w:r>
        <w:rPr>
          <w:rFonts w:hint="eastAsia" w:ascii="宋体" w:hAnsi="宋体" w:eastAsia="宋体" w:cs="宋体"/>
        </w:rPr>
        <w:t>应主要包括以下内容：</w:t>
      </w:r>
      <w:bookmarkEnd w:id="205"/>
    </w:p>
    <w:p w14:paraId="0CC3BDAB">
      <w:pPr>
        <w:pStyle w:val="41"/>
        <w:numPr>
          <w:ilvl w:val="0"/>
          <w:numId w:val="14"/>
        </w:numPr>
        <w:ind w:firstLineChars="0"/>
        <w:rPr>
          <w:rFonts w:ascii="Times New Roman"/>
          <w:szCs w:val="22"/>
        </w:rPr>
      </w:pPr>
      <w:r>
        <w:rPr>
          <w:rFonts w:hint="eastAsia" w:ascii="Times New Roman"/>
          <w:szCs w:val="22"/>
        </w:rPr>
        <w:t>总体布局图；</w:t>
      </w:r>
    </w:p>
    <w:p w14:paraId="28398D38">
      <w:pPr>
        <w:pStyle w:val="41"/>
        <w:numPr>
          <w:ilvl w:val="0"/>
          <w:numId w:val="14"/>
        </w:numPr>
        <w:spacing w:line="276" w:lineRule="auto"/>
        <w:ind w:firstLineChars="0"/>
        <w:rPr>
          <w:rFonts w:ascii="Times New Roman"/>
        </w:rPr>
      </w:pPr>
      <w:r>
        <w:rPr>
          <w:rFonts w:hint="eastAsia" w:ascii="Times New Roman"/>
        </w:rPr>
        <w:t>站场区域位置图；</w:t>
      </w:r>
    </w:p>
    <w:p w14:paraId="051DCBAD">
      <w:pPr>
        <w:pStyle w:val="41"/>
        <w:numPr>
          <w:ilvl w:val="0"/>
          <w:numId w:val="14"/>
        </w:numPr>
        <w:spacing w:line="276" w:lineRule="auto"/>
        <w:ind w:left="0" w:firstLine="420"/>
        <w:rPr>
          <w:rFonts w:ascii="Times New Roman"/>
        </w:rPr>
      </w:pPr>
      <w:r>
        <w:rPr>
          <w:rFonts w:hint="eastAsia" w:ascii="Times New Roman"/>
        </w:rPr>
        <w:t>总平面布置图；</w:t>
      </w:r>
    </w:p>
    <w:p w14:paraId="482B2FE6">
      <w:pPr>
        <w:pStyle w:val="41"/>
        <w:numPr>
          <w:ilvl w:val="0"/>
          <w:numId w:val="14"/>
        </w:numPr>
        <w:spacing w:line="276" w:lineRule="auto"/>
        <w:ind w:left="0" w:firstLine="420"/>
        <w:rPr>
          <w:rFonts w:ascii="Times New Roman"/>
        </w:rPr>
      </w:pPr>
      <w:r>
        <w:rPr>
          <w:rFonts w:hint="eastAsia" w:ascii="Times New Roman"/>
        </w:rPr>
        <w:t>主要工艺原理流程图；</w:t>
      </w:r>
    </w:p>
    <w:p w14:paraId="67BFA5FA">
      <w:pPr>
        <w:pStyle w:val="41"/>
        <w:numPr>
          <w:ilvl w:val="0"/>
          <w:numId w:val="14"/>
        </w:numPr>
        <w:spacing w:line="276" w:lineRule="auto"/>
        <w:ind w:left="0" w:firstLine="420"/>
        <w:rPr>
          <w:rFonts w:ascii="Times New Roman"/>
        </w:rPr>
      </w:pPr>
      <w:r>
        <w:rPr>
          <w:rFonts w:hint="eastAsia" w:ascii="Times New Roman"/>
        </w:rPr>
        <w:t>危险区域划分图；</w:t>
      </w:r>
    </w:p>
    <w:p w14:paraId="0FB78A05">
      <w:pPr>
        <w:pStyle w:val="41"/>
        <w:numPr>
          <w:ilvl w:val="0"/>
          <w:numId w:val="14"/>
        </w:numPr>
        <w:spacing w:line="276" w:lineRule="auto"/>
        <w:ind w:left="0" w:firstLine="420"/>
        <w:rPr>
          <w:rFonts w:ascii="Times New Roman"/>
        </w:rPr>
      </w:pPr>
      <w:r>
        <w:rPr>
          <w:rFonts w:hint="eastAsia" w:ascii="Times New Roman"/>
        </w:rPr>
        <w:t>火气监测系统布置图；</w:t>
      </w:r>
    </w:p>
    <w:p w14:paraId="0717DF61">
      <w:pPr>
        <w:pStyle w:val="41"/>
        <w:numPr>
          <w:ilvl w:val="0"/>
          <w:numId w:val="14"/>
        </w:numPr>
        <w:spacing w:line="276" w:lineRule="auto"/>
        <w:ind w:left="0" w:firstLine="420"/>
        <w:rPr>
          <w:rFonts w:ascii="Times New Roman"/>
        </w:rPr>
      </w:pPr>
      <w:r>
        <w:rPr>
          <w:rFonts w:hint="eastAsia" w:ascii="Times New Roman"/>
        </w:rPr>
        <w:t>逻辑关断图；</w:t>
      </w:r>
    </w:p>
    <w:p w14:paraId="51BBB055">
      <w:pPr>
        <w:pStyle w:val="41"/>
        <w:numPr>
          <w:ilvl w:val="0"/>
          <w:numId w:val="14"/>
        </w:numPr>
        <w:spacing w:line="276" w:lineRule="auto"/>
        <w:ind w:left="0" w:firstLine="420"/>
        <w:rPr>
          <w:rFonts w:ascii="Times New Roman"/>
        </w:rPr>
      </w:pPr>
      <w:r>
        <w:rPr>
          <w:rFonts w:hint="eastAsia" w:ascii="Times New Roman"/>
        </w:rPr>
        <w:t>线路走向示意图。</w:t>
      </w:r>
    </w:p>
    <w:p w14:paraId="595A6D09">
      <w:pPr>
        <w:pStyle w:val="4"/>
        <w:spacing w:before="156"/>
        <w:rPr>
          <w:rFonts w:ascii="黑体" w:hAnsi="黑体" w:eastAsia="黑体"/>
        </w:rPr>
      </w:pPr>
      <w:bookmarkStart w:id="206" w:name="_Toc195881889"/>
      <w:r>
        <w:rPr>
          <w:rFonts w:ascii="黑体" w:hAnsi="黑体" w:eastAsia="黑体" w:cs="Times New Roman"/>
        </w:rPr>
        <w:t xml:space="preserve">16.2  </w:t>
      </w:r>
      <w:r>
        <w:rPr>
          <w:rFonts w:hint="eastAsia" w:ascii="黑体" w:hAnsi="黑体" w:eastAsia="黑体" w:cs="Times New Roman"/>
        </w:rPr>
        <w:t>纸张、排版</w:t>
      </w:r>
      <w:bookmarkEnd w:id="203"/>
      <w:bookmarkEnd w:id="204"/>
      <w:bookmarkEnd w:id="206"/>
    </w:p>
    <w:p w14:paraId="048AAC95">
      <w:pPr>
        <w:pStyle w:val="41"/>
        <w:ind w:firstLine="420"/>
        <w:rPr>
          <w:rFonts w:ascii="Times New Roman"/>
          <w:szCs w:val="22"/>
        </w:rPr>
      </w:pPr>
      <w:r>
        <w:rPr>
          <w:rFonts w:hint="eastAsia" w:ascii="Times New Roman"/>
          <w:szCs w:val="22"/>
        </w:rPr>
        <w:t>应采用</w:t>
      </w:r>
      <w:r>
        <w:rPr>
          <w:rFonts w:ascii="Times New Roman"/>
          <w:szCs w:val="22"/>
        </w:rPr>
        <w:t>A4</w:t>
      </w:r>
      <w:r>
        <w:rPr>
          <w:rFonts w:hint="eastAsia" w:ascii="Times New Roman"/>
          <w:szCs w:val="22"/>
        </w:rPr>
        <w:t>白色胶版纸（</w:t>
      </w:r>
      <w:r>
        <w:rPr>
          <w:rFonts w:ascii="Times New Roman"/>
          <w:szCs w:val="22"/>
        </w:rPr>
        <w:t>70 g</w:t>
      </w:r>
      <w:r>
        <w:rPr>
          <w:rFonts w:hint="eastAsia" w:ascii="Times New Roman"/>
          <w:szCs w:val="22"/>
        </w:rPr>
        <w:t>以上）；纵向排版，左边距</w:t>
      </w:r>
      <w:r>
        <w:rPr>
          <w:rFonts w:ascii="Times New Roman"/>
          <w:szCs w:val="22"/>
        </w:rPr>
        <w:t>28 mm</w:t>
      </w:r>
      <w:r>
        <w:rPr>
          <w:rFonts w:hint="eastAsia" w:ascii="Times New Roman"/>
          <w:szCs w:val="22"/>
        </w:rPr>
        <w:t>、右边距</w:t>
      </w:r>
      <w:r>
        <w:rPr>
          <w:rFonts w:ascii="Times New Roman"/>
          <w:szCs w:val="22"/>
        </w:rPr>
        <w:t>20 mm</w:t>
      </w:r>
      <w:r>
        <w:rPr>
          <w:rFonts w:hint="eastAsia" w:ascii="Times New Roman"/>
          <w:szCs w:val="22"/>
        </w:rPr>
        <w:t>、上边距</w:t>
      </w:r>
      <w:r>
        <w:rPr>
          <w:rFonts w:ascii="Times New Roman"/>
          <w:szCs w:val="22"/>
        </w:rPr>
        <w:t>25 mm</w:t>
      </w:r>
      <w:r>
        <w:rPr>
          <w:rFonts w:hint="eastAsia" w:ascii="Times New Roman"/>
          <w:szCs w:val="22"/>
        </w:rPr>
        <w:t>、下边距</w:t>
      </w:r>
      <w:r>
        <w:rPr>
          <w:rFonts w:ascii="Times New Roman"/>
          <w:szCs w:val="22"/>
        </w:rPr>
        <w:t>20 mm</w:t>
      </w:r>
      <w:r>
        <w:rPr>
          <w:rFonts w:hint="eastAsia" w:ascii="Times New Roman"/>
          <w:szCs w:val="22"/>
        </w:rPr>
        <w:t>；页眉顶端距离</w:t>
      </w:r>
      <w:r>
        <w:rPr>
          <w:rFonts w:ascii="Times New Roman"/>
          <w:szCs w:val="22"/>
        </w:rPr>
        <w:t>20 mm</w:t>
      </w:r>
      <w:r>
        <w:rPr>
          <w:rFonts w:hint="eastAsia" w:ascii="Times New Roman"/>
          <w:szCs w:val="22"/>
        </w:rPr>
        <w:t>，页脚底端距离</w:t>
      </w:r>
      <w:r>
        <w:rPr>
          <w:rFonts w:ascii="Times New Roman"/>
          <w:szCs w:val="22"/>
        </w:rPr>
        <w:t>15 mm</w:t>
      </w:r>
      <w:r>
        <w:rPr>
          <w:rFonts w:hint="eastAsia" w:ascii="Times New Roman"/>
          <w:szCs w:val="22"/>
        </w:rPr>
        <w:t>，页码位于页面底端，对齐方式为居中。</w:t>
      </w:r>
    </w:p>
    <w:p w14:paraId="1F314155">
      <w:pPr>
        <w:pStyle w:val="4"/>
        <w:spacing w:before="156"/>
        <w:rPr>
          <w:rFonts w:ascii="黑体" w:hAnsi="黑体" w:eastAsia="黑体"/>
        </w:rPr>
      </w:pPr>
      <w:bookmarkStart w:id="207" w:name="_Toc7216"/>
      <w:bookmarkStart w:id="208" w:name="_Toc195881890"/>
      <w:bookmarkStart w:id="209" w:name="_Toc25871"/>
      <w:r>
        <w:rPr>
          <w:rFonts w:ascii="黑体" w:hAnsi="黑体" w:eastAsia="黑体" w:cs="Times New Roman"/>
        </w:rPr>
        <w:t xml:space="preserve">16.3  </w:t>
      </w:r>
      <w:r>
        <w:rPr>
          <w:rFonts w:hint="eastAsia" w:ascii="黑体" w:hAnsi="黑体" w:eastAsia="黑体" w:cs="Times New Roman"/>
        </w:rPr>
        <w:t>印刷</w:t>
      </w:r>
      <w:bookmarkEnd w:id="207"/>
      <w:bookmarkEnd w:id="208"/>
      <w:bookmarkEnd w:id="209"/>
    </w:p>
    <w:p w14:paraId="5E64426D">
      <w:pPr>
        <w:pStyle w:val="41"/>
        <w:spacing w:line="276" w:lineRule="auto"/>
        <w:ind w:firstLine="420"/>
        <w:rPr>
          <w:rFonts w:ascii="Times New Roman"/>
        </w:rPr>
      </w:pPr>
      <w:r>
        <w:rPr>
          <w:rFonts w:hint="eastAsia" w:ascii="Times New Roman"/>
        </w:rPr>
        <w:t>除附图、复印件等外，双面打印文本。</w:t>
      </w:r>
    </w:p>
    <w:p w14:paraId="6A3CDB72">
      <w:pPr>
        <w:pStyle w:val="4"/>
        <w:spacing w:before="156"/>
        <w:rPr>
          <w:rFonts w:ascii="黑体" w:hAnsi="黑体" w:eastAsia="黑体"/>
        </w:rPr>
      </w:pPr>
      <w:bookmarkStart w:id="210" w:name="_Toc195881891"/>
      <w:bookmarkStart w:id="211" w:name="_Toc1627"/>
      <w:bookmarkStart w:id="212" w:name="_Toc631"/>
      <w:r>
        <w:rPr>
          <w:rFonts w:ascii="黑体" w:hAnsi="黑体" w:eastAsia="黑体" w:cs="Times New Roman"/>
        </w:rPr>
        <w:t xml:space="preserve">16.4  </w:t>
      </w:r>
      <w:r>
        <w:rPr>
          <w:rFonts w:hint="eastAsia" w:ascii="黑体" w:hAnsi="黑体" w:eastAsia="黑体" w:cs="Times New Roman"/>
        </w:rPr>
        <w:t>封装</w:t>
      </w:r>
      <w:bookmarkEnd w:id="210"/>
      <w:bookmarkEnd w:id="211"/>
      <w:bookmarkEnd w:id="212"/>
    </w:p>
    <w:p w14:paraId="3A9A5361">
      <w:pPr>
        <w:ind w:firstLine="420"/>
        <w:rPr>
          <w:rFonts w:ascii="Times New Roman" w:hAnsi="Times New Roman" w:eastAsia="宋体" w:cs="Times New Roman"/>
          <w:kern w:val="0"/>
          <w:szCs w:val="20"/>
          <w14:ligatures w14:val="none"/>
        </w:rPr>
      </w:pPr>
      <w:r>
        <w:rPr>
          <w:rFonts w:ascii="Times New Roman" w:hAnsi="Times New Roman" w:eastAsia="宋体" w:cs="Times New Roman"/>
          <w:kern w:val="0"/>
          <w:szCs w:val="20"/>
          <w14:ligatures w14:val="none"/>
        </w:rPr>
        <w:t>建设项目安全设施设计应采用白色封皮，装订线左侧，正式文本装订后，应在以下位置加盖公章或签字：</w:t>
      </w:r>
    </w:p>
    <w:p w14:paraId="158D0C84">
      <w:pPr>
        <w:ind w:firstLine="420"/>
        <w:rPr>
          <w:rFonts w:ascii="Times New Roman" w:hAnsi="Times New Roman" w:eastAsia="宋体" w:cs="Times New Roman"/>
          <w:kern w:val="0"/>
          <w:szCs w:val="20"/>
          <w14:ligatures w14:val="none"/>
        </w:rPr>
      </w:pPr>
      <w:r>
        <w:rPr>
          <w:rFonts w:ascii="Times New Roman" w:hAnsi="Times New Roman" w:eastAsia="宋体" w:cs="Times New Roman"/>
          <w:kern w:val="0"/>
          <w:szCs w:val="20"/>
          <w14:ligatures w14:val="none"/>
        </w:rPr>
        <w:t>a)</w:t>
      </w:r>
      <w:r>
        <w:rPr>
          <w:rFonts w:ascii="Times New Roman" w:hAnsi="Times New Roman" w:eastAsia="宋体" w:cs="Times New Roman"/>
          <w:kern w:val="0"/>
          <w:szCs w:val="20"/>
          <w14:ligatures w14:val="none"/>
        </w:rPr>
        <w:tab/>
      </w:r>
      <w:r>
        <w:rPr>
          <w:rFonts w:ascii="Times New Roman" w:hAnsi="Times New Roman" w:eastAsia="宋体" w:cs="Times New Roman"/>
          <w:kern w:val="0"/>
          <w:szCs w:val="20"/>
          <w14:ligatures w14:val="none"/>
        </w:rPr>
        <w:t>封面加盖建设单位公章；</w:t>
      </w:r>
    </w:p>
    <w:p w14:paraId="606B9F17">
      <w:pPr>
        <w:ind w:firstLine="420"/>
        <w:rPr>
          <w:rFonts w:ascii="Times New Roman" w:hAnsi="Times New Roman" w:eastAsia="宋体" w:cs="Times New Roman"/>
          <w:kern w:val="0"/>
          <w:szCs w:val="20"/>
          <w14:ligatures w14:val="none"/>
        </w:rPr>
      </w:pPr>
      <w:r>
        <w:rPr>
          <w:rFonts w:ascii="Times New Roman" w:hAnsi="Times New Roman" w:eastAsia="宋体" w:cs="Times New Roman"/>
          <w:kern w:val="0"/>
          <w:szCs w:val="20"/>
          <w14:ligatures w14:val="none"/>
        </w:rPr>
        <w:t>b)</w:t>
      </w:r>
      <w:r>
        <w:rPr>
          <w:rFonts w:ascii="Times New Roman" w:hAnsi="Times New Roman" w:eastAsia="宋体" w:cs="Times New Roman"/>
          <w:kern w:val="0"/>
          <w:szCs w:val="20"/>
          <w14:ligatures w14:val="none"/>
        </w:rPr>
        <w:tab/>
      </w:r>
      <w:r>
        <w:rPr>
          <w:rFonts w:ascii="Times New Roman" w:hAnsi="Times New Roman" w:eastAsia="宋体" w:cs="Times New Roman"/>
          <w:kern w:val="0"/>
          <w:szCs w:val="20"/>
          <w14:ligatures w14:val="none"/>
        </w:rPr>
        <w:t>扉页加盖设计单位公章；</w:t>
      </w:r>
    </w:p>
    <w:p w14:paraId="1FAAFE78">
      <w:pPr>
        <w:ind w:firstLine="420"/>
        <w:rPr>
          <w:rFonts w:ascii="Times New Roman" w:hAnsi="Times New Roman" w:eastAsia="宋体" w:cs="Times New Roman"/>
          <w:kern w:val="0"/>
          <w:szCs w:val="20"/>
          <w14:ligatures w14:val="none"/>
        </w:rPr>
      </w:pPr>
      <w:r>
        <w:rPr>
          <w:rFonts w:ascii="Times New Roman" w:hAnsi="Times New Roman" w:eastAsia="宋体" w:cs="Times New Roman"/>
          <w:kern w:val="0"/>
          <w:szCs w:val="20"/>
          <w14:ligatures w14:val="none"/>
        </w:rPr>
        <w:t>c)</w:t>
      </w:r>
      <w:r>
        <w:rPr>
          <w:rFonts w:ascii="Times New Roman" w:hAnsi="Times New Roman" w:eastAsia="宋体" w:cs="Times New Roman"/>
          <w:kern w:val="0"/>
          <w:szCs w:val="20"/>
          <w14:ligatures w14:val="none"/>
        </w:rPr>
        <w:tab/>
      </w:r>
      <w:r>
        <w:rPr>
          <w:rFonts w:hint="eastAsia" w:ascii="Times New Roman" w:hAnsi="Times New Roman" w:eastAsia="宋体" w:cs="Times New Roman"/>
          <w:kern w:val="0"/>
          <w:szCs w:val="20"/>
          <w14:ligatures w14:val="none"/>
        </w:rPr>
        <w:t>设计校审</w:t>
      </w:r>
      <w:r>
        <w:rPr>
          <w:rFonts w:ascii="Times New Roman" w:hAnsi="Times New Roman" w:eastAsia="宋体" w:cs="Times New Roman"/>
          <w:kern w:val="0"/>
          <w:szCs w:val="20"/>
          <w14:ligatures w14:val="none"/>
        </w:rPr>
        <w:t>人员名单进行手签字；</w:t>
      </w:r>
    </w:p>
    <w:p w14:paraId="6D9A8BDC">
      <w:pPr>
        <w:ind w:firstLine="420"/>
        <w:rPr>
          <w:rFonts w:ascii="Times New Roman" w:hAnsi="Times New Roman" w:eastAsia="宋体" w:cs="Times New Roman"/>
          <w:kern w:val="0"/>
          <w:szCs w:val="20"/>
          <w14:ligatures w14:val="none"/>
        </w:rPr>
      </w:pPr>
      <w:r>
        <w:rPr>
          <w:rFonts w:ascii="Times New Roman" w:hAnsi="Times New Roman" w:eastAsia="宋体" w:cs="Times New Roman"/>
          <w:kern w:val="0"/>
          <w:szCs w:val="20"/>
          <w14:ligatures w14:val="none"/>
        </w:rPr>
        <w:t>d)</w:t>
      </w:r>
      <w:r>
        <w:rPr>
          <w:rFonts w:ascii="Times New Roman" w:hAnsi="Times New Roman" w:eastAsia="宋体" w:cs="Times New Roman"/>
          <w:kern w:val="0"/>
          <w:szCs w:val="20"/>
          <w14:ligatures w14:val="none"/>
        </w:rPr>
        <w:tab/>
      </w:r>
      <w:r>
        <w:rPr>
          <w:rFonts w:ascii="Times New Roman" w:hAnsi="Times New Roman" w:eastAsia="宋体" w:cs="Times New Roman"/>
          <w:kern w:val="0"/>
          <w:szCs w:val="20"/>
          <w14:ligatures w14:val="none"/>
        </w:rPr>
        <w:t>结论加盖设计单位公章；</w:t>
      </w:r>
    </w:p>
    <w:p w14:paraId="02453B4E">
      <w:pPr>
        <w:ind w:firstLine="420"/>
        <w:rPr>
          <w:rFonts w:ascii="Times New Roman" w:hAnsi="Times New Roman" w:eastAsia="宋体" w:cs="Times New Roman"/>
        </w:rPr>
      </w:pPr>
      <w:r>
        <w:rPr>
          <w:rFonts w:ascii="Times New Roman" w:hAnsi="Times New Roman" w:eastAsia="宋体" w:cs="Times New Roman"/>
          <w:kern w:val="0"/>
          <w:szCs w:val="20"/>
          <w14:ligatures w14:val="none"/>
        </w:rPr>
        <w:t>e)</w:t>
      </w:r>
      <w:r>
        <w:rPr>
          <w:rFonts w:ascii="Times New Roman" w:hAnsi="Times New Roman" w:eastAsia="宋体" w:cs="Times New Roman"/>
          <w:kern w:val="0"/>
          <w:szCs w:val="20"/>
          <w14:ligatures w14:val="none"/>
        </w:rPr>
        <w:tab/>
      </w:r>
      <w:r>
        <w:rPr>
          <w:rFonts w:ascii="Times New Roman" w:hAnsi="Times New Roman" w:eastAsia="宋体" w:cs="Times New Roman"/>
          <w:kern w:val="0"/>
          <w:szCs w:val="20"/>
          <w14:ligatures w14:val="none"/>
        </w:rPr>
        <w:t>报告侧面加盖设计单位骑缝章。</w:t>
      </w:r>
    </w:p>
    <w:p w14:paraId="0975C1AA">
      <w:pPr>
        <w:widowControl/>
        <w:spacing w:line="240" w:lineRule="auto"/>
        <w:jc w:val="left"/>
        <w:rPr>
          <w:rFonts w:ascii="Times New Roman" w:hAnsi="Times New Roman" w:eastAsia="宋体" w:cs="Times New Roman"/>
          <w:kern w:val="0"/>
          <w:szCs w:val="20"/>
          <w14:ligatures w14:val="none"/>
        </w:rPr>
      </w:pPr>
      <w:r>
        <w:rPr>
          <w:rFonts w:ascii="Times New Roman" w:hAnsi="Times New Roman" w:eastAsia="宋体"/>
        </w:rPr>
        <w:br w:type="page"/>
      </w:r>
    </w:p>
    <w:p w14:paraId="58321280">
      <w:pPr>
        <w:pStyle w:val="89"/>
        <w:spacing w:after="156"/>
      </w:pPr>
      <w:bookmarkStart w:id="213" w:name="_Toc4260"/>
      <w:bookmarkStart w:id="214" w:name="_Toc195881892"/>
      <w:r>
        <w:rPr>
          <w:rFonts w:hint="eastAsia"/>
        </w:rPr>
        <w:t>附</w:t>
      </w:r>
      <w:r>
        <w:t xml:space="preserve"> </w:t>
      </w:r>
      <w:r>
        <w:rPr>
          <w:rFonts w:hint="eastAsia"/>
        </w:rPr>
        <w:t>录</w:t>
      </w:r>
      <w:r>
        <w:t xml:space="preserve"> </w:t>
      </w:r>
      <w:r>
        <w:rPr>
          <w:rFonts w:hint="eastAsia"/>
        </w:rPr>
        <w:t>A</w:t>
      </w:r>
      <w:r>
        <w:br w:type="textWrapping"/>
      </w:r>
      <w:r>
        <w:rPr>
          <w:rFonts w:hint="eastAsia"/>
        </w:rPr>
        <w:t>（资料性）</w:t>
      </w:r>
      <w:r>
        <w:br w:type="textWrapping"/>
      </w:r>
      <w:bookmarkEnd w:id="213"/>
      <w:r>
        <w:rPr>
          <w:rFonts w:hint="eastAsia"/>
        </w:rPr>
        <w:t>安全设施分类</w:t>
      </w:r>
      <w:bookmarkEnd w:id="214"/>
    </w:p>
    <w:p w14:paraId="74E1FB40">
      <w:pPr>
        <w:pStyle w:val="94"/>
        <w:numPr>
          <w:ilvl w:val="0"/>
          <w:numId w:val="0"/>
        </w:numPr>
        <w:spacing w:before="156" w:after="156"/>
      </w:pPr>
      <w:r>
        <w:rPr>
          <w:rFonts w:hint="eastAsia"/>
        </w:rPr>
        <w:t>A</w:t>
      </w:r>
      <w:r>
        <w:t xml:space="preserve">.1  </w:t>
      </w:r>
      <w:r>
        <w:rPr>
          <w:rFonts w:hint="eastAsia"/>
        </w:rPr>
        <w:t>预防事故设施</w:t>
      </w:r>
    </w:p>
    <w:p w14:paraId="093E09A5">
      <w:pPr>
        <w:pStyle w:val="41"/>
        <w:spacing w:line="276" w:lineRule="auto"/>
        <w:ind w:firstLine="0" w:firstLineChars="0"/>
        <w:rPr>
          <w:rFonts w:ascii="黑体" w:hAnsi="黑体" w:eastAsia="黑体"/>
          <w:szCs w:val="22"/>
        </w:rPr>
      </w:pPr>
      <w:r>
        <w:rPr>
          <w:rFonts w:ascii="黑体" w:hAnsi="黑体" w:eastAsia="黑体"/>
          <w:szCs w:val="22"/>
        </w:rPr>
        <w:t>A</w:t>
      </w:r>
      <w:r>
        <w:rPr>
          <w:rFonts w:hint="eastAsia" w:ascii="黑体" w:hAnsi="黑体" w:eastAsia="黑体"/>
          <w:szCs w:val="22"/>
        </w:rPr>
        <w:t>.</w:t>
      </w:r>
      <w:r>
        <w:rPr>
          <w:rFonts w:ascii="黑体" w:hAnsi="黑体" w:eastAsia="黑体"/>
          <w:szCs w:val="22"/>
        </w:rPr>
        <w:t xml:space="preserve">1.1  </w:t>
      </w:r>
      <w:r>
        <w:rPr>
          <w:rFonts w:hint="eastAsia" w:ascii="黑体" w:hAnsi="黑体" w:eastAsia="黑体"/>
          <w:szCs w:val="22"/>
        </w:rPr>
        <w:t>检测及报警设施</w:t>
      </w:r>
    </w:p>
    <w:p w14:paraId="56FCC596">
      <w:pPr>
        <w:pStyle w:val="41"/>
        <w:spacing w:line="276" w:lineRule="auto"/>
        <w:ind w:firstLine="420"/>
        <w:rPr>
          <w:rFonts w:ascii="Times New Roman"/>
          <w:szCs w:val="22"/>
        </w:rPr>
      </w:pPr>
      <w:r>
        <w:rPr>
          <w:rFonts w:hint="eastAsia" w:ascii="Times New Roman"/>
          <w:szCs w:val="22"/>
        </w:rPr>
        <w:t>压力、温度、液位、流量、组分等报警并触发安全联锁功能的设施，火灾、可燃气体、有毒有害气体等检测和报警设施；</w:t>
      </w:r>
      <w:r>
        <w:rPr>
          <w:rFonts w:ascii="Times New Roman"/>
          <w:szCs w:val="22"/>
        </w:rPr>
        <w:t>SIS</w:t>
      </w:r>
      <w:r>
        <w:rPr>
          <w:rFonts w:hint="eastAsia" w:ascii="Times New Roman"/>
          <w:szCs w:val="22"/>
        </w:rPr>
        <w:t>系统、火灾报警系统等。</w:t>
      </w:r>
    </w:p>
    <w:p w14:paraId="10E995D1">
      <w:pPr>
        <w:pStyle w:val="41"/>
        <w:spacing w:line="276" w:lineRule="auto"/>
        <w:ind w:firstLine="0" w:firstLineChars="0"/>
        <w:rPr>
          <w:rFonts w:ascii="黑体" w:hAnsi="黑体" w:eastAsia="黑体"/>
          <w:szCs w:val="22"/>
        </w:rPr>
      </w:pPr>
      <w:r>
        <w:rPr>
          <w:rFonts w:ascii="黑体" w:hAnsi="黑体" w:eastAsia="黑体"/>
          <w:szCs w:val="22"/>
        </w:rPr>
        <w:t>A</w:t>
      </w:r>
      <w:r>
        <w:rPr>
          <w:rFonts w:hint="eastAsia" w:ascii="黑体" w:hAnsi="黑体" w:eastAsia="黑体"/>
          <w:szCs w:val="22"/>
        </w:rPr>
        <w:t>.</w:t>
      </w:r>
      <w:r>
        <w:rPr>
          <w:rFonts w:ascii="黑体" w:hAnsi="黑体" w:eastAsia="黑体"/>
          <w:szCs w:val="22"/>
        </w:rPr>
        <w:t xml:space="preserve">1.2  </w:t>
      </w:r>
      <w:r>
        <w:rPr>
          <w:rFonts w:hint="eastAsia" w:ascii="黑体" w:hAnsi="黑体" w:eastAsia="黑体"/>
          <w:szCs w:val="22"/>
        </w:rPr>
        <w:t>监测设施</w:t>
      </w:r>
    </w:p>
    <w:p w14:paraId="4D334B64">
      <w:pPr>
        <w:pStyle w:val="41"/>
        <w:spacing w:line="276" w:lineRule="auto"/>
        <w:ind w:firstLine="420"/>
        <w:rPr>
          <w:rFonts w:ascii="Times New Roman"/>
          <w:szCs w:val="22"/>
        </w:rPr>
      </w:pPr>
      <w:r>
        <w:rPr>
          <w:rFonts w:hint="eastAsia" w:ascii="Times New Roman"/>
          <w:szCs w:val="22"/>
        </w:rPr>
        <w:t>地质灾害监测设施、管道本体监测设施、管道泄漏监测系统。</w:t>
      </w:r>
    </w:p>
    <w:p w14:paraId="3B0B26B6">
      <w:pPr>
        <w:pStyle w:val="41"/>
        <w:spacing w:line="276" w:lineRule="auto"/>
        <w:ind w:firstLine="0" w:firstLineChars="0"/>
        <w:rPr>
          <w:rFonts w:ascii="黑体" w:hAnsi="黑体" w:eastAsia="黑体"/>
          <w:szCs w:val="22"/>
        </w:rPr>
      </w:pPr>
      <w:r>
        <w:rPr>
          <w:rFonts w:ascii="黑体" w:hAnsi="黑体" w:eastAsia="黑体"/>
          <w:szCs w:val="22"/>
        </w:rPr>
        <w:t xml:space="preserve">A.1.3  </w:t>
      </w:r>
      <w:r>
        <w:rPr>
          <w:rFonts w:hint="eastAsia" w:ascii="黑体" w:hAnsi="黑体" w:eastAsia="黑体"/>
          <w:szCs w:val="22"/>
        </w:rPr>
        <w:t>防雷电及防静电设施</w:t>
      </w:r>
    </w:p>
    <w:p w14:paraId="40F6023C">
      <w:pPr>
        <w:pStyle w:val="41"/>
        <w:spacing w:line="276" w:lineRule="auto"/>
        <w:ind w:firstLine="420"/>
        <w:rPr>
          <w:rFonts w:ascii="Times New Roman"/>
          <w:szCs w:val="22"/>
        </w:rPr>
      </w:pPr>
      <w:r>
        <w:rPr>
          <w:rFonts w:hint="eastAsia" w:ascii="Times New Roman"/>
          <w:szCs w:val="22"/>
        </w:rPr>
        <w:t>设备、管道、建构筑物等防雷、防静电接地；电气设备的电击防护措施。</w:t>
      </w:r>
    </w:p>
    <w:p w14:paraId="127661AE">
      <w:pPr>
        <w:pStyle w:val="41"/>
        <w:spacing w:line="276" w:lineRule="auto"/>
        <w:ind w:firstLine="0" w:firstLineChars="0"/>
        <w:rPr>
          <w:rFonts w:ascii="黑体" w:hAnsi="黑体" w:eastAsia="黑体"/>
          <w:szCs w:val="22"/>
        </w:rPr>
      </w:pPr>
      <w:r>
        <w:rPr>
          <w:rFonts w:ascii="黑体" w:hAnsi="黑体" w:eastAsia="黑体"/>
          <w:szCs w:val="22"/>
        </w:rPr>
        <w:t xml:space="preserve">A.1.4  </w:t>
      </w:r>
      <w:r>
        <w:rPr>
          <w:rFonts w:hint="eastAsia" w:ascii="黑体" w:hAnsi="黑体" w:eastAsia="黑体"/>
          <w:szCs w:val="22"/>
        </w:rPr>
        <w:t>设备及管道安全防护设施</w:t>
      </w:r>
    </w:p>
    <w:p w14:paraId="7AEBD84F">
      <w:pPr>
        <w:pStyle w:val="41"/>
        <w:spacing w:line="276" w:lineRule="auto"/>
        <w:ind w:firstLine="420"/>
        <w:rPr>
          <w:rFonts w:ascii="Times New Roman"/>
          <w:szCs w:val="22"/>
        </w:rPr>
      </w:pPr>
      <w:r>
        <w:rPr>
          <w:rFonts w:hint="eastAsia" w:ascii="Times New Roman"/>
          <w:szCs w:val="22"/>
        </w:rPr>
        <w:t>防凝、防冻堵、保冷、阴极保护等。</w:t>
      </w:r>
    </w:p>
    <w:p w14:paraId="7520A0F2">
      <w:pPr>
        <w:pStyle w:val="41"/>
        <w:spacing w:line="276" w:lineRule="auto"/>
        <w:ind w:firstLine="0" w:firstLineChars="0"/>
        <w:rPr>
          <w:rFonts w:ascii="黑体" w:hAnsi="黑体" w:eastAsia="黑体"/>
          <w:szCs w:val="22"/>
        </w:rPr>
      </w:pPr>
      <w:r>
        <w:rPr>
          <w:rFonts w:ascii="黑体" w:hAnsi="黑体" w:eastAsia="黑体"/>
          <w:szCs w:val="22"/>
        </w:rPr>
        <w:t xml:space="preserve">A.1.5  </w:t>
      </w:r>
      <w:r>
        <w:rPr>
          <w:rFonts w:hint="eastAsia" w:ascii="黑体" w:hAnsi="黑体" w:eastAsia="黑体"/>
          <w:szCs w:val="22"/>
        </w:rPr>
        <w:t>防爆设施</w:t>
      </w:r>
    </w:p>
    <w:p w14:paraId="79FE5986">
      <w:pPr>
        <w:pStyle w:val="41"/>
        <w:spacing w:line="276" w:lineRule="auto"/>
        <w:ind w:firstLine="420"/>
        <w:rPr>
          <w:rFonts w:ascii="Times New Roman"/>
          <w:szCs w:val="22"/>
        </w:rPr>
      </w:pPr>
      <w:r>
        <w:rPr>
          <w:rFonts w:hint="eastAsia" w:ascii="Times New Roman"/>
          <w:szCs w:val="22"/>
        </w:rPr>
        <w:t>各种电气、仪表的防爆设施。</w:t>
      </w:r>
    </w:p>
    <w:p w14:paraId="1E6E76B3">
      <w:pPr>
        <w:pStyle w:val="41"/>
        <w:spacing w:line="276" w:lineRule="auto"/>
        <w:ind w:firstLine="0" w:firstLineChars="0"/>
        <w:rPr>
          <w:rFonts w:ascii="黑体" w:hAnsi="黑体" w:eastAsia="黑体"/>
          <w:szCs w:val="22"/>
        </w:rPr>
      </w:pPr>
      <w:r>
        <w:rPr>
          <w:rFonts w:ascii="黑体" w:hAnsi="黑体" w:eastAsia="黑体"/>
          <w:szCs w:val="22"/>
        </w:rPr>
        <w:t xml:space="preserve">A.1.6  </w:t>
      </w:r>
      <w:r>
        <w:rPr>
          <w:rFonts w:hint="eastAsia" w:ascii="黑体" w:hAnsi="黑体" w:eastAsia="黑体"/>
          <w:szCs w:val="22"/>
        </w:rPr>
        <w:t>安防系统</w:t>
      </w:r>
    </w:p>
    <w:p w14:paraId="44E0579F">
      <w:pPr>
        <w:pStyle w:val="41"/>
        <w:spacing w:line="276" w:lineRule="auto"/>
        <w:ind w:firstLine="420"/>
        <w:rPr>
          <w:rFonts w:ascii="Times New Roman"/>
          <w:szCs w:val="22"/>
        </w:rPr>
      </w:pPr>
      <w:r>
        <w:rPr>
          <w:rFonts w:hint="eastAsia" w:ascii="Times New Roman"/>
          <w:szCs w:val="22"/>
        </w:rPr>
        <w:t>周界报警系统、视频监控、出入口控制等。</w:t>
      </w:r>
    </w:p>
    <w:p w14:paraId="3B21E2C9">
      <w:pPr>
        <w:pStyle w:val="41"/>
        <w:spacing w:line="276" w:lineRule="auto"/>
        <w:ind w:firstLine="0" w:firstLineChars="0"/>
        <w:rPr>
          <w:rFonts w:ascii="黑体" w:hAnsi="黑体" w:eastAsia="黑体"/>
          <w:szCs w:val="22"/>
        </w:rPr>
      </w:pPr>
      <w:r>
        <w:rPr>
          <w:rFonts w:ascii="黑体" w:hAnsi="黑体" w:eastAsia="黑体"/>
          <w:szCs w:val="22"/>
        </w:rPr>
        <w:t xml:space="preserve">A.1.7  </w:t>
      </w:r>
      <w:r>
        <w:rPr>
          <w:rFonts w:hint="eastAsia" w:ascii="黑体" w:hAnsi="黑体" w:eastAsia="黑体"/>
          <w:szCs w:val="22"/>
        </w:rPr>
        <w:t>安全警示标志</w:t>
      </w:r>
    </w:p>
    <w:p w14:paraId="2590D64A">
      <w:pPr>
        <w:pStyle w:val="41"/>
        <w:spacing w:line="276" w:lineRule="auto"/>
        <w:ind w:firstLine="420"/>
        <w:rPr>
          <w:rFonts w:ascii="Times New Roman"/>
          <w:szCs w:val="22"/>
        </w:rPr>
      </w:pPr>
      <w:r>
        <w:rPr>
          <w:rFonts w:hint="eastAsia" w:ascii="Times New Roman"/>
          <w:szCs w:val="22"/>
        </w:rPr>
        <w:t>包括各种指示、管道涂色、警示带、警示作业安全和逃生避难及风向等警示标志。</w:t>
      </w:r>
    </w:p>
    <w:p w14:paraId="59974760">
      <w:pPr>
        <w:pStyle w:val="41"/>
        <w:spacing w:line="276" w:lineRule="auto"/>
        <w:ind w:firstLine="0" w:firstLineChars="0"/>
        <w:rPr>
          <w:rFonts w:ascii="黑体" w:hAnsi="黑体" w:eastAsia="黑体"/>
          <w:szCs w:val="22"/>
        </w:rPr>
      </w:pPr>
      <w:r>
        <w:rPr>
          <w:rFonts w:ascii="黑体" w:hAnsi="黑体" w:eastAsia="黑体"/>
          <w:szCs w:val="22"/>
        </w:rPr>
        <w:t xml:space="preserve">A.1.8  </w:t>
      </w:r>
      <w:r>
        <w:rPr>
          <w:rFonts w:hint="eastAsia" w:ascii="黑体" w:hAnsi="黑体" w:eastAsia="黑体"/>
          <w:szCs w:val="22"/>
        </w:rPr>
        <w:t>作业场所防护设施</w:t>
      </w:r>
    </w:p>
    <w:p w14:paraId="34114723">
      <w:pPr>
        <w:pStyle w:val="41"/>
        <w:spacing w:line="276" w:lineRule="auto"/>
        <w:ind w:firstLine="420"/>
        <w:rPr>
          <w:rFonts w:ascii="Times New Roman"/>
          <w:szCs w:val="22"/>
        </w:rPr>
      </w:pPr>
      <w:r>
        <w:rPr>
          <w:rFonts w:hint="eastAsia" w:ascii="Times New Roman"/>
          <w:szCs w:val="22"/>
        </w:rPr>
        <w:t>消除人体静电装置、通风、防护栏（网）、防灼烫等设施。</w:t>
      </w:r>
    </w:p>
    <w:p w14:paraId="71938A45">
      <w:pPr>
        <w:pStyle w:val="94"/>
        <w:numPr>
          <w:ilvl w:val="0"/>
          <w:numId w:val="0"/>
        </w:numPr>
        <w:spacing w:before="156" w:after="156"/>
      </w:pPr>
      <w:r>
        <w:rPr>
          <w:rFonts w:hint="eastAsia"/>
        </w:rPr>
        <w:t>A</w:t>
      </w:r>
      <w:r>
        <w:t xml:space="preserve">.2  </w:t>
      </w:r>
      <w:r>
        <w:rPr>
          <w:rFonts w:hint="eastAsia"/>
        </w:rPr>
        <w:t>控制事故设施</w:t>
      </w:r>
    </w:p>
    <w:p w14:paraId="129E444A">
      <w:pPr>
        <w:pStyle w:val="41"/>
        <w:spacing w:line="276" w:lineRule="auto"/>
        <w:ind w:firstLine="0" w:firstLineChars="0"/>
        <w:rPr>
          <w:rFonts w:ascii="黑体" w:hAnsi="黑体" w:eastAsia="黑体"/>
          <w:szCs w:val="22"/>
        </w:rPr>
      </w:pPr>
      <w:r>
        <w:rPr>
          <w:rFonts w:ascii="黑体" w:hAnsi="黑体" w:eastAsia="黑体"/>
          <w:szCs w:val="22"/>
        </w:rPr>
        <w:t xml:space="preserve">A.2.1  </w:t>
      </w:r>
      <w:r>
        <w:rPr>
          <w:rFonts w:hint="eastAsia" w:ascii="黑体" w:hAnsi="黑体" w:eastAsia="黑体"/>
          <w:szCs w:val="22"/>
        </w:rPr>
        <w:t>泄压和止逆设施</w:t>
      </w:r>
    </w:p>
    <w:p w14:paraId="4B084F46">
      <w:pPr>
        <w:pStyle w:val="41"/>
        <w:spacing w:line="276" w:lineRule="auto"/>
        <w:ind w:firstLine="420"/>
        <w:rPr>
          <w:rFonts w:ascii="Times New Roman"/>
          <w:szCs w:val="22"/>
        </w:rPr>
      </w:pPr>
      <w:r>
        <w:rPr>
          <w:rFonts w:hint="eastAsia" w:ascii="Times New Roman"/>
          <w:szCs w:val="22"/>
        </w:rPr>
        <w:t>用于泄压的阀门、爆破片、放空设施等设施，用于止逆的阀门等设施。</w:t>
      </w:r>
    </w:p>
    <w:p w14:paraId="4F3BCDB2">
      <w:pPr>
        <w:pStyle w:val="41"/>
        <w:spacing w:line="276" w:lineRule="auto"/>
        <w:ind w:firstLine="0" w:firstLineChars="0"/>
        <w:rPr>
          <w:rFonts w:ascii="黑体" w:hAnsi="黑体" w:eastAsia="黑体"/>
          <w:szCs w:val="22"/>
        </w:rPr>
      </w:pPr>
      <w:r>
        <w:rPr>
          <w:rFonts w:ascii="黑体" w:hAnsi="黑体" w:eastAsia="黑体"/>
          <w:szCs w:val="22"/>
        </w:rPr>
        <w:t xml:space="preserve">A.2.2  </w:t>
      </w:r>
      <w:r>
        <w:rPr>
          <w:rFonts w:hint="eastAsia" w:ascii="黑体" w:hAnsi="黑体" w:eastAsia="黑体"/>
          <w:szCs w:val="22"/>
        </w:rPr>
        <w:t>紧急处理设施</w:t>
      </w:r>
    </w:p>
    <w:p w14:paraId="18E4E23C">
      <w:pPr>
        <w:pStyle w:val="41"/>
        <w:spacing w:line="276" w:lineRule="auto"/>
        <w:ind w:firstLine="420"/>
        <w:rPr>
          <w:rFonts w:ascii="Times New Roman"/>
          <w:szCs w:val="22"/>
        </w:rPr>
      </w:pPr>
      <w:r>
        <w:rPr>
          <w:rFonts w:hint="eastAsia" w:ascii="Times New Roman"/>
          <w:szCs w:val="22"/>
        </w:rPr>
        <w:t>紧急切断、紧急停车、应急电源（包括</w:t>
      </w:r>
      <w:r>
        <w:rPr>
          <w:rFonts w:ascii="Times New Roman"/>
          <w:szCs w:val="22"/>
        </w:rPr>
        <w:t>UPS</w:t>
      </w:r>
      <w:r>
        <w:rPr>
          <w:rFonts w:hint="eastAsia" w:ascii="Times New Roman"/>
          <w:szCs w:val="22"/>
        </w:rPr>
        <w:t>、</w:t>
      </w:r>
      <w:r>
        <w:rPr>
          <w:rFonts w:ascii="Times New Roman"/>
          <w:szCs w:val="22"/>
        </w:rPr>
        <w:t>EPS</w:t>
      </w:r>
      <w:r>
        <w:rPr>
          <w:rFonts w:hint="eastAsia" w:ascii="Times New Roman"/>
          <w:szCs w:val="22"/>
        </w:rPr>
        <w:t>、发电机）等设施。</w:t>
      </w:r>
    </w:p>
    <w:p w14:paraId="33778C5D">
      <w:pPr>
        <w:pStyle w:val="94"/>
        <w:numPr>
          <w:ilvl w:val="0"/>
          <w:numId w:val="0"/>
        </w:numPr>
        <w:spacing w:before="156" w:after="156"/>
      </w:pPr>
      <w:r>
        <w:rPr>
          <w:rFonts w:hint="eastAsia"/>
        </w:rPr>
        <w:t>A</w:t>
      </w:r>
      <w:r>
        <w:t xml:space="preserve">.3  </w:t>
      </w:r>
      <w:r>
        <w:rPr>
          <w:rFonts w:hint="eastAsia"/>
        </w:rPr>
        <w:t>消减事故及影响设施</w:t>
      </w:r>
      <w:r>
        <w:tab/>
      </w:r>
    </w:p>
    <w:p w14:paraId="262C1C95">
      <w:pPr>
        <w:pStyle w:val="41"/>
        <w:spacing w:line="276" w:lineRule="auto"/>
        <w:ind w:firstLine="0" w:firstLineChars="0"/>
        <w:rPr>
          <w:rFonts w:ascii="黑体" w:hAnsi="黑体" w:eastAsia="黑体"/>
          <w:szCs w:val="22"/>
        </w:rPr>
      </w:pPr>
      <w:r>
        <w:rPr>
          <w:rFonts w:ascii="黑体" w:hAnsi="黑体" w:eastAsia="黑体"/>
          <w:szCs w:val="22"/>
        </w:rPr>
        <w:t xml:space="preserve">A.3.1  </w:t>
      </w:r>
      <w:r>
        <w:rPr>
          <w:rFonts w:hint="eastAsia" w:ascii="黑体" w:hAnsi="黑体" w:eastAsia="黑体"/>
          <w:szCs w:val="22"/>
        </w:rPr>
        <w:t>防止火灾蔓延设施</w:t>
      </w:r>
    </w:p>
    <w:p w14:paraId="319801B2">
      <w:pPr>
        <w:pStyle w:val="41"/>
        <w:spacing w:line="276" w:lineRule="auto"/>
        <w:ind w:firstLine="420"/>
        <w:rPr>
          <w:rFonts w:ascii="Times New Roman"/>
        </w:rPr>
      </w:pPr>
      <w:r>
        <w:rPr>
          <w:rFonts w:hint="eastAsia" w:ascii="Times New Roman"/>
        </w:rPr>
        <w:t>阻火器、防火堤等设施，防火材料涂层。</w:t>
      </w:r>
    </w:p>
    <w:p w14:paraId="2FBE94DE">
      <w:pPr>
        <w:pStyle w:val="41"/>
        <w:spacing w:line="276" w:lineRule="auto"/>
        <w:ind w:firstLine="0" w:firstLineChars="0"/>
        <w:rPr>
          <w:rFonts w:ascii="黑体" w:hAnsi="黑体" w:eastAsia="黑体"/>
          <w:szCs w:val="22"/>
        </w:rPr>
      </w:pPr>
      <w:r>
        <w:rPr>
          <w:rFonts w:ascii="黑体" w:hAnsi="黑体" w:eastAsia="黑体"/>
          <w:szCs w:val="22"/>
        </w:rPr>
        <w:t xml:space="preserve">A.3.2  </w:t>
      </w:r>
      <w:r>
        <w:rPr>
          <w:rFonts w:hint="eastAsia" w:ascii="黑体" w:hAnsi="黑体" w:eastAsia="黑体"/>
          <w:szCs w:val="22"/>
        </w:rPr>
        <w:t>应急救援设施</w:t>
      </w:r>
    </w:p>
    <w:p w14:paraId="556E1FDD">
      <w:pPr>
        <w:pStyle w:val="41"/>
        <w:spacing w:line="276" w:lineRule="auto"/>
        <w:ind w:firstLine="420"/>
        <w:rPr>
          <w:rFonts w:ascii="Times New Roman"/>
        </w:rPr>
      </w:pPr>
      <w:r>
        <w:rPr>
          <w:rFonts w:hint="eastAsia" w:ascii="Times New Roman"/>
        </w:rPr>
        <w:t>洗眼器、医疗急救设备。</w:t>
      </w:r>
    </w:p>
    <w:p w14:paraId="5309DFA0">
      <w:pPr>
        <w:pStyle w:val="41"/>
        <w:spacing w:line="276" w:lineRule="auto"/>
        <w:ind w:firstLine="0" w:firstLineChars="0"/>
        <w:rPr>
          <w:rFonts w:ascii="黑体" w:hAnsi="黑体" w:eastAsia="黑体"/>
          <w:szCs w:val="22"/>
        </w:rPr>
      </w:pPr>
      <w:r>
        <w:rPr>
          <w:rFonts w:ascii="黑体" w:hAnsi="黑体" w:eastAsia="黑体"/>
          <w:szCs w:val="22"/>
        </w:rPr>
        <w:t xml:space="preserve">A.3.3  </w:t>
      </w:r>
      <w:r>
        <w:rPr>
          <w:rFonts w:hint="eastAsia" w:ascii="黑体" w:hAnsi="黑体" w:eastAsia="黑体"/>
          <w:szCs w:val="22"/>
        </w:rPr>
        <w:t>逃生设施</w:t>
      </w:r>
    </w:p>
    <w:p w14:paraId="275A8F01">
      <w:pPr>
        <w:pStyle w:val="41"/>
        <w:spacing w:line="276" w:lineRule="auto"/>
        <w:ind w:firstLine="420"/>
        <w:rPr>
          <w:rFonts w:ascii="Times New Roman"/>
        </w:rPr>
      </w:pPr>
      <w:r>
        <w:rPr>
          <w:rFonts w:hint="eastAsia" w:ascii="Times New Roman"/>
        </w:rPr>
        <w:t>逃生的安全通道（梯）、工程庇护所、社区报警等。</w:t>
      </w:r>
    </w:p>
    <w:p w14:paraId="64B9B7B6">
      <w:pPr>
        <w:pStyle w:val="41"/>
        <w:spacing w:line="276" w:lineRule="auto"/>
        <w:ind w:firstLine="0" w:firstLineChars="0"/>
        <w:rPr>
          <w:rFonts w:ascii="黑体" w:hAnsi="黑体" w:eastAsia="黑体"/>
          <w:szCs w:val="22"/>
        </w:rPr>
      </w:pPr>
      <w:r>
        <w:rPr>
          <w:rFonts w:ascii="黑体" w:hAnsi="黑体" w:eastAsia="黑体"/>
          <w:szCs w:val="22"/>
        </w:rPr>
        <w:t xml:space="preserve">A.3.4  </w:t>
      </w:r>
      <w:r>
        <w:rPr>
          <w:rFonts w:hint="eastAsia" w:ascii="黑体" w:hAnsi="黑体" w:eastAsia="黑体"/>
          <w:szCs w:val="22"/>
        </w:rPr>
        <w:t>劳动保护用品和装备</w:t>
      </w:r>
    </w:p>
    <w:p w14:paraId="3FE86015">
      <w:pPr>
        <w:widowControl/>
        <w:spacing w:line="240" w:lineRule="auto"/>
        <w:ind w:firstLine="420" w:firstLineChars="200"/>
        <w:jc w:val="left"/>
        <w:rPr>
          <w:rFonts w:ascii="黑体" w:hAnsi="Times New Roman" w:eastAsia="黑体" w:cs="Times New Roman"/>
          <w:kern w:val="0"/>
          <w:szCs w:val="20"/>
          <w14:ligatures w14:val="none"/>
        </w:rPr>
      </w:pPr>
      <w:r>
        <w:rPr>
          <w:rFonts w:hint="eastAsia" w:ascii="Times New Roman"/>
        </w:rPr>
        <w:t>包括头部，面部，视觉、呼吸、听觉器官，四肢，躯干防火、防毒、防灼烫、防腐蚀、防高处坠落、防砸击、防刺伤等免受作业场所物理、化学因素伤害的劳动防护用品和装备。</w:t>
      </w:r>
      <w:r>
        <w:br w:type="page"/>
      </w:r>
    </w:p>
    <w:p w14:paraId="7911A85A">
      <w:pPr>
        <w:pStyle w:val="89"/>
        <w:spacing w:after="156"/>
      </w:pPr>
      <w:bookmarkStart w:id="215" w:name="_Toc195881893"/>
      <w:r>
        <w:t xml:space="preserve">附 录 </w:t>
      </w:r>
      <w:r>
        <w:rPr>
          <w:rFonts w:hint="eastAsia"/>
        </w:rPr>
        <w:t>B</w:t>
      </w:r>
      <w:r>
        <w:br w:type="textWrapping"/>
      </w:r>
      <w:r>
        <w:rPr>
          <w:rFonts w:hint="eastAsia"/>
        </w:rPr>
        <w:t>（</w:t>
      </w:r>
      <w:r>
        <w:t>规范性</w:t>
      </w:r>
      <w:r>
        <w:rPr>
          <w:rFonts w:hint="eastAsia"/>
        </w:rPr>
        <w:t>）</w:t>
      </w:r>
      <w:r>
        <w:br w:type="textWrapping"/>
      </w:r>
      <w:r>
        <w:rPr>
          <w:rFonts w:hint="eastAsia"/>
        </w:rPr>
        <w:t>附表</w:t>
      </w:r>
      <w:bookmarkEnd w:id="215"/>
    </w:p>
    <w:p w14:paraId="19A55971">
      <w:pPr>
        <w:snapToGrid w:val="0"/>
        <w:jc w:val="center"/>
        <w:rPr>
          <w:rFonts w:ascii="黑体" w:hAnsi="宋体" w:eastAsia="黑体" w:cs="Arial"/>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  </w:t>
      </w:r>
      <w:r>
        <w:rPr>
          <w:rFonts w:ascii="黑体" w:hAnsi="宋体" w:eastAsia="黑体" w:cs="Arial"/>
          <w:snapToGrid w:val="0"/>
          <w:kern w:val="0"/>
          <w:sz w:val="18"/>
          <w:szCs w:val="18"/>
        </w:rPr>
        <w:t>建库指标</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2481"/>
        <w:gridCol w:w="1256"/>
        <w:gridCol w:w="3391"/>
        <w:gridCol w:w="1163"/>
      </w:tblGrid>
      <w:tr w14:paraId="2471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94" w:type="pct"/>
            <w:gridSpan w:val="2"/>
            <w:shd w:val="clear" w:color="auto" w:fill="auto"/>
            <w:vAlign w:val="center"/>
          </w:tcPr>
          <w:p w14:paraId="553DCCA2">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库容量(10</w:t>
            </w:r>
            <w:r>
              <w:rPr>
                <w:rFonts w:ascii="Times New Roman" w:hAnsi="Times New Roman" w:eastAsia="宋体" w:cs="Times New Roman"/>
                <w:sz w:val="18"/>
                <w:szCs w:val="18"/>
                <w:vertAlign w:val="superscript"/>
              </w:rPr>
              <w:t>8</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w:t>
            </w:r>
          </w:p>
        </w:tc>
        <w:tc>
          <w:tcPr>
            <w:tcW w:w="693" w:type="pct"/>
            <w:shd w:val="clear" w:color="auto" w:fill="auto"/>
            <w:vAlign w:val="center"/>
          </w:tcPr>
          <w:p w14:paraId="234A4E80">
            <w:pPr>
              <w:spacing w:line="240" w:lineRule="auto"/>
              <w:jc w:val="center"/>
              <w:rPr>
                <w:rFonts w:ascii="Times New Roman" w:hAnsi="Times New Roman" w:eastAsia="宋体" w:cs="Times New Roman"/>
                <w:sz w:val="18"/>
                <w:szCs w:val="18"/>
              </w:rPr>
            </w:pPr>
          </w:p>
        </w:tc>
        <w:tc>
          <w:tcPr>
            <w:tcW w:w="1871" w:type="pct"/>
            <w:shd w:val="clear" w:color="auto" w:fill="auto"/>
            <w:vAlign w:val="center"/>
          </w:tcPr>
          <w:p w14:paraId="4C41318D">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工作气量(10</w:t>
            </w:r>
            <w:r>
              <w:rPr>
                <w:rFonts w:ascii="Times New Roman" w:hAnsi="Times New Roman" w:eastAsia="宋体" w:cs="Times New Roman"/>
                <w:sz w:val="18"/>
                <w:szCs w:val="18"/>
                <w:vertAlign w:val="superscript"/>
              </w:rPr>
              <w:t>8</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w:t>
            </w:r>
          </w:p>
        </w:tc>
        <w:tc>
          <w:tcPr>
            <w:tcW w:w="642" w:type="pct"/>
            <w:shd w:val="clear" w:color="auto" w:fill="auto"/>
            <w:vAlign w:val="center"/>
          </w:tcPr>
          <w:p w14:paraId="70EFA597">
            <w:pPr>
              <w:spacing w:line="240" w:lineRule="auto"/>
              <w:jc w:val="center"/>
              <w:rPr>
                <w:rFonts w:ascii="Times New Roman" w:hAnsi="Times New Roman" w:eastAsia="宋体" w:cs="Times New Roman"/>
                <w:sz w:val="18"/>
                <w:szCs w:val="18"/>
              </w:rPr>
            </w:pPr>
          </w:p>
        </w:tc>
      </w:tr>
      <w:tr w14:paraId="54C5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94" w:type="pct"/>
            <w:gridSpan w:val="2"/>
            <w:shd w:val="clear" w:color="auto" w:fill="auto"/>
            <w:vAlign w:val="center"/>
          </w:tcPr>
          <w:p w14:paraId="3EF87C05">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原始地层压力(MPa)</w:t>
            </w:r>
          </w:p>
        </w:tc>
        <w:tc>
          <w:tcPr>
            <w:tcW w:w="693" w:type="pct"/>
            <w:shd w:val="clear" w:color="auto" w:fill="auto"/>
            <w:vAlign w:val="center"/>
          </w:tcPr>
          <w:p w14:paraId="66D043C8">
            <w:pPr>
              <w:spacing w:line="240" w:lineRule="auto"/>
              <w:jc w:val="center"/>
              <w:rPr>
                <w:rFonts w:ascii="Times New Roman" w:hAnsi="Times New Roman" w:eastAsia="宋体" w:cs="Times New Roman"/>
                <w:sz w:val="18"/>
                <w:szCs w:val="18"/>
              </w:rPr>
            </w:pPr>
          </w:p>
        </w:tc>
        <w:tc>
          <w:tcPr>
            <w:tcW w:w="1871" w:type="pct"/>
            <w:shd w:val="clear" w:color="auto" w:fill="auto"/>
            <w:vAlign w:val="center"/>
          </w:tcPr>
          <w:p w14:paraId="44BEA9CD">
            <w:pPr>
              <w:spacing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盖层弱面破裂压力</w:t>
            </w:r>
            <w:r>
              <w:rPr>
                <w:rFonts w:ascii="Times New Roman" w:hAnsi="Times New Roman" w:eastAsia="宋体" w:cs="Times New Roman"/>
                <w:sz w:val="18"/>
                <w:szCs w:val="18"/>
              </w:rPr>
              <w:t>(MPa)</w:t>
            </w:r>
          </w:p>
        </w:tc>
        <w:tc>
          <w:tcPr>
            <w:tcW w:w="642" w:type="pct"/>
            <w:shd w:val="clear" w:color="auto" w:fill="auto"/>
            <w:vAlign w:val="center"/>
          </w:tcPr>
          <w:p w14:paraId="74D62CC8">
            <w:pPr>
              <w:spacing w:line="240" w:lineRule="auto"/>
              <w:jc w:val="center"/>
              <w:rPr>
                <w:rFonts w:ascii="Times New Roman" w:hAnsi="Times New Roman" w:eastAsia="宋体" w:cs="Times New Roman"/>
                <w:sz w:val="18"/>
                <w:szCs w:val="18"/>
              </w:rPr>
            </w:pPr>
          </w:p>
        </w:tc>
      </w:tr>
      <w:tr w14:paraId="0A22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94" w:type="pct"/>
            <w:gridSpan w:val="2"/>
            <w:shd w:val="clear" w:color="auto" w:fill="auto"/>
            <w:vAlign w:val="center"/>
          </w:tcPr>
          <w:p w14:paraId="1C7B3403">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上限压力(MPa)</w:t>
            </w:r>
          </w:p>
        </w:tc>
        <w:tc>
          <w:tcPr>
            <w:tcW w:w="693" w:type="pct"/>
            <w:shd w:val="clear" w:color="auto" w:fill="auto"/>
            <w:vAlign w:val="center"/>
          </w:tcPr>
          <w:p w14:paraId="04F59F7C">
            <w:pPr>
              <w:spacing w:line="240" w:lineRule="auto"/>
              <w:jc w:val="center"/>
              <w:rPr>
                <w:rFonts w:ascii="Times New Roman" w:hAnsi="Times New Roman" w:eastAsia="宋体" w:cs="Times New Roman"/>
                <w:sz w:val="18"/>
                <w:szCs w:val="18"/>
              </w:rPr>
            </w:pPr>
          </w:p>
        </w:tc>
        <w:tc>
          <w:tcPr>
            <w:tcW w:w="1871" w:type="pct"/>
            <w:shd w:val="clear" w:color="auto" w:fill="auto"/>
            <w:vAlign w:val="center"/>
          </w:tcPr>
          <w:p w14:paraId="0CCEB6A7">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垫气量(10</w:t>
            </w:r>
            <w:r>
              <w:rPr>
                <w:rFonts w:ascii="Times New Roman" w:hAnsi="Times New Roman" w:eastAsia="宋体" w:cs="Times New Roman"/>
                <w:sz w:val="18"/>
                <w:szCs w:val="18"/>
                <w:vertAlign w:val="superscript"/>
              </w:rPr>
              <w:t>8</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w:t>
            </w:r>
          </w:p>
        </w:tc>
        <w:tc>
          <w:tcPr>
            <w:tcW w:w="642" w:type="pct"/>
            <w:shd w:val="clear" w:color="auto" w:fill="auto"/>
            <w:vAlign w:val="center"/>
          </w:tcPr>
          <w:p w14:paraId="75CD0D87">
            <w:pPr>
              <w:spacing w:line="240" w:lineRule="auto"/>
              <w:jc w:val="center"/>
              <w:rPr>
                <w:rFonts w:ascii="Times New Roman" w:hAnsi="Times New Roman" w:eastAsia="宋体" w:cs="Times New Roman"/>
                <w:sz w:val="18"/>
                <w:szCs w:val="18"/>
              </w:rPr>
            </w:pPr>
          </w:p>
        </w:tc>
      </w:tr>
      <w:tr w14:paraId="0B33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94" w:type="pct"/>
            <w:gridSpan w:val="2"/>
            <w:shd w:val="clear" w:color="auto" w:fill="auto"/>
            <w:vAlign w:val="center"/>
          </w:tcPr>
          <w:p w14:paraId="30B89DBE">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下限压力(MPa)</w:t>
            </w:r>
          </w:p>
        </w:tc>
        <w:tc>
          <w:tcPr>
            <w:tcW w:w="693" w:type="pct"/>
            <w:shd w:val="clear" w:color="auto" w:fill="auto"/>
            <w:vAlign w:val="center"/>
          </w:tcPr>
          <w:p w14:paraId="73532BC2">
            <w:pPr>
              <w:spacing w:line="240" w:lineRule="auto"/>
              <w:jc w:val="center"/>
              <w:rPr>
                <w:rFonts w:ascii="Times New Roman" w:hAnsi="Times New Roman" w:eastAsia="宋体" w:cs="Times New Roman"/>
                <w:sz w:val="18"/>
                <w:szCs w:val="18"/>
              </w:rPr>
            </w:pPr>
          </w:p>
        </w:tc>
        <w:tc>
          <w:tcPr>
            <w:tcW w:w="1871" w:type="pct"/>
            <w:vAlign w:val="center"/>
          </w:tcPr>
          <w:p w14:paraId="03169DC0">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补充垫气量(10</w:t>
            </w:r>
            <w:r>
              <w:rPr>
                <w:rFonts w:ascii="Times New Roman" w:hAnsi="Times New Roman" w:eastAsia="宋体" w:cs="Times New Roman"/>
                <w:sz w:val="18"/>
                <w:szCs w:val="18"/>
                <w:vertAlign w:val="superscript"/>
              </w:rPr>
              <w:t>8</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w:t>
            </w:r>
          </w:p>
        </w:tc>
        <w:tc>
          <w:tcPr>
            <w:tcW w:w="642" w:type="pct"/>
            <w:shd w:val="clear" w:color="auto" w:fill="auto"/>
            <w:vAlign w:val="center"/>
          </w:tcPr>
          <w:p w14:paraId="79DB4A08">
            <w:pPr>
              <w:spacing w:line="240" w:lineRule="auto"/>
              <w:jc w:val="center"/>
              <w:rPr>
                <w:rFonts w:ascii="Times New Roman" w:hAnsi="Times New Roman" w:eastAsia="宋体" w:cs="Times New Roman"/>
                <w:sz w:val="18"/>
                <w:szCs w:val="18"/>
              </w:rPr>
            </w:pPr>
          </w:p>
        </w:tc>
      </w:tr>
      <w:tr w14:paraId="47B9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5" w:type="pct"/>
            <w:vMerge w:val="restart"/>
            <w:shd w:val="clear" w:color="auto" w:fill="auto"/>
            <w:vAlign w:val="center"/>
          </w:tcPr>
          <w:p w14:paraId="00673F50">
            <w:pPr>
              <w:spacing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新井</w:t>
            </w:r>
          </w:p>
        </w:tc>
        <w:tc>
          <w:tcPr>
            <w:tcW w:w="1369" w:type="pct"/>
            <w:shd w:val="clear" w:color="auto" w:fill="auto"/>
            <w:vAlign w:val="center"/>
          </w:tcPr>
          <w:p w14:paraId="1C59F622">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井数（口）</w:t>
            </w:r>
          </w:p>
        </w:tc>
        <w:tc>
          <w:tcPr>
            <w:tcW w:w="3206" w:type="pct"/>
            <w:gridSpan w:val="3"/>
            <w:shd w:val="clear" w:color="auto" w:fill="auto"/>
            <w:vAlign w:val="center"/>
          </w:tcPr>
          <w:p w14:paraId="416E8CD2">
            <w:pPr>
              <w:spacing w:line="240" w:lineRule="auto"/>
              <w:jc w:val="center"/>
              <w:rPr>
                <w:rFonts w:ascii="Times New Roman" w:hAnsi="Times New Roman" w:eastAsia="宋体" w:cs="Times New Roman"/>
                <w:sz w:val="18"/>
                <w:szCs w:val="18"/>
              </w:rPr>
            </w:pPr>
          </w:p>
        </w:tc>
      </w:tr>
      <w:tr w14:paraId="248C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5" w:type="pct"/>
            <w:vMerge w:val="continue"/>
            <w:vAlign w:val="center"/>
          </w:tcPr>
          <w:p w14:paraId="09ECC3EE">
            <w:pPr>
              <w:spacing w:line="240" w:lineRule="auto"/>
              <w:rPr>
                <w:rFonts w:ascii="Times New Roman" w:hAnsi="Times New Roman" w:eastAsia="宋体" w:cs="Times New Roman"/>
                <w:sz w:val="18"/>
                <w:szCs w:val="18"/>
              </w:rPr>
            </w:pPr>
          </w:p>
        </w:tc>
        <w:tc>
          <w:tcPr>
            <w:tcW w:w="1369" w:type="pct"/>
            <w:shd w:val="clear" w:color="auto" w:fill="auto"/>
            <w:vAlign w:val="center"/>
          </w:tcPr>
          <w:p w14:paraId="18F2AE6B">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注气能力（10</w:t>
            </w:r>
            <w:r>
              <w:rPr>
                <w:rFonts w:ascii="Times New Roman" w:hAnsi="Times New Roman" w:eastAsia="宋体" w:cs="Times New Roman"/>
                <w:sz w:val="18"/>
                <w:szCs w:val="18"/>
                <w:vertAlign w:val="superscript"/>
              </w:rPr>
              <w:t>4</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/d）</w:t>
            </w:r>
          </w:p>
        </w:tc>
        <w:tc>
          <w:tcPr>
            <w:tcW w:w="3206" w:type="pct"/>
            <w:gridSpan w:val="3"/>
            <w:shd w:val="clear" w:color="auto" w:fill="auto"/>
            <w:vAlign w:val="center"/>
          </w:tcPr>
          <w:p w14:paraId="014D7524">
            <w:pPr>
              <w:spacing w:line="240" w:lineRule="auto"/>
              <w:jc w:val="center"/>
              <w:rPr>
                <w:rFonts w:ascii="Times New Roman" w:hAnsi="Times New Roman" w:eastAsia="宋体" w:cs="Times New Roman"/>
                <w:sz w:val="18"/>
                <w:szCs w:val="18"/>
              </w:rPr>
            </w:pPr>
          </w:p>
        </w:tc>
      </w:tr>
      <w:tr w14:paraId="7CF0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5" w:type="pct"/>
            <w:vMerge w:val="continue"/>
            <w:vAlign w:val="center"/>
          </w:tcPr>
          <w:p w14:paraId="001F2691">
            <w:pPr>
              <w:spacing w:line="240" w:lineRule="auto"/>
              <w:rPr>
                <w:rFonts w:ascii="Times New Roman" w:hAnsi="Times New Roman" w:eastAsia="宋体" w:cs="Times New Roman"/>
                <w:sz w:val="18"/>
                <w:szCs w:val="18"/>
              </w:rPr>
            </w:pPr>
          </w:p>
        </w:tc>
        <w:tc>
          <w:tcPr>
            <w:tcW w:w="1369" w:type="pct"/>
            <w:shd w:val="clear" w:color="auto" w:fill="auto"/>
            <w:vAlign w:val="center"/>
          </w:tcPr>
          <w:p w14:paraId="28305D4D">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日注气量（10</w:t>
            </w:r>
            <w:r>
              <w:rPr>
                <w:rFonts w:ascii="Times New Roman" w:hAnsi="Times New Roman" w:eastAsia="宋体" w:cs="Times New Roman"/>
                <w:sz w:val="18"/>
                <w:szCs w:val="18"/>
                <w:vertAlign w:val="superscript"/>
              </w:rPr>
              <w:t>4</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/d）</w:t>
            </w:r>
          </w:p>
        </w:tc>
        <w:tc>
          <w:tcPr>
            <w:tcW w:w="3206" w:type="pct"/>
            <w:gridSpan w:val="3"/>
            <w:shd w:val="clear" w:color="auto" w:fill="auto"/>
            <w:vAlign w:val="center"/>
          </w:tcPr>
          <w:p w14:paraId="3FC47ABD">
            <w:pPr>
              <w:spacing w:line="240" w:lineRule="auto"/>
              <w:jc w:val="center"/>
              <w:rPr>
                <w:rFonts w:ascii="Times New Roman" w:hAnsi="Times New Roman" w:eastAsia="宋体" w:cs="Times New Roman"/>
                <w:sz w:val="18"/>
                <w:szCs w:val="18"/>
              </w:rPr>
            </w:pPr>
          </w:p>
        </w:tc>
      </w:tr>
      <w:tr w14:paraId="5286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5" w:type="pct"/>
            <w:vMerge w:val="continue"/>
            <w:vAlign w:val="center"/>
          </w:tcPr>
          <w:p w14:paraId="3255EBA6">
            <w:pPr>
              <w:spacing w:line="240" w:lineRule="auto"/>
              <w:rPr>
                <w:rFonts w:ascii="Times New Roman" w:hAnsi="Times New Roman" w:eastAsia="宋体" w:cs="Times New Roman"/>
                <w:sz w:val="18"/>
                <w:szCs w:val="18"/>
              </w:rPr>
            </w:pPr>
          </w:p>
        </w:tc>
        <w:tc>
          <w:tcPr>
            <w:tcW w:w="1369" w:type="pct"/>
            <w:shd w:val="clear" w:color="auto" w:fill="auto"/>
            <w:vAlign w:val="center"/>
          </w:tcPr>
          <w:p w14:paraId="000E1B88">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采气能力（10</w:t>
            </w:r>
            <w:r>
              <w:rPr>
                <w:rFonts w:ascii="Times New Roman" w:hAnsi="Times New Roman" w:eastAsia="宋体" w:cs="Times New Roman"/>
                <w:sz w:val="18"/>
                <w:szCs w:val="18"/>
                <w:vertAlign w:val="superscript"/>
              </w:rPr>
              <w:t>4</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/d）</w:t>
            </w:r>
          </w:p>
        </w:tc>
        <w:tc>
          <w:tcPr>
            <w:tcW w:w="3206" w:type="pct"/>
            <w:gridSpan w:val="3"/>
            <w:shd w:val="clear" w:color="auto" w:fill="auto"/>
            <w:vAlign w:val="center"/>
          </w:tcPr>
          <w:p w14:paraId="35E5EE17">
            <w:pPr>
              <w:spacing w:line="240" w:lineRule="auto"/>
              <w:jc w:val="center"/>
              <w:rPr>
                <w:rFonts w:ascii="Times New Roman" w:hAnsi="Times New Roman" w:eastAsia="宋体" w:cs="Times New Roman"/>
                <w:sz w:val="18"/>
                <w:szCs w:val="18"/>
              </w:rPr>
            </w:pPr>
          </w:p>
        </w:tc>
      </w:tr>
      <w:tr w14:paraId="1930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5" w:type="pct"/>
            <w:vMerge w:val="continue"/>
            <w:vAlign w:val="center"/>
          </w:tcPr>
          <w:p w14:paraId="2DF8B93C">
            <w:pPr>
              <w:spacing w:line="240" w:lineRule="auto"/>
              <w:rPr>
                <w:rFonts w:ascii="Times New Roman" w:hAnsi="Times New Roman" w:eastAsia="宋体" w:cs="Times New Roman"/>
                <w:sz w:val="18"/>
                <w:szCs w:val="18"/>
              </w:rPr>
            </w:pPr>
          </w:p>
        </w:tc>
        <w:tc>
          <w:tcPr>
            <w:tcW w:w="1369" w:type="pct"/>
            <w:shd w:val="clear" w:color="auto" w:fill="auto"/>
            <w:vAlign w:val="center"/>
          </w:tcPr>
          <w:p w14:paraId="61F6C27E">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日采气量（10</w:t>
            </w:r>
            <w:r>
              <w:rPr>
                <w:rFonts w:ascii="Times New Roman" w:hAnsi="Times New Roman" w:eastAsia="宋体" w:cs="Times New Roman"/>
                <w:sz w:val="18"/>
                <w:szCs w:val="18"/>
                <w:vertAlign w:val="superscript"/>
              </w:rPr>
              <w:t>4</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/d）</w:t>
            </w:r>
          </w:p>
        </w:tc>
        <w:tc>
          <w:tcPr>
            <w:tcW w:w="3206" w:type="pct"/>
            <w:gridSpan w:val="3"/>
            <w:shd w:val="clear" w:color="auto" w:fill="auto"/>
            <w:vAlign w:val="center"/>
          </w:tcPr>
          <w:p w14:paraId="1D21F2DD">
            <w:pPr>
              <w:spacing w:line="240" w:lineRule="auto"/>
              <w:jc w:val="center"/>
              <w:rPr>
                <w:rFonts w:ascii="Times New Roman" w:hAnsi="Times New Roman" w:eastAsia="宋体" w:cs="Times New Roman"/>
                <w:sz w:val="18"/>
                <w:szCs w:val="18"/>
              </w:rPr>
            </w:pPr>
          </w:p>
        </w:tc>
      </w:tr>
      <w:tr w14:paraId="57D6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5" w:type="pct"/>
            <w:vMerge w:val="restart"/>
            <w:vAlign w:val="center"/>
          </w:tcPr>
          <w:p w14:paraId="7739762F">
            <w:pPr>
              <w:spacing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老井</w:t>
            </w:r>
          </w:p>
        </w:tc>
        <w:tc>
          <w:tcPr>
            <w:tcW w:w="1369" w:type="pct"/>
            <w:shd w:val="clear" w:color="auto" w:fill="auto"/>
            <w:vAlign w:val="center"/>
          </w:tcPr>
          <w:p w14:paraId="002F91A7">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井数（口）</w:t>
            </w:r>
          </w:p>
        </w:tc>
        <w:tc>
          <w:tcPr>
            <w:tcW w:w="3206" w:type="pct"/>
            <w:gridSpan w:val="3"/>
            <w:shd w:val="clear" w:color="auto" w:fill="auto"/>
            <w:vAlign w:val="center"/>
          </w:tcPr>
          <w:p w14:paraId="59D81A2D">
            <w:pPr>
              <w:spacing w:line="240" w:lineRule="auto"/>
              <w:jc w:val="center"/>
              <w:rPr>
                <w:rFonts w:ascii="Times New Roman" w:hAnsi="Times New Roman" w:eastAsia="宋体" w:cs="Times New Roman"/>
                <w:sz w:val="18"/>
                <w:szCs w:val="18"/>
              </w:rPr>
            </w:pPr>
          </w:p>
        </w:tc>
      </w:tr>
      <w:tr w14:paraId="490E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5" w:type="pct"/>
            <w:vMerge w:val="continue"/>
            <w:vAlign w:val="center"/>
          </w:tcPr>
          <w:p w14:paraId="550A1368">
            <w:pPr>
              <w:spacing w:line="240" w:lineRule="auto"/>
              <w:rPr>
                <w:rFonts w:ascii="Times New Roman" w:hAnsi="Times New Roman" w:eastAsia="宋体" w:cs="Times New Roman"/>
                <w:sz w:val="18"/>
                <w:szCs w:val="18"/>
              </w:rPr>
            </w:pPr>
          </w:p>
        </w:tc>
        <w:tc>
          <w:tcPr>
            <w:tcW w:w="1369" w:type="pct"/>
            <w:shd w:val="clear" w:color="auto" w:fill="auto"/>
            <w:vAlign w:val="center"/>
          </w:tcPr>
          <w:p w14:paraId="6D0802DD">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再利用井数（口）</w:t>
            </w:r>
          </w:p>
        </w:tc>
        <w:tc>
          <w:tcPr>
            <w:tcW w:w="3206" w:type="pct"/>
            <w:gridSpan w:val="3"/>
            <w:shd w:val="clear" w:color="auto" w:fill="auto"/>
            <w:vAlign w:val="center"/>
          </w:tcPr>
          <w:p w14:paraId="3E16C025">
            <w:pPr>
              <w:spacing w:line="240" w:lineRule="auto"/>
              <w:jc w:val="center"/>
              <w:rPr>
                <w:rFonts w:ascii="Times New Roman" w:hAnsi="Times New Roman" w:eastAsia="宋体" w:cs="Times New Roman"/>
                <w:sz w:val="18"/>
                <w:szCs w:val="18"/>
              </w:rPr>
            </w:pPr>
          </w:p>
        </w:tc>
      </w:tr>
      <w:tr w14:paraId="6D91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5" w:type="pct"/>
            <w:vMerge w:val="continue"/>
            <w:vAlign w:val="center"/>
          </w:tcPr>
          <w:p w14:paraId="19418614">
            <w:pPr>
              <w:spacing w:line="240" w:lineRule="auto"/>
              <w:rPr>
                <w:rFonts w:ascii="Times New Roman" w:hAnsi="Times New Roman" w:eastAsia="宋体" w:cs="Times New Roman"/>
                <w:sz w:val="18"/>
                <w:szCs w:val="18"/>
              </w:rPr>
            </w:pPr>
          </w:p>
        </w:tc>
        <w:tc>
          <w:tcPr>
            <w:tcW w:w="1369" w:type="pct"/>
            <w:shd w:val="clear" w:color="auto" w:fill="auto"/>
            <w:vAlign w:val="center"/>
          </w:tcPr>
          <w:p w14:paraId="6A0714B4">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封堵井数（口）</w:t>
            </w:r>
          </w:p>
        </w:tc>
        <w:tc>
          <w:tcPr>
            <w:tcW w:w="3206" w:type="pct"/>
            <w:gridSpan w:val="3"/>
            <w:shd w:val="clear" w:color="auto" w:fill="auto"/>
            <w:vAlign w:val="center"/>
          </w:tcPr>
          <w:p w14:paraId="166B2DC2">
            <w:pPr>
              <w:spacing w:line="240" w:lineRule="auto"/>
              <w:jc w:val="center"/>
              <w:rPr>
                <w:rFonts w:ascii="Times New Roman" w:hAnsi="Times New Roman" w:eastAsia="宋体" w:cs="Times New Roman"/>
                <w:sz w:val="18"/>
                <w:szCs w:val="18"/>
              </w:rPr>
            </w:pPr>
          </w:p>
        </w:tc>
      </w:tr>
    </w:tbl>
    <w:p w14:paraId="7A671F3D">
      <w:pPr>
        <w:snapToGrid w:val="0"/>
        <w:ind w:left="422" w:right="422"/>
        <w:jc w:val="center"/>
        <w:rPr>
          <w:rFonts w:ascii="Times New Roman" w:hAnsi="Times New Roman" w:eastAsia="黑体" w:cs="Times New Roman"/>
          <w:snapToGrid w:val="0"/>
          <w:kern w:val="0"/>
          <w:sz w:val="18"/>
          <w:szCs w:val="18"/>
        </w:rPr>
      </w:pPr>
    </w:p>
    <w:p w14:paraId="1028ABB2">
      <w:pPr>
        <w:snapToGrid w:val="0"/>
        <w:ind w:left="422" w:right="422"/>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.2  </w:t>
      </w:r>
      <w:r>
        <w:rPr>
          <w:rFonts w:hint="eastAsia" w:ascii="Times New Roman" w:hAnsi="Times New Roman" w:eastAsia="黑体" w:cs="Times New Roman"/>
          <w:snapToGrid w:val="0"/>
          <w:kern w:val="0"/>
          <w:sz w:val="18"/>
          <w:szCs w:val="18"/>
        </w:rPr>
        <w:t>天然气物性及化学组成表</w:t>
      </w:r>
    </w:p>
    <w:tbl>
      <w:tblPr>
        <w:tblStyle w:val="2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43"/>
        <w:gridCol w:w="445"/>
        <w:gridCol w:w="496"/>
        <w:gridCol w:w="388"/>
        <w:gridCol w:w="388"/>
        <w:gridCol w:w="388"/>
        <w:gridCol w:w="389"/>
        <w:gridCol w:w="389"/>
        <w:gridCol w:w="387"/>
        <w:gridCol w:w="387"/>
        <w:gridCol w:w="387"/>
        <w:gridCol w:w="387"/>
        <w:gridCol w:w="415"/>
        <w:gridCol w:w="768"/>
        <w:gridCol w:w="849"/>
        <w:gridCol w:w="849"/>
        <w:gridCol w:w="550"/>
        <w:gridCol w:w="550"/>
      </w:tblGrid>
      <w:tr w14:paraId="39641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281" w:type="pct"/>
            <w:vMerge w:val="restart"/>
            <w:vAlign w:val="center"/>
          </w:tcPr>
          <w:p w14:paraId="306F5A78">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序号</w:t>
            </w:r>
          </w:p>
        </w:tc>
        <w:tc>
          <w:tcPr>
            <w:tcW w:w="282" w:type="pct"/>
            <w:vMerge w:val="restart"/>
            <w:vAlign w:val="center"/>
          </w:tcPr>
          <w:p w14:paraId="6EA0B3B8">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气源</w:t>
            </w:r>
          </w:p>
        </w:tc>
        <w:tc>
          <w:tcPr>
            <w:tcW w:w="311" w:type="pct"/>
            <w:vMerge w:val="restart"/>
            <w:vAlign w:val="center"/>
          </w:tcPr>
          <w:p w14:paraId="2DE7DEC5">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相对</w:t>
            </w:r>
          </w:p>
          <w:p w14:paraId="515254A9">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密度</w:t>
            </w:r>
          </w:p>
        </w:tc>
        <w:tc>
          <w:tcPr>
            <w:tcW w:w="250" w:type="pct"/>
            <w:vAlign w:val="center"/>
          </w:tcPr>
          <w:p w14:paraId="2DF560A5">
            <w:pPr>
              <w:adjustRightIn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1</w:t>
            </w:r>
          </w:p>
        </w:tc>
        <w:tc>
          <w:tcPr>
            <w:tcW w:w="250" w:type="pct"/>
            <w:vAlign w:val="center"/>
          </w:tcPr>
          <w:p w14:paraId="3DC967C5">
            <w:pPr>
              <w:adjustRightIn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2</w:t>
            </w:r>
          </w:p>
        </w:tc>
        <w:tc>
          <w:tcPr>
            <w:tcW w:w="250" w:type="pct"/>
            <w:vAlign w:val="center"/>
          </w:tcPr>
          <w:p w14:paraId="33CA289B">
            <w:pPr>
              <w:adjustRightIn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3</w:t>
            </w:r>
          </w:p>
        </w:tc>
        <w:tc>
          <w:tcPr>
            <w:tcW w:w="250" w:type="pct"/>
            <w:vAlign w:val="center"/>
          </w:tcPr>
          <w:p w14:paraId="55E65E4D">
            <w:pPr>
              <w:jc w:val="center"/>
              <w:rPr>
                <w:rFonts w:ascii="Times New Roman" w:hAnsi="Times New Roman"/>
                <w:sz w:val="18"/>
                <w:szCs w:val="18"/>
              </w:rPr>
            </w:pPr>
            <w:r>
              <w:rPr>
                <w:rFonts w:ascii="Times New Roman" w:hAnsi="Times New Roman"/>
                <w:sz w:val="18"/>
                <w:szCs w:val="18"/>
              </w:rPr>
              <w:t>iC</w:t>
            </w:r>
            <w:r>
              <w:rPr>
                <w:rFonts w:ascii="Times New Roman" w:hAnsi="Times New Roman"/>
                <w:sz w:val="18"/>
                <w:szCs w:val="18"/>
                <w:vertAlign w:val="subscript"/>
              </w:rPr>
              <w:t>4</w:t>
            </w:r>
          </w:p>
        </w:tc>
        <w:tc>
          <w:tcPr>
            <w:tcW w:w="250" w:type="pct"/>
            <w:vAlign w:val="center"/>
          </w:tcPr>
          <w:p w14:paraId="0F196A0A">
            <w:pPr>
              <w:adjustRightInd w:val="0"/>
              <w:jc w:val="center"/>
              <w:rPr>
                <w:rFonts w:ascii="Times New Roman" w:hAnsi="Times New Roman"/>
                <w:sz w:val="18"/>
                <w:szCs w:val="18"/>
              </w:rPr>
            </w:pPr>
            <w:r>
              <w:rPr>
                <w:rFonts w:ascii="Times New Roman" w:hAnsi="Times New Roman"/>
                <w:sz w:val="18"/>
                <w:szCs w:val="18"/>
              </w:rPr>
              <w:t>C</w:t>
            </w:r>
            <w:r>
              <w:rPr>
                <w:rFonts w:ascii="Times New Roman" w:hAnsi="Times New Roman"/>
                <w:sz w:val="18"/>
                <w:szCs w:val="18"/>
                <w:vertAlign w:val="subscript"/>
              </w:rPr>
              <w:t>5+</w:t>
            </w:r>
          </w:p>
        </w:tc>
        <w:tc>
          <w:tcPr>
            <w:tcW w:w="249" w:type="pct"/>
            <w:vAlign w:val="center"/>
          </w:tcPr>
          <w:p w14:paraId="51501734">
            <w:pPr>
              <w:adjustRightInd w:val="0"/>
              <w:jc w:val="center"/>
              <w:rPr>
                <w:rFonts w:ascii="Times New Roman" w:hAnsi="Times New Roman"/>
                <w:sz w:val="18"/>
                <w:szCs w:val="18"/>
              </w:rPr>
            </w:pPr>
            <w:r>
              <w:rPr>
                <w:rFonts w:ascii="Times New Roman" w:hAnsi="Times New Roman"/>
                <w:sz w:val="18"/>
                <w:szCs w:val="18"/>
              </w:rPr>
              <w:t>H</w:t>
            </w:r>
            <w:r>
              <w:rPr>
                <w:rFonts w:ascii="Times New Roman" w:hAnsi="Times New Roman"/>
                <w:sz w:val="18"/>
                <w:szCs w:val="18"/>
                <w:vertAlign w:val="subscript"/>
              </w:rPr>
              <w:t>2</w:t>
            </w:r>
            <w:r>
              <w:rPr>
                <w:rFonts w:ascii="Times New Roman" w:hAnsi="Times New Roman"/>
                <w:sz w:val="18"/>
                <w:szCs w:val="18"/>
              </w:rPr>
              <w:t>S</w:t>
            </w:r>
          </w:p>
        </w:tc>
        <w:tc>
          <w:tcPr>
            <w:tcW w:w="249" w:type="pct"/>
            <w:vAlign w:val="center"/>
          </w:tcPr>
          <w:p w14:paraId="4F54630C">
            <w:pPr>
              <w:adjustRightInd w:val="0"/>
              <w:jc w:val="center"/>
              <w:rPr>
                <w:rFonts w:ascii="Times New Roman" w:hAnsi="Times New Roman"/>
                <w:sz w:val="18"/>
                <w:szCs w:val="18"/>
              </w:rPr>
            </w:pPr>
            <w:r>
              <w:rPr>
                <w:rFonts w:ascii="Times New Roman" w:hAnsi="Times New Roman"/>
                <w:sz w:val="18"/>
                <w:szCs w:val="18"/>
              </w:rPr>
              <w:t>CO</w:t>
            </w:r>
            <w:r>
              <w:rPr>
                <w:rFonts w:ascii="Times New Roman" w:hAnsi="Times New Roman"/>
                <w:sz w:val="18"/>
                <w:szCs w:val="18"/>
                <w:vertAlign w:val="subscript"/>
              </w:rPr>
              <w:t>2</w:t>
            </w:r>
          </w:p>
        </w:tc>
        <w:tc>
          <w:tcPr>
            <w:tcW w:w="249" w:type="pct"/>
            <w:vAlign w:val="center"/>
          </w:tcPr>
          <w:p w14:paraId="4495DE71">
            <w:pPr>
              <w:adjustRightInd w:val="0"/>
              <w:jc w:val="center"/>
              <w:rPr>
                <w:rFonts w:ascii="Times New Roman" w:hAnsi="Times New Roman"/>
                <w:sz w:val="18"/>
                <w:szCs w:val="18"/>
              </w:rPr>
            </w:pPr>
            <w:r>
              <w:rPr>
                <w:rFonts w:ascii="Times New Roman" w:hAnsi="Times New Roman"/>
                <w:sz w:val="18"/>
                <w:szCs w:val="18"/>
              </w:rPr>
              <w:t>N</w:t>
            </w:r>
            <w:r>
              <w:rPr>
                <w:rFonts w:ascii="Times New Roman" w:hAnsi="Times New Roman"/>
                <w:sz w:val="18"/>
                <w:szCs w:val="18"/>
                <w:vertAlign w:val="subscript"/>
              </w:rPr>
              <w:t>2</w:t>
            </w:r>
          </w:p>
        </w:tc>
        <w:tc>
          <w:tcPr>
            <w:tcW w:w="249" w:type="pct"/>
            <w:vAlign w:val="center"/>
          </w:tcPr>
          <w:p w14:paraId="5BC5450D">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其它</w:t>
            </w:r>
          </w:p>
        </w:tc>
        <w:tc>
          <w:tcPr>
            <w:tcW w:w="264" w:type="pct"/>
            <w:vAlign w:val="center"/>
          </w:tcPr>
          <w:p w14:paraId="3C509928">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组分</w:t>
            </w:r>
          </w:p>
          <w:p w14:paraId="03FC5729">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合计</w:t>
            </w:r>
          </w:p>
        </w:tc>
        <w:tc>
          <w:tcPr>
            <w:tcW w:w="464" w:type="pct"/>
            <w:vAlign w:val="center"/>
          </w:tcPr>
          <w:p w14:paraId="459FD7E6">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有机硫</w:t>
            </w:r>
          </w:p>
          <w:p w14:paraId="7C567737">
            <w:pPr>
              <w:adjustRightInd w:val="0"/>
              <w:jc w:val="center"/>
              <w:rPr>
                <w:rFonts w:ascii="Times New Roman" w:hAnsi="Times New Roman"/>
                <w:sz w:val="18"/>
                <w:szCs w:val="18"/>
              </w:rPr>
            </w:pPr>
            <w:r>
              <w:rPr>
                <w:rFonts w:ascii="Times New Roman" w:hAnsi="Times New Roman"/>
                <w:sz w:val="18"/>
                <w:szCs w:val="18"/>
              </w:rPr>
              <w:t>%</w:t>
            </w:r>
          </w:p>
        </w:tc>
        <w:tc>
          <w:tcPr>
            <w:tcW w:w="288" w:type="pct"/>
            <w:vAlign w:val="center"/>
          </w:tcPr>
          <w:p w14:paraId="5A9DD4CA">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高位发热量</w:t>
            </w:r>
          </w:p>
          <w:p w14:paraId="6EF952EE">
            <w:pPr>
              <w:adjustRightInd w:val="0"/>
              <w:jc w:val="center"/>
              <w:rPr>
                <w:rFonts w:ascii="Times New Roman" w:hAnsi="Times New Roman"/>
                <w:sz w:val="18"/>
                <w:szCs w:val="18"/>
              </w:rPr>
            </w:pPr>
            <w:r>
              <w:rPr>
                <w:rFonts w:hint="eastAsia" w:ascii="Times New Roman" w:hAnsi="Times New Roman" w:eastAsia="宋体"/>
                <w:sz w:val="18"/>
                <w:szCs w:val="18"/>
              </w:rPr>
              <w:t>（</w:t>
            </w:r>
            <w:r>
              <w:rPr>
                <w:rFonts w:ascii="Times New Roman" w:hAnsi="Times New Roman"/>
                <w:sz w:val="18"/>
                <w:szCs w:val="18"/>
              </w:rPr>
              <w:t>MJ/m</w:t>
            </w:r>
            <w:r>
              <w:rPr>
                <w:rFonts w:ascii="Times New Roman" w:hAnsi="Times New Roman"/>
                <w:sz w:val="18"/>
                <w:szCs w:val="18"/>
                <w:vertAlign w:val="superscript"/>
              </w:rPr>
              <w:t>3</w:t>
            </w:r>
            <w:r>
              <w:rPr>
                <w:rFonts w:hint="eastAsia" w:ascii="Times New Roman" w:hAnsi="Times New Roman" w:eastAsia="宋体"/>
                <w:sz w:val="18"/>
                <w:szCs w:val="18"/>
              </w:rPr>
              <w:t>）</w:t>
            </w:r>
          </w:p>
        </w:tc>
        <w:tc>
          <w:tcPr>
            <w:tcW w:w="288" w:type="pct"/>
            <w:vAlign w:val="center"/>
          </w:tcPr>
          <w:p w14:paraId="3BBF636E">
            <w:pPr>
              <w:adjustRightInd w:val="0"/>
              <w:jc w:val="center"/>
              <w:rPr>
                <w:rFonts w:ascii="Times New Roman" w:hAnsi="Times New Roman"/>
                <w:sz w:val="18"/>
                <w:szCs w:val="18"/>
              </w:rPr>
            </w:pPr>
            <w:r>
              <w:rPr>
                <w:rFonts w:hint="eastAsia" w:ascii="Times New Roman" w:hAnsi="Times New Roman" w:eastAsia="宋体" w:cs="Times New Roman"/>
                <w:sz w:val="18"/>
                <w:szCs w:val="18"/>
              </w:rPr>
              <w:t>低位发热量</w:t>
            </w:r>
          </w:p>
          <w:p w14:paraId="15042F60">
            <w:pPr>
              <w:adjustRightInd w:val="0"/>
              <w:jc w:val="center"/>
              <w:rPr>
                <w:rFonts w:ascii="Times New Roman" w:hAnsi="Times New Roman"/>
                <w:sz w:val="18"/>
                <w:szCs w:val="18"/>
              </w:rPr>
            </w:pPr>
            <w:r>
              <w:rPr>
                <w:rFonts w:hint="eastAsia" w:ascii="Times New Roman" w:hAnsi="Times New Roman" w:eastAsia="宋体"/>
                <w:sz w:val="18"/>
                <w:szCs w:val="18"/>
              </w:rPr>
              <w:t>（</w:t>
            </w:r>
            <w:r>
              <w:rPr>
                <w:rFonts w:ascii="Times New Roman" w:hAnsi="Times New Roman"/>
                <w:sz w:val="18"/>
                <w:szCs w:val="18"/>
              </w:rPr>
              <w:t>MJ/m</w:t>
            </w:r>
            <w:r>
              <w:rPr>
                <w:rFonts w:ascii="Times New Roman" w:hAnsi="Times New Roman"/>
                <w:sz w:val="18"/>
                <w:szCs w:val="18"/>
                <w:vertAlign w:val="superscript"/>
              </w:rPr>
              <w:t>3</w:t>
            </w:r>
            <w:r>
              <w:rPr>
                <w:rFonts w:hint="eastAsia" w:ascii="Times New Roman" w:hAnsi="Times New Roman" w:eastAsia="宋体"/>
                <w:sz w:val="18"/>
                <w:szCs w:val="18"/>
              </w:rPr>
              <w:t>）</w:t>
            </w:r>
          </w:p>
        </w:tc>
        <w:tc>
          <w:tcPr>
            <w:tcW w:w="288" w:type="pct"/>
            <w:vAlign w:val="center"/>
          </w:tcPr>
          <w:p w14:paraId="2766AD5C">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烃露点</w:t>
            </w:r>
          </w:p>
          <w:p w14:paraId="7EAE5DD1">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p>
        </w:tc>
        <w:tc>
          <w:tcPr>
            <w:tcW w:w="286" w:type="pct"/>
            <w:vAlign w:val="center"/>
          </w:tcPr>
          <w:p w14:paraId="00A9F5C4">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水露点</w:t>
            </w:r>
          </w:p>
          <w:p w14:paraId="7745D664">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p>
        </w:tc>
      </w:tr>
      <w:tr w14:paraId="56D10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81" w:type="pct"/>
            <w:vMerge w:val="continue"/>
            <w:vAlign w:val="center"/>
          </w:tcPr>
          <w:p w14:paraId="5E4F582D">
            <w:pPr>
              <w:adjustRightInd w:val="0"/>
              <w:jc w:val="center"/>
              <w:rPr>
                <w:rFonts w:ascii="Times New Roman" w:hAnsi="Times New Roman"/>
                <w:sz w:val="18"/>
                <w:szCs w:val="18"/>
              </w:rPr>
            </w:pPr>
          </w:p>
        </w:tc>
        <w:tc>
          <w:tcPr>
            <w:tcW w:w="282" w:type="pct"/>
            <w:vMerge w:val="continue"/>
            <w:vAlign w:val="center"/>
          </w:tcPr>
          <w:p w14:paraId="02B54E00">
            <w:pPr>
              <w:adjustRightInd w:val="0"/>
              <w:jc w:val="center"/>
              <w:rPr>
                <w:rFonts w:ascii="Times New Roman" w:hAnsi="Times New Roman"/>
                <w:sz w:val="18"/>
                <w:szCs w:val="18"/>
              </w:rPr>
            </w:pPr>
          </w:p>
        </w:tc>
        <w:tc>
          <w:tcPr>
            <w:tcW w:w="311" w:type="pct"/>
            <w:vMerge w:val="continue"/>
            <w:vAlign w:val="center"/>
          </w:tcPr>
          <w:p w14:paraId="6183FCAF">
            <w:pPr>
              <w:adjustRightInd w:val="0"/>
              <w:jc w:val="center"/>
              <w:rPr>
                <w:rFonts w:ascii="Times New Roman" w:hAnsi="Times New Roman"/>
                <w:sz w:val="18"/>
                <w:szCs w:val="18"/>
              </w:rPr>
            </w:pPr>
          </w:p>
        </w:tc>
        <w:tc>
          <w:tcPr>
            <w:tcW w:w="2511" w:type="pct"/>
            <w:gridSpan w:val="10"/>
            <w:vAlign w:val="center"/>
          </w:tcPr>
          <w:p w14:paraId="412842F3">
            <w:pPr>
              <w:adjustRightInd w:val="0"/>
              <w:jc w:val="center"/>
              <w:rPr>
                <w:rFonts w:ascii="Times New Roman" w:hAnsi="Times New Roman"/>
                <w:sz w:val="18"/>
                <w:szCs w:val="18"/>
              </w:rPr>
            </w:pPr>
            <w:r>
              <w:rPr>
                <w:rFonts w:hint="eastAsia" w:ascii="Times New Roman" w:hAnsi="Times New Roman" w:eastAsia="宋体" w:cs="Times New Roman"/>
                <w:sz w:val="18"/>
                <w:szCs w:val="18"/>
              </w:rPr>
              <w:t>摩尔分数</w:t>
            </w:r>
            <w:r>
              <w:rPr>
                <w:rFonts w:hint="eastAsia" w:ascii="Times New Roman" w:hAnsi="Times New Roman" w:eastAsia="宋体"/>
                <w:sz w:val="18"/>
                <w:szCs w:val="18"/>
              </w:rPr>
              <w:t>（</w:t>
            </w:r>
            <w:r>
              <w:rPr>
                <w:rFonts w:ascii="Times New Roman" w:hAnsi="Times New Roman"/>
                <w:sz w:val="18"/>
                <w:szCs w:val="18"/>
              </w:rPr>
              <w:t>%</w:t>
            </w:r>
            <w:r>
              <w:rPr>
                <w:rFonts w:hint="eastAsia" w:ascii="Times New Roman" w:hAnsi="Times New Roman" w:eastAsia="宋体"/>
                <w:sz w:val="18"/>
                <w:szCs w:val="18"/>
              </w:rPr>
              <w:t>）</w:t>
            </w:r>
          </w:p>
        </w:tc>
        <w:tc>
          <w:tcPr>
            <w:tcW w:w="464" w:type="pct"/>
            <w:vAlign w:val="center"/>
          </w:tcPr>
          <w:p w14:paraId="62FC009D">
            <w:pPr>
              <w:adjustRightInd w:val="0"/>
              <w:jc w:val="center"/>
              <w:rPr>
                <w:rFonts w:ascii="Times New Roman" w:hAnsi="Times New Roman"/>
                <w:sz w:val="18"/>
                <w:szCs w:val="18"/>
              </w:rPr>
            </w:pPr>
          </w:p>
        </w:tc>
        <w:tc>
          <w:tcPr>
            <w:tcW w:w="288" w:type="pct"/>
            <w:vAlign w:val="center"/>
          </w:tcPr>
          <w:p w14:paraId="713CB655">
            <w:pPr>
              <w:adjustRightInd w:val="0"/>
              <w:jc w:val="center"/>
              <w:rPr>
                <w:rFonts w:ascii="Times New Roman" w:hAnsi="Times New Roman"/>
                <w:sz w:val="18"/>
                <w:szCs w:val="18"/>
              </w:rPr>
            </w:pPr>
          </w:p>
        </w:tc>
        <w:tc>
          <w:tcPr>
            <w:tcW w:w="288" w:type="pct"/>
            <w:vAlign w:val="center"/>
          </w:tcPr>
          <w:p w14:paraId="13ACFEC8">
            <w:pPr>
              <w:adjustRightInd w:val="0"/>
              <w:jc w:val="center"/>
              <w:rPr>
                <w:rFonts w:ascii="Times New Roman" w:hAnsi="Times New Roman"/>
                <w:sz w:val="18"/>
                <w:szCs w:val="18"/>
              </w:rPr>
            </w:pPr>
          </w:p>
        </w:tc>
        <w:tc>
          <w:tcPr>
            <w:tcW w:w="288" w:type="pct"/>
            <w:vAlign w:val="center"/>
          </w:tcPr>
          <w:p w14:paraId="575EDC4D">
            <w:pPr>
              <w:adjustRightInd w:val="0"/>
              <w:jc w:val="center"/>
              <w:rPr>
                <w:rFonts w:ascii="Times New Roman" w:hAnsi="Times New Roman"/>
                <w:sz w:val="18"/>
                <w:szCs w:val="18"/>
              </w:rPr>
            </w:pPr>
          </w:p>
        </w:tc>
        <w:tc>
          <w:tcPr>
            <w:tcW w:w="286" w:type="pct"/>
            <w:vAlign w:val="center"/>
          </w:tcPr>
          <w:p w14:paraId="0BD80EB7">
            <w:pPr>
              <w:adjustRightInd w:val="0"/>
              <w:jc w:val="center"/>
              <w:rPr>
                <w:rFonts w:ascii="Times New Roman" w:hAnsi="Times New Roman"/>
                <w:sz w:val="18"/>
                <w:szCs w:val="18"/>
              </w:rPr>
            </w:pPr>
          </w:p>
        </w:tc>
      </w:tr>
      <w:tr w14:paraId="1117F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81" w:type="pct"/>
            <w:vAlign w:val="center"/>
          </w:tcPr>
          <w:p w14:paraId="191A8ADD">
            <w:pPr>
              <w:adjustRightInd w:val="0"/>
              <w:jc w:val="center"/>
              <w:rPr>
                <w:rFonts w:ascii="Times New Roman" w:hAnsi="Times New Roman" w:eastAsiaTheme="minorEastAsia"/>
                <w:sz w:val="18"/>
                <w:szCs w:val="18"/>
              </w:rPr>
            </w:pPr>
            <w:r>
              <w:rPr>
                <w:rFonts w:hint="eastAsia" w:ascii="Times New Roman" w:hAnsi="Times New Roman" w:eastAsiaTheme="minorEastAsia"/>
                <w:sz w:val="18"/>
                <w:szCs w:val="18"/>
              </w:rPr>
              <w:t>1</w:t>
            </w:r>
          </w:p>
        </w:tc>
        <w:tc>
          <w:tcPr>
            <w:tcW w:w="282" w:type="pct"/>
            <w:vAlign w:val="center"/>
          </w:tcPr>
          <w:p w14:paraId="4A744830">
            <w:pPr>
              <w:adjustRightInd w:val="0"/>
              <w:jc w:val="center"/>
              <w:rPr>
                <w:rFonts w:ascii="Times New Roman" w:hAnsi="Times New Roman"/>
                <w:sz w:val="18"/>
                <w:szCs w:val="18"/>
              </w:rPr>
            </w:pPr>
          </w:p>
        </w:tc>
        <w:tc>
          <w:tcPr>
            <w:tcW w:w="311" w:type="pct"/>
            <w:vAlign w:val="center"/>
          </w:tcPr>
          <w:p w14:paraId="3EABF644">
            <w:pPr>
              <w:adjustRightInd w:val="0"/>
              <w:jc w:val="center"/>
              <w:rPr>
                <w:rFonts w:ascii="Times New Roman" w:hAnsi="Times New Roman"/>
                <w:sz w:val="18"/>
                <w:szCs w:val="18"/>
              </w:rPr>
            </w:pPr>
          </w:p>
        </w:tc>
        <w:tc>
          <w:tcPr>
            <w:tcW w:w="250" w:type="pct"/>
            <w:vAlign w:val="center"/>
          </w:tcPr>
          <w:p w14:paraId="3420CBEC">
            <w:pPr>
              <w:adjustRightInd w:val="0"/>
              <w:jc w:val="center"/>
              <w:rPr>
                <w:rFonts w:ascii="Times New Roman" w:hAnsi="Times New Roman"/>
                <w:sz w:val="18"/>
                <w:szCs w:val="18"/>
              </w:rPr>
            </w:pPr>
          </w:p>
        </w:tc>
        <w:tc>
          <w:tcPr>
            <w:tcW w:w="250" w:type="pct"/>
            <w:vAlign w:val="center"/>
          </w:tcPr>
          <w:p w14:paraId="3F1A3D0F">
            <w:pPr>
              <w:adjustRightInd w:val="0"/>
              <w:jc w:val="center"/>
              <w:rPr>
                <w:rFonts w:ascii="Times New Roman" w:hAnsi="Times New Roman"/>
                <w:sz w:val="18"/>
                <w:szCs w:val="18"/>
              </w:rPr>
            </w:pPr>
          </w:p>
        </w:tc>
        <w:tc>
          <w:tcPr>
            <w:tcW w:w="250" w:type="pct"/>
            <w:vAlign w:val="center"/>
          </w:tcPr>
          <w:p w14:paraId="4B99CFF6">
            <w:pPr>
              <w:adjustRightInd w:val="0"/>
              <w:jc w:val="center"/>
              <w:rPr>
                <w:rFonts w:ascii="Times New Roman" w:hAnsi="Times New Roman"/>
                <w:sz w:val="18"/>
                <w:szCs w:val="18"/>
              </w:rPr>
            </w:pPr>
          </w:p>
        </w:tc>
        <w:tc>
          <w:tcPr>
            <w:tcW w:w="250" w:type="pct"/>
            <w:vAlign w:val="center"/>
          </w:tcPr>
          <w:p w14:paraId="3DAE3033">
            <w:pPr>
              <w:jc w:val="center"/>
              <w:rPr>
                <w:rFonts w:ascii="Times New Roman" w:hAnsi="Times New Roman"/>
                <w:sz w:val="18"/>
                <w:szCs w:val="18"/>
              </w:rPr>
            </w:pPr>
          </w:p>
        </w:tc>
        <w:tc>
          <w:tcPr>
            <w:tcW w:w="250" w:type="pct"/>
            <w:vAlign w:val="center"/>
          </w:tcPr>
          <w:p w14:paraId="59FF5C93">
            <w:pPr>
              <w:adjustRightInd w:val="0"/>
              <w:jc w:val="center"/>
              <w:rPr>
                <w:rFonts w:ascii="Times New Roman" w:hAnsi="Times New Roman"/>
                <w:sz w:val="18"/>
                <w:szCs w:val="18"/>
              </w:rPr>
            </w:pPr>
          </w:p>
        </w:tc>
        <w:tc>
          <w:tcPr>
            <w:tcW w:w="249" w:type="pct"/>
            <w:vAlign w:val="center"/>
          </w:tcPr>
          <w:p w14:paraId="4C67EF54">
            <w:pPr>
              <w:adjustRightInd w:val="0"/>
              <w:jc w:val="center"/>
              <w:rPr>
                <w:rFonts w:ascii="Times New Roman" w:hAnsi="Times New Roman"/>
                <w:sz w:val="18"/>
                <w:szCs w:val="18"/>
              </w:rPr>
            </w:pPr>
          </w:p>
        </w:tc>
        <w:tc>
          <w:tcPr>
            <w:tcW w:w="249" w:type="pct"/>
            <w:vAlign w:val="center"/>
          </w:tcPr>
          <w:p w14:paraId="18FDDB89">
            <w:pPr>
              <w:adjustRightInd w:val="0"/>
              <w:jc w:val="center"/>
              <w:rPr>
                <w:rFonts w:ascii="Times New Roman" w:hAnsi="Times New Roman"/>
                <w:sz w:val="18"/>
                <w:szCs w:val="18"/>
              </w:rPr>
            </w:pPr>
          </w:p>
        </w:tc>
        <w:tc>
          <w:tcPr>
            <w:tcW w:w="249" w:type="pct"/>
            <w:vAlign w:val="center"/>
          </w:tcPr>
          <w:p w14:paraId="65FD2947">
            <w:pPr>
              <w:adjustRightInd w:val="0"/>
              <w:jc w:val="center"/>
              <w:rPr>
                <w:rFonts w:ascii="Times New Roman" w:hAnsi="Times New Roman"/>
                <w:sz w:val="18"/>
                <w:szCs w:val="18"/>
              </w:rPr>
            </w:pPr>
          </w:p>
        </w:tc>
        <w:tc>
          <w:tcPr>
            <w:tcW w:w="249" w:type="pct"/>
            <w:vAlign w:val="center"/>
          </w:tcPr>
          <w:p w14:paraId="2FA0EF32">
            <w:pPr>
              <w:adjustRightInd w:val="0"/>
              <w:jc w:val="center"/>
              <w:rPr>
                <w:rFonts w:ascii="Times New Roman" w:hAnsi="Times New Roman"/>
                <w:sz w:val="18"/>
                <w:szCs w:val="18"/>
              </w:rPr>
            </w:pPr>
          </w:p>
        </w:tc>
        <w:tc>
          <w:tcPr>
            <w:tcW w:w="264" w:type="pct"/>
            <w:vAlign w:val="center"/>
          </w:tcPr>
          <w:p w14:paraId="72A000F6">
            <w:pPr>
              <w:adjustRightInd w:val="0"/>
              <w:jc w:val="center"/>
              <w:rPr>
                <w:rFonts w:ascii="Times New Roman" w:hAnsi="Times New Roman"/>
                <w:sz w:val="18"/>
                <w:szCs w:val="18"/>
              </w:rPr>
            </w:pPr>
          </w:p>
        </w:tc>
        <w:tc>
          <w:tcPr>
            <w:tcW w:w="464" w:type="pct"/>
            <w:vAlign w:val="center"/>
          </w:tcPr>
          <w:p w14:paraId="5790D820">
            <w:pPr>
              <w:adjustRightInd w:val="0"/>
              <w:jc w:val="center"/>
              <w:rPr>
                <w:rFonts w:ascii="Times New Roman" w:hAnsi="Times New Roman"/>
                <w:sz w:val="18"/>
                <w:szCs w:val="18"/>
              </w:rPr>
            </w:pPr>
          </w:p>
        </w:tc>
        <w:tc>
          <w:tcPr>
            <w:tcW w:w="288" w:type="pct"/>
            <w:vAlign w:val="center"/>
          </w:tcPr>
          <w:p w14:paraId="3B7A4284">
            <w:pPr>
              <w:adjustRightInd w:val="0"/>
              <w:jc w:val="center"/>
              <w:rPr>
                <w:rFonts w:ascii="Times New Roman" w:hAnsi="Times New Roman"/>
                <w:sz w:val="18"/>
                <w:szCs w:val="18"/>
              </w:rPr>
            </w:pPr>
          </w:p>
        </w:tc>
        <w:tc>
          <w:tcPr>
            <w:tcW w:w="288" w:type="pct"/>
            <w:vAlign w:val="center"/>
          </w:tcPr>
          <w:p w14:paraId="13791EF1">
            <w:pPr>
              <w:adjustRightInd w:val="0"/>
              <w:jc w:val="center"/>
              <w:rPr>
                <w:rFonts w:ascii="Times New Roman" w:hAnsi="Times New Roman"/>
                <w:sz w:val="18"/>
                <w:szCs w:val="18"/>
              </w:rPr>
            </w:pPr>
          </w:p>
        </w:tc>
        <w:tc>
          <w:tcPr>
            <w:tcW w:w="288" w:type="pct"/>
            <w:vAlign w:val="center"/>
          </w:tcPr>
          <w:p w14:paraId="366DF92D">
            <w:pPr>
              <w:adjustRightInd w:val="0"/>
              <w:jc w:val="center"/>
              <w:rPr>
                <w:rFonts w:ascii="Times New Roman" w:hAnsi="Times New Roman"/>
                <w:sz w:val="18"/>
                <w:szCs w:val="18"/>
              </w:rPr>
            </w:pPr>
          </w:p>
        </w:tc>
        <w:tc>
          <w:tcPr>
            <w:tcW w:w="286" w:type="pct"/>
            <w:vAlign w:val="center"/>
          </w:tcPr>
          <w:p w14:paraId="7FB1980B">
            <w:pPr>
              <w:adjustRightInd w:val="0"/>
              <w:jc w:val="center"/>
              <w:rPr>
                <w:rFonts w:ascii="Times New Roman" w:hAnsi="Times New Roman"/>
                <w:sz w:val="18"/>
                <w:szCs w:val="18"/>
              </w:rPr>
            </w:pPr>
          </w:p>
        </w:tc>
      </w:tr>
      <w:tr w14:paraId="4E5B2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81" w:type="pct"/>
            <w:vAlign w:val="center"/>
          </w:tcPr>
          <w:p w14:paraId="55166FC2">
            <w:pPr>
              <w:adjustRightInd w:val="0"/>
              <w:jc w:val="center"/>
              <w:rPr>
                <w:rFonts w:ascii="Times New Roman" w:hAnsi="Times New Roman" w:eastAsiaTheme="minorEastAsia"/>
                <w:sz w:val="18"/>
                <w:szCs w:val="18"/>
              </w:rPr>
            </w:pPr>
            <w:r>
              <w:rPr>
                <w:rFonts w:ascii="Times New Roman" w:hAnsi="Times New Roman" w:eastAsiaTheme="minorEastAsia"/>
                <w:sz w:val="18"/>
                <w:szCs w:val="18"/>
              </w:rPr>
              <w:t>…</w:t>
            </w:r>
          </w:p>
        </w:tc>
        <w:tc>
          <w:tcPr>
            <w:tcW w:w="282" w:type="pct"/>
            <w:vAlign w:val="center"/>
          </w:tcPr>
          <w:p w14:paraId="1B5FCA6D">
            <w:pPr>
              <w:adjustRightInd w:val="0"/>
              <w:jc w:val="center"/>
              <w:rPr>
                <w:rFonts w:ascii="Times New Roman" w:hAnsi="Times New Roman"/>
                <w:sz w:val="18"/>
                <w:szCs w:val="18"/>
              </w:rPr>
            </w:pPr>
          </w:p>
        </w:tc>
        <w:tc>
          <w:tcPr>
            <w:tcW w:w="311" w:type="pct"/>
            <w:vAlign w:val="center"/>
          </w:tcPr>
          <w:p w14:paraId="5E4763BF">
            <w:pPr>
              <w:adjustRightInd w:val="0"/>
              <w:jc w:val="center"/>
              <w:rPr>
                <w:rFonts w:ascii="Times New Roman" w:hAnsi="Times New Roman"/>
                <w:sz w:val="18"/>
                <w:szCs w:val="18"/>
              </w:rPr>
            </w:pPr>
          </w:p>
        </w:tc>
        <w:tc>
          <w:tcPr>
            <w:tcW w:w="250" w:type="pct"/>
            <w:vAlign w:val="center"/>
          </w:tcPr>
          <w:p w14:paraId="0DACFE1A">
            <w:pPr>
              <w:adjustRightInd w:val="0"/>
              <w:jc w:val="center"/>
              <w:rPr>
                <w:rFonts w:ascii="Times New Roman" w:hAnsi="Times New Roman"/>
                <w:sz w:val="18"/>
                <w:szCs w:val="18"/>
              </w:rPr>
            </w:pPr>
          </w:p>
        </w:tc>
        <w:tc>
          <w:tcPr>
            <w:tcW w:w="250" w:type="pct"/>
            <w:vAlign w:val="center"/>
          </w:tcPr>
          <w:p w14:paraId="360671CA">
            <w:pPr>
              <w:adjustRightInd w:val="0"/>
              <w:jc w:val="center"/>
              <w:rPr>
                <w:rFonts w:ascii="Times New Roman" w:hAnsi="Times New Roman"/>
                <w:sz w:val="18"/>
                <w:szCs w:val="18"/>
              </w:rPr>
            </w:pPr>
          </w:p>
        </w:tc>
        <w:tc>
          <w:tcPr>
            <w:tcW w:w="250" w:type="pct"/>
            <w:vAlign w:val="center"/>
          </w:tcPr>
          <w:p w14:paraId="736932C7">
            <w:pPr>
              <w:adjustRightInd w:val="0"/>
              <w:jc w:val="center"/>
              <w:rPr>
                <w:rFonts w:ascii="Times New Roman" w:hAnsi="Times New Roman"/>
                <w:sz w:val="18"/>
                <w:szCs w:val="18"/>
              </w:rPr>
            </w:pPr>
          </w:p>
        </w:tc>
        <w:tc>
          <w:tcPr>
            <w:tcW w:w="250" w:type="pct"/>
            <w:vAlign w:val="center"/>
          </w:tcPr>
          <w:p w14:paraId="3E8D59E7">
            <w:pPr>
              <w:adjustRightInd w:val="0"/>
              <w:jc w:val="center"/>
              <w:rPr>
                <w:rFonts w:ascii="Times New Roman" w:hAnsi="Times New Roman"/>
                <w:sz w:val="18"/>
                <w:szCs w:val="18"/>
              </w:rPr>
            </w:pPr>
          </w:p>
        </w:tc>
        <w:tc>
          <w:tcPr>
            <w:tcW w:w="250" w:type="pct"/>
            <w:vAlign w:val="center"/>
          </w:tcPr>
          <w:p w14:paraId="64FC5A88">
            <w:pPr>
              <w:adjustRightInd w:val="0"/>
              <w:jc w:val="center"/>
              <w:rPr>
                <w:rFonts w:ascii="Times New Roman" w:hAnsi="Times New Roman"/>
                <w:sz w:val="18"/>
                <w:szCs w:val="18"/>
              </w:rPr>
            </w:pPr>
          </w:p>
        </w:tc>
        <w:tc>
          <w:tcPr>
            <w:tcW w:w="249" w:type="pct"/>
            <w:vAlign w:val="center"/>
          </w:tcPr>
          <w:p w14:paraId="642D7F76">
            <w:pPr>
              <w:adjustRightInd w:val="0"/>
              <w:jc w:val="center"/>
              <w:rPr>
                <w:rFonts w:ascii="Times New Roman" w:hAnsi="Times New Roman"/>
                <w:sz w:val="18"/>
                <w:szCs w:val="18"/>
              </w:rPr>
            </w:pPr>
          </w:p>
        </w:tc>
        <w:tc>
          <w:tcPr>
            <w:tcW w:w="249" w:type="pct"/>
            <w:vAlign w:val="center"/>
          </w:tcPr>
          <w:p w14:paraId="2FE732DC">
            <w:pPr>
              <w:adjustRightInd w:val="0"/>
              <w:jc w:val="center"/>
              <w:rPr>
                <w:rFonts w:ascii="Times New Roman" w:hAnsi="Times New Roman"/>
                <w:sz w:val="18"/>
                <w:szCs w:val="18"/>
              </w:rPr>
            </w:pPr>
          </w:p>
        </w:tc>
        <w:tc>
          <w:tcPr>
            <w:tcW w:w="249" w:type="pct"/>
            <w:vAlign w:val="center"/>
          </w:tcPr>
          <w:p w14:paraId="45C64300">
            <w:pPr>
              <w:adjustRightInd w:val="0"/>
              <w:jc w:val="center"/>
              <w:rPr>
                <w:rFonts w:ascii="Times New Roman" w:hAnsi="Times New Roman"/>
                <w:sz w:val="18"/>
                <w:szCs w:val="18"/>
              </w:rPr>
            </w:pPr>
          </w:p>
        </w:tc>
        <w:tc>
          <w:tcPr>
            <w:tcW w:w="249" w:type="pct"/>
            <w:vAlign w:val="center"/>
          </w:tcPr>
          <w:p w14:paraId="3A645822">
            <w:pPr>
              <w:adjustRightInd w:val="0"/>
              <w:jc w:val="center"/>
              <w:rPr>
                <w:rFonts w:ascii="Times New Roman" w:hAnsi="Times New Roman"/>
                <w:sz w:val="18"/>
                <w:szCs w:val="18"/>
              </w:rPr>
            </w:pPr>
          </w:p>
        </w:tc>
        <w:tc>
          <w:tcPr>
            <w:tcW w:w="264" w:type="pct"/>
            <w:vAlign w:val="center"/>
          </w:tcPr>
          <w:p w14:paraId="30EE9FF3">
            <w:pPr>
              <w:adjustRightInd w:val="0"/>
              <w:jc w:val="center"/>
              <w:rPr>
                <w:rFonts w:ascii="Times New Roman" w:hAnsi="Times New Roman"/>
                <w:sz w:val="18"/>
                <w:szCs w:val="18"/>
              </w:rPr>
            </w:pPr>
          </w:p>
        </w:tc>
        <w:tc>
          <w:tcPr>
            <w:tcW w:w="464" w:type="pct"/>
            <w:vAlign w:val="center"/>
          </w:tcPr>
          <w:p w14:paraId="5E2761C8">
            <w:pPr>
              <w:adjustRightInd w:val="0"/>
              <w:jc w:val="center"/>
              <w:rPr>
                <w:rFonts w:ascii="Times New Roman" w:hAnsi="Times New Roman"/>
                <w:sz w:val="18"/>
                <w:szCs w:val="18"/>
              </w:rPr>
            </w:pPr>
          </w:p>
        </w:tc>
        <w:tc>
          <w:tcPr>
            <w:tcW w:w="288" w:type="pct"/>
            <w:vAlign w:val="center"/>
          </w:tcPr>
          <w:p w14:paraId="36E4D258">
            <w:pPr>
              <w:adjustRightInd w:val="0"/>
              <w:jc w:val="center"/>
              <w:rPr>
                <w:rFonts w:ascii="Times New Roman" w:hAnsi="Times New Roman"/>
                <w:sz w:val="18"/>
                <w:szCs w:val="18"/>
              </w:rPr>
            </w:pPr>
          </w:p>
        </w:tc>
        <w:tc>
          <w:tcPr>
            <w:tcW w:w="288" w:type="pct"/>
            <w:vAlign w:val="center"/>
          </w:tcPr>
          <w:p w14:paraId="20353C50">
            <w:pPr>
              <w:adjustRightInd w:val="0"/>
              <w:jc w:val="center"/>
              <w:rPr>
                <w:rFonts w:ascii="Times New Roman" w:hAnsi="Times New Roman"/>
                <w:sz w:val="18"/>
                <w:szCs w:val="18"/>
              </w:rPr>
            </w:pPr>
          </w:p>
        </w:tc>
        <w:tc>
          <w:tcPr>
            <w:tcW w:w="288" w:type="pct"/>
            <w:vAlign w:val="center"/>
          </w:tcPr>
          <w:p w14:paraId="3B8D2A18">
            <w:pPr>
              <w:adjustRightInd w:val="0"/>
              <w:jc w:val="center"/>
              <w:rPr>
                <w:rFonts w:ascii="Times New Roman" w:hAnsi="Times New Roman"/>
                <w:sz w:val="18"/>
                <w:szCs w:val="18"/>
              </w:rPr>
            </w:pPr>
          </w:p>
        </w:tc>
        <w:tc>
          <w:tcPr>
            <w:tcW w:w="286" w:type="pct"/>
            <w:vAlign w:val="center"/>
          </w:tcPr>
          <w:p w14:paraId="48FCB355">
            <w:pPr>
              <w:adjustRightInd w:val="0"/>
              <w:jc w:val="center"/>
              <w:rPr>
                <w:rFonts w:ascii="Times New Roman" w:hAnsi="Times New Roman"/>
                <w:sz w:val="18"/>
                <w:szCs w:val="18"/>
              </w:rPr>
            </w:pPr>
          </w:p>
        </w:tc>
      </w:tr>
    </w:tbl>
    <w:p w14:paraId="0AA2221E">
      <w:pPr>
        <w:snapToGrid w:val="0"/>
        <w:ind w:left="422" w:right="422"/>
        <w:jc w:val="center"/>
        <w:rPr>
          <w:rFonts w:ascii="Times New Roman" w:hAnsi="Times New Roman" w:eastAsia="黑体" w:cs="Times New Roman"/>
          <w:snapToGrid w:val="0"/>
          <w:kern w:val="0"/>
          <w:sz w:val="18"/>
          <w:szCs w:val="18"/>
        </w:rPr>
      </w:pPr>
    </w:p>
    <w:p w14:paraId="50EA1CD5">
      <w:pPr>
        <w:snapToGrid w:val="0"/>
        <w:ind w:left="422" w:right="422"/>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.3  </w:t>
      </w:r>
      <w:r>
        <w:rPr>
          <w:rFonts w:hint="eastAsia" w:ascii="Times New Roman" w:hAnsi="Times New Roman" w:eastAsia="黑体" w:cs="Times New Roman"/>
          <w:snapToGrid w:val="0"/>
          <w:kern w:val="0"/>
          <w:sz w:val="18"/>
          <w:szCs w:val="18"/>
        </w:rPr>
        <w:t>危险物质或化学药剂统计表</w:t>
      </w:r>
    </w:p>
    <w:tbl>
      <w:tblPr>
        <w:tblStyle w:val="25"/>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937"/>
        <w:gridCol w:w="2286"/>
        <w:gridCol w:w="1930"/>
        <w:gridCol w:w="1855"/>
        <w:gridCol w:w="1853"/>
      </w:tblGrid>
      <w:tr w14:paraId="26A40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31" w:hRule="exact"/>
          <w:jc w:val="center"/>
        </w:trPr>
        <w:tc>
          <w:tcPr>
            <w:tcW w:w="529" w:type="pct"/>
            <w:shd w:val="clear" w:color="auto" w:fill="FFFFFF"/>
            <w:vAlign w:val="center"/>
          </w:tcPr>
          <w:p w14:paraId="165E7F4B">
            <w:pPr>
              <w:pStyle w:val="9"/>
              <w:spacing w:after="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序号</w:t>
            </w:r>
          </w:p>
        </w:tc>
        <w:tc>
          <w:tcPr>
            <w:tcW w:w="1290" w:type="pct"/>
            <w:shd w:val="clear" w:color="auto" w:fill="FFFFFF"/>
            <w:vAlign w:val="center"/>
          </w:tcPr>
          <w:p w14:paraId="2FC0D260">
            <w:pPr>
              <w:pStyle w:val="9"/>
              <w:spacing w:after="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危险物质或化学药剂种类</w:t>
            </w:r>
          </w:p>
        </w:tc>
        <w:tc>
          <w:tcPr>
            <w:tcW w:w="1089" w:type="pct"/>
            <w:shd w:val="clear" w:color="auto" w:fill="FFFFFF"/>
            <w:vAlign w:val="center"/>
          </w:tcPr>
          <w:p w14:paraId="374912E6">
            <w:pPr>
              <w:pStyle w:val="9"/>
              <w:spacing w:after="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名称</w:t>
            </w:r>
          </w:p>
        </w:tc>
        <w:tc>
          <w:tcPr>
            <w:tcW w:w="1047" w:type="pct"/>
            <w:shd w:val="clear" w:color="auto" w:fill="FFFFFF"/>
            <w:vAlign w:val="center"/>
          </w:tcPr>
          <w:p w14:paraId="26A423C0">
            <w:pPr>
              <w:pStyle w:val="9"/>
              <w:spacing w:after="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火灾危险性分类</w:t>
            </w:r>
          </w:p>
        </w:tc>
        <w:tc>
          <w:tcPr>
            <w:tcW w:w="1045" w:type="pct"/>
            <w:shd w:val="clear" w:color="auto" w:fill="FFFFFF"/>
            <w:vAlign w:val="center"/>
          </w:tcPr>
          <w:p w14:paraId="40362A13">
            <w:pPr>
              <w:pStyle w:val="9"/>
              <w:spacing w:after="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用量</w:t>
            </w:r>
          </w:p>
        </w:tc>
      </w:tr>
      <w:tr w14:paraId="1FE7A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31" w:hRule="exact"/>
          <w:jc w:val="center"/>
        </w:trPr>
        <w:tc>
          <w:tcPr>
            <w:tcW w:w="529" w:type="pct"/>
            <w:shd w:val="clear" w:color="auto" w:fill="FFFFFF"/>
            <w:vAlign w:val="center"/>
          </w:tcPr>
          <w:p w14:paraId="78B4714C">
            <w:pPr>
              <w:pStyle w:val="9"/>
              <w:spacing w:after="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w:t>
            </w:r>
          </w:p>
        </w:tc>
        <w:tc>
          <w:tcPr>
            <w:tcW w:w="1290" w:type="pct"/>
            <w:shd w:val="clear" w:color="auto" w:fill="FFFFFF"/>
            <w:vAlign w:val="center"/>
          </w:tcPr>
          <w:p w14:paraId="7E5AD496">
            <w:pPr>
              <w:pStyle w:val="9"/>
              <w:spacing w:after="0" w:line="240" w:lineRule="auto"/>
              <w:jc w:val="center"/>
              <w:rPr>
                <w:rFonts w:ascii="Times New Roman" w:hAnsi="Times New Roman" w:eastAsia="宋体" w:cs="Times New Roman"/>
                <w:sz w:val="18"/>
                <w:szCs w:val="18"/>
              </w:rPr>
            </w:pPr>
          </w:p>
        </w:tc>
        <w:tc>
          <w:tcPr>
            <w:tcW w:w="1089" w:type="pct"/>
            <w:shd w:val="clear" w:color="auto" w:fill="FFFFFF"/>
            <w:vAlign w:val="center"/>
          </w:tcPr>
          <w:p w14:paraId="4F809840">
            <w:pPr>
              <w:pStyle w:val="9"/>
              <w:spacing w:after="0" w:line="240" w:lineRule="auto"/>
              <w:jc w:val="center"/>
              <w:rPr>
                <w:rFonts w:ascii="Times New Roman" w:hAnsi="Times New Roman" w:eastAsia="宋体" w:cs="Times New Roman"/>
                <w:sz w:val="18"/>
                <w:szCs w:val="18"/>
              </w:rPr>
            </w:pPr>
          </w:p>
        </w:tc>
        <w:tc>
          <w:tcPr>
            <w:tcW w:w="1047" w:type="pct"/>
            <w:shd w:val="clear" w:color="auto" w:fill="FFFFFF"/>
            <w:vAlign w:val="center"/>
          </w:tcPr>
          <w:p w14:paraId="2230B9A4">
            <w:pPr>
              <w:pStyle w:val="9"/>
              <w:spacing w:after="0" w:line="240" w:lineRule="auto"/>
              <w:jc w:val="center"/>
              <w:rPr>
                <w:rFonts w:ascii="Times New Roman" w:hAnsi="Times New Roman" w:eastAsia="宋体" w:cs="Times New Roman"/>
                <w:sz w:val="18"/>
                <w:szCs w:val="18"/>
              </w:rPr>
            </w:pPr>
          </w:p>
        </w:tc>
        <w:tc>
          <w:tcPr>
            <w:tcW w:w="1045" w:type="pct"/>
            <w:shd w:val="clear" w:color="auto" w:fill="FFFFFF"/>
            <w:vAlign w:val="center"/>
          </w:tcPr>
          <w:p w14:paraId="005AE46B">
            <w:pPr>
              <w:pStyle w:val="9"/>
              <w:spacing w:after="0" w:line="240" w:lineRule="auto"/>
              <w:jc w:val="center"/>
              <w:rPr>
                <w:rFonts w:ascii="Times New Roman" w:hAnsi="Times New Roman" w:eastAsia="宋体" w:cs="Times New Roman"/>
                <w:sz w:val="18"/>
                <w:szCs w:val="18"/>
              </w:rPr>
            </w:pPr>
          </w:p>
        </w:tc>
      </w:tr>
      <w:tr w14:paraId="3C96E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40" w:hRule="exact"/>
          <w:jc w:val="center"/>
        </w:trPr>
        <w:tc>
          <w:tcPr>
            <w:tcW w:w="529" w:type="pct"/>
            <w:shd w:val="clear" w:color="auto" w:fill="FFFFFF"/>
            <w:vAlign w:val="center"/>
          </w:tcPr>
          <w:p w14:paraId="6D22FF0A">
            <w:pPr>
              <w:pStyle w:val="9"/>
              <w:spacing w:after="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1290" w:type="pct"/>
            <w:shd w:val="clear" w:color="auto" w:fill="FFFFFF"/>
            <w:vAlign w:val="center"/>
          </w:tcPr>
          <w:p w14:paraId="33D7C709">
            <w:pPr>
              <w:pStyle w:val="9"/>
              <w:spacing w:after="0" w:line="240" w:lineRule="auto"/>
              <w:jc w:val="center"/>
              <w:rPr>
                <w:rFonts w:ascii="Times New Roman" w:hAnsi="Times New Roman" w:eastAsia="宋体" w:cs="Times New Roman"/>
                <w:sz w:val="18"/>
                <w:szCs w:val="18"/>
              </w:rPr>
            </w:pPr>
          </w:p>
        </w:tc>
        <w:tc>
          <w:tcPr>
            <w:tcW w:w="1089" w:type="pct"/>
            <w:shd w:val="clear" w:color="auto" w:fill="FFFFFF"/>
            <w:vAlign w:val="center"/>
          </w:tcPr>
          <w:p w14:paraId="46B7E97F">
            <w:pPr>
              <w:pStyle w:val="9"/>
              <w:spacing w:after="0" w:line="240" w:lineRule="auto"/>
              <w:jc w:val="center"/>
              <w:rPr>
                <w:rFonts w:ascii="Times New Roman" w:hAnsi="Times New Roman" w:eastAsia="宋体" w:cs="Times New Roman"/>
                <w:sz w:val="18"/>
                <w:szCs w:val="18"/>
              </w:rPr>
            </w:pPr>
          </w:p>
        </w:tc>
        <w:tc>
          <w:tcPr>
            <w:tcW w:w="1047" w:type="pct"/>
            <w:shd w:val="clear" w:color="auto" w:fill="FFFFFF"/>
            <w:vAlign w:val="center"/>
          </w:tcPr>
          <w:p w14:paraId="6F20D6E6">
            <w:pPr>
              <w:pStyle w:val="9"/>
              <w:spacing w:after="0" w:line="240" w:lineRule="auto"/>
              <w:jc w:val="center"/>
              <w:rPr>
                <w:rFonts w:ascii="Times New Roman" w:hAnsi="Times New Roman" w:eastAsia="宋体" w:cs="Times New Roman"/>
                <w:sz w:val="18"/>
                <w:szCs w:val="18"/>
              </w:rPr>
            </w:pPr>
          </w:p>
        </w:tc>
        <w:tc>
          <w:tcPr>
            <w:tcW w:w="1045" w:type="pct"/>
            <w:shd w:val="clear" w:color="auto" w:fill="FFFFFF"/>
            <w:vAlign w:val="center"/>
          </w:tcPr>
          <w:p w14:paraId="0FF233D8">
            <w:pPr>
              <w:pStyle w:val="9"/>
              <w:spacing w:after="0" w:line="240" w:lineRule="auto"/>
              <w:jc w:val="center"/>
              <w:rPr>
                <w:rFonts w:ascii="Times New Roman" w:hAnsi="Times New Roman" w:eastAsia="宋体" w:cs="Times New Roman"/>
                <w:sz w:val="18"/>
                <w:szCs w:val="18"/>
              </w:rPr>
            </w:pPr>
          </w:p>
        </w:tc>
      </w:tr>
    </w:tbl>
    <w:p w14:paraId="4B5024F8">
      <w:pPr>
        <w:snapToGrid w:val="0"/>
        <w:ind w:left="422" w:right="422"/>
        <w:jc w:val="center"/>
        <w:rPr>
          <w:rFonts w:ascii="Times New Roman" w:hAnsi="Times New Roman" w:eastAsia="黑体" w:cs="Times New Roman"/>
          <w:snapToGrid w:val="0"/>
          <w:kern w:val="0"/>
          <w:sz w:val="18"/>
          <w:szCs w:val="18"/>
        </w:rPr>
      </w:pPr>
    </w:p>
    <w:p w14:paraId="17BB5439">
      <w:pPr>
        <w:snapToGrid w:val="0"/>
        <w:ind w:left="422" w:right="422"/>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.4  </w:t>
      </w:r>
      <w:r>
        <w:rPr>
          <w:rFonts w:hint="eastAsia" w:ascii="Times New Roman" w:hAnsi="Times New Roman" w:eastAsia="黑体" w:cs="Times New Roman"/>
          <w:snapToGrid w:val="0"/>
          <w:kern w:val="0"/>
          <w:sz w:val="18"/>
          <w:szCs w:val="18"/>
        </w:rPr>
        <w:t>采出水物性表</w:t>
      </w:r>
    </w:p>
    <w:tbl>
      <w:tblPr>
        <w:tblStyle w:val="2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977"/>
        <w:gridCol w:w="963"/>
        <w:gridCol w:w="1436"/>
        <w:gridCol w:w="1218"/>
        <w:gridCol w:w="1528"/>
        <w:gridCol w:w="1558"/>
        <w:gridCol w:w="1185"/>
      </w:tblGrid>
      <w:tr w14:paraId="466D9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7" w:hRule="exact"/>
        </w:trPr>
        <w:tc>
          <w:tcPr>
            <w:tcW w:w="551" w:type="pct"/>
            <w:shd w:val="clear" w:color="auto" w:fill="FFFFFF"/>
            <w:vAlign w:val="center"/>
          </w:tcPr>
          <w:p w14:paraId="716AEA4E">
            <w:pPr>
              <w:pStyle w:val="9"/>
              <w:spacing w:before="12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序号</w:t>
            </w:r>
          </w:p>
        </w:tc>
        <w:tc>
          <w:tcPr>
            <w:tcW w:w="543" w:type="pct"/>
            <w:shd w:val="clear" w:color="auto" w:fill="FFFFFF"/>
            <w:vAlign w:val="center"/>
          </w:tcPr>
          <w:p w14:paraId="61E4FEBC">
            <w:pPr>
              <w:pStyle w:val="9"/>
              <w:spacing w:before="12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井号</w:t>
            </w:r>
          </w:p>
        </w:tc>
        <w:tc>
          <w:tcPr>
            <w:tcW w:w="810" w:type="pct"/>
            <w:shd w:val="clear" w:color="auto" w:fill="FFFFFF"/>
            <w:vAlign w:val="center"/>
          </w:tcPr>
          <w:p w14:paraId="6972BCBA">
            <w:pPr>
              <w:pStyle w:val="9"/>
              <w:spacing w:before="12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层位油组</w:t>
            </w:r>
          </w:p>
        </w:tc>
        <w:tc>
          <w:tcPr>
            <w:tcW w:w="687" w:type="pct"/>
            <w:shd w:val="clear" w:color="auto" w:fill="FFFFFF"/>
            <w:vAlign w:val="center"/>
          </w:tcPr>
          <w:p w14:paraId="096B263F">
            <w:pPr>
              <w:pStyle w:val="9"/>
              <w:spacing w:before="12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pH</w:t>
            </w:r>
            <w:r>
              <w:rPr>
                <w:rFonts w:hint="eastAsia" w:ascii="Times New Roman" w:hAnsi="Times New Roman" w:eastAsia="宋体" w:cs="Times New Roman"/>
                <w:sz w:val="18"/>
                <w:szCs w:val="18"/>
              </w:rPr>
              <w:t>值</w:t>
            </w:r>
          </w:p>
        </w:tc>
        <w:tc>
          <w:tcPr>
            <w:tcW w:w="862" w:type="pct"/>
            <w:shd w:val="clear" w:color="auto" w:fill="FFFFFF"/>
            <w:vAlign w:val="center"/>
          </w:tcPr>
          <w:p w14:paraId="13F4392C">
            <w:pPr>
              <w:adjustRightInd w:val="0"/>
              <w:spacing w:line="240" w:lineRule="auto"/>
              <w:jc w:val="center"/>
              <w:rPr>
                <w:rFonts w:ascii="Times New Roman" w:hAnsi="Times New Roman"/>
                <w:sz w:val="18"/>
                <w:szCs w:val="18"/>
              </w:rPr>
            </w:pPr>
            <w:r>
              <w:rPr>
                <w:rFonts w:ascii="Times New Roman" w:hAnsi="Times New Roman"/>
                <w:sz w:val="18"/>
                <w:szCs w:val="18"/>
              </w:rPr>
              <w:t>Cl</w:t>
            </w:r>
            <w:r>
              <w:rPr>
                <w:rFonts w:ascii="Times New Roman" w:hAnsi="Times New Roman"/>
                <w:sz w:val="18"/>
                <w:szCs w:val="18"/>
                <w:vertAlign w:val="superscript"/>
              </w:rPr>
              <w:t>-</w:t>
            </w:r>
          </w:p>
          <w:p w14:paraId="430E9BE9">
            <w:pPr>
              <w:adjustRightInd w:val="0"/>
              <w:spacing w:line="240" w:lineRule="auto"/>
              <w:jc w:val="center"/>
              <w:rPr>
                <w:rFonts w:ascii="Times New Roman" w:hAnsi="Times New Roman"/>
                <w:sz w:val="18"/>
                <w:szCs w:val="18"/>
              </w:rPr>
            </w:pPr>
            <w:r>
              <w:rPr>
                <w:rFonts w:hint="eastAsia" w:ascii="Times New Roman" w:hAnsi="Times New Roman" w:eastAsia="宋体"/>
                <w:sz w:val="18"/>
                <w:szCs w:val="18"/>
              </w:rPr>
              <w:t>（</w:t>
            </w:r>
            <w:r>
              <w:rPr>
                <w:rFonts w:ascii="Times New Roman" w:hAnsi="Times New Roman"/>
                <w:sz w:val="18"/>
                <w:szCs w:val="18"/>
              </w:rPr>
              <w:t>mg/ L</w:t>
            </w:r>
            <w:r>
              <w:rPr>
                <w:rFonts w:hint="eastAsia" w:ascii="Times New Roman" w:hAnsi="Times New Roman" w:eastAsia="宋体"/>
                <w:sz w:val="18"/>
                <w:szCs w:val="18"/>
              </w:rPr>
              <w:t>）</w:t>
            </w:r>
          </w:p>
        </w:tc>
        <w:tc>
          <w:tcPr>
            <w:tcW w:w="879" w:type="pct"/>
            <w:shd w:val="clear" w:color="auto" w:fill="FFFFFF"/>
            <w:vAlign w:val="center"/>
          </w:tcPr>
          <w:p w14:paraId="251A2D6E">
            <w:pPr>
              <w:pStyle w:val="9"/>
              <w:spacing w:before="12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总矿化度</w:t>
            </w:r>
          </w:p>
          <w:p w14:paraId="4806E66C">
            <w:pPr>
              <w:adjustRightInd w:val="0"/>
              <w:spacing w:line="240" w:lineRule="auto"/>
              <w:jc w:val="center"/>
              <w:rPr>
                <w:rFonts w:ascii="Times New Roman" w:hAnsi="Times New Roman"/>
                <w:sz w:val="18"/>
                <w:szCs w:val="18"/>
              </w:rPr>
            </w:pPr>
            <w:r>
              <w:rPr>
                <w:rFonts w:ascii="Times New Roman" w:hAnsi="Times New Roman"/>
                <w:sz w:val="18"/>
                <w:szCs w:val="18"/>
              </w:rPr>
              <w:t>mg/L</w:t>
            </w:r>
          </w:p>
        </w:tc>
        <w:tc>
          <w:tcPr>
            <w:tcW w:w="669" w:type="pct"/>
            <w:shd w:val="clear" w:color="auto" w:fill="FFFFFF"/>
            <w:vAlign w:val="center"/>
          </w:tcPr>
          <w:p w14:paraId="7DDAF6C6">
            <w:pPr>
              <w:pStyle w:val="9"/>
              <w:spacing w:before="120" w:line="240" w:lineRule="auto"/>
              <w:jc w:val="center"/>
              <w:rPr>
                <w:rFonts w:ascii="Times New Roman" w:hAnsi="Times New Roman"/>
                <w:sz w:val="18"/>
                <w:szCs w:val="18"/>
              </w:rPr>
            </w:pPr>
            <w:r>
              <w:rPr>
                <w:rFonts w:hint="eastAsia" w:ascii="Times New Roman" w:hAnsi="Times New Roman" w:eastAsia="宋体" w:cs="Times New Roman"/>
                <w:sz w:val="18"/>
                <w:szCs w:val="18"/>
              </w:rPr>
              <w:t>水型</w:t>
            </w:r>
          </w:p>
        </w:tc>
      </w:tr>
      <w:tr w14:paraId="6B7CE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40" w:hRule="exact"/>
        </w:trPr>
        <w:tc>
          <w:tcPr>
            <w:tcW w:w="551" w:type="pct"/>
            <w:shd w:val="clear" w:color="auto" w:fill="FFFFFF"/>
            <w:vAlign w:val="center"/>
          </w:tcPr>
          <w:p w14:paraId="0DC6EBA9">
            <w:pPr>
              <w:adjustRightInd w:val="0"/>
              <w:spacing w:line="240" w:lineRule="auto"/>
              <w:jc w:val="center"/>
              <w:rPr>
                <w:rFonts w:ascii="Times New Roman" w:hAnsi="Times New Roman"/>
                <w:sz w:val="18"/>
                <w:szCs w:val="18"/>
              </w:rPr>
            </w:pPr>
          </w:p>
        </w:tc>
        <w:tc>
          <w:tcPr>
            <w:tcW w:w="543" w:type="pct"/>
            <w:shd w:val="clear" w:color="auto" w:fill="FFFFFF"/>
            <w:vAlign w:val="center"/>
          </w:tcPr>
          <w:p w14:paraId="28AB1C35">
            <w:pPr>
              <w:adjustRightInd w:val="0"/>
              <w:spacing w:line="240" w:lineRule="auto"/>
              <w:jc w:val="center"/>
              <w:rPr>
                <w:rFonts w:ascii="Times New Roman" w:hAnsi="Times New Roman"/>
                <w:sz w:val="18"/>
                <w:szCs w:val="18"/>
              </w:rPr>
            </w:pPr>
          </w:p>
        </w:tc>
        <w:tc>
          <w:tcPr>
            <w:tcW w:w="810" w:type="pct"/>
            <w:shd w:val="clear" w:color="auto" w:fill="FFFFFF"/>
            <w:vAlign w:val="center"/>
          </w:tcPr>
          <w:p w14:paraId="460333FA">
            <w:pPr>
              <w:adjustRightInd w:val="0"/>
              <w:spacing w:line="240" w:lineRule="auto"/>
              <w:jc w:val="center"/>
              <w:rPr>
                <w:rFonts w:ascii="Times New Roman" w:hAnsi="Times New Roman"/>
                <w:sz w:val="18"/>
                <w:szCs w:val="18"/>
              </w:rPr>
            </w:pPr>
          </w:p>
        </w:tc>
        <w:tc>
          <w:tcPr>
            <w:tcW w:w="687" w:type="pct"/>
            <w:shd w:val="clear" w:color="auto" w:fill="FFFFFF"/>
            <w:vAlign w:val="center"/>
          </w:tcPr>
          <w:p w14:paraId="7A63BD1A">
            <w:pPr>
              <w:adjustRightInd w:val="0"/>
              <w:spacing w:line="240" w:lineRule="auto"/>
              <w:jc w:val="center"/>
              <w:rPr>
                <w:rFonts w:ascii="Times New Roman" w:hAnsi="Times New Roman"/>
                <w:sz w:val="18"/>
                <w:szCs w:val="18"/>
              </w:rPr>
            </w:pPr>
          </w:p>
        </w:tc>
        <w:tc>
          <w:tcPr>
            <w:tcW w:w="862" w:type="pct"/>
            <w:shd w:val="clear" w:color="auto" w:fill="FFFFFF"/>
            <w:vAlign w:val="center"/>
          </w:tcPr>
          <w:p w14:paraId="31A2E15B">
            <w:pPr>
              <w:adjustRightInd w:val="0"/>
              <w:spacing w:line="240" w:lineRule="auto"/>
              <w:jc w:val="center"/>
              <w:rPr>
                <w:rFonts w:ascii="Times New Roman" w:hAnsi="Times New Roman"/>
                <w:sz w:val="18"/>
                <w:szCs w:val="18"/>
              </w:rPr>
            </w:pPr>
          </w:p>
        </w:tc>
        <w:tc>
          <w:tcPr>
            <w:tcW w:w="879" w:type="pct"/>
            <w:shd w:val="clear" w:color="auto" w:fill="FFFFFF"/>
            <w:vAlign w:val="center"/>
          </w:tcPr>
          <w:p w14:paraId="44190129">
            <w:pPr>
              <w:adjustRightInd w:val="0"/>
              <w:spacing w:line="240" w:lineRule="auto"/>
              <w:jc w:val="center"/>
              <w:rPr>
                <w:rFonts w:ascii="Times New Roman" w:hAnsi="Times New Roman"/>
                <w:sz w:val="18"/>
                <w:szCs w:val="18"/>
              </w:rPr>
            </w:pPr>
          </w:p>
        </w:tc>
        <w:tc>
          <w:tcPr>
            <w:tcW w:w="669" w:type="pct"/>
            <w:shd w:val="clear" w:color="auto" w:fill="FFFFFF"/>
            <w:vAlign w:val="center"/>
          </w:tcPr>
          <w:p w14:paraId="7521095B">
            <w:pPr>
              <w:adjustRightInd w:val="0"/>
              <w:spacing w:line="240" w:lineRule="auto"/>
              <w:jc w:val="center"/>
              <w:rPr>
                <w:rFonts w:ascii="Times New Roman" w:hAnsi="Times New Roman"/>
                <w:sz w:val="18"/>
                <w:szCs w:val="18"/>
              </w:rPr>
            </w:pPr>
          </w:p>
        </w:tc>
      </w:tr>
      <w:tr w14:paraId="66E2A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40" w:hRule="exact"/>
        </w:trPr>
        <w:tc>
          <w:tcPr>
            <w:tcW w:w="551" w:type="pct"/>
            <w:shd w:val="clear" w:color="auto" w:fill="FFFFFF"/>
            <w:vAlign w:val="center"/>
          </w:tcPr>
          <w:p w14:paraId="3B87CEC0">
            <w:pPr>
              <w:adjustRightInd w:val="0"/>
              <w:spacing w:line="240" w:lineRule="auto"/>
              <w:jc w:val="center"/>
              <w:rPr>
                <w:rFonts w:ascii="Times New Roman" w:hAnsi="Times New Roman"/>
                <w:sz w:val="18"/>
                <w:szCs w:val="18"/>
              </w:rPr>
            </w:pPr>
          </w:p>
        </w:tc>
        <w:tc>
          <w:tcPr>
            <w:tcW w:w="543" w:type="pct"/>
            <w:shd w:val="clear" w:color="auto" w:fill="FFFFFF"/>
            <w:vAlign w:val="center"/>
          </w:tcPr>
          <w:p w14:paraId="0A9D1F3B">
            <w:pPr>
              <w:adjustRightInd w:val="0"/>
              <w:spacing w:line="240" w:lineRule="auto"/>
              <w:jc w:val="center"/>
              <w:rPr>
                <w:rFonts w:ascii="Times New Roman" w:hAnsi="Times New Roman"/>
                <w:sz w:val="18"/>
                <w:szCs w:val="18"/>
              </w:rPr>
            </w:pPr>
          </w:p>
        </w:tc>
        <w:tc>
          <w:tcPr>
            <w:tcW w:w="810" w:type="pct"/>
            <w:shd w:val="clear" w:color="auto" w:fill="FFFFFF"/>
            <w:vAlign w:val="center"/>
          </w:tcPr>
          <w:p w14:paraId="0B52A35B">
            <w:pPr>
              <w:adjustRightInd w:val="0"/>
              <w:spacing w:line="240" w:lineRule="auto"/>
              <w:jc w:val="center"/>
              <w:rPr>
                <w:rFonts w:ascii="Times New Roman" w:hAnsi="Times New Roman"/>
                <w:sz w:val="18"/>
                <w:szCs w:val="18"/>
              </w:rPr>
            </w:pPr>
          </w:p>
        </w:tc>
        <w:tc>
          <w:tcPr>
            <w:tcW w:w="687" w:type="pct"/>
            <w:shd w:val="clear" w:color="auto" w:fill="FFFFFF"/>
            <w:vAlign w:val="center"/>
          </w:tcPr>
          <w:p w14:paraId="5F82B891">
            <w:pPr>
              <w:adjustRightInd w:val="0"/>
              <w:spacing w:line="240" w:lineRule="auto"/>
              <w:jc w:val="center"/>
              <w:rPr>
                <w:rFonts w:ascii="Times New Roman" w:hAnsi="Times New Roman"/>
                <w:sz w:val="18"/>
                <w:szCs w:val="18"/>
              </w:rPr>
            </w:pPr>
          </w:p>
        </w:tc>
        <w:tc>
          <w:tcPr>
            <w:tcW w:w="862" w:type="pct"/>
            <w:shd w:val="clear" w:color="auto" w:fill="FFFFFF"/>
            <w:vAlign w:val="center"/>
          </w:tcPr>
          <w:p w14:paraId="11EDF859">
            <w:pPr>
              <w:adjustRightInd w:val="0"/>
              <w:spacing w:line="240" w:lineRule="auto"/>
              <w:jc w:val="center"/>
              <w:rPr>
                <w:rFonts w:ascii="Times New Roman" w:hAnsi="Times New Roman"/>
                <w:sz w:val="18"/>
                <w:szCs w:val="18"/>
              </w:rPr>
            </w:pPr>
          </w:p>
        </w:tc>
        <w:tc>
          <w:tcPr>
            <w:tcW w:w="879" w:type="pct"/>
            <w:shd w:val="clear" w:color="auto" w:fill="FFFFFF"/>
            <w:vAlign w:val="center"/>
          </w:tcPr>
          <w:p w14:paraId="097A9FAC">
            <w:pPr>
              <w:adjustRightInd w:val="0"/>
              <w:spacing w:line="240" w:lineRule="auto"/>
              <w:jc w:val="center"/>
              <w:rPr>
                <w:rFonts w:ascii="Times New Roman" w:hAnsi="Times New Roman"/>
                <w:sz w:val="18"/>
                <w:szCs w:val="18"/>
              </w:rPr>
            </w:pPr>
          </w:p>
        </w:tc>
        <w:tc>
          <w:tcPr>
            <w:tcW w:w="669" w:type="pct"/>
            <w:shd w:val="clear" w:color="auto" w:fill="FFFFFF"/>
            <w:vAlign w:val="center"/>
          </w:tcPr>
          <w:p w14:paraId="68A4CEC7">
            <w:pPr>
              <w:adjustRightInd w:val="0"/>
              <w:spacing w:line="240" w:lineRule="auto"/>
              <w:jc w:val="center"/>
              <w:rPr>
                <w:rFonts w:ascii="Times New Roman" w:hAnsi="Times New Roman"/>
                <w:sz w:val="18"/>
                <w:szCs w:val="18"/>
              </w:rPr>
            </w:pPr>
          </w:p>
        </w:tc>
      </w:tr>
    </w:tbl>
    <w:p w14:paraId="7ADAAADF">
      <w:pPr>
        <w:numPr>
          <w:ilvl w:val="255"/>
          <w:numId w:val="0"/>
        </w:numPr>
        <w:spacing w:line="240" w:lineRule="auto"/>
        <w:jc w:val="center"/>
        <w:rPr>
          <w:rFonts w:ascii="黑体" w:hAnsi="宋体" w:eastAsia="黑体" w:cs="Arial"/>
          <w:bCs/>
          <w:snapToGrid w:val="0"/>
          <w:kern w:val="0"/>
          <w:sz w:val="18"/>
          <w:szCs w:val="18"/>
        </w:rPr>
      </w:pPr>
    </w:p>
    <w:p w14:paraId="6E599F39">
      <w:pPr>
        <w:numPr>
          <w:ilvl w:val="255"/>
          <w:numId w:val="0"/>
        </w:numPr>
        <w:spacing w:line="240" w:lineRule="auto"/>
        <w:jc w:val="center"/>
        <w:rPr>
          <w:rFonts w:ascii="黑体" w:hAnsi="宋体" w:eastAsia="黑体" w:cs="Arial"/>
          <w:bCs/>
          <w:snapToGrid w:val="0"/>
          <w:kern w:val="0"/>
          <w:sz w:val="18"/>
          <w:szCs w:val="18"/>
        </w:rPr>
      </w:pPr>
      <w:r>
        <w:rPr>
          <w:rFonts w:hint="eastAsia" w:ascii="黑体" w:hAnsi="宋体" w:eastAsia="黑体" w:cs="Arial"/>
          <w:bCs/>
          <w:snapToGrid w:val="0"/>
          <w:kern w:val="0"/>
          <w:sz w:val="18"/>
          <w:szCs w:val="18"/>
        </w:rPr>
        <w:t>表B</w:t>
      </w:r>
      <w:r>
        <w:rPr>
          <w:rFonts w:ascii="黑体" w:hAnsi="宋体" w:eastAsia="黑体" w:cs="Arial"/>
          <w:bCs/>
          <w:snapToGrid w:val="0"/>
          <w:kern w:val="0"/>
          <w:sz w:val="18"/>
          <w:szCs w:val="18"/>
        </w:rPr>
        <w:t xml:space="preserve">.5  </w:t>
      </w:r>
      <w:r>
        <w:rPr>
          <w:rFonts w:hint="eastAsia" w:ascii="黑体" w:hAnsi="宋体" w:eastAsia="黑体" w:cs="Arial"/>
          <w:bCs/>
          <w:snapToGrid w:val="0"/>
          <w:kern w:val="0"/>
          <w:sz w:val="18"/>
          <w:szCs w:val="18"/>
        </w:rPr>
        <w:t>线路管道统计表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561"/>
        <w:gridCol w:w="938"/>
        <w:gridCol w:w="938"/>
        <w:gridCol w:w="1561"/>
        <w:gridCol w:w="1955"/>
        <w:gridCol w:w="1168"/>
      </w:tblGrid>
      <w:tr w14:paraId="6AF7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17" w:type="pct"/>
            <w:vAlign w:val="center"/>
          </w:tcPr>
          <w:p w14:paraId="2AB57BFB">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序号</w:t>
            </w:r>
          </w:p>
        </w:tc>
        <w:tc>
          <w:tcPr>
            <w:tcW w:w="862" w:type="pct"/>
            <w:vAlign w:val="center"/>
          </w:tcPr>
          <w:p w14:paraId="6ED3002E">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管道名称</w:t>
            </w:r>
          </w:p>
        </w:tc>
        <w:tc>
          <w:tcPr>
            <w:tcW w:w="518" w:type="pct"/>
            <w:vAlign w:val="center"/>
          </w:tcPr>
          <w:p w14:paraId="4D658E9D">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起点</w:t>
            </w:r>
          </w:p>
        </w:tc>
        <w:tc>
          <w:tcPr>
            <w:tcW w:w="518" w:type="pct"/>
            <w:vAlign w:val="center"/>
          </w:tcPr>
          <w:p w14:paraId="533F56B8">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终点</w:t>
            </w:r>
          </w:p>
        </w:tc>
        <w:tc>
          <w:tcPr>
            <w:tcW w:w="862" w:type="pct"/>
            <w:vAlign w:val="center"/>
          </w:tcPr>
          <w:p w14:paraId="1A707C75">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设计压力</w:t>
            </w:r>
          </w:p>
          <w:p w14:paraId="2379F1C6">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w:t>
            </w:r>
            <w:r>
              <w:rPr>
                <w:rFonts w:ascii="Times New Roman" w:hAnsi="Times New Roman" w:eastAsia="宋体" w:cs="Times New Roman"/>
                <w:snapToGrid w:val="0"/>
                <w:kern w:val="0"/>
                <w:sz w:val="18"/>
                <w:szCs w:val="18"/>
                <w14:ligatures w14:val="none"/>
              </w:rPr>
              <w:t>MPa</w:t>
            </w:r>
            <w:r>
              <w:rPr>
                <w:rFonts w:hint="eastAsia" w:ascii="Times New Roman" w:hAnsi="Times New Roman" w:eastAsia="宋体" w:cs="Times New Roman"/>
                <w:snapToGrid w:val="0"/>
                <w:kern w:val="0"/>
                <w:sz w:val="18"/>
                <w:szCs w:val="18"/>
                <w14:ligatures w14:val="none"/>
              </w:rPr>
              <w:t>）</w:t>
            </w:r>
          </w:p>
        </w:tc>
        <w:tc>
          <w:tcPr>
            <w:tcW w:w="1079" w:type="pct"/>
            <w:vAlign w:val="center"/>
          </w:tcPr>
          <w:p w14:paraId="53B6C98C">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z w:val="18"/>
                <w:szCs w:val="18"/>
                <w14:ligatures w14:val="none"/>
              </w:rPr>
              <w:t>管道规格材质</w:t>
            </w:r>
          </w:p>
        </w:tc>
        <w:tc>
          <w:tcPr>
            <w:tcW w:w="644" w:type="pct"/>
            <w:vAlign w:val="center"/>
          </w:tcPr>
          <w:p w14:paraId="61320B39">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长度</w:t>
            </w:r>
          </w:p>
          <w:p w14:paraId="74CAA1C1">
            <w:pPr>
              <w:spacing w:line="240" w:lineRule="auto"/>
              <w:jc w:val="center"/>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w:t>
            </w:r>
            <w:r>
              <w:rPr>
                <w:rFonts w:ascii="Times New Roman" w:hAnsi="Times New Roman" w:eastAsia="宋体" w:cs="Times New Roman"/>
                <w:snapToGrid w:val="0"/>
                <w:kern w:val="0"/>
                <w:sz w:val="18"/>
                <w:szCs w:val="18"/>
                <w14:ligatures w14:val="none"/>
              </w:rPr>
              <w:t>km</w:t>
            </w:r>
            <w:r>
              <w:rPr>
                <w:rFonts w:hint="eastAsia" w:ascii="Times New Roman" w:hAnsi="Times New Roman" w:eastAsia="宋体" w:cs="Times New Roman"/>
                <w:snapToGrid w:val="0"/>
                <w:kern w:val="0"/>
                <w:sz w:val="18"/>
                <w:szCs w:val="18"/>
                <w14:ligatures w14:val="none"/>
              </w:rPr>
              <w:t>）</w:t>
            </w:r>
          </w:p>
        </w:tc>
      </w:tr>
      <w:tr w14:paraId="14BF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7" w:type="pct"/>
            <w:vAlign w:val="center"/>
          </w:tcPr>
          <w:p w14:paraId="0A5B393C">
            <w:pPr>
              <w:spacing w:line="240" w:lineRule="auto"/>
              <w:jc w:val="center"/>
              <w:rPr>
                <w:rFonts w:ascii="Times New Roman" w:hAnsi="Times New Roman" w:eastAsia="宋体" w:cs="Times New Roman"/>
                <w:snapToGrid w:val="0"/>
                <w:kern w:val="0"/>
                <w:sz w:val="18"/>
                <w:szCs w:val="18"/>
                <w14:ligatures w14:val="none"/>
              </w:rPr>
            </w:pPr>
            <w:r>
              <w:rPr>
                <w:rFonts w:ascii="Times New Roman" w:hAnsi="Times New Roman" w:eastAsia="宋体" w:cs="Times New Roman"/>
                <w:snapToGrid w:val="0"/>
                <w:kern w:val="0"/>
                <w:sz w:val="18"/>
                <w:szCs w:val="18"/>
                <w14:ligatures w14:val="none"/>
              </w:rPr>
              <w:t>1</w:t>
            </w:r>
          </w:p>
        </w:tc>
        <w:tc>
          <w:tcPr>
            <w:tcW w:w="862" w:type="pct"/>
            <w:vAlign w:val="center"/>
          </w:tcPr>
          <w:p w14:paraId="20A004E4">
            <w:pPr>
              <w:spacing w:line="240" w:lineRule="auto"/>
              <w:jc w:val="center"/>
              <w:rPr>
                <w:rFonts w:ascii="Times New Roman" w:hAnsi="Times New Roman" w:eastAsia="宋体" w:cs="Times New Roman"/>
                <w:snapToGrid w:val="0"/>
                <w:kern w:val="0"/>
                <w:sz w:val="18"/>
                <w:szCs w:val="18"/>
                <w14:ligatures w14:val="none"/>
              </w:rPr>
            </w:pPr>
          </w:p>
        </w:tc>
        <w:tc>
          <w:tcPr>
            <w:tcW w:w="518" w:type="pct"/>
            <w:vAlign w:val="center"/>
          </w:tcPr>
          <w:p w14:paraId="275D26C5">
            <w:pPr>
              <w:spacing w:line="240" w:lineRule="auto"/>
              <w:jc w:val="center"/>
              <w:rPr>
                <w:rFonts w:ascii="Times New Roman" w:hAnsi="Times New Roman" w:eastAsia="宋体" w:cs="Times New Roman"/>
                <w:snapToGrid w:val="0"/>
                <w:kern w:val="0"/>
                <w:sz w:val="18"/>
                <w:szCs w:val="18"/>
                <w14:ligatures w14:val="none"/>
              </w:rPr>
            </w:pPr>
          </w:p>
        </w:tc>
        <w:tc>
          <w:tcPr>
            <w:tcW w:w="518" w:type="pct"/>
            <w:vAlign w:val="center"/>
          </w:tcPr>
          <w:p w14:paraId="65BF78C5">
            <w:pPr>
              <w:spacing w:line="240" w:lineRule="auto"/>
              <w:jc w:val="center"/>
              <w:rPr>
                <w:rFonts w:ascii="Times New Roman" w:hAnsi="Times New Roman" w:eastAsia="宋体" w:cs="Times New Roman"/>
                <w:snapToGrid w:val="0"/>
                <w:kern w:val="0"/>
                <w:sz w:val="18"/>
                <w:szCs w:val="18"/>
                <w14:ligatures w14:val="none"/>
              </w:rPr>
            </w:pPr>
          </w:p>
        </w:tc>
        <w:tc>
          <w:tcPr>
            <w:tcW w:w="862" w:type="pct"/>
            <w:vAlign w:val="center"/>
          </w:tcPr>
          <w:p w14:paraId="45DC0B29">
            <w:pPr>
              <w:spacing w:line="240" w:lineRule="auto"/>
              <w:jc w:val="center"/>
              <w:rPr>
                <w:rFonts w:ascii="Times New Roman" w:hAnsi="Times New Roman" w:eastAsia="宋体" w:cs="Times New Roman"/>
                <w:snapToGrid w:val="0"/>
                <w:kern w:val="0"/>
                <w:sz w:val="18"/>
                <w:szCs w:val="18"/>
                <w14:ligatures w14:val="none"/>
              </w:rPr>
            </w:pPr>
          </w:p>
        </w:tc>
        <w:tc>
          <w:tcPr>
            <w:tcW w:w="1079" w:type="pct"/>
            <w:vAlign w:val="center"/>
          </w:tcPr>
          <w:p w14:paraId="246F5317">
            <w:pPr>
              <w:spacing w:line="240" w:lineRule="auto"/>
              <w:jc w:val="center"/>
              <w:rPr>
                <w:rFonts w:ascii="Times New Roman" w:hAnsi="Times New Roman" w:eastAsia="宋体" w:cs="Times New Roman"/>
                <w:snapToGrid w:val="0"/>
                <w:kern w:val="0"/>
                <w:sz w:val="18"/>
                <w:szCs w:val="18"/>
                <w14:ligatures w14:val="none"/>
              </w:rPr>
            </w:pPr>
          </w:p>
        </w:tc>
        <w:tc>
          <w:tcPr>
            <w:tcW w:w="644" w:type="pct"/>
            <w:vAlign w:val="center"/>
          </w:tcPr>
          <w:p w14:paraId="4ADF3E51">
            <w:pPr>
              <w:spacing w:line="240" w:lineRule="auto"/>
              <w:jc w:val="center"/>
              <w:rPr>
                <w:rFonts w:ascii="Times New Roman" w:hAnsi="Times New Roman" w:eastAsia="宋体" w:cs="Times New Roman"/>
                <w:snapToGrid w:val="0"/>
                <w:kern w:val="0"/>
                <w:sz w:val="18"/>
                <w:szCs w:val="18"/>
                <w14:ligatures w14:val="none"/>
              </w:rPr>
            </w:pPr>
          </w:p>
        </w:tc>
      </w:tr>
      <w:tr w14:paraId="2DB9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7" w:type="pct"/>
            <w:vAlign w:val="center"/>
          </w:tcPr>
          <w:p w14:paraId="1A92F70D">
            <w:pPr>
              <w:spacing w:line="240" w:lineRule="auto"/>
              <w:jc w:val="center"/>
              <w:rPr>
                <w:rFonts w:ascii="Times New Roman" w:hAnsi="Times New Roman" w:eastAsia="宋体" w:cs="Times New Roman"/>
                <w:snapToGrid w:val="0"/>
                <w:kern w:val="0"/>
                <w:sz w:val="18"/>
                <w:szCs w:val="18"/>
                <w14:ligatures w14:val="none"/>
              </w:rPr>
            </w:pPr>
            <w:r>
              <w:rPr>
                <w:rFonts w:ascii="Times New Roman" w:hAnsi="Times New Roman" w:eastAsia="宋体" w:cs="Times New Roman"/>
                <w:snapToGrid w:val="0"/>
                <w:kern w:val="0"/>
                <w:sz w:val="18"/>
                <w:szCs w:val="18"/>
                <w14:ligatures w14:val="none"/>
              </w:rPr>
              <w:t>2</w:t>
            </w:r>
          </w:p>
        </w:tc>
        <w:tc>
          <w:tcPr>
            <w:tcW w:w="862" w:type="pct"/>
            <w:vAlign w:val="center"/>
          </w:tcPr>
          <w:p w14:paraId="6FFE07B8">
            <w:pPr>
              <w:spacing w:line="240" w:lineRule="auto"/>
              <w:jc w:val="center"/>
              <w:rPr>
                <w:rFonts w:ascii="Times New Roman" w:hAnsi="Times New Roman" w:eastAsia="宋体" w:cs="Times New Roman"/>
                <w:snapToGrid w:val="0"/>
                <w:kern w:val="0"/>
                <w:sz w:val="18"/>
                <w:szCs w:val="18"/>
                <w14:ligatures w14:val="none"/>
              </w:rPr>
            </w:pPr>
          </w:p>
        </w:tc>
        <w:tc>
          <w:tcPr>
            <w:tcW w:w="518" w:type="pct"/>
            <w:vAlign w:val="center"/>
          </w:tcPr>
          <w:p w14:paraId="120FC897">
            <w:pPr>
              <w:spacing w:line="240" w:lineRule="auto"/>
              <w:jc w:val="center"/>
              <w:rPr>
                <w:rFonts w:ascii="Times New Roman" w:hAnsi="Times New Roman" w:eastAsia="宋体" w:cs="Times New Roman"/>
                <w:snapToGrid w:val="0"/>
                <w:kern w:val="0"/>
                <w:sz w:val="18"/>
                <w:szCs w:val="18"/>
                <w14:ligatures w14:val="none"/>
              </w:rPr>
            </w:pPr>
          </w:p>
        </w:tc>
        <w:tc>
          <w:tcPr>
            <w:tcW w:w="518" w:type="pct"/>
            <w:vAlign w:val="center"/>
          </w:tcPr>
          <w:p w14:paraId="1D78420D">
            <w:pPr>
              <w:spacing w:line="240" w:lineRule="auto"/>
              <w:jc w:val="center"/>
              <w:rPr>
                <w:rFonts w:ascii="Times New Roman" w:hAnsi="Times New Roman" w:eastAsia="宋体" w:cs="Times New Roman"/>
                <w:snapToGrid w:val="0"/>
                <w:kern w:val="0"/>
                <w:sz w:val="18"/>
                <w:szCs w:val="18"/>
                <w14:ligatures w14:val="none"/>
              </w:rPr>
            </w:pPr>
          </w:p>
        </w:tc>
        <w:tc>
          <w:tcPr>
            <w:tcW w:w="862" w:type="pct"/>
            <w:vAlign w:val="center"/>
          </w:tcPr>
          <w:p w14:paraId="68272532">
            <w:pPr>
              <w:spacing w:line="240" w:lineRule="auto"/>
              <w:jc w:val="center"/>
              <w:rPr>
                <w:rFonts w:ascii="Times New Roman" w:hAnsi="Times New Roman" w:eastAsia="宋体" w:cs="Times New Roman"/>
                <w:snapToGrid w:val="0"/>
                <w:kern w:val="0"/>
                <w:sz w:val="18"/>
                <w:szCs w:val="18"/>
                <w14:ligatures w14:val="none"/>
              </w:rPr>
            </w:pPr>
          </w:p>
        </w:tc>
        <w:tc>
          <w:tcPr>
            <w:tcW w:w="1079" w:type="pct"/>
            <w:vAlign w:val="center"/>
          </w:tcPr>
          <w:p w14:paraId="6B7A35F1">
            <w:pPr>
              <w:spacing w:line="240" w:lineRule="auto"/>
              <w:jc w:val="center"/>
              <w:rPr>
                <w:rFonts w:ascii="Times New Roman" w:hAnsi="Times New Roman" w:eastAsia="宋体" w:cs="Times New Roman"/>
                <w:snapToGrid w:val="0"/>
                <w:kern w:val="0"/>
                <w:sz w:val="18"/>
                <w:szCs w:val="18"/>
                <w14:ligatures w14:val="none"/>
              </w:rPr>
            </w:pPr>
          </w:p>
        </w:tc>
        <w:tc>
          <w:tcPr>
            <w:tcW w:w="644" w:type="pct"/>
            <w:vAlign w:val="center"/>
          </w:tcPr>
          <w:p w14:paraId="0C12D3F8">
            <w:pPr>
              <w:spacing w:line="240" w:lineRule="auto"/>
              <w:jc w:val="center"/>
              <w:rPr>
                <w:rFonts w:ascii="Times New Roman" w:hAnsi="Times New Roman" w:eastAsia="宋体" w:cs="Times New Roman"/>
                <w:snapToGrid w:val="0"/>
                <w:kern w:val="0"/>
                <w:sz w:val="18"/>
                <w:szCs w:val="18"/>
                <w14:ligatures w14:val="none"/>
              </w:rPr>
            </w:pPr>
          </w:p>
        </w:tc>
      </w:tr>
      <w:tr w14:paraId="1089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7" w:type="pct"/>
            <w:vAlign w:val="center"/>
          </w:tcPr>
          <w:p w14:paraId="02352905">
            <w:pPr>
              <w:spacing w:line="240" w:lineRule="auto"/>
              <w:jc w:val="center"/>
              <w:rPr>
                <w:rFonts w:ascii="Times New Roman" w:hAnsi="Times New Roman" w:eastAsia="宋体" w:cs="Times New Roman"/>
                <w:snapToGrid w:val="0"/>
                <w:kern w:val="0"/>
                <w:sz w:val="18"/>
                <w:szCs w:val="18"/>
                <w14:ligatures w14:val="none"/>
              </w:rPr>
            </w:pPr>
            <w:r>
              <w:rPr>
                <w:rFonts w:ascii="Times New Roman" w:hAnsi="Times New Roman" w:eastAsia="宋体" w:cs="Times New Roman"/>
                <w:snapToGrid w:val="0"/>
                <w:kern w:val="0"/>
                <w:sz w:val="18"/>
                <w:szCs w:val="18"/>
                <w14:ligatures w14:val="none"/>
              </w:rPr>
              <w:t>...</w:t>
            </w:r>
          </w:p>
        </w:tc>
        <w:tc>
          <w:tcPr>
            <w:tcW w:w="862" w:type="pct"/>
            <w:vAlign w:val="center"/>
          </w:tcPr>
          <w:p w14:paraId="3385E300">
            <w:pPr>
              <w:spacing w:line="240" w:lineRule="auto"/>
              <w:jc w:val="center"/>
              <w:rPr>
                <w:rFonts w:ascii="Times New Roman" w:hAnsi="Times New Roman" w:eastAsia="宋体" w:cs="Times New Roman"/>
                <w:snapToGrid w:val="0"/>
                <w:kern w:val="0"/>
                <w:sz w:val="18"/>
                <w:szCs w:val="18"/>
                <w14:ligatures w14:val="none"/>
              </w:rPr>
            </w:pPr>
          </w:p>
        </w:tc>
        <w:tc>
          <w:tcPr>
            <w:tcW w:w="518" w:type="pct"/>
            <w:vAlign w:val="center"/>
          </w:tcPr>
          <w:p w14:paraId="3298B417">
            <w:pPr>
              <w:spacing w:line="240" w:lineRule="auto"/>
              <w:jc w:val="center"/>
              <w:rPr>
                <w:rFonts w:ascii="Times New Roman" w:hAnsi="Times New Roman" w:eastAsia="宋体" w:cs="Times New Roman"/>
                <w:snapToGrid w:val="0"/>
                <w:kern w:val="0"/>
                <w:sz w:val="18"/>
                <w:szCs w:val="18"/>
                <w14:ligatures w14:val="none"/>
              </w:rPr>
            </w:pPr>
          </w:p>
        </w:tc>
        <w:tc>
          <w:tcPr>
            <w:tcW w:w="518" w:type="pct"/>
            <w:vAlign w:val="center"/>
          </w:tcPr>
          <w:p w14:paraId="68C48483">
            <w:pPr>
              <w:spacing w:line="240" w:lineRule="auto"/>
              <w:jc w:val="center"/>
              <w:rPr>
                <w:rFonts w:ascii="Times New Roman" w:hAnsi="Times New Roman" w:eastAsia="宋体" w:cs="Times New Roman"/>
                <w:snapToGrid w:val="0"/>
                <w:kern w:val="0"/>
                <w:sz w:val="18"/>
                <w:szCs w:val="18"/>
                <w14:ligatures w14:val="none"/>
              </w:rPr>
            </w:pPr>
          </w:p>
        </w:tc>
        <w:tc>
          <w:tcPr>
            <w:tcW w:w="862" w:type="pct"/>
            <w:vAlign w:val="center"/>
          </w:tcPr>
          <w:p w14:paraId="00717AF2">
            <w:pPr>
              <w:spacing w:line="240" w:lineRule="auto"/>
              <w:jc w:val="center"/>
              <w:rPr>
                <w:rFonts w:ascii="Times New Roman" w:hAnsi="Times New Roman" w:eastAsia="宋体" w:cs="Times New Roman"/>
                <w:snapToGrid w:val="0"/>
                <w:kern w:val="0"/>
                <w:sz w:val="18"/>
                <w:szCs w:val="18"/>
                <w14:ligatures w14:val="none"/>
              </w:rPr>
            </w:pPr>
          </w:p>
        </w:tc>
        <w:tc>
          <w:tcPr>
            <w:tcW w:w="1079" w:type="pct"/>
            <w:vAlign w:val="center"/>
          </w:tcPr>
          <w:p w14:paraId="379E7565">
            <w:pPr>
              <w:spacing w:line="240" w:lineRule="auto"/>
              <w:jc w:val="center"/>
              <w:rPr>
                <w:rFonts w:ascii="Times New Roman" w:hAnsi="Times New Roman" w:eastAsia="宋体" w:cs="Times New Roman"/>
                <w:snapToGrid w:val="0"/>
                <w:kern w:val="0"/>
                <w:sz w:val="18"/>
                <w:szCs w:val="18"/>
                <w14:ligatures w14:val="none"/>
              </w:rPr>
            </w:pPr>
          </w:p>
        </w:tc>
        <w:tc>
          <w:tcPr>
            <w:tcW w:w="644" w:type="pct"/>
            <w:vAlign w:val="center"/>
          </w:tcPr>
          <w:p w14:paraId="1E158E8E">
            <w:pPr>
              <w:spacing w:line="240" w:lineRule="auto"/>
              <w:jc w:val="center"/>
              <w:rPr>
                <w:rFonts w:ascii="Times New Roman" w:hAnsi="Times New Roman" w:eastAsia="宋体" w:cs="Times New Roman"/>
                <w:snapToGrid w:val="0"/>
                <w:kern w:val="0"/>
                <w:sz w:val="18"/>
                <w:szCs w:val="18"/>
                <w14:ligatures w14:val="none"/>
              </w:rPr>
            </w:pPr>
          </w:p>
        </w:tc>
      </w:tr>
    </w:tbl>
    <w:p w14:paraId="39990F94">
      <w:pPr>
        <w:numPr>
          <w:ilvl w:val="255"/>
          <w:numId w:val="0"/>
        </w:numPr>
        <w:spacing w:line="240" w:lineRule="auto"/>
        <w:jc w:val="center"/>
        <w:rPr>
          <w:rFonts w:ascii="黑体" w:hAnsi="宋体" w:eastAsia="黑体" w:cs="Arial"/>
          <w:snapToGrid w:val="0"/>
          <w:kern w:val="0"/>
          <w:sz w:val="18"/>
          <w:szCs w:val="18"/>
        </w:rPr>
      </w:pPr>
    </w:p>
    <w:p w14:paraId="01A4B1F8">
      <w:pPr>
        <w:tabs>
          <w:tab w:val="left" w:pos="0"/>
        </w:tabs>
        <w:spacing w:line="240" w:lineRule="auto"/>
        <w:ind w:left="420"/>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.6  线路阀室统计表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1102"/>
        <w:gridCol w:w="1100"/>
        <w:gridCol w:w="1100"/>
        <w:gridCol w:w="1100"/>
        <w:gridCol w:w="1100"/>
        <w:gridCol w:w="1368"/>
        <w:gridCol w:w="1220"/>
      </w:tblGrid>
      <w:tr w14:paraId="4ED8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36" w:type="pct"/>
            <w:vAlign w:val="center"/>
          </w:tcPr>
          <w:p w14:paraId="7F54019B">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608" w:type="pct"/>
            <w:vAlign w:val="center"/>
          </w:tcPr>
          <w:p w14:paraId="0997886E">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管道名称</w:t>
            </w:r>
          </w:p>
        </w:tc>
        <w:tc>
          <w:tcPr>
            <w:tcW w:w="607" w:type="pct"/>
            <w:vAlign w:val="center"/>
          </w:tcPr>
          <w:p w14:paraId="35E65F25">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阀室名称</w:t>
            </w:r>
          </w:p>
        </w:tc>
        <w:tc>
          <w:tcPr>
            <w:tcW w:w="607" w:type="pct"/>
            <w:vAlign w:val="center"/>
          </w:tcPr>
          <w:p w14:paraId="1792095F">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里程</w:t>
            </w:r>
          </w:p>
          <w:p w14:paraId="43E0B546">
            <w:pPr>
              <w:adjustRightInd w:val="0"/>
              <w:snapToGrid w:val="0"/>
              <w:spacing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r>
              <w:rPr>
                <w:rFonts w:ascii="Times New Roman" w:hAnsi="Times New Roman" w:eastAsia="宋体" w:cs="Times New Roman"/>
                <w:sz w:val="18"/>
                <w:szCs w:val="18"/>
              </w:rPr>
              <w:t>km</w:t>
            </w:r>
            <w:r>
              <w:rPr>
                <w:rFonts w:hint="eastAsia" w:ascii="Times New Roman" w:hAnsi="Times New Roman" w:eastAsia="宋体" w:cs="Times New Roman"/>
                <w:sz w:val="18"/>
                <w:szCs w:val="18"/>
              </w:rPr>
              <w:t>）</w:t>
            </w:r>
          </w:p>
        </w:tc>
        <w:tc>
          <w:tcPr>
            <w:tcW w:w="607" w:type="pct"/>
            <w:vAlign w:val="center"/>
          </w:tcPr>
          <w:p w14:paraId="679F63B4">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高程</w:t>
            </w:r>
          </w:p>
          <w:p w14:paraId="093398C3">
            <w:pPr>
              <w:adjustRightInd w:val="0"/>
              <w:snapToGrid w:val="0"/>
              <w:spacing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r>
              <w:rPr>
                <w:rFonts w:ascii="Times New Roman" w:hAnsi="Times New Roman" w:eastAsia="宋体" w:cs="Times New Roman"/>
                <w:sz w:val="18"/>
                <w:szCs w:val="18"/>
              </w:rPr>
              <w:t>m</w:t>
            </w:r>
            <w:r>
              <w:rPr>
                <w:rFonts w:hint="eastAsia" w:ascii="Times New Roman" w:hAnsi="Times New Roman" w:eastAsia="宋体" w:cs="Times New Roman"/>
                <w:sz w:val="18"/>
                <w:szCs w:val="18"/>
              </w:rPr>
              <w:t>）</w:t>
            </w:r>
          </w:p>
        </w:tc>
        <w:tc>
          <w:tcPr>
            <w:tcW w:w="607" w:type="pct"/>
            <w:vAlign w:val="center"/>
          </w:tcPr>
          <w:p w14:paraId="104C16FF">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阀室间距</w:t>
            </w:r>
          </w:p>
          <w:p w14:paraId="61DB24AC">
            <w:pPr>
              <w:adjustRightInd w:val="0"/>
              <w:snapToGrid w:val="0"/>
              <w:spacing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r>
              <w:rPr>
                <w:rFonts w:ascii="Times New Roman" w:hAnsi="Times New Roman" w:eastAsia="宋体" w:cs="Times New Roman"/>
                <w:sz w:val="18"/>
                <w:szCs w:val="18"/>
              </w:rPr>
              <w:t>km</w:t>
            </w:r>
            <w:r>
              <w:rPr>
                <w:rFonts w:hint="eastAsia" w:ascii="Times New Roman" w:hAnsi="Times New Roman" w:eastAsia="宋体" w:cs="Times New Roman"/>
                <w:sz w:val="18"/>
                <w:szCs w:val="18"/>
              </w:rPr>
              <w:t>）</w:t>
            </w:r>
          </w:p>
        </w:tc>
        <w:tc>
          <w:tcPr>
            <w:tcW w:w="755" w:type="pct"/>
            <w:vAlign w:val="center"/>
          </w:tcPr>
          <w:p w14:paraId="3DF08B7A">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地区等级</w:t>
            </w:r>
          </w:p>
        </w:tc>
        <w:tc>
          <w:tcPr>
            <w:tcW w:w="673" w:type="pct"/>
            <w:vAlign w:val="center"/>
          </w:tcPr>
          <w:p w14:paraId="2A3CD58E">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阀室类型</w:t>
            </w:r>
          </w:p>
        </w:tc>
      </w:tr>
      <w:tr w14:paraId="266B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36" w:type="pct"/>
            <w:vAlign w:val="center"/>
          </w:tcPr>
          <w:p w14:paraId="1361BF78">
            <w:pPr>
              <w:adjustRightInd w:val="0"/>
              <w:snapToGrid w:val="0"/>
              <w:spacing w:before="156" w:beforeLines="5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608" w:type="pct"/>
            <w:vAlign w:val="center"/>
          </w:tcPr>
          <w:p w14:paraId="75ABD6C5">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5D2BDB84">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1021668F">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000424C9">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6C0C59B4">
            <w:pPr>
              <w:adjustRightInd w:val="0"/>
              <w:snapToGrid w:val="0"/>
              <w:spacing w:before="156" w:beforeLines="50" w:line="240" w:lineRule="auto"/>
              <w:jc w:val="center"/>
              <w:rPr>
                <w:rFonts w:ascii="Times New Roman" w:hAnsi="Times New Roman" w:eastAsia="宋体" w:cs="Times New Roman"/>
                <w:sz w:val="18"/>
                <w:szCs w:val="18"/>
              </w:rPr>
            </w:pPr>
          </w:p>
        </w:tc>
        <w:tc>
          <w:tcPr>
            <w:tcW w:w="755" w:type="pct"/>
            <w:vAlign w:val="center"/>
          </w:tcPr>
          <w:p w14:paraId="07592A98">
            <w:pPr>
              <w:adjustRightInd w:val="0"/>
              <w:snapToGrid w:val="0"/>
              <w:spacing w:before="156" w:beforeLines="50" w:line="240" w:lineRule="auto"/>
              <w:jc w:val="center"/>
              <w:rPr>
                <w:rFonts w:ascii="Times New Roman" w:hAnsi="Times New Roman" w:eastAsia="宋体" w:cs="Times New Roman"/>
                <w:sz w:val="18"/>
                <w:szCs w:val="18"/>
              </w:rPr>
            </w:pPr>
          </w:p>
        </w:tc>
        <w:tc>
          <w:tcPr>
            <w:tcW w:w="673" w:type="pct"/>
            <w:vAlign w:val="center"/>
          </w:tcPr>
          <w:p w14:paraId="3F0116D0">
            <w:pPr>
              <w:adjustRightInd w:val="0"/>
              <w:snapToGrid w:val="0"/>
              <w:spacing w:before="156" w:beforeLines="50" w:line="240" w:lineRule="auto"/>
              <w:jc w:val="center"/>
              <w:rPr>
                <w:rFonts w:ascii="Times New Roman" w:hAnsi="Times New Roman" w:eastAsia="宋体" w:cs="Times New Roman"/>
                <w:sz w:val="18"/>
                <w:szCs w:val="18"/>
              </w:rPr>
            </w:pPr>
          </w:p>
        </w:tc>
      </w:tr>
      <w:tr w14:paraId="157D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36" w:type="pct"/>
            <w:vAlign w:val="center"/>
          </w:tcPr>
          <w:p w14:paraId="5B08F1C1">
            <w:pPr>
              <w:adjustRightInd w:val="0"/>
              <w:snapToGrid w:val="0"/>
              <w:spacing w:before="156" w:beforeLines="5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608" w:type="pct"/>
            <w:vAlign w:val="center"/>
          </w:tcPr>
          <w:p w14:paraId="56D0D68A">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7B68E455">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59DC0DCD">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45DABF1E">
            <w:pPr>
              <w:adjustRightInd w:val="0"/>
              <w:snapToGrid w:val="0"/>
              <w:spacing w:before="156" w:beforeLines="50" w:line="240" w:lineRule="auto"/>
              <w:jc w:val="center"/>
              <w:rPr>
                <w:rFonts w:ascii="Times New Roman" w:hAnsi="Times New Roman" w:eastAsia="宋体" w:cs="Times New Roman"/>
                <w:sz w:val="18"/>
                <w:szCs w:val="18"/>
              </w:rPr>
            </w:pPr>
          </w:p>
        </w:tc>
        <w:tc>
          <w:tcPr>
            <w:tcW w:w="607" w:type="pct"/>
            <w:vAlign w:val="center"/>
          </w:tcPr>
          <w:p w14:paraId="01C9466A">
            <w:pPr>
              <w:adjustRightInd w:val="0"/>
              <w:snapToGrid w:val="0"/>
              <w:spacing w:before="156" w:beforeLines="50" w:line="240" w:lineRule="auto"/>
              <w:jc w:val="center"/>
              <w:rPr>
                <w:rFonts w:ascii="Times New Roman" w:hAnsi="Times New Roman" w:eastAsia="宋体" w:cs="Times New Roman"/>
                <w:sz w:val="18"/>
                <w:szCs w:val="18"/>
              </w:rPr>
            </w:pPr>
          </w:p>
        </w:tc>
        <w:tc>
          <w:tcPr>
            <w:tcW w:w="755" w:type="pct"/>
            <w:vAlign w:val="center"/>
          </w:tcPr>
          <w:p w14:paraId="5754EB2C">
            <w:pPr>
              <w:adjustRightInd w:val="0"/>
              <w:snapToGrid w:val="0"/>
              <w:spacing w:before="156" w:beforeLines="50" w:line="240" w:lineRule="auto"/>
              <w:jc w:val="center"/>
              <w:rPr>
                <w:rFonts w:ascii="Times New Roman" w:hAnsi="Times New Roman" w:eastAsia="宋体" w:cs="Times New Roman"/>
                <w:sz w:val="18"/>
                <w:szCs w:val="18"/>
              </w:rPr>
            </w:pPr>
          </w:p>
        </w:tc>
        <w:tc>
          <w:tcPr>
            <w:tcW w:w="673" w:type="pct"/>
            <w:vAlign w:val="center"/>
          </w:tcPr>
          <w:p w14:paraId="223DD350">
            <w:pPr>
              <w:adjustRightInd w:val="0"/>
              <w:snapToGrid w:val="0"/>
              <w:spacing w:before="156" w:beforeLines="50" w:line="240" w:lineRule="auto"/>
              <w:jc w:val="center"/>
              <w:rPr>
                <w:rFonts w:ascii="Times New Roman" w:hAnsi="Times New Roman" w:eastAsia="宋体" w:cs="Times New Roman"/>
                <w:sz w:val="18"/>
                <w:szCs w:val="18"/>
              </w:rPr>
            </w:pPr>
          </w:p>
        </w:tc>
      </w:tr>
    </w:tbl>
    <w:p w14:paraId="149B7437">
      <w:pPr>
        <w:numPr>
          <w:ilvl w:val="255"/>
          <w:numId w:val="0"/>
        </w:numPr>
        <w:spacing w:line="240" w:lineRule="auto"/>
        <w:jc w:val="center"/>
        <w:rPr>
          <w:rFonts w:ascii="黑体" w:hAnsi="宋体" w:eastAsia="黑体" w:cs="Arial"/>
          <w:snapToGrid w:val="0"/>
          <w:kern w:val="0"/>
          <w:sz w:val="18"/>
          <w:szCs w:val="18"/>
        </w:rPr>
      </w:pPr>
    </w:p>
    <w:p w14:paraId="35A16068">
      <w:pPr>
        <w:tabs>
          <w:tab w:val="left" w:pos="0"/>
        </w:tabs>
        <w:spacing w:line="240" w:lineRule="auto"/>
        <w:ind w:left="420"/>
        <w:jc w:val="center"/>
        <w:rPr>
          <w:rFonts w:ascii="Times New Roman" w:hAnsi="Times New Roman" w:eastAsia="黑体" w:cs="Times New Roman"/>
          <w:snapToGrid w:val="0"/>
          <w:kern w:val="0"/>
          <w:sz w:val="18"/>
          <w:szCs w:val="18"/>
        </w:rPr>
      </w:pPr>
      <w:r>
        <w:rPr>
          <w:rFonts w:ascii="Times New Roman" w:hAnsi="Times New Roman" w:eastAsia="黑体" w:cs="Times New Roman"/>
          <w:snapToGrid w:val="0"/>
          <w:kern w:val="0"/>
          <w:sz w:val="18"/>
          <w:szCs w:val="18"/>
        </w:rPr>
        <w:t>表</w:t>
      </w:r>
      <w:r>
        <w:rPr>
          <w:rFonts w:hint="eastAsia" w:ascii="Times New Roman" w:hAnsi="Times New Roman" w:eastAsia="黑体" w:cs="Times New Roman"/>
          <w:snapToGrid w:val="0"/>
          <w:kern w:val="0"/>
          <w:sz w:val="18"/>
          <w:szCs w:val="18"/>
        </w:rPr>
        <w:t>B</w:t>
      </w:r>
      <w:r>
        <w:rPr>
          <w:rFonts w:ascii="Times New Roman" w:hAnsi="Times New Roman" w:eastAsia="黑体" w:cs="Times New Roman"/>
          <w:snapToGrid w:val="0"/>
          <w:kern w:val="0"/>
          <w:sz w:val="18"/>
          <w:szCs w:val="18"/>
        </w:rPr>
        <w:t>.7  建筑物一览表</w:t>
      </w:r>
    </w:p>
    <w:tbl>
      <w:tblPr>
        <w:tblStyle w:val="25"/>
        <w:tblW w:w="5000" w:type="pct"/>
        <w:jc w:val="center"/>
        <w:tblLayout w:type="autofit"/>
        <w:tblCellMar>
          <w:top w:w="0" w:type="dxa"/>
          <w:left w:w="0" w:type="dxa"/>
          <w:bottom w:w="0" w:type="dxa"/>
          <w:right w:w="0" w:type="dxa"/>
        </w:tblCellMar>
      </w:tblPr>
      <w:tblGrid>
        <w:gridCol w:w="730"/>
        <w:gridCol w:w="1791"/>
        <w:gridCol w:w="1585"/>
        <w:gridCol w:w="1585"/>
        <w:gridCol w:w="1585"/>
        <w:gridCol w:w="1589"/>
      </w:tblGrid>
      <w:tr w14:paraId="4DC7F026">
        <w:tblPrEx>
          <w:tblCellMar>
            <w:top w:w="0" w:type="dxa"/>
            <w:left w:w="0" w:type="dxa"/>
            <w:bottom w:w="0" w:type="dxa"/>
            <w:right w:w="0" w:type="dxa"/>
          </w:tblCellMar>
        </w:tblPrEx>
        <w:trPr>
          <w:trHeight w:val="340"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438E3">
            <w:pPr>
              <w:pStyle w:val="83"/>
              <w:adjustRightInd w:val="0"/>
              <w:snapToGrid w:val="0"/>
              <w:rPr>
                <w:rFonts w:ascii="Times New Roman" w:eastAsia="宋体"/>
                <w:sz w:val="18"/>
                <w:szCs w:val="18"/>
                <w:lang w:bidi="ar"/>
              </w:rPr>
            </w:pPr>
            <w:r>
              <w:rPr>
                <w:rFonts w:ascii="Times New Roman" w:eastAsia="宋体"/>
                <w:spacing w:val="0"/>
                <w:sz w:val="18"/>
                <w:szCs w:val="18"/>
              </w:rPr>
              <w:t>序号</w:t>
            </w:r>
          </w:p>
        </w:tc>
        <w:tc>
          <w:tcPr>
            <w:tcW w:w="10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5C23B8">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建筑名称</w:t>
            </w: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D4F74C">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建筑面积</w:t>
            </w:r>
          </w:p>
          <w:p w14:paraId="085FF5E3">
            <w:pPr>
              <w:adjustRightInd w:val="0"/>
              <w:snapToGrid w:val="0"/>
              <w:spacing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2</w:t>
            </w:r>
            <w:r>
              <w:rPr>
                <w:rFonts w:hint="eastAsia" w:ascii="Times New Roman" w:hAnsi="Times New Roman" w:eastAsia="宋体" w:cs="Times New Roman"/>
                <w:sz w:val="18"/>
                <w:szCs w:val="18"/>
              </w:rPr>
              <w:t>）</w:t>
            </w: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75E1AE">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结构形式</w:t>
            </w: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A80DF0">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层数</w:t>
            </w:r>
          </w:p>
        </w:tc>
        <w:tc>
          <w:tcPr>
            <w:tcW w:w="896" w:type="pct"/>
            <w:tcBorders>
              <w:top w:val="single" w:color="000000" w:sz="4" w:space="0"/>
              <w:left w:val="single" w:color="000000" w:sz="4" w:space="0"/>
              <w:bottom w:val="single" w:color="000000" w:sz="4" w:space="0"/>
              <w:right w:val="single" w:color="000000" w:sz="4" w:space="0"/>
            </w:tcBorders>
            <w:vAlign w:val="center"/>
          </w:tcPr>
          <w:p w14:paraId="0DAF7F84">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通风形式</w:t>
            </w:r>
          </w:p>
        </w:tc>
      </w:tr>
      <w:tr w14:paraId="4B336853">
        <w:tblPrEx>
          <w:tblCellMar>
            <w:top w:w="0" w:type="dxa"/>
            <w:left w:w="0" w:type="dxa"/>
            <w:bottom w:w="0" w:type="dxa"/>
            <w:right w:w="0" w:type="dxa"/>
          </w:tblCellMar>
        </w:tblPrEx>
        <w:trPr>
          <w:trHeight w:val="340"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8583B5">
            <w:pPr>
              <w:jc w:val="center"/>
              <w:textAlignment w:val="center"/>
              <w:rPr>
                <w:rFonts w:ascii="Times New Roman" w:hAnsi="Times New Roman" w:cs="Times New Roman"/>
                <w:sz w:val="18"/>
                <w:szCs w:val="18"/>
                <w:lang w:bidi="ar"/>
              </w:rPr>
            </w:pPr>
            <w:r>
              <w:rPr>
                <w:rFonts w:ascii="Times New Roman" w:hAnsi="Times New Roman" w:cs="Times New Roman"/>
                <w:sz w:val="18"/>
                <w:szCs w:val="18"/>
                <w:lang w:bidi="ar"/>
              </w:rPr>
              <w:t>1</w:t>
            </w:r>
          </w:p>
        </w:tc>
        <w:tc>
          <w:tcPr>
            <w:tcW w:w="10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AF873">
            <w:pPr>
              <w:jc w:val="center"/>
              <w:textAlignment w:val="center"/>
              <w:rPr>
                <w:rFonts w:ascii="Times New Roman" w:hAnsi="Times New Roman" w:cs="Times New Roman"/>
                <w:sz w:val="18"/>
                <w:szCs w:val="18"/>
                <w:lang w:bidi="ar"/>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BE5F8">
            <w:pPr>
              <w:jc w:val="center"/>
              <w:textAlignment w:val="center"/>
              <w:rPr>
                <w:rFonts w:ascii="Times New Roman" w:hAnsi="Times New Roman" w:cs="Times New Roman"/>
                <w:sz w:val="18"/>
                <w:szCs w:val="18"/>
                <w:lang w:bidi="ar"/>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EF6DC">
            <w:pPr>
              <w:jc w:val="center"/>
              <w:textAlignment w:val="center"/>
              <w:rPr>
                <w:rFonts w:ascii="Times New Roman" w:hAnsi="Times New Roman" w:cs="Times New Roman"/>
                <w:sz w:val="18"/>
                <w:szCs w:val="18"/>
                <w:lang w:bidi="ar"/>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76A954">
            <w:pPr>
              <w:jc w:val="center"/>
              <w:textAlignment w:val="center"/>
              <w:rPr>
                <w:rFonts w:ascii="Times New Roman" w:hAnsi="Times New Roman" w:cs="Times New Roman"/>
                <w:sz w:val="18"/>
                <w:szCs w:val="18"/>
                <w:lang w:bidi="ar"/>
              </w:rPr>
            </w:pPr>
          </w:p>
        </w:tc>
        <w:tc>
          <w:tcPr>
            <w:tcW w:w="896" w:type="pct"/>
            <w:tcBorders>
              <w:top w:val="single" w:color="000000" w:sz="4" w:space="0"/>
              <w:left w:val="single" w:color="000000" w:sz="4" w:space="0"/>
              <w:bottom w:val="single" w:color="000000" w:sz="4" w:space="0"/>
              <w:right w:val="single" w:color="000000" w:sz="4" w:space="0"/>
            </w:tcBorders>
            <w:vAlign w:val="center"/>
          </w:tcPr>
          <w:p w14:paraId="6737F0F3">
            <w:pPr>
              <w:jc w:val="center"/>
              <w:rPr>
                <w:rFonts w:ascii="Times New Roman" w:hAnsi="Times New Roman" w:cs="Times New Roman"/>
                <w:sz w:val="18"/>
                <w:szCs w:val="18"/>
              </w:rPr>
            </w:pPr>
          </w:p>
        </w:tc>
      </w:tr>
      <w:tr w14:paraId="2C27EFD9">
        <w:tblPrEx>
          <w:tblCellMar>
            <w:top w:w="0" w:type="dxa"/>
            <w:left w:w="0" w:type="dxa"/>
            <w:bottom w:w="0" w:type="dxa"/>
            <w:right w:w="0" w:type="dxa"/>
          </w:tblCellMar>
        </w:tblPrEx>
        <w:trPr>
          <w:trHeight w:val="340"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A62B32">
            <w:pPr>
              <w:jc w:val="center"/>
              <w:textAlignment w:val="center"/>
              <w:rPr>
                <w:rFonts w:ascii="Times New Roman" w:hAnsi="Times New Roman" w:cs="Times New Roman"/>
                <w:sz w:val="18"/>
                <w:szCs w:val="18"/>
                <w:lang w:bidi="ar"/>
              </w:rPr>
            </w:pPr>
            <w:r>
              <w:rPr>
                <w:rFonts w:ascii="Times New Roman" w:hAnsi="Times New Roman" w:cs="Times New Roman"/>
                <w:snapToGrid w:val="0"/>
                <w:kern w:val="0"/>
                <w:sz w:val="18"/>
                <w:szCs w:val="18"/>
              </w:rPr>
              <w:t>...</w:t>
            </w:r>
          </w:p>
        </w:tc>
        <w:tc>
          <w:tcPr>
            <w:tcW w:w="10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4DACB">
            <w:pPr>
              <w:jc w:val="center"/>
              <w:textAlignment w:val="center"/>
              <w:rPr>
                <w:rFonts w:ascii="Times New Roman" w:hAnsi="Times New Roman" w:cs="Times New Roman"/>
                <w:sz w:val="18"/>
                <w:szCs w:val="18"/>
                <w:lang w:bidi="ar"/>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A4B7C">
            <w:pPr>
              <w:jc w:val="center"/>
              <w:textAlignment w:val="center"/>
              <w:rPr>
                <w:rFonts w:ascii="Times New Roman" w:hAnsi="Times New Roman" w:cs="Times New Roman"/>
                <w:sz w:val="18"/>
                <w:szCs w:val="18"/>
                <w:lang w:bidi="ar"/>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44643">
            <w:pPr>
              <w:jc w:val="center"/>
              <w:textAlignment w:val="center"/>
              <w:rPr>
                <w:rFonts w:ascii="Times New Roman" w:hAnsi="Times New Roman" w:cs="Times New Roman"/>
                <w:sz w:val="18"/>
                <w:szCs w:val="18"/>
                <w:lang w:bidi="ar"/>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3A5F22">
            <w:pPr>
              <w:jc w:val="center"/>
              <w:textAlignment w:val="center"/>
              <w:rPr>
                <w:rFonts w:ascii="Times New Roman" w:hAnsi="Times New Roman" w:cs="Times New Roman"/>
                <w:sz w:val="18"/>
                <w:szCs w:val="18"/>
                <w:lang w:bidi="ar"/>
              </w:rPr>
            </w:pPr>
          </w:p>
        </w:tc>
        <w:tc>
          <w:tcPr>
            <w:tcW w:w="896" w:type="pct"/>
            <w:tcBorders>
              <w:top w:val="single" w:color="000000" w:sz="4" w:space="0"/>
              <w:left w:val="single" w:color="000000" w:sz="4" w:space="0"/>
              <w:bottom w:val="single" w:color="000000" w:sz="4" w:space="0"/>
              <w:right w:val="single" w:color="000000" w:sz="4" w:space="0"/>
            </w:tcBorders>
            <w:vAlign w:val="center"/>
          </w:tcPr>
          <w:p w14:paraId="2BDA2971">
            <w:pPr>
              <w:jc w:val="center"/>
              <w:rPr>
                <w:rFonts w:ascii="Times New Roman" w:hAnsi="Times New Roman" w:cs="Times New Roman"/>
                <w:sz w:val="18"/>
                <w:szCs w:val="18"/>
              </w:rPr>
            </w:pPr>
          </w:p>
        </w:tc>
      </w:tr>
    </w:tbl>
    <w:p w14:paraId="0999E23E">
      <w:pPr>
        <w:tabs>
          <w:tab w:val="left" w:pos="0"/>
        </w:tabs>
        <w:spacing w:line="240" w:lineRule="auto"/>
        <w:ind w:left="420"/>
        <w:jc w:val="center"/>
        <w:rPr>
          <w:rFonts w:ascii="Times New Roman" w:hAnsi="Times New Roman" w:eastAsia="黑体" w:cs="Times New Roman"/>
          <w:snapToGrid w:val="0"/>
          <w:kern w:val="0"/>
          <w:sz w:val="18"/>
          <w:szCs w:val="18"/>
        </w:rPr>
      </w:pPr>
    </w:p>
    <w:p w14:paraId="0110606F">
      <w:pPr>
        <w:tabs>
          <w:tab w:val="left" w:pos="0"/>
        </w:tabs>
        <w:spacing w:line="240" w:lineRule="auto"/>
        <w:ind w:left="420"/>
        <w:jc w:val="center"/>
        <w:rPr>
          <w:rFonts w:ascii="Times New Roman" w:hAnsi="Times New Roman" w:eastAsia="黑体" w:cs="Times New Roman"/>
          <w:snapToGrid w:val="0"/>
          <w:kern w:val="0"/>
          <w:sz w:val="18"/>
          <w:szCs w:val="18"/>
        </w:rPr>
      </w:pPr>
      <w:r>
        <w:rPr>
          <w:rFonts w:ascii="Times New Roman" w:hAnsi="Times New Roman" w:eastAsia="黑体" w:cs="Times New Roman"/>
          <w:snapToGrid w:val="0"/>
          <w:kern w:val="0"/>
          <w:sz w:val="18"/>
          <w:szCs w:val="18"/>
        </w:rPr>
        <w:t>表</w:t>
      </w:r>
      <w:r>
        <w:rPr>
          <w:rFonts w:hint="eastAsia" w:ascii="Times New Roman" w:hAnsi="Times New Roman" w:eastAsia="黑体" w:cs="Times New Roman"/>
          <w:snapToGrid w:val="0"/>
          <w:kern w:val="0"/>
          <w:sz w:val="18"/>
          <w:szCs w:val="18"/>
        </w:rPr>
        <w:t>B</w:t>
      </w:r>
      <w:r>
        <w:rPr>
          <w:rFonts w:ascii="Times New Roman" w:hAnsi="Times New Roman" w:eastAsia="黑体" w:cs="Times New Roman"/>
          <w:snapToGrid w:val="0"/>
          <w:kern w:val="0"/>
          <w:sz w:val="18"/>
          <w:szCs w:val="18"/>
        </w:rPr>
        <w:t>.8  构筑物一览表</w:t>
      </w:r>
    </w:p>
    <w:tbl>
      <w:tblPr>
        <w:tblStyle w:val="25"/>
        <w:tblW w:w="5014" w:type="pct"/>
        <w:tblInd w:w="-5" w:type="dxa"/>
        <w:tblLayout w:type="autofit"/>
        <w:tblCellMar>
          <w:top w:w="0" w:type="dxa"/>
          <w:left w:w="0" w:type="dxa"/>
          <w:bottom w:w="0" w:type="dxa"/>
          <w:right w:w="0" w:type="dxa"/>
        </w:tblCellMar>
      </w:tblPr>
      <w:tblGrid>
        <w:gridCol w:w="708"/>
        <w:gridCol w:w="4395"/>
        <w:gridCol w:w="3777"/>
      </w:tblGrid>
      <w:tr w14:paraId="56075AC3">
        <w:tblPrEx>
          <w:tblCellMar>
            <w:top w:w="0" w:type="dxa"/>
            <w:left w:w="0" w:type="dxa"/>
            <w:bottom w:w="0" w:type="dxa"/>
            <w:right w:w="0" w:type="dxa"/>
          </w:tblCellMar>
        </w:tblPrEx>
        <w:trPr>
          <w:trHeight w:val="340" w:hRule="atLeast"/>
          <w:tblHeader/>
        </w:trPr>
        <w:tc>
          <w:tcPr>
            <w:tcW w:w="399" w:type="pct"/>
            <w:tcBorders>
              <w:top w:val="single" w:color="000000" w:sz="4" w:space="0"/>
              <w:left w:val="single" w:color="000000" w:sz="4" w:space="0"/>
              <w:bottom w:val="single" w:color="000000" w:sz="4" w:space="0"/>
              <w:right w:val="single" w:color="000000" w:sz="4" w:space="0"/>
            </w:tcBorders>
            <w:noWrap/>
            <w:vAlign w:val="center"/>
          </w:tcPr>
          <w:p w14:paraId="0CA5C7CF">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2474" w:type="pct"/>
            <w:tcBorders>
              <w:top w:val="single" w:color="000000" w:sz="4" w:space="0"/>
              <w:left w:val="single" w:color="000000" w:sz="4" w:space="0"/>
              <w:bottom w:val="single" w:color="000000" w:sz="4" w:space="0"/>
              <w:right w:val="single" w:color="000000" w:sz="4" w:space="0"/>
            </w:tcBorders>
            <w:noWrap/>
            <w:vAlign w:val="center"/>
          </w:tcPr>
          <w:p w14:paraId="61E80630">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构筑物名称</w:t>
            </w:r>
          </w:p>
        </w:tc>
        <w:tc>
          <w:tcPr>
            <w:tcW w:w="2126" w:type="pct"/>
            <w:tcBorders>
              <w:top w:val="single" w:color="000000" w:sz="4" w:space="0"/>
              <w:left w:val="single" w:color="000000" w:sz="4" w:space="0"/>
              <w:bottom w:val="single" w:color="000000" w:sz="4" w:space="0"/>
              <w:right w:val="single" w:color="000000" w:sz="4" w:space="0"/>
            </w:tcBorders>
            <w:noWrap/>
            <w:vAlign w:val="center"/>
          </w:tcPr>
          <w:p w14:paraId="0F6B65F4">
            <w:pPr>
              <w:adjustRightInd w:val="0"/>
              <w:snapToGrid w:val="0"/>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主要材料及做法</w:t>
            </w:r>
          </w:p>
        </w:tc>
      </w:tr>
      <w:tr w14:paraId="32012091">
        <w:tblPrEx>
          <w:tblCellMar>
            <w:top w:w="0" w:type="dxa"/>
            <w:left w:w="0" w:type="dxa"/>
            <w:bottom w:w="0" w:type="dxa"/>
            <w:right w:w="0" w:type="dxa"/>
          </w:tblCellMar>
        </w:tblPrEx>
        <w:trPr>
          <w:cantSplit/>
          <w:trHeight w:val="340" w:hRule="atLeast"/>
        </w:trPr>
        <w:tc>
          <w:tcPr>
            <w:tcW w:w="399" w:type="pct"/>
            <w:tcBorders>
              <w:top w:val="single" w:color="000000" w:sz="4" w:space="0"/>
              <w:left w:val="single" w:color="000000" w:sz="4" w:space="0"/>
              <w:bottom w:val="single" w:color="000000" w:sz="4" w:space="0"/>
              <w:right w:val="single" w:color="000000" w:sz="4" w:space="0"/>
            </w:tcBorders>
            <w:noWrap/>
            <w:vAlign w:val="center"/>
          </w:tcPr>
          <w:p w14:paraId="23208CEA">
            <w:pPr>
              <w:jc w:val="center"/>
              <w:textAlignment w:val="center"/>
              <w:rPr>
                <w:rFonts w:ascii="Times New Roman" w:hAnsi="Times New Roman" w:cs="Times New Roman"/>
                <w:sz w:val="18"/>
                <w:szCs w:val="18"/>
                <w:lang w:bidi="ar"/>
              </w:rPr>
            </w:pPr>
            <w:r>
              <w:rPr>
                <w:rFonts w:ascii="Times New Roman" w:hAnsi="Times New Roman" w:cs="Times New Roman"/>
                <w:sz w:val="18"/>
                <w:szCs w:val="18"/>
                <w:lang w:bidi="ar"/>
              </w:rPr>
              <w:t>1</w:t>
            </w:r>
          </w:p>
        </w:tc>
        <w:tc>
          <w:tcPr>
            <w:tcW w:w="2474" w:type="pct"/>
            <w:tcBorders>
              <w:top w:val="single" w:color="000000" w:sz="4" w:space="0"/>
              <w:left w:val="single" w:color="000000" w:sz="4" w:space="0"/>
              <w:bottom w:val="single" w:color="000000" w:sz="4" w:space="0"/>
              <w:right w:val="single" w:color="000000" w:sz="4" w:space="0"/>
            </w:tcBorders>
            <w:vAlign w:val="center"/>
          </w:tcPr>
          <w:p w14:paraId="72D0AFE6">
            <w:pPr>
              <w:snapToGrid w:val="0"/>
              <w:jc w:val="center"/>
              <w:textAlignment w:val="center"/>
              <w:rPr>
                <w:rFonts w:ascii="Times New Roman" w:hAnsi="Times New Roman" w:cs="Times New Roman"/>
                <w:snapToGrid w:val="0"/>
                <w:kern w:val="21"/>
                <w:sz w:val="18"/>
                <w:szCs w:val="18"/>
                <w:lang w:bidi="ar"/>
              </w:rPr>
            </w:pPr>
          </w:p>
        </w:tc>
        <w:tc>
          <w:tcPr>
            <w:tcW w:w="2126" w:type="pct"/>
            <w:tcBorders>
              <w:top w:val="single" w:color="000000" w:sz="4" w:space="0"/>
              <w:left w:val="single" w:color="000000" w:sz="4" w:space="0"/>
              <w:bottom w:val="single" w:color="000000" w:sz="4" w:space="0"/>
              <w:right w:val="single" w:color="000000" w:sz="4" w:space="0"/>
            </w:tcBorders>
            <w:noWrap/>
            <w:vAlign w:val="center"/>
          </w:tcPr>
          <w:p w14:paraId="0CCA3CBC">
            <w:pPr>
              <w:snapToGrid w:val="0"/>
              <w:jc w:val="center"/>
              <w:textAlignment w:val="center"/>
              <w:rPr>
                <w:rFonts w:ascii="Times New Roman" w:hAnsi="Times New Roman" w:cs="Times New Roman"/>
                <w:snapToGrid w:val="0"/>
                <w:kern w:val="21"/>
                <w:sz w:val="18"/>
                <w:szCs w:val="18"/>
                <w:lang w:bidi="ar"/>
              </w:rPr>
            </w:pPr>
          </w:p>
        </w:tc>
      </w:tr>
      <w:tr w14:paraId="4D3E8345">
        <w:tblPrEx>
          <w:tblCellMar>
            <w:top w:w="0" w:type="dxa"/>
            <w:left w:w="0" w:type="dxa"/>
            <w:bottom w:w="0" w:type="dxa"/>
            <w:right w:w="0" w:type="dxa"/>
          </w:tblCellMar>
        </w:tblPrEx>
        <w:trPr>
          <w:cantSplit/>
          <w:trHeight w:val="340" w:hRule="atLeast"/>
        </w:trPr>
        <w:tc>
          <w:tcPr>
            <w:tcW w:w="399" w:type="pct"/>
            <w:tcBorders>
              <w:top w:val="single" w:color="000000" w:sz="4" w:space="0"/>
              <w:left w:val="single" w:color="000000" w:sz="4" w:space="0"/>
              <w:bottom w:val="single" w:color="000000" w:sz="4" w:space="0"/>
              <w:right w:val="single" w:color="000000" w:sz="4" w:space="0"/>
            </w:tcBorders>
            <w:noWrap/>
            <w:vAlign w:val="center"/>
          </w:tcPr>
          <w:p w14:paraId="3293FE16">
            <w:pPr>
              <w:jc w:val="center"/>
              <w:textAlignment w:val="center"/>
              <w:rPr>
                <w:rFonts w:ascii="Times New Roman" w:hAnsi="Times New Roman" w:cs="Times New Roman"/>
                <w:sz w:val="18"/>
                <w:szCs w:val="18"/>
                <w:lang w:bidi="ar"/>
              </w:rPr>
            </w:pPr>
            <w:r>
              <w:rPr>
                <w:rFonts w:ascii="Times New Roman" w:hAnsi="Times New Roman" w:cs="Times New Roman"/>
                <w:snapToGrid w:val="0"/>
                <w:kern w:val="0"/>
                <w:sz w:val="18"/>
                <w:szCs w:val="18"/>
              </w:rPr>
              <w:t>...</w:t>
            </w:r>
          </w:p>
        </w:tc>
        <w:tc>
          <w:tcPr>
            <w:tcW w:w="2474" w:type="pct"/>
            <w:tcBorders>
              <w:top w:val="single" w:color="000000" w:sz="4" w:space="0"/>
              <w:left w:val="single" w:color="000000" w:sz="4" w:space="0"/>
              <w:bottom w:val="single" w:color="000000" w:sz="4" w:space="0"/>
              <w:right w:val="single" w:color="000000" w:sz="4" w:space="0"/>
            </w:tcBorders>
            <w:vAlign w:val="center"/>
          </w:tcPr>
          <w:p w14:paraId="4E7C6D0E">
            <w:pPr>
              <w:snapToGrid w:val="0"/>
              <w:jc w:val="center"/>
              <w:textAlignment w:val="center"/>
              <w:rPr>
                <w:rFonts w:ascii="Times New Roman" w:hAnsi="Times New Roman" w:cs="Times New Roman"/>
                <w:snapToGrid w:val="0"/>
                <w:kern w:val="21"/>
                <w:sz w:val="18"/>
                <w:szCs w:val="18"/>
                <w:lang w:bidi="ar"/>
              </w:rPr>
            </w:pPr>
          </w:p>
        </w:tc>
        <w:tc>
          <w:tcPr>
            <w:tcW w:w="2126" w:type="pct"/>
            <w:tcBorders>
              <w:top w:val="single" w:color="000000" w:sz="4" w:space="0"/>
              <w:left w:val="single" w:color="000000" w:sz="4" w:space="0"/>
              <w:bottom w:val="single" w:color="000000" w:sz="4" w:space="0"/>
              <w:right w:val="single" w:color="000000" w:sz="4" w:space="0"/>
            </w:tcBorders>
            <w:noWrap/>
            <w:vAlign w:val="center"/>
          </w:tcPr>
          <w:p w14:paraId="60B25307">
            <w:pPr>
              <w:snapToGrid w:val="0"/>
              <w:jc w:val="center"/>
              <w:textAlignment w:val="center"/>
              <w:rPr>
                <w:rFonts w:ascii="Times New Roman" w:hAnsi="Times New Roman" w:cs="Times New Roman"/>
                <w:snapToGrid w:val="0"/>
                <w:kern w:val="21"/>
                <w:sz w:val="18"/>
                <w:szCs w:val="18"/>
                <w:lang w:bidi="ar"/>
              </w:rPr>
            </w:pPr>
          </w:p>
        </w:tc>
      </w:tr>
    </w:tbl>
    <w:p w14:paraId="25CD94AD">
      <w:pPr>
        <w:numPr>
          <w:ilvl w:val="255"/>
          <w:numId w:val="0"/>
        </w:numPr>
        <w:spacing w:line="240" w:lineRule="auto"/>
        <w:jc w:val="center"/>
        <w:rPr>
          <w:rFonts w:ascii="黑体" w:hAnsi="宋体" w:eastAsia="黑体" w:cs="Arial"/>
          <w:snapToGrid w:val="0"/>
          <w:kern w:val="0"/>
          <w:sz w:val="18"/>
          <w:szCs w:val="18"/>
        </w:rPr>
      </w:pPr>
    </w:p>
    <w:p w14:paraId="7AAB7517">
      <w:pPr>
        <w:tabs>
          <w:tab w:val="left" w:pos="0"/>
        </w:tabs>
        <w:spacing w:line="240" w:lineRule="auto"/>
        <w:jc w:val="center"/>
        <w:rPr>
          <w:rFonts w:ascii="Times New Roman" w:hAnsi="Times New Roman" w:eastAsia="黑体" w:cs="Times New Roman"/>
          <w:szCs w:val="21"/>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 9  </w:t>
      </w:r>
      <w:r>
        <w:rPr>
          <w:rFonts w:hint="eastAsia" w:ascii="Times New Roman" w:hAnsi="Times New Roman" w:eastAsia="黑体" w:cs="Times New Roman"/>
          <w:snapToGrid w:val="0"/>
          <w:kern w:val="0"/>
          <w:sz w:val="18"/>
          <w:szCs w:val="18"/>
        </w:rPr>
        <w:t>站场和井场分布表</w:t>
      </w:r>
    </w:p>
    <w:tbl>
      <w:tblPr>
        <w:tblStyle w:val="25"/>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657"/>
        <w:gridCol w:w="1235"/>
        <w:gridCol w:w="2412"/>
        <w:gridCol w:w="1076"/>
        <w:gridCol w:w="1260"/>
        <w:gridCol w:w="1079"/>
        <w:gridCol w:w="1156"/>
      </w:tblGrid>
      <w:tr w14:paraId="70B6F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40"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060DBDC1">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696" w:type="pct"/>
            <w:tcBorders>
              <w:top w:val="single" w:color="000000" w:sz="4" w:space="0"/>
              <w:left w:val="single" w:color="000000" w:sz="4" w:space="0"/>
              <w:bottom w:val="single" w:color="000000" w:sz="4" w:space="0"/>
              <w:right w:val="single" w:color="000000" w:sz="4" w:space="0"/>
            </w:tcBorders>
            <w:vAlign w:val="center"/>
          </w:tcPr>
          <w:p w14:paraId="744E4D3C">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名称</w:t>
            </w:r>
          </w:p>
        </w:tc>
        <w:tc>
          <w:tcPr>
            <w:tcW w:w="1359" w:type="pct"/>
            <w:tcBorders>
              <w:top w:val="single" w:color="000000" w:sz="4" w:space="0"/>
              <w:left w:val="single" w:color="000000" w:sz="4" w:space="0"/>
              <w:bottom w:val="single" w:color="000000" w:sz="4" w:space="0"/>
              <w:right w:val="single" w:color="000000" w:sz="4" w:space="0"/>
            </w:tcBorders>
            <w:vAlign w:val="center"/>
          </w:tcPr>
          <w:p w14:paraId="6C370AE7">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地理位置</w:t>
            </w:r>
          </w:p>
        </w:tc>
        <w:tc>
          <w:tcPr>
            <w:tcW w:w="606" w:type="pct"/>
            <w:tcBorders>
              <w:top w:val="single" w:color="000000" w:sz="4" w:space="0"/>
              <w:left w:val="single" w:color="000000" w:sz="4" w:space="0"/>
              <w:bottom w:val="single" w:color="000000" w:sz="4" w:space="0"/>
              <w:right w:val="single" w:color="000000" w:sz="4" w:space="0"/>
            </w:tcBorders>
            <w:vAlign w:val="center"/>
          </w:tcPr>
          <w:p w14:paraId="513D90E9">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功能</w:t>
            </w:r>
          </w:p>
        </w:tc>
        <w:tc>
          <w:tcPr>
            <w:tcW w:w="710" w:type="pct"/>
            <w:tcBorders>
              <w:top w:val="single" w:color="000000" w:sz="4" w:space="0"/>
              <w:left w:val="single" w:color="000000" w:sz="4" w:space="0"/>
              <w:bottom w:val="single" w:color="000000" w:sz="4" w:space="0"/>
              <w:right w:val="single" w:color="000000" w:sz="4" w:space="0"/>
            </w:tcBorders>
            <w:vAlign w:val="center"/>
          </w:tcPr>
          <w:p w14:paraId="7946ED0E">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站场</w:t>
            </w:r>
            <w:r>
              <w:rPr>
                <w:rFonts w:hint="eastAsia" w:ascii="Times New Roman" w:hAnsi="Times New Roman" w:eastAsia="宋体" w:cs="Times New Roman"/>
                <w:sz w:val="18"/>
                <w:szCs w:val="18"/>
              </w:rPr>
              <w:t>/井场</w:t>
            </w:r>
            <w:r>
              <w:rPr>
                <w:rFonts w:ascii="Times New Roman" w:hAnsi="Times New Roman" w:eastAsia="宋体" w:cs="Times New Roman"/>
                <w:sz w:val="18"/>
                <w:szCs w:val="18"/>
              </w:rPr>
              <w:t>等级</w:t>
            </w:r>
          </w:p>
        </w:tc>
        <w:tc>
          <w:tcPr>
            <w:tcW w:w="608" w:type="pct"/>
            <w:tcBorders>
              <w:top w:val="single" w:color="000000" w:sz="4" w:space="0"/>
              <w:left w:val="single" w:color="000000" w:sz="4" w:space="0"/>
              <w:bottom w:val="single" w:color="000000" w:sz="4" w:space="0"/>
              <w:right w:val="single" w:color="000000" w:sz="4" w:space="0"/>
            </w:tcBorders>
            <w:vAlign w:val="center"/>
          </w:tcPr>
          <w:p w14:paraId="31ED9135">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性质</w:t>
            </w:r>
          </w:p>
        </w:tc>
        <w:tc>
          <w:tcPr>
            <w:tcW w:w="651" w:type="pct"/>
            <w:tcBorders>
              <w:top w:val="single" w:color="000000" w:sz="4" w:space="0"/>
              <w:left w:val="single" w:color="000000" w:sz="4" w:space="0"/>
              <w:bottom w:val="single" w:color="000000" w:sz="4" w:space="0"/>
              <w:right w:val="single" w:color="000000" w:sz="4" w:space="0"/>
            </w:tcBorders>
            <w:vAlign w:val="center"/>
          </w:tcPr>
          <w:p w14:paraId="751F5795">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占地面积</w:t>
            </w:r>
          </w:p>
        </w:tc>
      </w:tr>
      <w:tr w14:paraId="05DD4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54"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27875C1F">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696" w:type="pct"/>
            <w:tcBorders>
              <w:top w:val="single" w:color="000000" w:sz="4" w:space="0"/>
              <w:left w:val="single" w:color="000000" w:sz="4" w:space="0"/>
              <w:bottom w:val="single" w:color="000000" w:sz="4" w:space="0"/>
              <w:right w:val="single" w:color="000000" w:sz="4" w:space="0"/>
            </w:tcBorders>
            <w:vAlign w:val="center"/>
          </w:tcPr>
          <w:p w14:paraId="2132E620">
            <w:pPr>
              <w:adjustRightInd w:val="0"/>
              <w:jc w:val="center"/>
              <w:rPr>
                <w:rFonts w:ascii="Times New Roman" w:hAnsi="Times New Roman" w:eastAsia="宋体" w:cs="Times New Roman"/>
                <w:sz w:val="18"/>
                <w:szCs w:val="18"/>
              </w:rPr>
            </w:pPr>
          </w:p>
        </w:tc>
        <w:tc>
          <w:tcPr>
            <w:tcW w:w="1359" w:type="pct"/>
            <w:tcBorders>
              <w:top w:val="single" w:color="000000" w:sz="4" w:space="0"/>
              <w:left w:val="single" w:color="000000" w:sz="4" w:space="0"/>
              <w:bottom w:val="single" w:color="000000" w:sz="4" w:space="0"/>
              <w:right w:val="single" w:color="000000" w:sz="4" w:space="0"/>
            </w:tcBorders>
            <w:vAlign w:val="center"/>
          </w:tcPr>
          <w:p w14:paraId="2A25CB53">
            <w:pPr>
              <w:adjustRightInd w:val="0"/>
              <w:jc w:val="center"/>
              <w:rPr>
                <w:rFonts w:ascii="Times New Roman" w:hAnsi="Times New Roman" w:eastAsia="宋体" w:cs="Times New Roman"/>
                <w:sz w:val="18"/>
                <w:szCs w:val="18"/>
              </w:rPr>
            </w:pPr>
          </w:p>
        </w:tc>
        <w:tc>
          <w:tcPr>
            <w:tcW w:w="606" w:type="pct"/>
            <w:tcBorders>
              <w:top w:val="single" w:color="000000" w:sz="4" w:space="0"/>
              <w:left w:val="single" w:color="000000" w:sz="4" w:space="0"/>
              <w:bottom w:val="single" w:color="000000" w:sz="4" w:space="0"/>
              <w:right w:val="single" w:color="000000" w:sz="4" w:space="0"/>
            </w:tcBorders>
            <w:vAlign w:val="center"/>
          </w:tcPr>
          <w:p w14:paraId="12B8FD3C">
            <w:pPr>
              <w:adjustRightInd w:val="0"/>
              <w:jc w:val="center"/>
              <w:rPr>
                <w:rFonts w:ascii="Times New Roman" w:hAnsi="Times New Roman" w:eastAsia="宋体" w:cs="Times New Roman"/>
                <w:sz w:val="18"/>
                <w:szCs w:val="18"/>
              </w:rPr>
            </w:pPr>
          </w:p>
        </w:tc>
        <w:tc>
          <w:tcPr>
            <w:tcW w:w="710" w:type="pct"/>
            <w:tcBorders>
              <w:top w:val="single" w:color="000000" w:sz="4" w:space="0"/>
              <w:left w:val="single" w:color="000000" w:sz="4" w:space="0"/>
              <w:bottom w:val="single" w:color="000000" w:sz="4" w:space="0"/>
              <w:right w:val="single" w:color="000000" w:sz="4" w:space="0"/>
            </w:tcBorders>
            <w:vAlign w:val="center"/>
          </w:tcPr>
          <w:p w14:paraId="5F65C565">
            <w:pPr>
              <w:adjustRightInd w:val="0"/>
              <w:jc w:val="center"/>
              <w:rPr>
                <w:rFonts w:ascii="Times New Roman" w:hAnsi="Times New Roman" w:eastAsia="宋体" w:cs="Times New Roman"/>
                <w:sz w:val="18"/>
                <w:szCs w:val="18"/>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3DA72184">
            <w:pPr>
              <w:adjustRightInd w:val="0"/>
              <w:jc w:val="center"/>
              <w:rPr>
                <w:rFonts w:ascii="Times New Roman" w:hAnsi="Times New Roman" w:eastAsia="宋体" w:cs="Times New Roman"/>
                <w:sz w:val="18"/>
                <w:szCs w:val="18"/>
              </w:rPr>
            </w:pPr>
          </w:p>
        </w:tc>
        <w:tc>
          <w:tcPr>
            <w:tcW w:w="651" w:type="pct"/>
            <w:tcBorders>
              <w:top w:val="single" w:color="000000" w:sz="4" w:space="0"/>
              <w:left w:val="single" w:color="000000" w:sz="4" w:space="0"/>
              <w:bottom w:val="single" w:color="000000" w:sz="4" w:space="0"/>
              <w:right w:val="single" w:color="000000" w:sz="4" w:space="0"/>
            </w:tcBorders>
            <w:vAlign w:val="center"/>
          </w:tcPr>
          <w:p w14:paraId="59A9D372">
            <w:pPr>
              <w:adjustRightInd w:val="0"/>
              <w:jc w:val="center"/>
              <w:rPr>
                <w:rFonts w:ascii="Times New Roman" w:hAnsi="Times New Roman" w:eastAsia="宋体" w:cs="Times New Roman"/>
                <w:sz w:val="18"/>
                <w:szCs w:val="18"/>
              </w:rPr>
            </w:pPr>
          </w:p>
        </w:tc>
      </w:tr>
      <w:tr w14:paraId="3152A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40"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71C5E256">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696" w:type="pct"/>
            <w:tcBorders>
              <w:top w:val="single" w:color="000000" w:sz="4" w:space="0"/>
              <w:left w:val="single" w:color="000000" w:sz="4" w:space="0"/>
              <w:bottom w:val="single" w:color="000000" w:sz="4" w:space="0"/>
              <w:right w:val="single" w:color="000000" w:sz="4" w:space="0"/>
            </w:tcBorders>
            <w:vAlign w:val="center"/>
          </w:tcPr>
          <w:p w14:paraId="0BC2FE57">
            <w:pPr>
              <w:adjustRightInd w:val="0"/>
              <w:jc w:val="center"/>
              <w:rPr>
                <w:rFonts w:ascii="Times New Roman" w:hAnsi="Times New Roman" w:eastAsia="宋体" w:cs="Times New Roman"/>
                <w:sz w:val="18"/>
                <w:szCs w:val="18"/>
              </w:rPr>
            </w:pPr>
          </w:p>
        </w:tc>
        <w:tc>
          <w:tcPr>
            <w:tcW w:w="1359" w:type="pct"/>
            <w:tcBorders>
              <w:top w:val="single" w:color="000000" w:sz="4" w:space="0"/>
              <w:left w:val="single" w:color="000000" w:sz="4" w:space="0"/>
              <w:bottom w:val="single" w:color="000000" w:sz="4" w:space="0"/>
              <w:right w:val="single" w:color="000000" w:sz="4" w:space="0"/>
            </w:tcBorders>
            <w:vAlign w:val="center"/>
          </w:tcPr>
          <w:p w14:paraId="1D67E938">
            <w:pPr>
              <w:adjustRightInd w:val="0"/>
              <w:jc w:val="center"/>
              <w:rPr>
                <w:rFonts w:ascii="Times New Roman" w:hAnsi="Times New Roman" w:eastAsia="宋体" w:cs="Times New Roman"/>
                <w:sz w:val="18"/>
                <w:szCs w:val="18"/>
              </w:rPr>
            </w:pPr>
          </w:p>
        </w:tc>
        <w:tc>
          <w:tcPr>
            <w:tcW w:w="606" w:type="pct"/>
            <w:tcBorders>
              <w:top w:val="single" w:color="000000" w:sz="4" w:space="0"/>
              <w:left w:val="single" w:color="000000" w:sz="4" w:space="0"/>
              <w:bottom w:val="single" w:color="000000" w:sz="4" w:space="0"/>
              <w:right w:val="single" w:color="000000" w:sz="4" w:space="0"/>
            </w:tcBorders>
            <w:vAlign w:val="center"/>
          </w:tcPr>
          <w:p w14:paraId="4B8C8804">
            <w:pPr>
              <w:adjustRightInd w:val="0"/>
              <w:jc w:val="center"/>
              <w:rPr>
                <w:rFonts w:ascii="Times New Roman" w:hAnsi="Times New Roman" w:eastAsia="宋体" w:cs="Times New Roman"/>
                <w:sz w:val="18"/>
                <w:szCs w:val="18"/>
              </w:rPr>
            </w:pPr>
          </w:p>
        </w:tc>
        <w:tc>
          <w:tcPr>
            <w:tcW w:w="710" w:type="pct"/>
            <w:tcBorders>
              <w:top w:val="single" w:color="000000" w:sz="4" w:space="0"/>
              <w:left w:val="single" w:color="000000" w:sz="4" w:space="0"/>
              <w:bottom w:val="single" w:color="000000" w:sz="4" w:space="0"/>
              <w:right w:val="single" w:color="000000" w:sz="4" w:space="0"/>
            </w:tcBorders>
            <w:vAlign w:val="center"/>
          </w:tcPr>
          <w:p w14:paraId="25D1B659">
            <w:pPr>
              <w:adjustRightInd w:val="0"/>
              <w:jc w:val="center"/>
              <w:rPr>
                <w:rFonts w:ascii="Times New Roman" w:hAnsi="Times New Roman" w:eastAsia="宋体" w:cs="Times New Roman"/>
                <w:sz w:val="18"/>
                <w:szCs w:val="18"/>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38008CBF">
            <w:pPr>
              <w:adjustRightInd w:val="0"/>
              <w:jc w:val="center"/>
              <w:rPr>
                <w:rFonts w:ascii="Times New Roman" w:hAnsi="Times New Roman" w:eastAsia="宋体" w:cs="Times New Roman"/>
                <w:sz w:val="18"/>
                <w:szCs w:val="18"/>
              </w:rPr>
            </w:pPr>
          </w:p>
        </w:tc>
        <w:tc>
          <w:tcPr>
            <w:tcW w:w="651" w:type="pct"/>
            <w:tcBorders>
              <w:top w:val="single" w:color="000000" w:sz="4" w:space="0"/>
              <w:left w:val="single" w:color="000000" w:sz="4" w:space="0"/>
              <w:bottom w:val="single" w:color="000000" w:sz="4" w:space="0"/>
              <w:right w:val="single" w:color="000000" w:sz="4" w:space="0"/>
            </w:tcBorders>
            <w:vAlign w:val="center"/>
          </w:tcPr>
          <w:p w14:paraId="0DC7BC4F">
            <w:pPr>
              <w:adjustRightInd w:val="0"/>
              <w:jc w:val="center"/>
              <w:rPr>
                <w:rFonts w:ascii="Times New Roman" w:hAnsi="Times New Roman" w:eastAsia="宋体" w:cs="Times New Roman"/>
                <w:sz w:val="18"/>
                <w:szCs w:val="18"/>
              </w:rPr>
            </w:pPr>
          </w:p>
        </w:tc>
      </w:tr>
    </w:tbl>
    <w:p w14:paraId="41F23C96">
      <w:pPr>
        <w:numPr>
          <w:ilvl w:val="255"/>
          <w:numId w:val="0"/>
        </w:numPr>
        <w:spacing w:line="240" w:lineRule="auto"/>
        <w:jc w:val="center"/>
        <w:rPr>
          <w:rFonts w:ascii="Times New Roman" w:eastAsiaTheme="minorEastAsia"/>
        </w:rPr>
      </w:pPr>
    </w:p>
    <w:p w14:paraId="1CE69C60">
      <w:pPr>
        <w:snapToGrid w:val="0"/>
        <w:ind w:left="422" w:right="422"/>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.10  </w:t>
      </w:r>
      <w:r>
        <w:rPr>
          <w:rFonts w:hint="eastAsia" w:ascii="Times New Roman" w:hAnsi="Times New Roman" w:eastAsia="黑体" w:cs="Times New Roman"/>
          <w:snapToGrid w:val="0"/>
          <w:kern w:val="0"/>
          <w:sz w:val="18"/>
          <w:szCs w:val="18"/>
        </w:rPr>
        <w:t>主要工程量</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930"/>
        <w:gridCol w:w="2780"/>
        <w:gridCol w:w="931"/>
        <w:gridCol w:w="1238"/>
        <w:gridCol w:w="933"/>
        <w:gridCol w:w="1475"/>
      </w:tblGrid>
      <w:tr w14:paraId="53D2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jc w:val="center"/>
        </w:trPr>
        <w:tc>
          <w:tcPr>
            <w:tcW w:w="427" w:type="pct"/>
            <w:vAlign w:val="center"/>
          </w:tcPr>
          <w:p w14:paraId="51375571">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序号</w:t>
            </w:r>
          </w:p>
        </w:tc>
        <w:tc>
          <w:tcPr>
            <w:tcW w:w="513" w:type="pct"/>
            <w:vAlign w:val="center"/>
          </w:tcPr>
          <w:p w14:paraId="719FDBD2">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名称</w:t>
            </w:r>
          </w:p>
        </w:tc>
        <w:tc>
          <w:tcPr>
            <w:tcW w:w="1534" w:type="pct"/>
            <w:vAlign w:val="center"/>
          </w:tcPr>
          <w:p w14:paraId="671A8A0B">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工程内容</w:t>
            </w:r>
          </w:p>
        </w:tc>
        <w:tc>
          <w:tcPr>
            <w:tcW w:w="514" w:type="pct"/>
            <w:vAlign w:val="center"/>
          </w:tcPr>
          <w:p w14:paraId="1FBFA394">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单位</w:t>
            </w:r>
          </w:p>
        </w:tc>
        <w:tc>
          <w:tcPr>
            <w:tcW w:w="683" w:type="pct"/>
            <w:vAlign w:val="center"/>
          </w:tcPr>
          <w:p w14:paraId="70331922">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设计规模</w:t>
            </w:r>
          </w:p>
        </w:tc>
        <w:tc>
          <w:tcPr>
            <w:tcW w:w="515" w:type="pct"/>
            <w:vAlign w:val="center"/>
          </w:tcPr>
          <w:p w14:paraId="1EC41289">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数量</w:t>
            </w:r>
          </w:p>
        </w:tc>
        <w:tc>
          <w:tcPr>
            <w:tcW w:w="814" w:type="pct"/>
            <w:vAlign w:val="center"/>
          </w:tcPr>
          <w:p w14:paraId="79A8A9AC">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备注</w:t>
            </w:r>
          </w:p>
        </w:tc>
      </w:tr>
      <w:tr w14:paraId="5CEA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restart"/>
            <w:vAlign w:val="center"/>
          </w:tcPr>
          <w:p w14:paraId="1CD49431">
            <w:pPr>
              <w:jc w:val="center"/>
              <w:rPr>
                <w:rFonts w:ascii="Times New Roman" w:hAnsi="Times New Roman" w:eastAsia="宋体" w:cs="Times New Roman"/>
                <w:bCs/>
                <w:sz w:val="18"/>
                <w:szCs w:val="18"/>
              </w:rPr>
            </w:pPr>
            <w:r>
              <w:rPr>
                <w:rFonts w:ascii="Times New Roman" w:hAnsi="Times New Roman" w:eastAsia="宋体" w:cs="Times New Roman"/>
                <w:bCs/>
                <w:sz w:val="18"/>
                <w:szCs w:val="18"/>
              </w:rPr>
              <w:t>1</w:t>
            </w:r>
          </w:p>
        </w:tc>
        <w:tc>
          <w:tcPr>
            <w:tcW w:w="513" w:type="pct"/>
            <w:vMerge w:val="restart"/>
            <w:vAlign w:val="center"/>
          </w:tcPr>
          <w:p w14:paraId="2DB42CC6">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注采井</w:t>
            </w:r>
          </w:p>
        </w:tc>
        <w:tc>
          <w:tcPr>
            <w:tcW w:w="1534" w:type="pct"/>
            <w:vAlign w:val="center"/>
          </w:tcPr>
          <w:p w14:paraId="33399723">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新建注采井</w:t>
            </w:r>
          </w:p>
        </w:tc>
        <w:tc>
          <w:tcPr>
            <w:tcW w:w="514" w:type="pct"/>
            <w:vAlign w:val="center"/>
          </w:tcPr>
          <w:p w14:paraId="70676EAC">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口</w:t>
            </w:r>
          </w:p>
        </w:tc>
        <w:tc>
          <w:tcPr>
            <w:tcW w:w="683" w:type="pct"/>
            <w:vAlign w:val="center"/>
          </w:tcPr>
          <w:p w14:paraId="06D8E3FD">
            <w:pPr>
              <w:jc w:val="center"/>
              <w:rPr>
                <w:rFonts w:ascii="Times New Roman" w:hAnsi="Times New Roman" w:eastAsia="宋体" w:cs="Times New Roman"/>
                <w:sz w:val="18"/>
                <w:szCs w:val="18"/>
              </w:rPr>
            </w:pPr>
          </w:p>
        </w:tc>
        <w:tc>
          <w:tcPr>
            <w:tcW w:w="515" w:type="pct"/>
            <w:vAlign w:val="center"/>
          </w:tcPr>
          <w:p w14:paraId="15FD719C">
            <w:pPr>
              <w:jc w:val="center"/>
              <w:rPr>
                <w:rFonts w:ascii="Times New Roman" w:hAnsi="Times New Roman" w:eastAsia="宋体" w:cs="Times New Roman"/>
                <w:sz w:val="18"/>
                <w:szCs w:val="18"/>
              </w:rPr>
            </w:pPr>
          </w:p>
        </w:tc>
        <w:tc>
          <w:tcPr>
            <w:tcW w:w="814" w:type="pct"/>
            <w:vAlign w:val="center"/>
          </w:tcPr>
          <w:p w14:paraId="5A4C0507">
            <w:pPr>
              <w:jc w:val="center"/>
              <w:rPr>
                <w:rFonts w:ascii="Times New Roman" w:hAnsi="Times New Roman" w:eastAsia="宋体" w:cs="Times New Roman"/>
                <w:sz w:val="18"/>
                <w:szCs w:val="18"/>
              </w:rPr>
            </w:pPr>
          </w:p>
        </w:tc>
      </w:tr>
      <w:tr w14:paraId="0ACE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continue"/>
            <w:vAlign w:val="center"/>
          </w:tcPr>
          <w:p w14:paraId="3EEBAEDF">
            <w:pPr>
              <w:jc w:val="center"/>
              <w:rPr>
                <w:rFonts w:ascii="Times New Roman" w:hAnsi="Times New Roman" w:eastAsia="宋体" w:cs="Times New Roman"/>
                <w:bCs/>
                <w:sz w:val="18"/>
                <w:szCs w:val="18"/>
              </w:rPr>
            </w:pPr>
          </w:p>
        </w:tc>
        <w:tc>
          <w:tcPr>
            <w:tcW w:w="513" w:type="pct"/>
            <w:vMerge w:val="continue"/>
            <w:vAlign w:val="center"/>
          </w:tcPr>
          <w:p w14:paraId="648FBCCF">
            <w:pPr>
              <w:jc w:val="center"/>
              <w:rPr>
                <w:rFonts w:ascii="Times New Roman" w:hAnsi="Times New Roman" w:eastAsia="宋体" w:cs="Times New Roman"/>
                <w:sz w:val="18"/>
                <w:szCs w:val="18"/>
              </w:rPr>
            </w:pPr>
          </w:p>
        </w:tc>
        <w:tc>
          <w:tcPr>
            <w:tcW w:w="1534" w:type="pct"/>
            <w:vAlign w:val="center"/>
          </w:tcPr>
          <w:p w14:paraId="29575199">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再利用井</w:t>
            </w:r>
          </w:p>
        </w:tc>
        <w:tc>
          <w:tcPr>
            <w:tcW w:w="514" w:type="pct"/>
            <w:vAlign w:val="center"/>
          </w:tcPr>
          <w:p w14:paraId="0A0E22A7">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口</w:t>
            </w:r>
          </w:p>
        </w:tc>
        <w:tc>
          <w:tcPr>
            <w:tcW w:w="683" w:type="pct"/>
            <w:vAlign w:val="center"/>
          </w:tcPr>
          <w:p w14:paraId="29E33DAF">
            <w:pPr>
              <w:jc w:val="center"/>
              <w:rPr>
                <w:rFonts w:ascii="Times New Roman" w:hAnsi="Times New Roman" w:eastAsia="宋体" w:cs="Times New Roman"/>
                <w:sz w:val="18"/>
                <w:szCs w:val="18"/>
              </w:rPr>
            </w:pPr>
          </w:p>
        </w:tc>
        <w:tc>
          <w:tcPr>
            <w:tcW w:w="515" w:type="pct"/>
            <w:vAlign w:val="center"/>
          </w:tcPr>
          <w:p w14:paraId="005525C7">
            <w:pPr>
              <w:jc w:val="center"/>
              <w:rPr>
                <w:rFonts w:ascii="Times New Roman" w:hAnsi="Times New Roman" w:eastAsia="宋体" w:cs="Times New Roman"/>
                <w:sz w:val="18"/>
                <w:szCs w:val="18"/>
              </w:rPr>
            </w:pPr>
          </w:p>
        </w:tc>
        <w:tc>
          <w:tcPr>
            <w:tcW w:w="814" w:type="pct"/>
            <w:vAlign w:val="center"/>
          </w:tcPr>
          <w:p w14:paraId="7E630825">
            <w:pPr>
              <w:jc w:val="center"/>
              <w:rPr>
                <w:rFonts w:ascii="Times New Roman" w:hAnsi="Times New Roman" w:eastAsia="宋体" w:cs="Times New Roman"/>
                <w:sz w:val="18"/>
                <w:szCs w:val="18"/>
              </w:rPr>
            </w:pPr>
          </w:p>
        </w:tc>
      </w:tr>
      <w:tr w14:paraId="6A84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restart"/>
            <w:vAlign w:val="center"/>
          </w:tcPr>
          <w:p w14:paraId="6B59E8D6">
            <w:pPr>
              <w:jc w:val="center"/>
              <w:rPr>
                <w:rFonts w:ascii="Times New Roman" w:hAnsi="Times New Roman" w:eastAsia="宋体" w:cs="Times New Roman"/>
                <w:bCs/>
                <w:sz w:val="18"/>
                <w:szCs w:val="18"/>
              </w:rPr>
            </w:pPr>
            <w:r>
              <w:rPr>
                <w:rFonts w:ascii="Times New Roman" w:hAnsi="Times New Roman" w:eastAsia="宋体" w:cs="Times New Roman"/>
                <w:bCs/>
                <w:sz w:val="18"/>
                <w:szCs w:val="18"/>
              </w:rPr>
              <w:t>2</w:t>
            </w:r>
          </w:p>
        </w:tc>
        <w:tc>
          <w:tcPr>
            <w:tcW w:w="513" w:type="pct"/>
            <w:vMerge w:val="restart"/>
            <w:vAlign w:val="center"/>
          </w:tcPr>
          <w:p w14:paraId="38D91A73">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井场</w:t>
            </w:r>
          </w:p>
        </w:tc>
        <w:tc>
          <w:tcPr>
            <w:tcW w:w="1534" w:type="pct"/>
            <w:vAlign w:val="center"/>
          </w:tcPr>
          <w:p w14:paraId="030522C0">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新建井场</w:t>
            </w:r>
          </w:p>
        </w:tc>
        <w:tc>
          <w:tcPr>
            <w:tcW w:w="514" w:type="pct"/>
            <w:vAlign w:val="center"/>
          </w:tcPr>
          <w:p w14:paraId="5C0BD299">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座</w:t>
            </w:r>
          </w:p>
        </w:tc>
        <w:tc>
          <w:tcPr>
            <w:tcW w:w="683" w:type="pct"/>
            <w:vAlign w:val="center"/>
          </w:tcPr>
          <w:p w14:paraId="0A9E1D83">
            <w:pPr>
              <w:jc w:val="center"/>
              <w:rPr>
                <w:rFonts w:ascii="Times New Roman" w:hAnsi="Times New Roman" w:eastAsia="宋体" w:cs="Times New Roman"/>
                <w:sz w:val="18"/>
                <w:szCs w:val="18"/>
              </w:rPr>
            </w:pPr>
          </w:p>
        </w:tc>
        <w:tc>
          <w:tcPr>
            <w:tcW w:w="515" w:type="pct"/>
            <w:vAlign w:val="center"/>
          </w:tcPr>
          <w:p w14:paraId="6136652B">
            <w:pPr>
              <w:jc w:val="center"/>
              <w:rPr>
                <w:rFonts w:ascii="Times New Roman" w:hAnsi="Times New Roman" w:eastAsia="宋体" w:cs="Times New Roman"/>
                <w:sz w:val="18"/>
                <w:szCs w:val="18"/>
              </w:rPr>
            </w:pPr>
          </w:p>
        </w:tc>
        <w:tc>
          <w:tcPr>
            <w:tcW w:w="814" w:type="pct"/>
            <w:vAlign w:val="center"/>
          </w:tcPr>
          <w:p w14:paraId="0BCAA154">
            <w:pPr>
              <w:jc w:val="center"/>
              <w:rPr>
                <w:rFonts w:ascii="Times New Roman" w:hAnsi="Times New Roman" w:eastAsia="宋体" w:cs="Times New Roman"/>
                <w:sz w:val="18"/>
                <w:szCs w:val="18"/>
              </w:rPr>
            </w:pPr>
          </w:p>
        </w:tc>
      </w:tr>
      <w:tr w14:paraId="4537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continue"/>
            <w:vAlign w:val="center"/>
          </w:tcPr>
          <w:p w14:paraId="4F08A27A">
            <w:pPr>
              <w:jc w:val="center"/>
              <w:rPr>
                <w:rFonts w:ascii="Times New Roman" w:hAnsi="Times New Roman" w:eastAsia="宋体" w:cs="Times New Roman"/>
                <w:bCs/>
                <w:sz w:val="18"/>
                <w:szCs w:val="18"/>
              </w:rPr>
            </w:pPr>
          </w:p>
        </w:tc>
        <w:tc>
          <w:tcPr>
            <w:tcW w:w="513" w:type="pct"/>
            <w:vMerge w:val="continue"/>
            <w:vAlign w:val="center"/>
          </w:tcPr>
          <w:p w14:paraId="3E3B3E97">
            <w:pPr>
              <w:jc w:val="center"/>
              <w:rPr>
                <w:rFonts w:ascii="Times New Roman" w:hAnsi="Times New Roman" w:eastAsia="宋体" w:cs="Times New Roman"/>
                <w:sz w:val="18"/>
                <w:szCs w:val="18"/>
              </w:rPr>
            </w:pPr>
          </w:p>
        </w:tc>
        <w:tc>
          <w:tcPr>
            <w:tcW w:w="1534" w:type="pct"/>
            <w:vAlign w:val="center"/>
          </w:tcPr>
          <w:p w14:paraId="70321759">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扩建井场</w:t>
            </w:r>
          </w:p>
        </w:tc>
        <w:tc>
          <w:tcPr>
            <w:tcW w:w="514" w:type="pct"/>
            <w:vAlign w:val="center"/>
          </w:tcPr>
          <w:p w14:paraId="67D105F8">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座</w:t>
            </w:r>
          </w:p>
        </w:tc>
        <w:tc>
          <w:tcPr>
            <w:tcW w:w="683" w:type="pct"/>
            <w:vAlign w:val="center"/>
          </w:tcPr>
          <w:p w14:paraId="36BF8243">
            <w:pPr>
              <w:jc w:val="center"/>
              <w:rPr>
                <w:rFonts w:ascii="Times New Roman" w:hAnsi="Times New Roman" w:eastAsia="宋体" w:cs="Times New Roman"/>
                <w:sz w:val="18"/>
                <w:szCs w:val="18"/>
              </w:rPr>
            </w:pPr>
          </w:p>
        </w:tc>
        <w:tc>
          <w:tcPr>
            <w:tcW w:w="515" w:type="pct"/>
            <w:vAlign w:val="center"/>
          </w:tcPr>
          <w:p w14:paraId="30C9DEF9">
            <w:pPr>
              <w:jc w:val="center"/>
              <w:rPr>
                <w:rFonts w:ascii="Times New Roman" w:hAnsi="Times New Roman" w:eastAsia="宋体" w:cs="Times New Roman"/>
                <w:sz w:val="18"/>
                <w:szCs w:val="18"/>
              </w:rPr>
            </w:pPr>
          </w:p>
        </w:tc>
        <w:tc>
          <w:tcPr>
            <w:tcW w:w="814" w:type="pct"/>
            <w:vAlign w:val="center"/>
          </w:tcPr>
          <w:p w14:paraId="621A1704">
            <w:pPr>
              <w:jc w:val="center"/>
              <w:rPr>
                <w:rFonts w:ascii="Times New Roman" w:hAnsi="Times New Roman" w:eastAsia="宋体" w:cs="Times New Roman"/>
                <w:sz w:val="18"/>
                <w:szCs w:val="18"/>
              </w:rPr>
            </w:pPr>
          </w:p>
        </w:tc>
      </w:tr>
      <w:tr w14:paraId="4EDE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427" w:type="pct"/>
            <w:vMerge w:val="continue"/>
            <w:vAlign w:val="center"/>
          </w:tcPr>
          <w:p w14:paraId="7819653B">
            <w:pPr>
              <w:jc w:val="center"/>
              <w:rPr>
                <w:rFonts w:ascii="Times New Roman" w:hAnsi="Times New Roman" w:eastAsia="宋体" w:cs="Times New Roman"/>
                <w:bCs/>
                <w:sz w:val="18"/>
                <w:szCs w:val="18"/>
              </w:rPr>
            </w:pPr>
          </w:p>
        </w:tc>
        <w:tc>
          <w:tcPr>
            <w:tcW w:w="513" w:type="pct"/>
            <w:vMerge w:val="continue"/>
            <w:vAlign w:val="center"/>
          </w:tcPr>
          <w:p w14:paraId="517CF0D7">
            <w:pPr>
              <w:jc w:val="center"/>
              <w:rPr>
                <w:rFonts w:ascii="Times New Roman" w:hAnsi="Times New Roman" w:eastAsia="宋体" w:cs="Times New Roman"/>
                <w:sz w:val="18"/>
                <w:szCs w:val="18"/>
              </w:rPr>
            </w:pPr>
          </w:p>
        </w:tc>
        <w:tc>
          <w:tcPr>
            <w:tcW w:w="1534" w:type="pct"/>
            <w:vAlign w:val="center"/>
          </w:tcPr>
          <w:p w14:paraId="540BEE31">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514" w:type="pct"/>
            <w:vAlign w:val="center"/>
          </w:tcPr>
          <w:p w14:paraId="36F2C973">
            <w:pPr>
              <w:jc w:val="center"/>
              <w:rPr>
                <w:rFonts w:ascii="Times New Roman" w:hAnsi="Times New Roman" w:eastAsia="宋体" w:cs="Times New Roman"/>
                <w:sz w:val="18"/>
                <w:szCs w:val="18"/>
              </w:rPr>
            </w:pPr>
          </w:p>
        </w:tc>
        <w:tc>
          <w:tcPr>
            <w:tcW w:w="683" w:type="pct"/>
            <w:vAlign w:val="center"/>
          </w:tcPr>
          <w:p w14:paraId="7E629113">
            <w:pPr>
              <w:jc w:val="center"/>
              <w:rPr>
                <w:rFonts w:ascii="Times New Roman" w:hAnsi="Times New Roman" w:eastAsia="宋体" w:cs="Times New Roman"/>
                <w:sz w:val="18"/>
                <w:szCs w:val="18"/>
              </w:rPr>
            </w:pPr>
          </w:p>
        </w:tc>
        <w:tc>
          <w:tcPr>
            <w:tcW w:w="515" w:type="pct"/>
            <w:vAlign w:val="center"/>
          </w:tcPr>
          <w:p w14:paraId="7268E6D3">
            <w:pPr>
              <w:jc w:val="center"/>
              <w:rPr>
                <w:rFonts w:ascii="Times New Roman" w:hAnsi="Times New Roman" w:eastAsia="宋体" w:cs="Times New Roman"/>
                <w:sz w:val="18"/>
                <w:szCs w:val="18"/>
              </w:rPr>
            </w:pPr>
          </w:p>
        </w:tc>
        <w:tc>
          <w:tcPr>
            <w:tcW w:w="814" w:type="pct"/>
            <w:vAlign w:val="center"/>
          </w:tcPr>
          <w:p w14:paraId="2989D52C">
            <w:pPr>
              <w:jc w:val="center"/>
              <w:rPr>
                <w:rFonts w:ascii="Times New Roman" w:hAnsi="Times New Roman" w:eastAsia="宋体" w:cs="Times New Roman"/>
                <w:sz w:val="18"/>
                <w:szCs w:val="18"/>
              </w:rPr>
            </w:pPr>
          </w:p>
        </w:tc>
      </w:tr>
      <w:tr w14:paraId="1041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427" w:type="pct"/>
            <w:vMerge w:val="restart"/>
            <w:vAlign w:val="center"/>
          </w:tcPr>
          <w:p w14:paraId="57D59B09">
            <w:pPr>
              <w:jc w:val="center"/>
              <w:rPr>
                <w:rFonts w:ascii="Times New Roman" w:hAnsi="Times New Roman" w:eastAsia="宋体" w:cs="Times New Roman"/>
                <w:bCs/>
                <w:sz w:val="18"/>
                <w:szCs w:val="18"/>
              </w:rPr>
            </w:pPr>
            <w:r>
              <w:rPr>
                <w:rFonts w:ascii="Times New Roman" w:hAnsi="Times New Roman" w:eastAsia="宋体" w:cs="Times New Roman"/>
                <w:sz w:val="18"/>
                <w:szCs w:val="18"/>
              </w:rPr>
              <w:t>3</w:t>
            </w:r>
          </w:p>
        </w:tc>
        <w:tc>
          <w:tcPr>
            <w:tcW w:w="513" w:type="pct"/>
            <w:vMerge w:val="restart"/>
            <w:vAlign w:val="center"/>
          </w:tcPr>
          <w:p w14:paraId="4FD2A39C">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站场</w:t>
            </w:r>
          </w:p>
        </w:tc>
        <w:tc>
          <w:tcPr>
            <w:tcW w:w="1534" w:type="pct"/>
            <w:vAlign w:val="center"/>
          </w:tcPr>
          <w:p w14:paraId="6908EFF5">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增压系统</w:t>
            </w:r>
          </w:p>
        </w:tc>
        <w:tc>
          <w:tcPr>
            <w:tcW w:w="514" w:type="pct"/>
            <w:vAlign w:val="center"/>
          </w:tcPr>
          <w:p w14:paraId="07489F48">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套</w:t>
            </w:r>
          </w:p>
        </w:tc>
        <w:tc>
          <w:tcPr>
            <w:tcW w:w="683" w:type="pct"/>
            <w:vAlign w:val="center"/>
          </w:tcPr>
          <w:p w14:paraId="2D5CC1FC">
            <w:pPr>
              <w:pStyle w:val="10"/>
              <w:spacing w:after="0"/>
              <w:jc w:val="center"/>
              <w:rPr>
                <w:rFonts w:ascii="Times New Roman" w:hAnsi="Times New Roman" w:eastAsia="宋体" w:cs="Times New Roman"/>
                <w:sz w:val="18"/>
                <w:szCs w:val="18"/>
              </w:rPr>
            </w:pPr>
          </w:p>
        </w:tc>
        <w:tc>
          <w:tcPr>
            <w:tcW w:w="515" w:type="pct"/>
            <w:vAlign w:val="center"/>
          </w:tcPr>
          <w:p w14:paraId="4065AEC9">
            <w:pPr>
              <w:pStyle w:val="10"/>
              <w:spacing w:after="0"/>
              <w:jc w:val="center"/>
              <w:rPr>
                <w:rFonts w:ascii="Times New Roman" w:hAnsi="Times New Roman" w:eastAsia="宋体" w:cs="Times New Roman"/>
                <w:sz w:val="18"/>
                <w:szCs w:val="18"/>
              </w:rPr>
            </w:pPr>
          </w:p>
        </w:tc>
        <w:tc>
          <w:tcPr>
            <w:tcW w:w="814" w:type="pct"/>
            <w:vAlign w:val="center"/>
          </w:tcPr>
          <w:p w14:paraId="51A41E00">
            <w:pPr>
              <w:pStyle w:val="10"/>
              <w:spacing w:after="0"/>
              <w:jc w:val="center"/>
              <w:rPr>
                <w:rFonts w:ascii="Times New Roman" w:hAnsi="Times New Roman" w:eastAsia="宋体" w:cs="Times New Roman"/>
                <w:sz w:val="18"/>
                <w:szCs w:val="18"/>
              </w:rPr>
            </w:pPr>
          </w:p>
        </w:tc>
      </w:tr>
      <w:tr w14:paraId="3C37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7" w:type="pct"/>
            <w:vMerge w:val="continue"/>
            <w:vAlign w:val="center"/>
          </w:tcPr>
          <w:p w14:paraId="53C8FC09">
            <w:pPr>
              <w:jc w:val="center"/>
              <w:rPr>
                <w:rFonts w:ascii="Times New Roman" w:hAnsi="Times New Roman" w:eastAsia="宋体" w:cs="Times New Roman"/>
                <w:sz w:val="18"/>
                <w:szCs w:val="18"/>
              </w:rPr>
            </w:pPr>
          </w:p>
        </w:tc>
        <w:tc>
          <w:tcPr>
            <w:tcW w:w="513" w:type="pct"/>
            <w:vMerge w:val="continue"/>
            <w:vAlign w:val="center"/>
          </w:tcPr>
          <w:p w14:paraId="2E91AAB8">
            <w:pPr>
              <w:jc w:val="center"/>
              <w:rPr>
                <w:rFonts w:ascii="Times New Roman" w:hAnsi="Times New Roman" w:eastAsia="宋体" w:cs="Times New Roman"/>
                <w:sz w:val="18"/>
                <w:szCs w:val="18"/>
              </w:rPr>
            </w:pPr>
          </w:p>
        </w:tc>
        <w:tc>
          <w:tcPr>
            <w:tcW w:w="1534" w:type="pct"/>
            <w:vAlign w:val="center"/>
          </w:tcPr>
          <w:p w14:paraId="3FC8F10B">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露点控制装置</w:t>
            </w:r>
          </w:p>
        </w:tc>
        <w:tc>
          <w:tcPr>
            <w:tcW w:w="514" w:type="pct"/>
            <w:vAlign w:val="center"/>
          </w:tcPr>
          <w:p w14:paraId="6BB28AC3">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套</w:t>
            </w:r>
          </w:p>
        </w:tc>
        <w:tc>
          <w:tcPr>
            <w:tcW w:w="683" w:type="pct"/>
            <w:vAlign w:val="center"/>
          </w:tcPr>
          <w:p w14:paraId="1956A462">
            <w:pPr>
              <w:pStyle w:val="10"/>
              <w:spacing w:after="0"/>
              <w:jc w:val="center"/>
              <w:rPr>
                <w:rFonts w:ascii="Times New Roman" w:hAnsi="Times New Roman" w:eastAsia="宋体" w:cs="Times New Roman"/>
                <w:sz w:val="18"/>
                <w:szCs w:val="18"/>
              </w:rPr>
            </w:pPr>
          </w:p>
        </w:tc>
        <w:tc>
          <w:tcPr>
            <w:tcW w:w="515" w:type="pct"/>
            <w:vAlign w:val="center"/>
          </w:tcPr>
          <w:p w14:paraId="481A7F90">
            <w:pPr>
              <w:pStyle w:val="10"/>
              <w:spacing w:after="0"/>
              <w:jc w:val="center"/>
              <w:rPr>
                <w:rFonts w:ascii="Times New Roman" w:hAnsi="Times New Roman" w:eastAsia="宋体" w:cs="Times New Roman"/>
                <w:sz w:val="18"/>
                <w:szCs w:val="18"/>
              </w:rPr>
            </w:pPr>
          </w:p>
        </w:tc>
        <w:tc>
          <w:tcPr>
            <w:tcW w:w="814" w:type="pct"/>
            <w:vAlign w:val="center"/>
          </w:tcPr>
          <w:p w14:paraId="438B054C">
            <w:pPr>
              <w:pStyle w:val="10"/>
              <w:spacing w:after="0"/>
              <w:jc w:val="center"/>
              <w:rPr>
                <w:rFonts w:ascii="Times New Roman" w:hAnsi="Times New Roman" w:eastAsia="宋体" w:cs="Times New Roman"/>
                <w:sz w:val="18"/>
                <w:szCs w:val="18"/>
              </w:rPr>
            </w:pPr>
          </w:p>
        </w:tc>
      </w:tr>
      <w:tr w14:paraId="3A28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427" w:type="pct"/>
            <w:vMerge w:val="continue"/>
            <w:vAlign w:val="center"/>
          </w:tcPr>
          <w:p w14:paraId="5504C91E">
            <w:pPr>
              <w:jc w:val="center"/>
              <w:rPr>
                <w:rFonts w:ascii="Times New Roman" w:hAnsi="Times New Roman" w:eastAsia="宋体" w:cs="Times New Roman"/>
                <w:sz w:val="18"/>
                <w:szCs w:val="18"/>
              </w:rPr>
            </w:pPr>
          </w:p>
        </w:tc>
        <w:tc>
          <w:tcPr>
            <w:tcW w:w="513" w:type="pct"/>
            <w:vMerge w:val="continue"/>
            <w:vAlign w:val="center"/>
          </w:tcPr>
          <w:p w14:paraId="222BB0C8">
            <w:pPr>
              <w:jc w:val="center"/>
              <w:rPr>
                <w:rFonts w:ascii="Times New Roman" w:hAnsi="Times New Roman" w:eastAsia="宋体" w:cs="Times New Roman"/>
                <w:sz w:val="18"/>
                <w:szCs w:val="18"/>
              </w:rPr>
            </w:pPr>
          </w:p>
        </w:tc>
        <w:tc>
          <w:tcPr>
            <w:tcW w:w="1534" w:type="pct"/>
            <w:vAlign w:val="center"/>
          </w:tcPr>
          <w:p w14:paraId="6DDBACAA">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脱水装置</w:t>
            </w:r>
          </w:p>
        </w:tc>
        <w:tc>
          <w:tcPr>
            <w:tcW w:w="514" w:type="pct"/>
            <w:vAlign w:val="center"/>
          </w:tcPr>
          <w:p w14:paraId="4EF439F0">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套</w:t>
            </w:r>
          </w:p>
        </w:tc>
        <w:tc>
          <w:tcPr>
            <w:tcW w:w="683" w:type="pct"/>
            <w:vAlign w:val="center"/>
          </w:tcPr>
          <w:p w14:paraId="3F7808B5">
            <w:pPr>
              <w:pStyle w:val="10"/>
              <w:spacing w:after="0"/>
              <w:jc w:val="center"/>
              <w:rPr>
                <w:rFonts w:ascii="Times New Roman" w:hAnsi="Times New Roman" w:eastAsia="宋体" w:cs="Times New Roman"/>
                <w:sz w:val="18"/>
                <w:szCs w:val="18"/>
              </w:rPr>
            </w:pPr>
          </w:p>
        </w:tc>
        <w:tc>
          <w:tcPr>
            <w:tcW w:w="515" w:type="pct"/>
            <w:vAlign w:val="center"/>
          </w:tcPr>
          <w:p w14:paraId="46C7EAF4">
            <w:pPr>
              <w:pStyle w:val="10"/>
              <w:spacing w:after="0"/>
              <w:jc w:val="center"/>
              <w:rPr>
                <w:rFonts w:ascii="Times New Roman" w:hAnsi="Times New Roman" w:eastAsia="宋体" w:cs="Times New Roman"/>
                <w:sz w:val="18"/>
                <w:szCs w:val="18"/>
              </w:rPr>
            </w:pPr>
          </w:p>
        </w:tc>
        <w:tc>
          <w:tcPr>
            <w:tcW w:w="814" w:type="pct"/>
            <w:vAlign w:val="center"/>
          </w:tcPr>
          <w:p w14:paraId="00BEE164">
            <w:pPr>
              <w:pStyle w:val="10"/>
              <w:spacing w:after="0"/>
              <w:jc w:val="center"/>
              <w:rPr>
                <w:rFonts w:ascii="Times New Roman" w:hAnsi="Times New Roman" w:eastAsia="宋体" w:cs="Times New Roman"/>
                <w:sz w:val="18"/>
                <w:szCs w:val="18"/>
              </w:rPr>
            </w:pPr>
          </w:p>
        </w:tc>
      </w:tr>
      <w:tr w14:paraId="2E4B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427" w:type="pct"/>
            <w:vMerge w:val="continue"/>
            <w:vAlign w:val="center"/>
          </w:tcPr>
          <w:p w14:paraId="517D00B2">
            <w:pPr>
              <w:jc w:val="center"/>
              <w:rPr>
                <w:rFonts w:ascii="Times New Roman" w:hAnsi="Times New Roman" w:eastAsia="宋体" w:cs="Times New Roman"/>
                <w:sz w:val="18"/>
                <w:szCs w:val="18"/>
              </w:rPr>
            </w:pPr>
          </w:p>
        </w:tc>
        <w:tc>
          <w:tcPr>
            <w:tcW w:w="513" w:type="pct"/>
            <w:vMerge w:val="continue"/>
            <w:vAlign w:val="center"/>
          </w:tcPr>
          <w:p w14:paraId="38C418A6">
            <w:pPr>
              <w:jc w:val="center"/>
              <w:rPr>
                <w:rFonts w:ascii="Times New Roman" w:hAnsi="Times New Roman" w:eastAsia="宋体" w:cs="Times New Roman"/>
                <w:sz w:val="18"/>
                <w:szCs w:val="18"/>
              </w:rPr>
            </w:pPr>
          </w:p>
        </w:tc>
        <w:tc>
          <w:tcPr>
            <w:tcW w:w="1534" w:type="pct"/>
            <w:vAlign w:val="center"/>
          </w:tcPr>
          <w:p w14:paraId="0A331BBE">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过滤分离装置</w:t>
            </w:r>
          </w:p>
        </w:tc>
        <w:tc>
          <w:tcPr>
            <w:tcW w:w="514" w:type="pct"/>
            <w:vAlign w:val="center"/>
          </w:tcPr>
          <w:p w14:paraId="38D2C29F">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套</w:t>
            </w:r>
          </w:p>
        </w:tc>
        <w:tc>
          <w:tcPr>
            <w:tcW w:w="683" w:type="pct"/>
            <w:vAlign w:val="center"/>
          </w:tcPr>
          <w:p w14:paraId="740774D3">
            <w:pPr>
              <w:pStyle w:val="10"/>
              <w:spacing w:after="0"/>
              <w:jc w:val="center"/>
              <w:rPr>
                <w:rFonts w:ascii="Times New Roman" w:hAnsi="Times New Roman" w:eastAsia="宋体" w:cs="Times New Roman"/>
                <w:sz w:val="18"/>
                <w:szCs w:val="18"/>
              </w:rPr>
            </w:pPr>
          </w:p>
        </w:tc>
        <w:tc>
          <w:tcPr>
            <w:tcW w:w="515" w:type="pct"/>
            <w:vAlign w:val="center"/>
          </w:tcPr>
          <w:p w14:paraId="55FBBD22">
            <w:pPr>
              <w:pStyle w:val="10"/>
              <w:spacing w:after="0"/>
              <w:jc w:val="center"/>
              <w:rPr>
                <w:rFonts w:ascii="Times New Roman" w:hAnsi="Times New Roman" w:eastAsia="宋体" w:cs="Times New Roman"/>
                <w:sz w:val="18"/>
                <w:szCs w:val="18"/>
              </w:rPr>
            </w:pPr>
          </w:p>
        </w:tc>
        <w:tc>
          <w:tcPr>
            <w:tcW w:w="814" w:type="pct"/>
            <w:vAlign w:val="center"/>
          </w:tcPr>
          <w:p w14:paraId="6BE763E2">
            <w:pPr>
              <w:pStyle w:val="10"/>
              <w:spacing w:after="0"/>
              <w:jc w:val="center"/>
              <w:rPr>
                <w:rFonts w:ascii="Times New Roman" w:hAnsi="Times New Roman" w:eastAsia="宋体" w:cs="Times New Roman"/>
                <w:sz w:val="18"/>
                <w:szCs w:val="18"/>
              </w:rPr>
            </w:pPr>
          </w:p>
        </w:tc>
      </w:tr>
      <w:tr w14:paraId="46A1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427" w:type="pct"/>
            <w:vMerge w:val="continue"/>
            <w:vAlign w:val="center"/>
          </w:tcPr>
          <w:p w14:paraId="6E2BB265">
            <w:pPr>
              <w:jc w:val="center"/>
              <w:rPr>
                <w:rFonts w:ascii="Times New Roman" w:hAnsi="Times New Roman" w:eastAsia="宋体" w:cs="Times New Roman"/>
                <w:sz w:val="18"/>
                <w:szCs w:val="18"/>
              </w:rPr>
            </w:pPr>
          </w:p>
        </w:tc>
        <w:tc>
          <w:tcPr>
            <w:tcW w:w="513" w:type="pct"/>
            <w:vMerge w:val="continue"/>
            <w:vAlign w:val="center"/>
          </w:tcPr>
          <w:p w14:paraId="23F4DB06">
            <w:pPr>
              <w:jc w:val="center"/>
              <w:rPr>
                <w:rFonts w:ascii="Times New Roman" w:hAnsi="Times New Roman" w:eastAsia="宋体" w:cs="Times New Roman"/>
                <w:sz w:val="18"/>
                <w:szCs w:val="18"/>
              </w:rPr>
            </w:pPr>
          </w:p>
        </w:tc>
        <w:tc>
          <w:tcPr>
            <w:tcW w:w="1534" w:type="pct"/>
            <w:vAlign w:val="center"/>
          </w:tcPr>
          <w:p w14:paraId="5F5848F8">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再生装置</w:t>
            </w:r>
          </w:p>
        </w:tc>
        <w:tc>
          <w:tcPr>
            <w:tcW w:w="514" w:type="pct"/>
            <w:vAlign w:val="center"/>
          </w:tcPr>
          <w:p w14:paraId="4884B7C7">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套</w:t>
            </w:r>
          </w:p>
        </w:tc>
        <w:tc>
          <w:tcPr>
            <w:tcW w:w="683" w:type="pct"/>
            <w:vAlign w:val="center"/>
          </w:tcPr>
          <w:p w14:paraId="53377581">
            <w:pPr>
              <w:pStyle w:val="10"/>
              <w:spacing w:after="0"/>
              <w:jc w:val="center"/>
              <w:rPr>
                <w:rFonts w:ascii="Times New Roman" w:hAnsi="Times New Roman" w:eastAsia="宋体" w:cs="Times New Roman"/>
                <w:sz w:val="18"/>
                <w:szCs w:val="18"/>
              </w:rPr>
            </w:pPr>
          </w:p>
        </w:tc>
        <w:tc>
          <w:tcPr>
            <w:tcW w:w="515" w:type="pct"/>
            <w:vAlign w:val="center"/>
          </w:tcPr>
          <w:p w14:paraId="5BC7DBA9">
            <w:pPr>
              <w:pStyle w:val="10"/>
              <w:spacing w:after="0"/>
              <w:jc w:val="center"/>
              <w:rPr>
                <w:rFonts w:ascii="Times New Roman" w:hAnsi="Times New Roman" w:eastAsia="宋体" w:cs="Times New Roman"/>
                <w:sz w:val="18"/>
                <w:szCs w:val="18"/>
              </w:rPr>
            </w:pPr>
          </w:p>
        </w:tc>
        <w:tc>
          <w:tcPr>
            <w:tcW w:w="814" w:type="pct"/>
            <w:vAlign w:val="center"/>
          </w:tcPr>
          <w:p w14:paraId="7F9DB9D3">
            <w:pPr>
              <w:pStyle w:val="10"/>
              <w:spacing w:after="0"/>
              <w:jc w:val="center"/>
              <w:rPr>
                <w:rFonts w:ascii="Times New Roman" w:hAnsi="Times New Roman" w:eastAsia="宋体" w:cs="Times New Roman"/>
                <w:sz w:val="18"/>
                <w:szCs w:val="18"/>
              </w:rPr>
            </w:pPr>
          </w:p>
        </w:tc>
      </w:tr>
      <w:tr w14:paraId="7891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427" w:type="pct"/>
            <w:vMerge w:val="continue"/>
            <w:vAlign w:val="center"/>
          </w:tcPr>
          <w:p w14:paraId="741BDB5D">
            <w:pPr>
              <w:jc w:val="center"/>
              <w:rPr>
                <w:rFonts w:ascii="Times New Roman" w:hAnsi="Times New Roman" w:eastAsia="宋体" w:cs="Times New Roman"/>
                <w:sz w:val="18"/>
                <w:szCs w:val="18"/>
              </w:rPr>
            </w:pPr>
          </w:p>
        </w:tc>
        <w:tc>
          <w:tcPr>
            <w:tcW w:w="513" w:type="pct"/>
            <w:vMerge w:val="continue"/>
            <w:vAlign w:val="center"/>
          </w:tcPr>
          <w:p w14:paraId="38DD89ED">
            <w:pPr>
              <w:jc w:val="center"/>
              <w:rPr>
                <w:rFonts w:ascii="Times New Roman" w:hAnsi="Times New Roman" w:eastAsia="宋体" w:cs="Times New Roman"/>
                <w:sz w:val="18"/>
                <w:szCs w:val="18"/>
              </w:rPr>
            </w:pPr>
          </w:p>
        </w:tc>
        <w:tc>
          <w:tcPr>
            <w:tcW w:w="1534" w:type="pct"/>
            <w:vAlign w:val="center"/>
          </w:tcPr>
          <w:p w14:paraId="4F4EE37D">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仪表风系统</w:t>
            </w:r>
          </w:p>
        </w:tc>
        <w:tc>
          <w:tcPr>
            <w:tcW w:w="514" w:type="pct"/>
            <w:vAlign w:val="center"/>
          </w:tcPr>
          <w:p w14:paraId="29ADF440">
            <w:pPr>
              <w:pStyle w:val="10"/>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套</w:t>
            </w:r>
          </w:p>
        </w:tc>
        <w:tc>
          <w:tcPr>
            <w:tcW w:w="683" w:type="pct"/>
            <w:vAlign w:val="center"/>
          </w:tcPr>
          <w:p w14:paraId="2B13024A">
            <w:pPr>
              <w:pStyle w:val="10"/>
              <w:spacing w:after="0"/>
              <w:jc w:val="center"/>
              <w:rPr>
                <w:rFonts w:ascii="Times New Roman" w:hAnsi="Times New Roman" w:eastAsia="宋体" w:cs="Times New Roman"/>
                <w:sz w:val="18"/>
                <w:szCs w:val="18"/>
              </w:rPr>
            </w:pPr>
          </w:p>
        </w:tc>
        <w:tc>
          <w:tcPr>
            <w:tcW w:w="515" w:type="pct"/>
            <w:vAlign w:val="center"/>
          </w:tcPr>
          <w:p w14:paraId="75D57EA3">
            <w:pPr>
              <w:pStyle w:val="10"/>
              <w:spacing w:after="0"/>
              <w:jc w:val="center"/>
              <w:rPr>
                <w:rFonts w:ascii="Times New Roman" w:hAnsi="Times New Roman" w:eastAsia="宋体" w:cs="Times New Roman"/>
                <w:sz w:val="18"/>
                <w:szCs w:val="18"/>
              </w:rPr>
            </w:pPr>
          </w:p>
        </w:tc>
        <w:tc>
          <w:tcPr>
            <w:tcW w:w="814" w:type="pct"/>
            <w:vAlign w:val="center"/>
          </w:tcPr>
          <w:p w14:paraId="499582D2">
            <w:pPr>
              <w:pStyle w:val="10"/>
              <w:spacing w:after="0"/>
              <w:jc w:val="center"/>
              <w:rPr>
                <w:rFonts w:ascii="Times New Roman" w:hAnsi="Times New Roman" w:eastAsia="宋体" w:cs="Times New Roman"/>
                <w:sz w:val="18"/>
                <w:szCs w:val="18"/>
              </w:rPr>
            </w:pPr>
          </w:p>
        </w:tc>
      </w:tr>
      <w:tr w14:paraId="0C0D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427" w:type="pct"/>
            <w:vMerge w:val="continue"/>
            <w:vAlign w:val="center"/>
          </w:tcPr>
          <w:p w14:paraId="288351B9">
            <w:pPr>
              <w:jc w:val="center"/>
              <w:rPr>
                <w:rFonts w:ascii="Times New Roman" w:hAnsi="Times New Roman" w:eastAsia="宋体" w:cs="Times New Roman"/>
                <w:sz w:val="18"/>
                <w:szCs w:val="18"/>
              </w:rPr>
            </w:pPr>
          </w:p>
        </w:tc>
        <w:tc>
          <w:tcPr>
            <w:tcW w:w="513" w:type="pct"/>
            <w:vMerge w:val="continue"/>
            <w:vAlign w:val="center"/>
          </w:tcPr>
          <w:p w14:paraId="60194E40">
            <w:pPr>
              <w:jc w:val="center"/>
              <w:rPr>
                <w:rFonts w:ascii="Times New Roman" w:hAnsi="Times New Roman" w:eastAsia="宋体" w:cs="Times New Roman"/>
                <w:sz w:val="18"/>
                <w:szCs w:val="18"/>
              </w:rPr>
            </w:pPr>
          </w:p>
        </w:tc>
        <w:tc>
          <w:tcPr>
            <w:tcW w:w="1534" w:type="pct"/>
            <w:vAlign w:val="center"/>
          </w:tcPr>
          <w:p w14:paraId="5E0CAE33">
            <w:pPr>
              <w:pStyle w:val="10"/>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514" w:type="pct"/>
            <w:vAlign w:val="center"/>
          </w:tcPr>
          <w:p w14:paraId="276A0FAE">
            <w:pPr>
              <w:pStyle w:val="10"/>
              <w:spacing w:after="0"/>
              <w:jc w:val="center"/>
              <w:rPr>
                <w:rFonts w:ascii="Times New Roman" w:hAnsi="Times New Roman" w:eastAsia="宋体" w:cs="Times New Roman"/>
                <w:sz w:val="18"/>
                <w:szCs w:val="18"/>
              </w:rPr>
            </w:pPr>
          </w:p>
        </w:tc>
        <w:tc>
          <w:tcPr>
            <w:tcW w:w="683" w:type="pct"/>
            <w:vAlign w:val="center"/>
          </w:tcPr>
          <w:p w14:paraId="5F4B8549">
            <w:pPr>
              <w:pStyle w:val="10"/>
              <w:spacing w:after="0"/>
              <w:jc w:val="center"/>
              <w:rPr>
                <w:rFonts w:ascii="Times New Roman" w:hAnsi="Times New Roman" w:eastAsia="宋体" w:cs="Times New Roman"/>
                <w:sz w:val="18"/>
                <w:szCs w:val="18"/>
              </w:rPr>
            </w:pPr>
          </w:p>
        </w:tc>
        <w:tc>
          <w:tcPr>
            <w:tcW w:w="515" w:type="pct"/>
            <w:vAlign w:val="center"/>
          </w:tcPr>
          <w:p w14:paraId="48674AC7">
            <w:pPr>
              <w:pStyle w:val="10"/>
              <w:spacing w:after="0"/>
              <w:jc w:val="center"/>
              <w:rPr>
                <w:rFonts w:ascii="Times New Roman" w:hAnsi="Times New Roman" w:eastAsia="宋体" w:cs="Times New Roman"/>
                <w:sz w:val="18"/>
                <w:szCs w:val="18"/>
              </w:rPr>
            </w:pPr>
          </w:p>
        </w:tc>
        <w:tc>
          <w:tcPr>
            <w:tcW w:w="814" w:type="pct"/>
            <w:vAlign w:val="center"/>
          </w:tcPr>
          <w:p w14:paraId="5A3D1C00">
            <w:pPr>
              <w:pStyle w:val="10"/>
              <w:spacing w:after="0"/>
              <w:jc w:val="center"/>
              <w:rPr>
                <w:rFonts w:ascii="Times New Roman" w:hAnsi="Times New Roman" w:eastAsia="宋体" w:cs="Times New Roman"/>
                <w:sz w:val="18"/>
                <w:szCs w:val="18"/>
              </w:rPr>
            </w:pPr>
          </w:p>
        </w:tc>
      </w:tr>
      <w:tr w14:paraId="5B89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restart"/>
            <w:vAlign w:val="center"/>
          </w:tcPr>
          <w:p w14:paraId="533B5EA1">
            <w:pPr>
              <w:jc w:val="center"/>
              <w:rPr>
                <w:rFonts w:ascii="Times New Roman" w:hAnsi="Times New Roman" w:eastAsia="宋体" w:cs="Times New Roman"/>
                <w:sz w:val="18"/>
                <w:szCs w:val="18"/>
              </w:rPr>
            </w:pPr>
            <w:r>
              <w:rPr>
                <w:rFonts w:ascii="Times New Roman" w:hAnsi="Times New Roman" w:eastAsia="宋体" w:cs="Times New Roman"/>
                <w:sz w:val="18"/>
                <w:szCs w:val="18"/>
              </w:rPr>
              <w:t>4</w:t>
            </w:r>
          </w:p>
        </w:tc>
        <w:tc>
          <w:tcPr>
            <w:tcW w:w="513" w:type="pct"/>
            <w:vMerge w:val="restart"/>
            <w:vAlign w:val="center"/>
          </w:tcPr>
          <w:p w14:paraId="34A1707B">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管道</w:t>
            </w:r>
          </w:p>
          <w:p w14:paraId="7D8065C4">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工程</w:t>
            </w:r>
          </w:p>
        </w:tc>
        <w:tc>
          <w:tcPr>
            <w:tcW w:w="1534" w:type="pct"/>
            <w:vAlign w:val="center"/>
          </w:tcPr>
          <w:p w14:paraId="68DEF102">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双向输气管道（联络线）</w:t>
            </w:r>
          </w:p>
        </w:tc>
        <w:tc>
          <w:tcPr>
            <w:tcW w:w="514" w:type="pct"/>
            <w:vAlign w:val="center"/>
          </w:tcPr>
          <w:p w14:paraId="27B47CD2">
            <w:pPr>
              <w:pStyle w:val="9"/>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km</w:t>
            </w:r>
          </w:p>
        </w:tc>
        <w:tc>
          <w:tcPr>
            <w:tcW w:w="683" w:type="pct"/>
            <w:vAlign w:val="center"/>
          </w:tcPr>
          <w:p w14:paraId="5843D226">
            <w:pPr>
              <w:pStyle w:val="9"/>
              <w:spacing w:after="0"/>
              <w:jc w:val="center"/>
              <w:rPr>
                <w:rFonts w:ascii="Times New Roman" w:hAnsi="Times New Roman" w:eastAsia="宋体" w:cs="Times New Roman"/>
                <w:sz w:val="18"/>
                <w:szCs w:val="18"/>
              </w:rPr>
            </w:pPr>
          </w:p>
        </w:tc>
        <w:tc>
          <w:tcPr>
            <w:tcW w:w="515" w:type="pct"/>
            <w:vAlign w:val="center"/>
          </w:tcPr>
          <w:p w14:paraId="0179BA71">
            <w:pPr>
              <w:pStyle w:val="9"/>
              <w:spacing w:after="0"/>
              <w:jc w:val="center"/>
              <w:rPr>
                <w:rFonts w:ascii="Times New Roman" w:hAnsi="Times New Roman" w:eastAsia="宋体" w:cs="Times New Roman"/>
                <w:sz w:val="18"/>
                <w:szCs w:val="18"/>
              </w:rPr>
            </w:pPr>
          </w:p>
        </w:tc>
        <w:tc>
          <w:tcPr>
            <w:tcW w:w="814" w:type="pct"/>
            <w:vAlign w:val="center"/>
          </w:tcPr>
          <w:p w14:paraId="46069D1D">
            <w:pPr>
              <w:pStyle w:val="9"/>
              <w:spacing w:after="0"/>
              <w:jc w:val="center"/>
              <w:rPr>
                <w:rFonts w:ascii="Times New Roman" w:hAnsi="Times New Roman" w:eastAsia="宋体" w:cs="Times New Roman"/>
                <w:sz w:val="18"/>
                <w:szCs w:val="18"/>
              </w:rPr>
            </w:pPr>
          </w:p>
        </w:tc>
      </w:tr>
      <w:tr w14:paraId="3BB5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continue"/>
            <w:vAlign w:val="center"/>
          </w:tcPr>
          <w:p w14:paraId="68BF534B">
            <w:pPr>
              <w:jc w:val="center"/>
              <w:rPr>
                <w:rFonts w:ascii="Times New Roman" w:hAnsi="Times New Roman" w:eastAsia="宋体" w:cs="Times New Roman"/>
                <w:sz w:val="18"/>
                <w:szCs w:val="18"/>
              </w:rPr>
            </w:pPr>
          </w:p>
        </w:tc>
        <w:tc>
          <w:tcPr>
            <w:tcW w:w="513" w:type="pct"/>
            <w:vMerge w:val="continue"/>
            <w:vAlign w:val="center"/>
          </w:tcPr>
          <w:p w14:paraId="0BB2F1AA">
            <w:pPr>
              <w:jc w:val="center"/>
              <w:rPr>
                <w:rFonts w:ascii="Times New Roman" w:hAnsi="Times New Roman" w:eastAsia="宋体" w:cs="Times New Roman"/>
                <w:sz w:val="18"/>
                <w:szCs w:val="18"/>
              </w:rPr>
            </w:pPr>
          </w:p>
        </w:tc>
        <w:tc>
          <w:tcPr>
            <w:tcW w:w="1534" w:type="pct"/>
            <w:vAlign w:val="center"/>
          </w:tcPr>
          <w:p w14:paraId="1C170E8C">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注采管线</w:t>
            </w:r>
          </w:p>
        </w:tc>
        <w:tc>
          <w:tcPr>
            <w:tcW w:w="514" w:type="pct"/>
            <w:vAlign w:val="center"/>
          </w:tcPr>
          <w:p w14:paraId="56B168DF">
            <w:pPr>
              <w:pStyle w:val="9"/>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km</w:t>
            </w:r>
          </w:p>
        </w:tc>
        <w:tc>
          <w:tcPr>
            <w:tcW w:w="683" w:type="pct"/>
            <w:vAlign w:val="center"/>
          </w:tcPr>
          <w:p w14:paraId="1363E20D">
            <w:pPr>
              <w:pStyle w:val="9"/>
              <w:spacing w:after="0"/>
              <w:jc w:val="center"/>
              <w:rPr>
                <w:rFonts w:ascii="Times New Roman" w:hAnsi="Times New Roman" w:eastAsia="宋体" w:cs="Times New Roman"/>
                <w:sz w:val="18"/>
                <w:szCs w:val="18"/>
              </w:rPr>
            </w:pPr>
          </w:p>
        </w:tc>
        <w:tc>
          <w:tcPr>
            <w:tcW w:w="515" w:type="pct"/>
            <w:vAlign w:val="center"/>
          </w:tcPr>
          <w:p w14:paraId="0F843EED">
            <w:pPr>
              <w:pStyle w:val="9"/>
              <w:spacing w:after="0"/>
              <w:jc w:val="center"/>
              <w:rPr>
                <w:rFonts w:ascii="Times New Roman" w:hAnsi="Times New Roman" w:eastAsia="宋体" w:cs="Times New Roman"/>
                <w:sz w:val="18"/>
                <w:szCs w:val="18"/>
              </w:rPr>
            </w:pPr>
          </w:p>
        </w:tc>
        <w:tc>
          <w:tcPr>
            <w:tcW w:w="814" w:type="pct"/>
            <w:vAlign w:val="center"/>
          </w:tcPr>
          <w:p w14:paraId="0C2D4AF0">
            <w:pPr>
              <w:pStyle w:val="9"/>
              <w:spacing w:after="0"/>
              <w:jc w:val="center"/>
              <w:rPr>
                <w:rFonts w:ascii="Times New Roman" w:hAnsi="Times New Roman" w:eastAsia="宋体" w:cs="Times New Roman"/>
                <w:sz w:val="18"/>
                <w:szCs w:val="18"/>
              </w:rPr>
            </w:pPr>
          </w:p>
        </w:tc>
      </w:tr>
      <w:tr w14:paraId="52BA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continue"/>
            <w:vAlign w:val="center"/>
          </w:tcPr>
          <w:p w14:paraId="65729458">
            <w:pPr>
              <w:jc w:val="center"/>
              <w:rPr>
                <w:rFonts w:ascii="Times New Roman" w:hAnsi="Times New Roman" w:eastAsia="宋体" w:cs="Times New Roman"/>
                <w:sz w:val="18"/>
                <w:szCs w:val="18"/>
              </w:rPr>
            </w:pPr>
          </w:p>
        </w:tc>
        <w:tc>
          <w:tcPr>
            <w:tcW w:w="513" w:type="pct"/>
            <w:vMerge w:val="continue"/>
            <w:vAlign w:val="center"/>
          </w:tcPr>
          <w:p w14:paraId="73E3C567">
            <w:pPr>
              <w:jc w:val="center"/>
              <w:rPr>
                <w:rFonts w:ascii="Times New Roman" w:hAnsi="Times New Roman" w:eastAsia="宋体" w:cs="Times New Roman"/>
                <w:sz w:val="18"/>
                <w:szCs w:val="18"/>
              </w:rPr>
            </w:pPr>
          </w:p>
        </w:tc>
        <w:tc>
          <w:tcPr>
            <w:tcW w:w="1534" w:type="pct"/>
            <w:vAlign w:val="center"/>
          </w:tcPr>
          <w:p w14:paraId="5BDE3E34">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凝液管线</w:t>
            </w:r>
          </w:p>
        </w:tc>
        <w:tc>
          <w:tcPr>
            <w:tcW w:w="514" w:type="pct"/>
            <w:vAlign w:val="center"/>
          </w:tcPr>
          <w:p w14:paraId="33B4248B">
            <w:pPr>
              <w:pStyle w:val="9"/>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km</w:t>
            </w:r>
          </w:p>
        </w:tc>
        <w:tc>
          <w:tcPr>
            <w:tcW w:w="683" w:type="pct"/>
            <w:vAlign w:val="center"/>
          </w:tcPr>
          <w:p w14:paraId="0B3AD920">
            <w:pPr>
              <w:pStyle w:val="9"/>
              <w:spacing w:after="0"/>
              <w:jc w:val="center"/>
              <w:rPr>
                <w:rFonts w:ascii="Times New Roman" w:hAnsi="Times New Roman" w:eastAsia="宋体" w:cs="Times New Roman"/>
                <w:sz w:val="18"/>
                <w:szCs w:val="18"/>
              </w:rPr>
            </w:pPr>
          </w:p>
        </w:tc>
        <w:tc>
          <w:tcPr>
            <w:tcW w:w="515" w:type="pct"/>
            <w:vAlign w:val="center"/>
          </w:tcPr>
          <w:p w14:paraId="48766289">
            <w:pPr>
              <w:pStyle w:val="9"/>
              <w:spacing w:after="0"/>
              <w:jc w:val="center"/>
              <w:rPr>
                <w:rFonts w:ascii="Times New Roman" w:hAnsi="Times New Roman" w:eastAsia="宋体" w:cs="Times New Roman"/>
                <w:sz w:val="18"/>
                <w:szCs w:val="18"/>
              </w:rPr>
            </w:pPr>
          </w:p>
        </w:tc>
        <w:tc>
          <w:tcPr>
            <w:tcW w:w="814" w:type="pct"/>
            <w:vAlign w:val="center"/>
          </w:tcPr>
          <w:p w14:paraId="66A571EB">
            <w:pPr>
              <w:pStyle w:val="9"/>
              <w:spacing w:after="0"/>
              <w:jc w:val="center"/>
              <w:rPr>
                <w:rFonts w:ascii="Times New Roman" w:hAnsi="Times New Roman" w:eastAsia="宋体" w:cs="Times New Roman"/>
                <w:sz w:val="18"/>
                <w:szCs w:val="18"/>
              </w:rPr>
            </w:pPr>
          </w:p>
        </w:tc>
      </w:tr>
      <w:tr w14:paraId="10AF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continue"/>
            <w:vAlign w:val="center"/>
          </w:tcPr>
          <w:p w14:paraId="09DBC251">
            <w:pPr>
              <w:jc w:val="center"/>
              <w:rPr>
                <w:rFonts w:ascii="Times New Roman" w:hAnsi="Times New Roman" w:eastAsia="宋体" w:cs="Times New Roman"/>
                <w:sz w:val="18"/>
                <w:szCs w:val="18"/>
              </w:rPr>
            </w:pPr>
          </w:p>
        </w:tc>
        <w:tc>
          <w:tcPr>
            <w:tcW w:w="513" w:type="pct"/>
            <w:vMerge w:val="continue"/>
            <w:vAlign w:val="center"/>
          </w:tcPr>
          <w:p w14:paraId="04CE07FE">
            <w:pPr>
              <w:jc w:val="center"/>
              <w:rPr>
                <w:rFonts w:ascii="Times New Roman" w:hAnsi="Times New Roman" w:eastAsia="宋体" w:cs="Times New Roman"/>
                <w:sz w:val="18"/>
                <w:szCs w:val="18"/>
              </w:rPr>
            </w:pPr>
          </w:p>
        </w:tc>
        <w:tc>
          <w:tcPr>
            <w:tcW w:w="1534" w:type="pct"/>
            <w:vAlign w:val="center"/>
          </w:tcPr>
          <w:p w14:paraId="45A48312">
            <w:pPr>
              <w:pStyle w:val="9"/>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514" w:type="pct"/>
            <w:vAlign w:val="center"/>
          </w:tcPr>
          <w:p w14:paraId="1B435ECD">
            <w:pPr>
              <w:pStyle w:val="9"/>
              <w:spacing w:after="0"/>
              <w:jc w:val="center"/>
              <w:rPr>
                <w:rFonts w:ascii="Times New Roman" w:hAnsi="Times New Roman" w:eastAsia="宋体" w:cs="Times New Roman"/>
                <w:sz w:val="18"/>
                <w:szCs w:val="18"/>
              </w:rPr>
            </w:pPr>
          </w:p>
        </w:tc>
        <w:tc>
          <w:tcPr>
            <w:tcW w:w="683" w:type="pct"/>
            <w:vAlign w:val="center"/>
          </w:tcPr>
          <w:p w14:paraId="5DAD00C8">
            <w:pPr>
              <w:pStyle w:val="9"/>
              <w:spacing w:after="0"/>
              <w:jc w:val="center"/>
              <w:rPr>
                <w:rFonts w:ascii="Times New Roman" w:hAnsi="Times New Roman" w:eastAsia="宋体" w:cs="Times New Roman"/>
                <w:sz w:val="18"/>
                <w:szCs w:val="18"/>
              </w:rPr>
            </w:pPr>
          </w:p>
        </w:tc>
        <w:tc>
          <w:tcPr>
            <w:tcW w:w="515" w:type="pct"/>
            <w:vAlign w:val="center"/>
          </w:tcPr>
          <w:p w14:paraId="13533C1C">
            <w:pPr>
              <w:pStyle w:val="9"/>
              <w:spacing w:after="0"/>
              <w:jc w:val="center"/>
              <w:rPr>
                <w:rFonts w:ascii="Times New Roman" w:hAnsi="Times New Roman" w:eastAsia="宋体" w:cs="Times New Roman"/>
                <w:sz w:val="18"/>
                <w:szCs w:val="18"/>
              </w:rPr>
            </w:pPr>
          </w:p>
        </w:tc>
        <w:tc>
          <w:tcPr>
            <w:tcW w:w="814" w:type="pct"/>
            <w:vAlign w:val="center"/>
          </w:tcPr>
          <w:p w14:paraId="7420C46D">
            <w:pPr>
              <w:pStyle w:val="9"/>
              <w:spacing w:after="0"/>
              <w:jc w:val="center"/>
              <w:rPr>
                <w:rFonts w:ascii="Times New Roman" w:hAnsi="Times New Roman" w:eastAsia="宋体" w:cs="Times New Roman"/>
                <w:sz w:val="18"/>
                <w:szCs w:val="18"/>
              </w:rPr>
            </w:pPr>
          </w:p>
        </w:tc>
      </w:tr>
      <w:tr w14:paraId="48D8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restart"/>
            <w:vAlign w:val="center"/>
          </w:tcPr>
          <w:p w14:paraId="3978A267">
            <w:pPr>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513" w:type="pct"/>
            <w:vMerge w:val="restart"/>
            <w:vAlign w:val="center"/>
          </w:tcPr>
          <w:p w14:paraId="4B65B12A">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生产</w:t>
            </w:r>
          </w:p>
          <w:p w14:paraId="611F3DFA">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保障</w:t>
            </w:r>
          </w:p>
        </w:tc>
        <w:tc>
          <w:tcPr>
            <w:tcW w:w="1534" w:type="pct"/>
            <w:vAlign w:val="center"/>
          </w:tcPr>
          <w:p w14:paraId="5D922096">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综合楼</w:t>
            </w:r>
          </w:p>
        </w:tc>
        <w:tc>
          <w:tcPr>
            <w:tcW w:w="514" w:type="pct"/>
            <w:vAlign w:val="center"/>
          </w:tcPr>
          <w:p w14:paraId="3354FFE0">
            <w:pPr>
              <w:pStyle w:val="9"/>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2</w:t>
            </w:r>
          </w:p>
        </w:tc>
        <w:tc>
          <w:tcPr>
            <w:tcW w:w="683" w:type="pct"/>
            <w:vAlign w:val="center"/>
          </w:tcPr>
          <w:p w14:paraId="1B12479A">
            <w:pPr>
              <w:pStyle w:val="9"/>
              <w:spacing w:after="0"/>
              <w:jc w:val="center"/>
              <w:rPr>
                <w:rFonts w:ascii="Times New Roman" w:hAnsi="Times New Roman" w:eastAsia="宋体" w:cs="Times New Roman"/>
                <w:sz w:val="18"/>
                <w:szCs w:val="18"/>
              </w:rPr>
            </w:pPr>
          </w:p>
        </w:tc>
        <w:tc>
          <w:tcPr>
            <w:tcW w:w="515" w:type="pct"/>
            <w:vAlign w:val="center"/>
          </w:tcPr>
          <w:p w14:paraId="133B93C2">
            <w:pPr>
              <w:pStyle w:val="9"/>
              <w:spacing w:after="0"/>
              <w:jc w:val="center"/>
              <w:rPr>
                <w:rFonts w:ascii="Times New Roman" w:hAnsi="Times New Roman" w:eastAsia="宋体" w:cs="Times New Roman"/>
                <w:sz w:val="18"/>
                <w:szCs w:val="18"/>
              </w:rPr>
            </w:pPr>
          </w:p>
        </w:tc>
        <w:tc>
          <w:tcPr>
            <w:tcW w:w="814" w:type="pct"/>
            <w:vAlign w:val="center"/>
          </w:tcPr>
          <w:p w14:paraId="0F85DE74">
            <w:pPr>
              <w:pStyle w:val="9"/>
              <w:spacing w:after="0"/>
              <w:jc w:val="center"/>
              <w:rPr>
                <w:rFonts w:ascii="Times New Roman" w:hAnsi="Times New Roman" w:eastAsia="宋体" w:cs="Times New Roman"/>
                <w:sz w:val="18"/>
                <w:szCs w:val="18"/>
              </w:rPr>
            </w:pPr>
          </w:p>
        </w:tc>
      </w:tr>
      <w:tr w14:paraId="2DAA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continue"/>
            <w:vAlign w:val="center"/>
          </w:tcPr>
          <w:p w14:paraId="04E0CB2B">
            <w:pPr>
              <w:jc w:val="center"/>
              <w:rPr>
                <w:rFonts w:ascii="Times New Roman" w:hAnsi="Times New Roman" w:eastAsia="宋体" w:cs="Times New Roman"/>
                <w:sz w:val="18"/>
                <w:szCs w:val="18"/>
              </w:rPr>
            </w:pPr>
          </w:p>
        </w:tc>
        <w:tc>
          <w:tcPr>
            <w:tcW w:w="513" w:type="pct"/>
            <w:vMerge w:val="continue"/>
            <w:vAlign w:val="center"/>
          </w:tcPr>
          <w:p w14:paraId="418E9FD4">
            <w:pPr>
              <w:jc w:val="center"/>
              <w:rPr>
                <w:rFonts w:ascii="Times New Roman" w:hAnsi="Times New Roman" w:eastAsia="宋体" w:cs="Times New Roman"/>
                <w:sz w:val="18"/>
                <w:szCs w:val="18"/>
              </w:rPr>
            </w:pPr>
          </w:p>
        </w:tc>
        <w:tc>
          <w:tcPr>
            <w:tcW w:w="1534" w:type="pct"/>
            <w:vAlign w:val="center"/>
          </w:tcPr>
          <w:p w14:paraId="4AD5E23E">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公寓</w:t>
            </w:r>
          </w:p>
        </w:tc>
        <w:tc>
          <w:tcPr>
            <w:tcW w:w="514" w:type="pct"/>
            <w:vAlign w:val="center"/>
          </w:tcPr>
          <w:p w14:paraId="3D752F76">
            <w:pPr>
              <w:pStyle w:val="9"/>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2</w:t>
            </w:r>
          </w:p>
        </w:tc>
        <w:tc>
          <w:tcPr>
            <w:tcW w:w="683" w:type="pct"/>
            <w:vAlign w:val="center"/>
          </w:tcPr>
          <w:p w14:paraId="52BA8D25">
            <w:pPr>
              <w:pStyle w:val="9"/>
              <w:spacing w:after="0"/>
              <w:jc w:val="center"/>
              <w:rPr>
                <w:rFonts w:ascii="Times New Roman" w:hAnsi="Times New Roman" w:eastAsia="宋体" w:cs="Times New Roman"/>
                <w:sz w:val="18"/>
                <w:szCs w:val="18"/>
              </w:rPr>
            </w:pPr>
          </w:p>
        </w:tc>
        <w:tc>
          <w:tcPr>
            <w:tcW w:w="515" w:type="pct"/>
            <w:vAlign w:val="center"/>
          </w:tcPr>
          <w:p w14:paraId="0246A6CD">
            <w:pPr>
              <w:pStyle w:val="9"/>
              <w:spacing w:after="0"/>
              <w:jc w:val="center"/>
              <w:rPr>
                <w:rFonts w:ascii="Times New Roman" w:hAnsi="Times New Roman" w:eastAsia="宋体" w:cs="Times New Roman"/>
                <w:sz w:val="18"/>
                <w:szCs w:val="18"/>
              </w:rPr>
            </w:pPr>
          </w:p>
        </w:tc>
        <w:tc>
          <w:tcPr>
            <w:tcW w:w="814" w:type="pct"/>
            <w:vAlign w:val="center"/>
          </w:tcPr>
          <w:p w14:paraId="1319C60A">
            <w:pPr>
              <w:pStyle w:val="9"/>
              <w:spacing w:after="0"/>
              <w:jc w:val="center"/>
              <w:rPr>
                <w:rFonts w:ascii="Times New Roman" w:hAnsi="Times New Roman" w:eastAsia="宋体" w:cs="Times New Roman"/>
                <w:sz w:val="18"/>
                <w:szCs w:val="18"/>
              </w:rPr>
            </w:pPr>
          </w:p>
        </w:tc>
      </w:tr>
      <w:tr w14:paraId="2879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Merge w:val="continue"/>
            <w:vAlign w:val="center"/>
          </w:tcPr>
          <w:p w14:paraId="416E01E8">
            <w:pPr>
              <w:jc w:val="center"/>
              <w:rPr>
                <w:rFonts w:ascii="Times New Roman" w:hAnsi="Times New Roman" w:eastAsia="宋体" w:cs="Times New Roman"/>
                <w:sz w:val="18"/>
                <w:szCs w:val="18"/>
              </w:rPr>
            </w:pPr>
          </w:p>
        </w:tc>
        <w:tc>
          <w:tcPr>
            <w:tcW w:w="513" w:type="pct"/>
            <w:vMerge w:val="continue"/>
            <w:vAlign w:val="center"/>
          </w:tcPr>
          <w:p w14:paraId="47FDA691">
            <w:pPr>
              <w:jc w:val="center"/>
              <w:rPr>
                <w:rFonts w:ascii="Times New Roman" w:hAnsi="Times New Roman" w:eastAsia="宋体" w:cs="Times New Roman"/>
                <w:sz w:val="18"/>
                <w:szCs w:val="18"/>
              </w:rPr>
            </w:pPr>
          </w:p>
        </w:tc>
        <w:tc>
          <w:tcPr>
            <w:tcW w:w="1534" w:type="pct"/>
            <w:vAlign w:val="center"/>
          </w:tcPr>
          <w:p w14:paraId="45B45FAD">
            <w:pPr>
              <w:pStyle w:val="9"/>
              <w:spacing w:after="0"/>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514" w:type="pct"/>
            <w:vAlign w:val="center"/>
          </w:tcPr>
          <w:p w14:paraId="0620B0FA">
            <w:pPr>
              <w:pStyle w:val="9"/>
              <w:spacing w:after="0"/>
              <w:jc w:val="center"/>
              <w:rPr>
                <w:rFonts w:ascii="Times New Roman" w:hAnsi="Times New Roman" w:eastAsia="宋体" w:cs="Times New Roman"/>
                <w:sz w:val="18"/>
                <w:szCs w:val="18"/>
              </w:rPr>
            </w:pPr>
          </w:p>
        </w:tc>
        <w:tc>
          <w:tcPr>
            <w:tcW w:w="683" w:type="pct"/>
            <w:vAlign w:val="center"/>
          </w:tcPr>
          <w:p w14:paraId="7912411A">
            <w:pPr>
              <w:pStyle w:val="9"/>
              <w:spacing w:after="0"/>
              <w:jc w:val="center"/>
              <w:rPr>
                <w:rFonts w:ascii="Times New Roman" w:hAnsi="Times New Roman" w:eastAsia="宋体" w:cs="Times New Roman"/>
                <w:sz w:val="18"/>
                <w:szCs w:val="18"/>
              </w:rPr>
            </w:pPr>
          </w:p>
        </w:tc>
        <w:tc>
          <w:tcPr>
            <w:tcW w:w="515" w:type="pct"/>
            <w:vAlign w:val="center"/>
          </w:tcPr>
          <w:p w14:paraId="4B3B6ABC">
            <w:pPr>
              <w:pStyle w:val="9"/>
              <w:spacing w:after="0"/>
              <w:jc w:val="center"/>
              <w:rPr>
                <w:rFonts w:ascii="Times New Roman" w:hAnsi="Times New Roman" w:eastAsia="宋体" w:cs="Times New Roman"/>
                <w:sz w:val="18"/>
                <w:szCs w:val="18"/>
              </w:rPr>
            </w:pPr>
          </w:p>
        </w:tc>
        <w:tc>
          <w:tcPr>
            <w:tcW w:w="814" w:type="pct"/>
            <w:vAlign w:val="center"/>
          </w:tcPr>
          <w:p w14:paraId="7A31BB70">
            <w:pPr>
              <w:pStyle w:val="9"/>
              <w:spacing w:after="0"/>
              <w:jc w:val="center"/>
              <w:rPr>
                <w:rFonts w:ascii="Times New Roman" w:hAnsi="Times New Roman" w:eastAsia="宋体" w:cs="Times New Roman"/>
                <w:sz w:val="18"/>
                <w:szCs w:val="18"/>
              </w:rPr>
            </w:pPr>
          </w:p>
        </w:tc>
      </w:tr>
      <w:tr w14:paraId="6E3B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27" w:type="pct"/>
            <w:vAlign w:val="center"/>
          </w:tcPr>
          <w:p w14:paraId="66E59F90">
            <w:pPr>
              <w:jc w:val="center"/>
              <w:rPr>
                <w:rFonts w:ascii="Times New Roman" w:hAnsi="Times New Roman" w:eastAsia="宋体" w:cs="Times New Roman"/>
                <w:sz w:val="18"/>
                <w:szCs w:val="18"/>
              </w:rPr>
            </w:pPr>
            <w:r>
              <w:rPr>
                <w:rFonts w:ascii="Times New Roman" w:hAnsi="Times New Roman" w:eastAsia="宋体" w:cs="Times New Roman"/>
                <w:sz w:val="18"/>
                <w:szCs w:val="18"/>
              </w:rPr>
              <w:t>6</w:t>
            </w:r>
          </w:p>
        </w:tc>
        <w:tc>
          <w:tcPr>
            <w:tcW w:w="4573" w:type="pct"/>
            <w:gridSpan w:val="6"/>
            <w:vAlign w:val="center"/>
          </w:tcPr>
          <w:p w14:paraId="3176B0C4">
            <w:pPr>
              <w:pStyle w:val="9"/>
              <w:spacing w:after="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与上述设施相配套的自控仪表、防腐、供配电、通信、消防、道路等公辅工程。</w:t>
            </w:r>
          </w:p>
        </w:tc>
      </w:tr>
    </w:tbl>
    <w:p w14:paraId="19507232">
      <w:pPr>
        <w:numPr>
          <w:ilvl w:val="255"/>
          <w:numId w:val="0"/>
        </w:numPr>
        <w:spacing w:line="240" w:lineRule="auto"/>
        <w:jc w:val="center"/>
        <w:rPr>
          <w:rFonts w:ascii="Times New Roman" w:eastAsiaTheme="minorEastAsia"/>
        </w:rPr>
      </w:pPr>
    </w:p>
    <w:p w14:paraId="6037E26A">
      <w:pPr>
        <w:numPr>
          <w:ilvl w:val="255"/>
          <w:numId w:val="0"/>
        </w:numPr>
        <w:spacing w:line="240" w:lineRule="auto"/>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.11  </w:t>
      </w:r>
      <w:r>
        <w:rPr>
          <w:rFonts w:hint="eastAsia" w:ascii="Times New Roman" w:hAnsi="Times New Roman" w:eastAsia="黑体" w:cs="Times New Roman"/>
          <w:snapToGrid w:val="0"/>
          <w:kern w:val="0"/>
          <w:sz w:val="18"/>
          <w:szCs w:val="18"/>
        </w:rPr>
        <w:t>主要工艺设备汇总表</w:t>
      </w:r>
    </w:p>
    <w:tbl>
      <w:tblPr>
        <w:tblStyle w:val="25"/>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1031"/>
        <w:gridCol w:w="1315"/>
        <w:gridCol w:w="1779"/>
        <w:gridCol w:w="879"/>
        <w:gridCol w:w="1214"/>
        <w:gridCol w:w="1223"/>
        <w:gridCol w:w="1434"/>
      </w:tblGrid>
      <w:tr w14:paraId="5E107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465" w:hRule="atLeast"/>
          <w:jc w:val="center"/>
        </w:trPr>
        <w:tc>
          <w:tcPr>
            <w:tcW w:w="581" w:type="pct"/>
            <w:vAlign w:val="center"/>
          </w:tcPr>
          <w:p w14:paraId="520E730E">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序号</w:t>
            </w:r>
          </w:p>
        </w:tc>
        <w:tc>
          <w:tcPr>
            <w:tcW w:w="741" w:type="pct"/>
            <w:vAlign w:val="center"/>
          </w:tcPr>
          <w:p w14:paraId="19061DBF">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设备名称</w:t>
            </w:r>
          </w:p>
        </w:tc>
        <w:tc>
          <w:tcPr>
            <w:tcW w:w="1002" w:type="pct"/>
            <w:vAlign w:val="center"/>
          </w:tcPr>
          <w:p w14:paraId="0A0BF598">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规格型号</w:t>
            </w:r>
          </w:p>
        </w:tc>
        <w:tc>
          <w:tcPr>
            <w:tcW w:w="495" w:type="pct"/>
            <w:vAlign w:val="center"/>
          </w:tcPr>
          <w:p w14:paraId="5C7E8B29">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数量</w:t>
            </w:r>
          </w:p>
        </w:tc>
        <w:tc>
          <w:tcPr>
            <w:tcW w:w="684" w:type="pct"/>
            <w:vAlign w:val="center"/>
          </w:tcPr>
          <w:p w14:paraId="74328523">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设计参数</w:t>
            </w:r>
          </w:p>
        </w:tc>
        <w:tc>
          <w:tcPr>
            <w:tcW w:w="689" w:type="pct"/>
            <w:vAlign w:val="center"/>
          </w:tcPr>
          <w:p w14:paraId="26AC33B4">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主要介质</w:t>
            </w:r>
          </w:p>
        </w:tc>
        <w:tc>
          <w:tcPr>
            <w:tcW w:w="809" w:type="pct"/>
            <w:vAlign w:val="center"/>
          </w:tcPr>
          <w:p w14:paraId="6294C6FE">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主体材质</w:t>
            </w:r>
          </w:p>
        </w:tc>
      </w:tr>
      <w:tr w14:paraId="4472F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56" w:hRule="atLeast"/>
          <w:jc w:val="center"/>
        </w:trPr>
        <w:tc>
          <w:tcPr>
            <w:tcW w:w="581" w:type="pct"/>
          </w:tcPr>
          <w:p w14:paraId="16EFB88E">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一</w:t>
            </w:r>
          </w:p>
        </w:tc>
        <w:tc>
          <w:tcPr>
            <w:tcW w:w="4419" w:type="pct"/>
            <w:gridSpan w:val="6"/>
          </w:tcPr>
          <w:p w14:paraId="46395788">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XX井场</w:t>
            </w:r>
          </w:p>
        </w:tc>
      </w:tr>
      <w:tr w14:paraId="66A52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31" w:hRule="atLeast"/>
          <w:jc w:val="center"/>
        </w:trPr>
        <w:tc>
          <w:tcPr>
            <w:tcW w:w="581" w:type="pct"/>
          </w:tcPr>
          <w:p w14:paraId="2E5AA811">
            <w:pPr>
              <w:adjustRightInd w:val="0"/>
              <w:snapToGrid w:val="0"/>
              <w:spacing w:before="156" w:beforeLines="5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741" w:type="pct"/>
            <w:vAlign w:val="center"/>
          </w:tcPr>
          <w:p w14:paraId="049674F2">
            <w:pPr>
              <w:adjustRightInd w:val="0"/>
              <w:snapToGrid w:val="0"/>
              <w:spacing w:before="156" w:beforeLines="50" w:line="240" w:lineRule="auto"/>
              <w:jc w:val="center"/>
              <w:rPr>
                <w:rFonts w:ascii="Times New Roman" w:hAnsi="Times New Roman" w:eastAsia="宋体" w:cs="Times New Roman"/>
                <w:sz w:val="18"/>
                <w:szCs w:val="18"/>
              </w:rPr>
            </w:pPr>
          </w:p>
        </w:tc>
        <w:tc>
          <w:tcPr>
            <w:tcW w:w="1002" w:type="pct"/>
            <w:vAlign w:val="center"/>
          </w:tcPr>
          <w:p w14:paraId="69F406B7">
            <w:pPr>
              <w:adjustRightInd w:val="0"/>
              <w:snapToGrid w:val="0"/>
              <w:spacing w:before="156" w:beforeLines="50" w:line="240" w:lineRule="auto"/>
              <w:jc w:val="center"/>
              <w:rPr>
                <w:rFonts w:ascii="Times New Roman" w:hAnsi="Times New Roman" w:eastAsia="宋体" w:cs="Times New Roman"/>
                <w:sz w:val="18"/>
                <w:szCs w:val="18"/>
              </w:rPr>
            </w:pPr>
          </w:p>
        </w:tc>
        <w:tc>
          <w:tcPr>
            <w:tcW w:w="495" w:type="pct"/>
          </w:tcPr>
          <w:p w14:paraId="3A6ECA8F">
            <w:pPr>
              <w:adjustRightInd w:val="0"/>
              <w:snapToGrid w:val="0"/>
              <w:spacing w:before="156" w:beforeLines="50" w:line="240" w:lineRule="auto"/>
              <w:jc w:val="center"/>
              <w:rPr>
                <w:rFonts w:ascii="Times New Roman" w:hAnsi="Times New Roman" w:eastAsia="宋体" w:cs="Times New Roman"/>
                <w:sz w:val="18"/>
                <w:szCs w:val="18"/>
              </w:rPr>
            </w:pPr>
          </w:p>
        </w:tc>
        <w:tc>
          <w:tcPr>
            <w:tcW w:w="684" w:type="pct"/>
          </w:tcPr>
          <w:p w14:paraId="649A0828">
            <w:pPr>
              <w:adjustRightInd w:val="0"/>
              <w:snapToGrid w:val="0"/>
              <w:spacing w:before="156" w:beforeLines="50" w:line="240" w:lineRule="auto"/>
              <w:jc w:val="center"/>
              <w:rPr>
                <w:rFonts w:ascii="Times New Roman" w:hAnsi="Times New Roman" w:eastAsia="宋体" w:cs="Times New Roman"/>
                <w:sz w:val="18"/>
                <w:szCs w:val="18"/>
              </w:rPr>
            </w:pPr>
          </w:p>
        </w:tc>
        <w:tc>
          <w:tcPr>
            <w:tcW w:w="689" w:type="pct"/>
          </w:tcPr>
          <w:p w14:paraId="16B074D0">
            <w:pPr>
              <w:adjustRightInd w:val="0"/>
              <w:snapToGrid w:val="0"/>
              <w:spacing w:before="156" w:beforeLines="50" w:line="240" w:lineRule="auto"/>
              <w:jc w:val="center"/>
              <w:rPr>
                <w:rFonts w:ascii="Times New Roman" w:hAnsi="Times New Roman" w:eastAsia="宋体" w:cs="Times New Roman"/>
                <w:sz w:val="18"/>
                <w:szCs w:val="18"/>
              </w:rPr>
            </w:pPr>
          </w:p>
        </w:tc>
        <w:tc>
          <w:tcPr>
            <w:tcW w:w="809" w:type="pct"/>
            <w:vAlign w:val="center"/>
          </w:tcPr>
          <w:p w14:paraId="6575A5E4">
            <w:pPr>
              <w:adjustRightInd w:val="0"/>
              <w:snapToGrid w:val="0"/>
              <w:spacing w:before="156" w:beforeLines="50" w:line="240" w:lineRule="auto"/>
              <w:jc w:val="center"/>
              <w:rPr>
                <w:rFonts w:ascii="Times New Roman" w:hAnsi="Times New Roman" w:eastAsia="宋体" w:cs="Times New Roman"/>
                <w:sz w:val="18"/>
                <w:szCs w:val="18"/>
              </w:rPr>
            </w:pPr>
          </w:p>
        </w:tc>
      </w:tr>
      <w:tr w14:paraId="434C6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31" w:hRule="atLeast"/>
          <w:jc w:val="center"/>
        </w:trPr>
        <w:tc>
          <w:tcPr>
            <w:tcW w:w="581" w:type="pct"/>
          </w:tcPr>
          <w:p w14:paraId="341B0679">
            <w:pPr>
              <w:adjustRightInd w:val="0"/>
              <w:snapToGrid w:val="0"/>
              <w:spacing w:before="156" w:beforeLines="5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741" w:type="pct"/>
            <w:vAlign w:val="center"/>
          </w:tcPr>
          <w:p w14:paraId="2E270B44">
            <w:pPr>
              <w:adjustRightInd w:val="0"/>
              <w:snapToGrid w:val="0"/>
              <w:spacing w:before="156" w:beforeLines="50" w:line="240" w:lineRule="auto"/>
              <w:jc w:val="center"/>
              <w:rPr>
                <w:rFonts w:ascii="Times New Roman" w:hAnsi="Times New Roman" w:eastAsia="宋体" w:cs="Times New Roman"/>
                <w:sz w:val="18"/>
                <w:szCs w:val="18"/>
              </w:rPr>
            </w:pPr>
          </w:p>
        </w:tc>
        <w:tc>
          <w:tcPr>
            <w:tcW w:w="1002" w:type="pct"/>
            <w:vAlign w:val="center"/>
          </w:tcPr>
          <w:p w14:paraId="06868B80">
            <w:pPr>
              <w:adjustRightInd w:val="0"/>
              <w:snapToGrid w:val="0"/>
              <w:spacing w:before="156" w:beforeLines="50" w:line="240" w:lineRule="auto"/>
              <w:jc w:val="center"/>
              <w:rPr>
                <w:rFonts w:ascii="Times New Roman" w:hAnsi="Times New Roman" w:eastAsia="宋体" w:cs="Times New Roman"/>
                <w:sz w:val="18"/>
                <w:szCs w:val="18"/>
              </w:rPr>
            </w:pPr>
          </w:p>
        </w:tc>
        <w:tc>
          <w:tcPr>
            <w:tcW w:w="495" w:type="pct"/>
          </w:tcPr>
          <w:p w14:paraId="7DA76391">
            <w:pPr>
              <w:adjustRightInd w:val="0"/>
              <w:snapToGrid w:val="0"/>
              <w:spacing w:before="156" w:beforeLines="50" w:line="240" w:lineRule="auto"/>
              <w:jc w:val="center"/>
              <w:rPr>
                <w:rFonts w:ascii="Times New Roman" w:hAnsi="Times New Roman" w:eastAsia="宋体" w:cs="Times New Roman"/>
                <w:sz w:val="18"/>
                <w:szCs w:val="18"/>
              </w:rPr>
            </w:pPr>
          </w:p>
        </w:tc>
        <w:tc>
          <w:tcPr>
            <w:tcW w:w="684" w:type="pct"/>
          </w:tcPr>
          <w:p w14:paraId="0294793C">
            <w:pPr>
              <w:adjustRightInd w:val="0"/>
              <w:snapToGrid w:val="0"/>
              <w:spacing w:before="156" w:beforeLines="50" w:line="240" w:lineRule="auto"/>
              <w:jc w:val="center"/>
              <w:rPr>
                <w:rFonts w:ascii="Times New Roman" w:hAnsi="Times New Roman" w:eastAsia="宋体" w:cs="Times New Roman"/>
                <w:sz w:val="18"/>
                <w:szCs w:val="18"/>
              </w:rPr>
            </w:pPr>
          </w:p>
        </w:tc>
        <w:tc>
          <w:tcPr>
            <w:tcW w:w="689" w:type="pct"/>
          </w:tcPr>
          <w:p w14:paraId="09D4182F">
            <w:pPr>
              <w:adjustRightInd w:val="0"/>
              <w:snapToGrid w:val="0"/>
              <w:spacing w:before="156" w:beforeLines="50" w:line="240" w:lineRule="auto"/>
              <w:jc w:val="center"/>
              <w:rPr>
                <w:rFonts w:ascii="Times New Roman" w:hAnsi="Times New Roman" w:eastAsia="宋体" w:cs="Times New Roman"/>
                <w:sz w:val="18"/>
                <w:szCs w:val="18"/>
              </w:rPr>
            </w:pPr>
          </w:p>
        </w:tc>
        <w:tc>
          <w:tcPr>
            <w:tcW w:w="809" w:type="pct"/>
            <w:vAlign w:val="center"/>
          </w:tcPr>
          <w:p w14:paraId="23A0EBDD">
            <w:pPr>
              <w:adjustRightInd w:val="0"/>
              <w:snapToGrid w:val="0"/>
              <w:spacing w:before="156" w:beforeLines="50" w:line="240" w:lineRule="auto"/>
              <w:jc w:val="center"/>
              <w:rPr>
                <w:rFonts w:ascii="Times New Roman" w:hAnsi="Times New Roman" w:eastAsia="宋体" w:cs="Times New Roman"/>
                <w:sz w:val="18"/>
                <w:szCs w:val="18"/>
              </w:rPr>
            </w:pPr>
          </w:p>
        </w:tc>
      </w:tr>
      <w:tr w14:paraId="31EFD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56" w:hRule="atLeast"/>
          <w:jc w:val="center"/>
        </w:trPr>
        <w:tc>
          <w:tcPr>
            <w:tcW w:w="581" w:type="pct"/>
          </w:tcPr>
          <w:p w14:paraId="6CCF2CE0">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二</w:t>
            </w:r>
          </w:p>
        </w:tc>
        <w:tc>
          <w:tcPr>
            <w:tcW w:w="4419" w:type="pct"/>
            <w:gridSpan w:val="6"/>
          </w:tcPr>
          <w:p w14:paraId="34280DB5">
            <w:pPr>
              <w:adjustRightInd w:val="0"/>
              <w:snapToGrid w:val="0"/>
              <w:spacing w:before="156" w:beforeLines="50" w:line="24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XX集注站</w:t>
            </w:r>
          </w:p>
        </w:tc>
      </w:tr>
      <w:tr w14:paraId="205DF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37" w:hRule="atLeast"/>
          <w:jc w:val="center"/>
        </w:trPr>
        <w:tc>
          <w:tcPr>
            <w:tcW w:w="581" w:type="pct"/>
          </w:tcPr>
          <w:p w14:paraId="25FFA0DE">
            <w:pPr>
              <w:adjustRightInd w:val="0"/>
              <w:snapToGrid w:val="0"/>
              <w:spacing w:before="156" w:beforeLines="5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741" w:type="pct"/>
            <w:vAlign w:val="center"/>
          </w:tcPr>
          <w:p w14:paraId="22F571DF">
            <w:pPr>
              <w:adjustRightInd w:val="0"/>
              <w:snapToGrid w:val="0"/>
              <w:spacing w:before="156" w:beforeLines="50" w:line="240" w:lineRule="auto"/>
              <w:jc w:val="center"/>
              <w:rPr>
                <w:rFonts w:ascii="Times New Roman" w:hAnsi="Times New Roman" w:eastAsia="宋体" w:cs="Times New Roman"/>
                <w:sz w:val="18"/>
                <w:szCs w:val="18"/>
              </w:rPr>
            </w:pPr>
          </w:p>
        </w:tc>
        <w:tc>
          <w:tcPr>
            <w:tcW w:w="1002" w:type="pct"/>
            <w:vAlign w:val="center"/>
          </w:tcPr>
          <w:p w14:paraId="15316F30">
            <w:pPr>
              <w:adjustRightInd w:val="0"/>
              <w:snapToGrid w:val="0"/>
              <w:spacing w:before="156" w:beforeLines="50" w:line="240" w:lineRule="auto"/>
              <w:jc w:val="center"/>
              <w:rPr>
                <w:rFonts w:ascii="Times New Roman" w:hAnsi="Times New Roman" w:eastAsia="宋体" w:cs="Times New Roman"/>
                <w:sz w:val="18"/>
                <w:szCs w:val="18"/>
              </w:rPr>
            </w:pPr>
          </w:p>
        </w:tc>
        <w:tc>
          <w:tcPr>
            <w:tcW w:w="495" w:type="pct"/>
          </w:tcPr>
          <w:p w14:paraId="181A15A4">
            <w:pPr>
              <w:adjustRightInd w:val="0"/>
              <w:snapToGrid w:val="0"/>
              <w:spacing w:before="156" w:beforeLines="50" w:line="240" w:lineRule="auto"/>
              <w:jc w:val="center"/>
              <w:rPr>
                <w:rFonts w:ascii="Times New Roman" w:hAnsi="Times New Roman" w:eastAsia="宋体" w:cs="Times New Roman"/>
                <w:sz w:val="18"/>
                <w:szCs w:val="18"/>
              </w:rPr>
            </w:pPr>
          </w:p>
        </w:tc>
        <w:tc>
          <w:tcPr>
            <w:tcW w:w="684" w:type="pct"/>
          </w:tcPr>
          <w:p w14:paraId="348D9DBB">
            <w:pPr>
              <w:adjustRightInd w:val="0"/>
              <w:snapToGrid w:val="0"/>
              <w:spacing w:before="156" w:beforeLines="50" w:line="240" w:lineRule="auto"/>
              <w:jc w:val="center"/>
              <w:rPr>
                <w:rFonts w:ascii="Times New Roman" w:hAnsi="Times New Roman" w:eastAsia="宋体" w:cs="Times New Roman"/>
                <w:sz w:val="18"/>
                <w:szCs w:val="18"/>
              </w:rPr>
            </w:pPr>
          </w:p>
        </w:tc>
        <w:tc>
          <w:tcPr>
            <w:tcW w:w="689" w:type="pct"/>
          </w:tcPr>
          <w:p w14:paraId="467C5556">
            <w:pPr>
              <w:adjustRightInd w:val="0"/>
              <w:snapToGrid w:val="0"/>
              <w:spacing w:before="156" w:beforeLines="50" w:line="240" w:lineRule="auto"/>
              <w:jc w:val="center"/>
              <w:rPr>
                <w:rFonts w:ascii="Times New Roman" w:hAnsi="Times New Roman" w:eastAsia="宋体" w:cs="Times New Roman"/>
                <w:sz w:val="18"/>
                <w:szCs w:val="18"/>
              </w:rPr>
            </w:pPr>
          </w:p>
        </w:tc>
        <w:tc>
          <w:tcPr>
            <w:tcW w:w="809" w:type="pct"/>
            <w:vAlign w:val="center"/>
          </w:tcPr>
          <w:p w14:paraId="4B83738D">
            <w:pPr>
              <w:adjustRightInd w:val="0"/>
              <w:snapToGrid w:val="0"/>
              <w:spacing w:before="156" w:beforeLines="50" w:line="240" w:lineRule="auto"/>
              <w:jc w:val="center"/>
              <w:rPr>
                <w:rFonts w:ascii="Times New Roman" w:hAnsi="Times New Roman" w:eastAsia="宋体" w:cs="Times New Roman"/>
                <w:sz w:val="18"/>
                <w:szCs w:val="18"/>
              </w:rPr>
            </w:pPr>
          </w:p>
        </w:tc>
      </w:tr>
      <w:tr w14:paraId="3EFF6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31" w:hRule="atLeast"/>
          <w:jc w:val="center"/>
        </w:trPr>
        <w:tc>
          <w:tcPr>
            <w:tcW w:w="581" w:type="pct"/>
          </w:tcPr>
          <w:p w14:paraId="2B3A07A8">
            <w:pPr>
              <w:adjustRightInd w:val="0"/>
              <w:snapToGrid w:val="0"/>
              <w:spacing w:before="156" w:beforeLines="50"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741" w:type="pct"/>
            <w:vAlign w:val="center"/>
          </w:tcPr>
          <w:p w14:paraId="1515370A">
            <w:pPr>
              <w:adjustRightInd w:val="0"/>
              <w:snapToGrid w:val="0"/>
              <w:spacing w:before="156" w:beforeLines="50" w:line="240" w:lineRule="auto"/>
              <w:jc w:val="center"/>
              <w:rPr>
                <w:rFonts w:ascii="Times New Roman" w:hAnsi="Times New Roman" w:eastAsia="宋体" w:cs="Times New Roman"/>
                <w:sz w:val="18"/>
                <w:szCs w:val="18"/>
              </w:rPr>
            </w:pPr>
          </w:p>
        </w:tc>
        <w:tc>
          <w:tcPr>
            <w:tcW w:w="1002" w:type="pct"/>
            <w:vAlign w:val="center"/>
          </w:tcPr>
          <w:p w14:paraId="676A09E6">
            <w:pPr>
              <w:adjustRightInd w:val="0"/>
              <w:snapToGrid w:val="0"/>
              <w:spacing w:before="156" w:beforeLines="50" w:line="240" w:lineRule="auto"/>
              <w:jc w:val="center"/>
              <w:rPr>
                <w:rFonts w:ascii="Times New Roman" w:hAnsi="Times New Roman" w:eastAsia="宋体" w:cs="Times New Roman"/>
                <w:sz w:val="18"/>
                <w:szCs w:val="18"/>
              </w:rPr>
            </w:pPr>
          </w:p>
        </w:tc>
        <w:tc>
          <w:tcPr>
            <w:tcW w:w="495" w:type="pct"/>
          </w:tcPr>
          <w:p w14:paraId="77690C24">
            <w:pPr>
              <w:adjustRightInd w:val="0"/>
              <w:snapToGrid w:val="0"/>
              <w:spacing w:before="156" w:beforeLines="50" w:line="240" w:lineRule="auto"/>
              <w:jc w:val="center"/>
              <w:rPr>
                <w:rFonts w:ascii="Times New Roman" w:hAnsi="Times New Roman" w:eastAsia="宋体" w:cs="Times New Roman"/>
                <w:sz w:val="18"/>
                <w:szCs w:val="18"/>
              </w:rPr>
            </w:pPr>
          </w:p>
        </w:tc>
        <w:tc>
          <w:tcPr>
            <w:tcW w:w="684" w:type="pct"/>
          </w:tcPr>
          <w:p w14:paraId="56E98C70">
            <w:pPr>
              <w:adjustRightInd w:val="0"/>
              <w:snapToGrid w:val="0"/>
              <w:spacing w:before="156" w:beforeLines="50" w:line="240" w:lineRule="auto"/>
              <w:jc w:val="center"/>
              <w:rPr>
                <w:rFonts w:ascii="Times New Roman" w:hAnsi="Times New Roman" w:eastAsia="宋体" w:cs="Times New Roman"/>
                <w:sz w:val="18"/>
                <w:szCs w:val="18"/>
              </w:rPr>
            </w:pPr>
          </w:p>
        </w:tc>
        <w:tc>
          <w:tcPr>
            <w:tcW w:w="689" w:type="pct"/>
          </w:tcPr>
          <w:p w14:paraId="61D19012">
            <w:pPr>
              <w:adjustRightInd w:val="0"/>
              <w:snapToGrid w:val="0"/>
              <w:spacing w:before="156" w:beforeLines="50" w:line="240" w:lineRule="auto"/>
              <w:jc w:val="center"/>
              <w:rPr>
                <w:rFonts w:ascii="Times New Roman" w:hAnsi="Times New Roman" w:eastAsia="宋体" w:cs="Times New Roman"/>
                <w:sz w:val="18"/>
                <w:szCs w:val="18"/>
              </w:rPr>
            </w:pPr>
          </w:p>
        </w:tc>
        <w:tc>
          <w:tcPr>
            <w:tcW w:w="809" w:type="pct"/>
            <w:vAlign w:val="center"/>
          </w:tcPr>
          <w:p w14:paraId="07EF5EE0">
            <w:pPr>
              <w:adjustRightInd w:val="0"/>
              <w:snapToGrid w:val="0"/>
              <w:spacing w:before="156" w:beforeLines="50" w:line="240" w:lineRule="auto"/>
              <w:jc w:val="center"/>
              <w:rPr>
                <w:rFonts w:ascii="Times New Roman" w:hAnsi="Times New Roman" w:eastAsia="宋体" w:cs="Times New Roman"/>
                <w:sz w:val="18"/>
                <w:szCs w:val="18"/>
              </w:rPr>
            </w:pPr>
          </w:p>
        </w:tc>
      </w:tr>
    </w:tbl>
    <w:p w14:paraId="499A2C69">
      <w:pPr>
        <w:numPr>
          <w:ilvl w:val="255"/>
          <w:numId w:val="0"/>
        </w:numPr>
        <w:spacing w:line="240" w:lineRule="auto"/>
        <w:jc w:val="center"/>
        <w:rPr>
          <w:rFonts w:ascii="Times New Roman" w:hAnsi="Times New Roman" w:eastAsia="黑体" w:cs="Times New Roman"/>
          <w:snapToGrid w:val="0"/>
          <w:kern w:val="0"/>
          <w:sz w:val="18"/>
          <w:szCs w:val="18"/>
        </w:rPr>
      </w:pPr>
    </w:p>
    <w:p w14:paraId="5E38C48E">
      <w:pPr>
        <w:numPr>
          <w:ilvl w:val="255"/>
          <w:numId w:val="0"/>
        </w:numPr>
        <w:spacing w:line="240" w:lineRule="auto"/>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.12  </w:t>
      </w:r>
      <w:r>
        <w:rPr>
          <w:rFonts w:hint="eastAsia" w:ascii="Times New Roman" w:hAnsi="Times New Roman" w:eastAsia="黑体" w:cs="Times New Roman"/>
          <w:snapToGrid w:val="0"/>
          <w:kern w:val="0"/>
          <w:sz w:val="18"/>
          <w:szCs w:val="18"/>
        </w:rPr>
        <w:t>设计变更情况分析表</w:t>
      </w:r>
    </w:p>
    <w:tbl>
      <w:tblPr>
        <w:tblStyle w:val="2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913"/>
        <w:gridCol w:w="1380"/>
        <w:gridCol w:w="1310"/>
        <w:gridCol w:w="3007"/>
        <w:gridCol w:w="1752"/>
      </w:tblGrid>
      <w:tr w14:paraId="48FF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blHeader/>
          <w:jc w:val="center"/>
        </w:trPr>
        <w:tc>
          <w:tcPr>
            <w:tcW w:w="383" w:type="pct"/>
            <w:tcBorders>
              <w:tl2br w:val="nil"/>
              <w:tr2bl w:val="nil"/>
            </w:tcBorders>
            <w:vAlign w:val="center"/>
          </w:tcPr>
          <w:p w14:paraId="6E7AC655">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序号</w:t>
            </w:r>
          </w:p>
        </w:tc>
        <w:tc>
          <w:tcPr>
            <w:tcW w:w="504" w:type="pct"/>
            <w:tcBorders>
              <w:tl2br w:val="nil"/>
              <w:tr2bl w:val="nil"/>
            </w:tcBorders>
            <w:vAlign w:val="center"/>
          </w:tcPr>
          <w:p w14:paraId="25237377">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变更项</w:t>
            </w:r>
          </w:p>
        </w:tc>
        <w:tc>
          <w:tcPr>
            <w:tcW w:w="762" w:type="pct"/>
            <w:tcBorders>
              <w:tl2br w:val="nil"/>
              <w:tr2bl w:val="nil"/>
            </w:tcBorders>
            <w:vAlign w:val="center"/>
          </w:tcPr>
          <w:p w14:paraId="60B0E364">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变更方案描述</w:t>
            </w:r>
          </w:p>
        </w:tc>
        <w:tc>
          <w:tcPr>
            <w:tcW w:w="723" w:type="pct"/>
            <w:tcBorders>
              <w:tl2br w:val="nil"/>
              <w:tr2bl w:val="nil"/>
            </w:tcBorders>
            <w:vAlign w:val="center"/>
          </w:tcPr>
          <w:p w14:paraId="2B6C6112">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变更原因</w:t>
            </w:r>
          </w:p>
        </w:tc>
        <w:tc>
          <w:tcPr>
            <w:tcW w:w="1660" w:type="pct"/>
            <w:tcBorders>
              <w:tl2br w:val="nil"/>
              <w:tr2bl w:val="nil"/>
            </w:tcBorders>
            <w:vAlign w:val="center"/>
          </w:tcPr>
          <w:p w14:paraId="1A9CD141">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危险有害因素辨识</w:t>
            </w:r>
          </w:p>
        </w:tc>
        <w:tc>
          <w:tcPr>
            <w:tcW w:w="967" w:type="pct"/>
            <w:tcBorders>
              <w:tl2br w:val="nil"/>
              <w:tr2bl w:val="nil"/>
            </w:tcBorders>
            <w:vAlign w:val="center"/>
          </w:tcPr>
          <w:p w14:paraId="4345EF44">
            <w:pPr>
              <w:adjustRightIn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安全措施</w:t>
            </w:r>
          </w:p>
        </w:tc>
      </w:tr>
      <w:tr w14:paraId="7221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83" w:type="pct"/>
            <w:tcBorders>
              <w:tl2br w:val="nil"/>
              <w:tr2bl w:val="nil"/>
            </w:tcBorders>
            <w:vAlign w:val="center"/>
          </w:tcPr>
          <w:p w14:paraId="6C84A100">
            <w:pPr>
              <w:adjustRightInd w:val="0"/>
              <w:jc w:val="center"/>
              <w:rPr>
                <w:rFonts w:ascii="Times New Roman" w:hAnsi="Times New Roman" w:cs="Times New Roman"/>
                <w:sz w:val="18"/>
                <w:szCs w:val="18"/>
              </w:rPr>
            </w:pPr>
            <w:r>
              <w:rPr>
                <w:rFonts w:ascii="Times New Roman" w:hAnsi="Times New Roman" w:eastAsia="宋体" w:cs="Times New Roman"/>
                <w:sz w:val="18"/>
                <w:szCs w:val="18"/>
              </w:rPr>
              <w:t>1</w:t>
            </w:r>
          </w:p>
        </w:tc>
        <w:tc>
          <w:tcPr>
            <w:tcW w:w="504" w:type="pct"/>
            <w:tcBorders>
              <w:tl2br w:val="nil"/>
              <w:tr2bl w:val="nil"/>
            </w:tcBorders>
            <w:vAlign w:val="center"/>
          </w:tcPr>
          <w:p w14:paraId="0CA2E177">
            <w:pPr>
              <w:adjustRightInd w:val="0"/>
              <w:jc w:val="center"/>
              <w:rPr>
                <w:sz w:val="18"/>
                <w:szCs w:val="18"/>
              </w:rPr>
            </w:pPr>
          </w:p>
        </w:tc>
        <w:tc>
          <w:tcPr>
            <w:tcW w:w="762" w:type="pct"/>
            <w:tcBorders>
              <w:tl2br w:val="nil"/>
              <w:tr2bl w:val="nil"/>
            </w:tcBorders>
            <w:vAlign w:val="center"/>
          </w:tcPr>
          <w:p w14:paraId="78A629F5">
            <w:pPr>
              <w:adjustRightInd w:val="0"/>
              <w:jc w:val="center"/>
              <w:rPr>
                <w:sz w:val="18"/>
                <w:szCs w:val="18"/>
              </w:rPr>
            </w:pPr>
          </w:p>
        </w:tc>
        <w:tc>
          <w:tcPr>
            <w:tcW w:w="723" w:type="pct"/>
            <w:tcBorders>
              <w:tl2br w:val="nil"/>
              <w:tr2bl w:val="nil"/>
            </w:tcBorders>
            <w:vAlign w:val="center"/>
          </w:tcPr>
          <w:p w14:paraId="555AB2F2">
            <w:pPr>
              <w:adjustRightInd w:val="0"/>
              <w:jc w:val="center"/>
              <w:rPr>
                <w:sz w:val="18"/>
                <w:szCs w:val="18"/>
              </w:rPr>
            </w:pPr>
          </w:p>
        </w:tc>
        <w:tc>
          <w:tcPr>
            <w:tcW w:w="1660" w:type="pct"/>
            <w:tcBorders>
              <w:tl2br w:val="nil"/>
              <w:tr2bl w:val="nil"/>
            </w:tcBorders>
            <w:vAlign w:val="center"/>
          </w:tcPr>
          <w:p w14:paraId="35E9AA56">
            <w:pPr>
              <w:adjustRightInd w:val="0"/>
              <w:jc w:val="center"/>
              <w:rPr>
                <w:sz w:val="18"/>
                <w:szCs w:val="18"/>
              </w:rPr>
            </w:pPr>
          </w:p>
        </w:tc>
        <w:tc>
          <w:tcPr>
            <w:tcW w:w="967" w:type="pct"/>
            <w:tcBorders>
              <w:tl2br w:val="nil"/>
              <w:tr2bl w:val="nil"/>
            </w:tcBorders>
            <w:vAlign w:val="center"/>
          </w:tcPr>
          <w:p w14:paraId="56AEC8F2">
            <w:pPr>
              <w:adjustRightInd w:val="0"/>
              <w:jc w:val="center"/>
              <w:rPr>
                <w:sz w:val="18"/>
                <w:szCs w:val="18"/>
              </w:rPr>
            </w:pPr>
          </w:p>
        </w:tc>
      </w:tr>
      <w:tr w14:paraId="561B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83" w:type="pct"/>
            <w:tcBorders>
              <w:tl2br w:val="nil"/>
              <w:tr2bl w:val="nil"/>
            </w:tcBorders>
            <w:vAlign w:val="center"/>
          </w:tcPr>
          <w:p w14:paraId="3B1A1B9A">
            <w:pPr>
              <w:adjustRightInd w:val="0"/>
              <w:jc w:val="center"/>
              <w:rPr>
                <w:rFonts w:ascii="Times New Roman" w:hAnsi="Times New Roman" w:cs="Times New Roman"/>
                <w:sz w:val="18"/>
                <w:szCs w:val="18"/>
              </w:rPr>
            </w:pPr>
            <w:r>
              <w:rPr>
                <w:rFonts w:ascii="Times New Roman" w:hAnsi="Times New Roman" w:eastAsia="宋体" w:cs="Times New Roman"/>
                <w:sz w:val="18"/>
                <w:szCs w:val="18"/>
              </w:rPr>
              <w:t>…</w:t>
            </w:r>
          </w:p>
        </w:tc>
        <w:tc>
          <w:tcPr>
            <w:tcW w:w="504" w:type="pct"/>
            <w:tcBorders>
              <w:tl2br w:val="nil"/>
              <w:tr2bl w:val="nil"/>
            </w:tcBorders>
            <w:vAlign w:val="center"/>
          </w:tcPr>
          <w:p w14:paraId="7FAFA8FA">
            <w:pPr>
              <w:adjustRightInd w:val="0"/>
              <w:jc w:val="center"/>
              <w:rPr>
                <w:rFonts w:ascii="Times New Roman" w:hAnsi="Times New Roman" w:cs="Times New Roman"/>
                <w:sz w:val="18"/>
                <w:szCs w:val="18"/>
              </w:rPr>
            </w:pPr>
          </w:p>
        </w:tc>
        <w:tc>
          <w:tcPr>
            <w:tcW w:w="762" w:type="pct"/>
            <w:tcBorders>
              <w:tl2br w:val="nil"/>
              <w:tr2bl w:val="nil"/>
            </w:tcBorders>
            <w:vAlign w:val="center"/>
          </w:tcPr>
          <w:p w14:paraId="14BF5E6C">
            <w:pPr>
              <w:adjustRightInd w:val="0"/>
              <w:jc w:val="center"/>
              <w:rPr>
                <w:rFonts w:ascii="Times New Roman" w:hAnsi="Times New Roman" w:cs="Times New Roman"/>
                <w:sz w:val="18"/>
                <w:szCs w:val="18"/>
              </w:rPr>
            </w:pPr>
          </w:p>
        </w:tc>
        <w:tc>
          <w:tcPr>
            <w:tcW w:w="723" w:type="pct"/>
            <w:tcBorders>
              <w:tl2br w:val="nil"/>
              <w:tr2bl w:val="nil"/>
            </w:tcBorders>
            <w:vAlign w:val="center"/>
          </w:tcPr>
          <w:p w14:paraId="0799A136">
            <w:pPr>
              <w:adjustRightInd w:val="0"/>
              <w:jc w:val="center"/>
              <w:rPr>
                <w:rFonts w:ascii="Times New Roman" w:hAnsi="Times New Roman" w:cs="Times New Roman"/>
                <w:sz w:val="18"/>
                <w:szCs w:val="18"/>
              </w:rPr>
            </w:pPr>
          </w:p>
        </w:tc>
        <w:tc>
          <w:tcPr>
            <w:tcW w:w="1660" w:type="pct"/>
            <w:tcBorders>
              <w:tl2br w:val="nil"/>
              <w:tr2bl w:val="nil"/>
            </w:tcBorders>
            <w:vAlign w:val="center"/>
          </w:tcPr>
          <w:p w14:paraId="2E906371">
            <w:pPr>
              <w:adjustRightInd w:val="0"/>
              <w:jc w:val="center"/>
              <w:rPr>
                <w:rFonts w:ascii="Times New Roman" w:hAnsi="Times New Roman" w:cs="Times New Roman"/>
                <w:sz w:val="18"/>
                <w:szCs w:val="18"/>
              </w:rPr>
            </w:pPr>
          </w:p>
        </w:tc>
        <w:tc>
          <w:tcPr>
            <w:tcW w:w="967" w:type="pct"/>
            <w:tcBorders>
              <w:tl2br w:val="nil"/>
              <w:tr2bl w:val="nil"/>
            </w:tcBorders>
            <w:vAlign w:val="center"/>
          </w:tcPr>
          <w:p w14:paraId="5C63FC13">
            <w:pPr>
              <w:adjustRightInd w:val="0"/>
              <w:jc w:val="center"/>
              <w:rPr>
                <w:rFonts w:ascii="Times New Roman" w:hAnsi="Times New Roman" w:cs="Times New Roman"/>
                <w:sz w:val="18"/>
                <w:szCs w:val="18"/>
              </w:rPr>
            </w:pPr>
          </w:p>
        </w:tc>
      </w:tr>
    </w:tbl>
    <w:p w14:paraId="1A826F7E">
      <w:pPr>
        <w:numPr>
          <w:ilvl w:val="255"/>
          <w:numId w:val="0"/>
        </w:numPr>
        <w:jc w:val="center"/>
        <w:rPr>
          <w:rFonts w:ascii="Times New Roman" w:hAnsi="Times New Roman" w:eastAsia="黑体" w:cs="Times New Roman"/>
          <w:snapToGrid w:val="0"/>
          <w:kern w:val="0"/>
          <w:sz w:val="18"/>
          <w:szCs w:val="18"/>
        </w:rPr>
      </w:pPr>
    </w:p>
    <w:p w14:paraId="344604BA">
      <w:pPr>
        <w:numPr>
          <w:ilvl w:val="255"/>
          <w:numId w:val="0"/>
        </w:numPr>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.13  </w:t>
      </w:r>
      <w:r>
        <w:rPr>
          <w:rFonts w:hint="eastAsia" w:ascii="Times New Roman" w:hAnsi="Times New Roman" w:eastAsia="黑体" w:cs="Times New Roman"/>
          <w:snapToGrid w:val="0"/>
          <w:kern w:val="0"/>
          <w:sz w:val="18"/>
          <w:szCs w:val="18"/>
        </w:rPr>
        <w:t>站场与周边设施防火间距合规性一览表（单位：</w:t>
      </w:r>
      <w:r>
        <w:rPr>
          <w:rFonts w:ascii="Times New Roman" w:hAnsi="Times New Roman" w:eastAsia="黑体" w:cs="Times New Roman"/>
          <w:snapToGrid w:val="0"/>
          <w:kern w:val="0"/>
          <w:sz w:val="18"/>
          <w:szCs w:val="18"/>
        </w:rPr>
        <w:t>m</w:t>
      </w:r>
      <w:r>
        <w:rPr>
          <w:rFonts w:hint="eastAsia" w:ascii="Times New Roman" w:hAnsi="Times New Roman" w:eastAsia="黑体" w:cs="Times New Roman"/>
          <w:snapToGrid w:val="0"/>
          <w:kern w:val="0"/>
          <w:sz w:val="18"/>
          <w:szCs w:val="18"/>
        </w:rPr>
        <w:t>）</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90"/>
        <w:gridCol w:w="1343"/>
        <w:gridCol w:w="1060"/>
        <w:gridCol w:w="955"/>
        <w:gridCol w:w="593"/>
        <w:gridCol w:w="1091"/>
        <w:gridCol w:w="1107"/>
        <w:gridCol w:w="750"/>
      </w:tblGrid>
      <w:tr w14:paraId="7564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blHeader/>
          <w:jc w:val="center"/>
        </w:trPr>
        <w:tc>
          <w:tcPr>
            <w:tcW w:w="371" w:type="pct"/>
            <w:vAlign w:val="center"/>
          </w:tcPr>
          <w:p w14:paraId="05A1A44D">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站场</w:t>
            </w:r>
          </w:p>
          <w:p w14:paraId="4A2BDAA1">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名称</w:t>
            </w:r>
          </w:p>
        </w:tc>
        <w:tc>
          <w:tcPr>
            <w:tcW w:w="822" w:type="pct"/>
            <w:vAlign w:val="center"/>
          </w:tcPr>
          <w:p w14:paraId="306731AD">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类型</w:t>
            </w:r>
          </w:p>
        </w:tc>
        <w:tc>
          <w:tcPr>
            <w:tcW w:w="741" w:type="pct"/>
            <w:vAlign w:val="center"/>
          </w:tcPr>
          <w:p w14:paraId="739341BB">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ascii="Times New Roman" w:hAnsi="Times New Roman" w:eastAsia="宋体" w:cs="Times New Roman"/>
                <w:snapToGrid w:val="0"/>
                <w:kern w:val="0"/>
                <w:sz w:val="18"/>
                <w:szCs w:val="18"/>
                <w14:ligatures w14:val="none"/>
              </w:rPr>
              <w:t>100</w:t>
            </w:r>
            <w:r>
              <w:rPr>
                <w:rFonts w:hint="eastAsia" w:ascii="Times New Roman" w:hAnsi="Times New Roman" w:eastAsia="宋体" w:cs="Times New Roman"/>
                <w:snapToGrid w:val="0"/>
                <w:kern w:val="0"/>
                <w:sz w:val="18"/>
                <w:szCs w:val="18"/>
                <w14:ligatures w14:val="none"/>
              </w:rPr>
              <w:t>人以上居住区、村镇、公共福利设施</w:t>
            </w:r>
          </w:p>
        </w:tc>
        <w:tc>
          <w:tcPr>
            <w:tcW w:w="585" w:type="pct"/>
            <w:vAlign w:val="center"/>
          </w:tcPr>
          <w:p w14:paraId="6506D2EF">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ascii="Times New Roman" w:hAnsi="Times New Roman" w:eastAsia="宋体" w:cs="Times New Roman"/>
                <w:snapToGrid w:val="0"/>
                <w:kern w:val="0"/>
                <w:sz w:val="18"/>
                <w:szCs w:val="18"/>
                <w14:ligatures w14:val="none"/>
              </w:rPr>
              <w:t>100</w:t>
            </w:r>
            <w:r>
              <w:rPr>
                <w:rFonts w:hint="eastAsia" w:ascii="Times New Roman" w:hAnsi="Times New Roman" w:eastAsia="宋体" w:cs="Times New Roman"/>
                <w:snapToGrid w:val="0"/>
                <w:kern w:val="0"/>
                <w:sz w:val="18"/>
                <w:szCs w:val="18"/>
                <w14:ligatures w14:val="none"/>
              </w:rPr>
              <w:t>人以下的散居房屋</w:t>
            </w:r>
          </w:p>
        </w:tc>
        <w:tc>
          <w:tcPr>
            <w:tcW w:w="527" w:type="pct"/>
            <w:vAlign w:val="center"/>
          </w:tcPr>
          <w:p w14:paraId="69F60AD7">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相邻</w:t>
            </w:r>
          </w:p>
          <w:p w14:paraId="14DB0BDD">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厂矿企业</w:t>
            </w:r>
          </w:p>
        </w:tc>
        <w:tc>
          <w:tcPr>
            <w:tcW w:w="327" w:type="pct"/>
            <w:vAlign w:val="center"/>
          </w:tcPr>
          <w:p w14:paraId="79AF3FF4">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公路</w:t>
            </w:r>
          </w:p>
        </w:tc>
        <w:tc>
          <w:tcPr>
            <w:tcW w:w="602" w:type="pct"/>
            <w:vAlign w:val="center"/>
          </w:tcPr>
          <w:p w14:paraId="7DD53D85">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架空电力线</w:t>
            </w:r>
          </w:p>
        </w:tc>
        <w:tc>
          <w:tcPr>
            <w:tcW w:w="611" w:type="pct"/>
            <w:vAlign w:val="center"/>
          </w:tcPr>
          <w:p w14:paraId="5F94C628">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其他通信线</w:t>
            </w:r>
          </w:p>
        </w:tc>
        <w:tc>
          <w:tcPr>
            <w:tcW w:w="414" w:type="pct"/>
            <w:vAlign w:val="center"/>
          </w:tcPr>
          <w:p w14:paraId="223518AE">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爆炸作业场地</w:t>
            </w:r>
          </w:p>
        </w:tc>
      </w:tr>
      <w:tr w14:paraId="7A60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71" w:type="pct"/>
            <w:vMerge w:val="restart"/>
            <w:vAlign w:val="center"/>
          </w:tcPr>
          <w:p w14:paraId="30CD2078">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XX</w:t>
            </w:r>
          </w:p>
        </w:tc>
        <w:tc>
          <w:tcPr>
            <w:tcW w:w="822" w:type="pct"/>
            <w:vAlign w:val="center"/>
          </w:tcPr>
          <w:p w14:paraId="03C7F8C7">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标准规范要求</w:t>
            </w:r>
          </w:p>
        </w:tc>
        <w:tc>
          <w:tcPr>
            <w:tcW w:w="741" w:type="pct"/>
            <w:vAlign w:val="center"/>
          </w:tcPr>
          <w:p w14:paraId="69A65F9F">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85" w:type="pct"/>
            <w:vAlign w:val="center"/>
          </w:tcPr>
          <w:p w14:paraId="3CCDE164">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27" w:type="pct"/>
            <w:vAlign w:val="center"/>
          </w:tcPr>
          <w:p w14:paraId="3F8E68C0">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327" w:type="pct"/>
            <w:vAlign w:val="center"/>
          </w:tcPr>
          <w:p w14:paraId="53F678C1">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02" w:type="pct"/>
            <w:vAlign w:val="center"/>
          </w:tcPr>
          <w:p w14:paraId="650C6ADE">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11" w:type="pct"/>
            <w:vAlign w:val="center"/>
          </w:tcPr>
          <w:p w14:paraId="74225DA9">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414" w:type="pct"/>
            <w:vAlign w:val="center"/>
          </w:tcPr>
          <w:p w14:paraId="761335C0">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r>
      <w:tr w14:paraId="01E4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71" w:type="pct"/>
            <w:vMerge w:val="continue"/>
            <w:vAlign w:val="center"/>
          </w:tcPr>
          <w:p w14:paraId="312A5420">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822" w:type="pct"/>
            <w:vAlign w:val="center"/>
          </w:tcPr>
          <w:p w14:paraId="6C2ACB79">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现状距离</w:t>
            </w:r>
          </w:p>
        </w:tc>
        <w:tc>
          <w:tcPr>
            <w:tcW w:w="741" w:type="pct"/>
            <w:vAlign w:val="center"/>
          </w:tcPr>
          <w:p w14:paraId="5C2FD313">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85" w:type="pct"/>
            <w:vAlign w:val="center"/>
          </w:tcPr>
          <w:p w14:paraId="2872152C">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27" w:type="pct"/>
            <w:vAlign w:val="center"/>
          </w:tcPr>
          <w:p w14:paraId="68D8180D">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327" w:type="pct"/>
            <w:vAlign w:val="center"/>
          </w:tcPr>
          <w:p w14:paraId="49D8F682">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02" w:type="pct"/>
            <w:vAlign w:val="center"/>
          </w:tcPr>
          <w:p w14:paraId="7C8C5BDC">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11" w:type="pct"/>
            <w:vAlign w:val="center"/>
          </w:tcPr>
          <w:p w14:paraId="65A9EC61">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414" w:type="pct"/>
            <w:vAlign w:val="center"/>
          </w:tcPr>
          <w:p w14:paraId="0073E1B0">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r>
      <w:tr w14:paraId="486F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71" w:type="pct"/>
            <w:vMerge w:val="continue"/>
            <w:vAlign w:val="center"/>
          </w:tcPr>
          <w:p w14:paraId="4188E8E2">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822" w:type="pct"/>
            <w:vAlign w:val="center"/>
          </w:tcPr>
          <w:p w14:paraId="6CA67EBF">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z w:val="18"/>
                <w:szCs w:val="18"/>
                <w14:ligatures w14:val="none"/>
              </w:rPr>
              <w:t>设计最小间距</w:t>
            </w:r>
          </w:p>
        </w:tc>
        <w:tc>
          <w:tcPr>
            <w:tcW w:w="741" w:type="pct"/>
            <w:vAlign w:val="center"/>
          </w:tcPr>
          <w:p w14:paraId="77C2929B">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85" w:type="pct"/>
            <w:vAlign w:val="center"/>
          </w:tcPr>
          <w:p w14:paraId="6508EA2D">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27" w:type="pct"/>
            <w:vAlign w:val="center"/>
          </w:tcPr>
          <w:p w14:paraId="7F2B3B5C">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327" w:type="pct"/>
            <w:vAlign w:val="center"/>
          </w:tcPr>
          <w:p w14:paraId="646E6B3D">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02" w:type="pct"/>
            <w:vAlign w:val="center"/>
          </w:tcPr>
          <w:p w14:paraId="5E7E0587">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11" w:type="pct"/>
            <w:vAlign w:val="center"/>
          </w:tcPr>
          <w:p w14:paraId="7644DE2A">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414" w:type="pct"/>
            <w:vAlign w:val="center"/>
          </w:tcPr>
          <w:p w14:paraId="3CAA3D24">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r>
      <w:tr w14:paraId="7DDF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71" w:type="pct"/>
            <w:vMerge w:val="continue"/>
            <w:vAlign w:val="center"/>
          </w:tcPr>
          <w:p w14:paraId="3760B8A3">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822" w:type="pct"/>
            <w:vAlign w:val="center"/>
          </w:tcPr>
          <w:p w14:paraId="496F30AC">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r>
              <w:rPr>
                <w:rFonts w:hint="eastAsia" w:ascii="Times New Roman" w:hAnsi="Times New Roman" w:eastAsia="宋体" w:cs="Times New Roman"/>
                <w:snapToGrid w:val="0"/>
                <w:kern w:val="0"/>
                <w:sz w:val="18"/>
                <w:szCs w:val="18"/>
                <w14:ligatures w14:val="none"/>
              </w:rPr>
              <w:t>拆迁情况</w:t>
            </w:r>
          </w:p>
        </w:tc>
        <w:tc>
          <w:tcPr>
            <w:tcW w:w="741" w:type="pct"/>
            <w:vAlign w:val="center"/>
          </w:tcPr>
          <w:p w14:paraId="1D21B4EB">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85" w:type="pct"/>
            <w:vAlign w:val="center"/>
          </w:tcPr>
          <w:p w14:paraId="076CCC92">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527" w:type="pct"/>
            <w:vAlign w:val="center"/>
          </w:tcPr>
          <w:p w14:paraId="137DF02C">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327" w:type="pct"/>
            <w:vAlign w:val="center"/>
          </w:tcPr>
          <w:p w14:paraId="2BA3081C">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02" w:type="pct"/>
            <w:vAlign w:val="center"/>
          </w:tcPr>
          <w:p w14:paraId="1473B7F1">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611" w:type="pct"/>
            <w:vAlign w:val="center"/>
          </w:tcPr>
          <w:p w14:paraId="4352C207">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c>
          <w:tcPr>
            <w:tcW w:w="414" w:type="pct"/>
            <w:vAlign w:val="center"/>
          </w:tcPr>
          <w:p w14:paraId="38E26E1E">
            <w:pPr>
              <w:adjustRightInd w:val="0"/>
              <w:snapToGrid w:val="0"/>
              <w:spacing w:line="240" w:lineRule="auto"/>
              <w:jc w:val="center"/>
              <w:textAlignment w:val="baseline"/>
              <w:rPr>
                <w:rFonts w:ascii="Times New Roman" w:hAnsi="Times New Roman" w:eastAsia="宋体" w:cs="Times New Roman"/>
                <w:snapToGrid w:val="0"/>
                <w:kern w:val="0"/>
                <w:sz w:val="18"/>
                <w:szCs w:val="18"/>
                <w14:ligatures w14:val="none"/>
              </w:rPr>
            </w:pPr>
          </w:p>
        </w:tc>
      </w:tr>
    </w:tbl>
    <w:p w14:paraId="03423C74">
      <w:pPr>
        <w:rPr>
          <w:rFonts w:eastAsia="宋体"/>
        </w:rPr>
      </w:pPr>
    </w:p>
    <w:p w14:paraId="6A507FC5">
      <w:pPr>
        <w:numPr>
          <w:ilvl w:val="255"/>
          <w:numId w:val="0"/>
        </w:numPr>
        <w:spacing w:line="240" w:lineRule="auto"/>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.14  </w:t>
      </w:r>
      <w:r>
        <w:rPr>
          <w:rFonts w:hint="eastAsia" w:ascii="Times New Roman" w:hAnsi="Times New Roman" w:eastAsia="黑体" w:cs="Times New Roman"/>
          <w:snapToGrid w:val="0"/>
          <w:kern w:val="0"/>
          <w:sz w:val="18"/>
          <w:szCs w:val="18"/>
        </w:rPr>
        <w:t>站场平面布置间距（</w:t>
      </w:r>
      <w:r>
        <w:rPr>
          <w:rFonts w:ascii="Times New Roman" w:hAnsi="Times New Roman" w:eastAsia="黑体" w:cs="Times New Roman"/>
          <w:snapToGrid w:val="0"/>
          <w:kern w:val="0"/>
          <w:sz w:val="18"/>
          <w:szCs w:val="18"/>
        </w:rPr>
        <w:t>m</w:t>
      </w:r>
      <w:r>
        <w:rPr>
          <w:rFonts w:hint="eastAsia" w:ascii="Times New Roman" w:hAnsi="Times New Roman" w:eastAsia="黑体" w:cs="Times New Roman"/>
          <w:snapToGrid w:val="0"/>
          <w:kern w:val="0"/>
          <w:sz w:val="18"/>
          <w:szCs w:val="18"/>
        </w:rPr>
        <w:t>）</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62"/>
        <w:gridCol w:w="1564"/>
        <w:gridCol w:w="1564"/>
        <w:gridCol w:w="1453"/>
        <w:gridCol w:w="1307"/>
        <w:gridCol w:w="1611"/>
      </w:tblGrid>
      <w:tr w14:paraId="78FE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54" w:hRule="atLeast"/>
          <w:tblHeader/>
          <w:jc w:val="center"/>
        </w:trPr>
        <w:tc>
          <w:tcPr>
            <w:tcW w:w="862" w:type="pct"/>
            <w:vMerge w:val="restart"/>
            <w:shd w:val="clear" w:color="auto" w:fill="auto"/>
            <w:vAlign w:val="center"/>
          </w:tcPr>
          <w:p w14:paraId="03640DD0">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设施</w:t>
            </w:r>
            <w:r>
              <w:rPr>
                <w:rFonts w:ascii="Times New Roman" w:hAnsi="Times New Roman" w:eastAsia="宋体" w:cs="Times New Roman"/>
                <w:sz w:val="18"/>
                <w:szCs w:val="18"/>
                <w14:ligatures w14:val="none"/>
              </w:rPr>
              <w:t>/</w:t>
            </w:r>
            <w:r>
              <w:rPr>
                <w:rFonts w:hint="eastAsia" w:ascii="Times New Roman" w:hAnsi="Times New Roman" w:eastAsia="宋体" w:cs="Times New Roman"/>
                <w:sz w:val="18"/>
                <w:szCs w:val="18"/>
                <w14:ligatures w14:val="none"/>
              </w:rPr>
              <w:t>设备</w:t>
            </w:r>
          </w:p>
        </w:tc>
        <w:tc>
          <w:tcPr>
            <w:tcW w:w="863" w:type="pct"/>
            <w:vMerge w:val="restart"/>
            <w:shd w:val="clear" w:color="auto" w:fill="auto"/>
            <w:vAlign w:val="center"/>
          </w:tcPr>
          <w:p w14:paraId="6E6F50EA">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相邻设施</w:t>
            </w:r>
            <w:r>
              <w:rPr>
                <w:rFonts w:ascii="Times New Roman" w:hAnsi="Times New Roman" w:eastAsia="宋体" w:cs="Times New Roman"/>
                <w:sz w:val="18"/>
                <w:szCs w:val="18"/>
                <w14:ligatures w14:val="none"/>
              </w:rPr>
              <w:t>/</w:t>
            </w:r>
            <w:r>
              <w:rPr>
                <w:rFonts w:hint="eastAsia" w:ascii="Times New Roman" w:hAnsi="Times New Roman" w:eastAsia="宋体" w:cs="Times New Roman"/>
                <w:sz w:val="18"/>
                <w:szCs w:val="18"/>
                <w14:ligatures w14:val="none"/>
              </w:rPr>
              <w:t>设备</w:t>
            </w:r>
          </w:p>
        </w:tc>
        <w:tc>
          <w:tcPr>
            <w:tcW w:w="863" w:type="pct"/>
            <w:vMerge w:val="restart"/>
            <w:shd w:val="clear" w:color="auto" w:fill="auto"/>
            <w:vAlign w:val="center"/>
          </w:tcPr>
          <w:p w14:paraId="09D04C38">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要求间距</w:t>
            </w:r>
            <w:r>
              <w:rPr>
                <w:rFonts w:ascii="Times New Roman" w:hAnsi="Times New Roman" w:eastAsia="宋体" w:cs="Times New Roman"/>
                <w:sz w:val="18"/>
                <w:szCs w:val="18"/>
                <w14:ligatures w14:val="none"/>
              </w:rPr>
              <w:t>/</w:t>
            </w:r>
            <w:r>
              <w:rPr>
                <w:rFonts w:hint="eastAsia" w:ascii="Times New Roman" w:hAnsi="Times New Roman" w:eastAsia="宋体" w:cs="Times New Roman"/>
                <w:sz w:val="18"/>
                <w:szCs w:val="18"/>
                <w14:ligatures w14:val="none"/>
              </w:rPr>
              <w:t>计算间距</w:t>
            </w:r>
          </w:p>
        </w:tc>
        <w:tc>
          <w:tcPr>
            <w:tcW w:w="802" w:type="pct"/>
            <w:vMerge w:val="restart"/>
            <w:shd w:val="clear" w:color="auto" w:fill="auto"/>
            <w:vAlign w:val="center"/>
          </w:tcPr>
          <w:p w14:paraId="7A98EC7E">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设计最小间距</w:t>
            </w:r>
          </w:p>
        </w:tc>
        <w:tc>
          <w:tcPr>
            <w:tcW w:w="721" w:type="pct"/>
            <w:vMerge w:val="restart"/>
            <w:shd w:val="clear" w:color="auto" w:fill="auto"/>
            <w:vAlign w:val="center"/>
          </w:tcPr>
          <w:p w14:paraId="6BA4C281">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对比结果</w:t>
            </w:r>
          </w:p>
        </w:tc>
        <w:tc>
          <w:tcPr>
            <w:tcW w:w="889" w:type="pct"/>
            <w:vMerge w:val="restart"/>
            <w:shd w:val="clear" w:color="auto" w:fill="auto"/>
            <w:vAlign w:val="center"/>
          </w:tcPr>
          <w:p w14:paraId="793D8AAE">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遵循标准规范及条款</w:t>
            </w:r>
          </w:p>
        </w:tc>
      </w:tr>
      <w:tr w14:paraId="7E9F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862" w:type="pct"/>
            <w:vMerge w:val="continue"/>
            <w:shd w:val="clear" w:color="auto" w:fill="auto"/>
            <w:vAlign w:val="center"/>
          </w:tcPr>
          <w:p w14:paraId="17A4E5C3">
            <w:pPr>
              <w:spacing w:line="240" w:lineRule="auto"/>
              <w:jc w:val="center"/>
              <w:rPr>
                <w:rFonts w:ascii="Times New Roman" w:hAnsi="Times New Roman" w:eastAsia="宋体" w:cs="Times New Roman"/>
                <w:sz w:val="18"/>
                <w:szCs w:val="18"/>
                <w14:ligatures w14:val="none"/>
              </w:rPr>
            </w:pPr>
          </w:p>
        </w:tc>
        <w:tc>
          <w:tcPr>
            <w:tcW w:w="863" w:type="pct"/>
            <w:vMerge w:val="continue"/>
            <w:shd w:val="clear" w:color="auto" w:fill="auto"/>
            <w:vAlign w:val="center"/>
          </w:tcPr>
          <w:p w14:paraId="48462155">
            <w:pPr>
              <w:spacing w:line="240" w:lineRule="auto"/>
              <w:jc w:val="center"/>
              <w:rPr>
                <w:rFonts w:ascii="Times New Roman" w:hAnsi="Times New Roman" w:eastAsia="宋体" w:cs="Times New Roman"/>
                <w:sz w:val="18"/>
                <w:szCs w:val="18"/>
                <w14:ligatures w14:val="none"/>
              </w:rPr>
            </w:pPr>
          </w:p>
        </w:tc>
        <w:tc>
          <w:tcPr>
            <w:tcW w:w="863" w:type="pct"/>
            <w:vMerge w:val="continue"/>
            <w:shd w:val="clear" w:color="auto" w:fill="auto"/>
            <w:vAlign w:val="center"/>
          </w:tcPr>
          <w:p w14:paraId="5DF14F26">
            <w:pPr>
              <w:spacing w:line="240" w:lineRule="auto"/>
              <w:jc w:val="center"/>
              <w:rPr>
                <w:rFonts w:ascii="Times New Roman" w:hAnsi="Times New Roman" w:eastAsia="宋体" w:cs="Times New Roman"/>
                <w:sz w:val="18"/>
                <w:szCs w:val="18"/>
                <w14:ligatures w14:val="none"/>
              </w:rPr>
            </w:pPr>
          </w:p>
        </w:tc>
        <w:tc>
          <w:tcPr>
            <w:tcW w:w="802" w:type="pct"/>
            <w:vMerge w:val="continue"/>
            <w:shd w:val="clear" w:color="auto" w:fill="auto"/>
            <w:vAlign w:val="center"/>
          </w:tcPr>
          <w:p w14:paraId="1DC8FFB1">
            <w:pPr>
              <w:spacing w:line="240" w:lineRule="auto"/>
              <w:jc w:val="center"/>
              <w:rPr>
                <w:rFonts w:ascii="Times New Roman" w:hAnsi="Times New Roman" w:eastAsia="宋体" w:cs="Times New Roman"/>
                <w:sz w:val="18"/>
                <w:szCs w:val="18"/>
                <w14:ligatures w14:val="none"/>
              </w:rPr>
            </w:pPr>
          </w:p>
        </w:tc>
        <w:tc>
          <w:tcPr>
            <w:tcW w:w="721" w:type="pct"/>
            <w:vMerge w:val="continue"/>
            <w:shd w:val="clear" w:color="auto" w:fill="auto"/>
            <w:vAlign w:val="center"/>
          </w:tcPr>
          <w:p w14:paraId="62FCC894">
            <w:pPr>
              <w:spacing w:line="240" w:lineRule="auto"/>
              <w:jc w:val="center"/>
              <w:rPr>
                <w:rFonts w:ascii="Times New Roman" w:hAnsi="Times New Roman" w:eastAsia="宋体" w:cs="Times New Roman"/>
                <w:sz w:val="18"/>
                <w:szCs w:val="18"/>
                <w14:ligatures w14:val="none"/>
              </w:rPr>
            </w:pPr>
          </w:p>
        </w:tc>
        <w:tc>
          <w:tcPr>
            <w:tcW w:w="889" w:type="pct"/>
            <w:vMerge w:val="continue"/>
            <w:shd w:val="clear" w:color="auto" w:fill="auto"/>
            <w:vAlign w:val="center"/>
          </w:tcPr>
          <w:p w14:paraId="40A3FF6B">
            <w:pPr>
              <w:spacing w:line="240" w:lineRule="auto"/>
              <w:jc w:val="center"/>
              <w:rPr>
                <w:rFonts w:ascii="Times New Roman" w:hAnsi="Times New Roman" w:eastAsia="宋体" w:cs="Times New Roman"/>
                <w:sz w:val="18"/>
                <w:szCs w:val="18"/>
                <w14:ligatures w14:val="none"/>
              </w:rPr>
            </w:pPr>
          </w:p>
        </w:tc>
      </w:tr>
      <w:tr w14:paraId="3A6B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2" w:type="pct"/>
            <w:shd w:val="clear" w:color="auto" w:fill="auto"/>
            <w:vAlign w:val="center"/>
          </w:tcPr>
          <w:p w14:paraId="12DE2DB2">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1</w:t>
            </w:r>
          </w:p>
        </w:tc>
        <w:tc>
          <w:tcPr>
            <w:tcW w:w="863" w:type="pct"/>
            <w:shd w:val="clear" w:color="auto" w:fill="auto"/>
            <w:vAlign w:val="center"/>
          </w:tcPr>
          <w:p w14:paraId="2411AB8F">
            <w:pPr>
              <w:spacing w:line="240" w:lineRule="auto"/>
              <w:jc w:val="center"/>
              <w:rPr>
                <w:rFonts w:ascii="Times New Roman" w:hAnsi="Times New Roman" w:eastAsia="宋体" w:cs="Times New Roman"/>
                <w:sz w:val="18"/>
                <w:szCs w:val="18"/>
                <w14:ligatures w14:val="none"/>
              </w:rPr>
            </w:pPr>
          </w:p>
        </w:tc>
        <w:tc>
          <w:tcPr>
            <w:tcW w:w="863" w:type="pct"/>
            <w:shd w:val="clear" w:color="auto" w:fill="auto"/>
            <w:vAlign w:val="center"/>
          </w:tcPr>
          <w:p w14:paraId="6BFA0ACE">
            <w:pPr>
              <w:spacing w:line="240" w:lineRule="auto"/>
              <w:jc w:val="center"/>
              <w:rPr>
                <w:rFonts w:ascii="Times New Roman" w:hAnsi="Times New Roman" w:eastAsia="宋体" w:cs="Times New Roman"/>
                <w:sz w:val="18"/>
                <w:szCs w:val="18"/>
                <w14:ligatures w14:val="none"/>
              </w:rPr>
            </w:pPr>
          </w:p>
        </w:tc>
        <w:tc>
          <w:tcPr>
            <w:tcW w:w="802" w:type="pct"/>
            <w:shd w:val="clear" w:color="auto" w:fill="auto"/>
            <w:vAlign w:val="center"/>
          </w:tcPr>
          <w:p w14:paraId="7464B9F1">
            <w:pPr>
              <w:spacing w:line="240" w:lineRule="auto"/>
              <w:jc w:val="center"/>
              <w:rPr>
                <w:rFonts w:ascii="Times New Roman" w:hAnsi="Times New Roman" w:eastAsia="宋体" w:cs="Times New Roman"/>
                <w:sz w:val="18"/>
                <w:szCs w:val="18"/>
                <w14:ligatures w14:val="none"/>
              </w:rPr>
            </w:pPr>
          </w:p>
        </w:tc>
        <w:tc>
          <w:tcPr>
            <w:tcW w:w="721" w:type="pct"/>
            <w:shd w:val="clear" w:color="auto" w:fill="auto"/>
            <w:vAlign w:val="center"/>
          </w:tcPr>
          <w:p w14:paraId="72DAFBD2">
            <w:pPr>
              <w:spacing w:line="240" w:lineRule="auto"/>
              <w:jc w:val="center"/>
              <w:rPr>
                <w:rFonts w:ascii="Times New Roman" w:hAnsi="Times New Roman" w:eastAsia="宋体" w:cs="Times New Roman"/>
                <w:sz w:val="18"/>
                <w:szCs w:val="18"/>
                <w14:ligatures w14:val="none"/>
              </w:rPr>
            </w:pPr>
          </w:p>
        </w:tc>
        <w:tc>
          <w:tcPr>
            <w:tcW w:w="889" w:type="pct"/>
            <w:shd w:val="clear" w:color="auto" w:fill="auto"/>
            <w:vAlign w:val="center"/>
          </w:tcPr>
          <w:p w14:paraId="4A79FD5C">
            <w:pPr>
              <w:spacing w:line="240" w:lineRule="auto"/>
              <w:jc w:val="center"/>
              <w:rPr>
                <w:rFonts w:ascii="Times New Roman" w:hAnsi="Times New Roman" w:eastAsia="宋体" w:cs="Times New Roman"/>
                <w:sz w:val="18"/>
                <w:szCs w:val="18"/>
                <w14:ligatures w14:val="none"/>
              </w:rPr>
            </w:pPr>
          </w:p>
        </w:tc>
      </w:tr>
      <w:tr w14:paraId="129C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2" w:type="pct"/>
            <w:shd w:val="clear" w:color="auto" w:fill="auto"/>
            <w:vAlign w:val="center"/>
          </w:tcPr>
          <w:p w14:paraId="4DA67B55">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863" w:type="pct"/>
            <w:shd w:val="clear" w:color="auto" w:fill="auto"/>
            <w:vAlign w:val="center"/>
          </w:tcPr>
          <w:p w14:paraId="5F025ABF">
            <w:pPr>
              <w:spacing w:line="240" w:lineRule="auto"/>
              <w:jc w:val="center"/>
              <w:rPr>
                <w:rFonts w:ascii="Times New Roman" w:hAnsi="Times New Roman" w:eastAsia="宋体" w:cs="Times New Roman"/>
                <w:sz w:val="18"/>
                <w:szCs w:val="18"/>
                <w14:ligatures w14:val="none"/>
              </w:rPr>
            </w:pPr>
          </w:p>
        </w:tc>
        <w:tc>
          <w:tcPr>
            <w:tcW w:w="863" w:type="pct"/>
            <w:shd w:val="clear" w:color="auto" w:fill="auto"/>
            <w:vAlign w:val="center"/>
          </w:tcPr>
          <w:p w14:paraId="0D197696">
            <w:pPr>
              <w:spacing w:line="240" w:lineRule="auto"/>
              <w:jc w:val="center"/>
              <w:rPr>
                <w:rFonts w:ascii="Times New Roman" w:hAnsi="Times New Roman" w:eastAsia="宋体" w:cs="Times New Roman"/>
                <w:sz w:val="18"/>
                <w:szCs w:val="18"/>
                <w14:ligatures w14:val="none"/>
              </w:rPr>
            </w:pPr>
          </w:p>
        </w:tc>
        <w:tc>
          <w:tcPr>
            <w:tcW w:w="802" w:type="pct"/>
            <w:shd w:val="clear" w:color="auto" w:fill="auto"/>
            <w:vAlign w:val="center"/>
          </w:tcPr>
          <w:p w14:paraId="72B5F433">
            <w:pPr>
              <w:spacing w:line="240" w:lineRule="auto"/>
              <w:jc w:val="center"/>
              <w:rPr>
                <w:rFonts w:ascii="Times New Roman" w:hAnsi="Times New Roman" w:eastAsia="宋体" w:cs="Times New Roman"/>
                <w:sz w:val="18"/>
                <w:szCs w:val="18"/>
                <w14:ligatures w14:val="none"/>
              </w:rPr>
            </w:pPr>
          </w:p>
        </w:tc>
        <w:tc>
          <w:tcPr>
            <w:tcW w:w="721" w:type="pct"/>
            <w:shd w:val="clear" w:color="auto" w:fill="auto"/>
            <w:vAlign w:val="center"/>
          </w:tcPr>
          <w:p w14:paraId="377B175C">
            <w:pPr>
              <w:spacing w:line="240" w:lineRule="auto"/>
              <w:jc w:val="center"/>
              <w:rPr>
                <w:rFonts w:ascii="Times New Roman" w:hAnsi="Times New Roman" w:eastAsia="宋体" w:cs="Times New Roman"/>
                <w:sz w:val="18"/>
                <w:szCs w:val="18"/>
                <w14:ligatures w14:val="none"/>
              </w:rPr>
            </w:pPr>
          </w:p>
        </w:tc>
        <w:tc>
          <w:tcPr>
            <w:tcW w:w="889" w:type="pct"/>
            <w:shd w:val="clear" w:color="auto" w:fill="auto"/>
            <w:vAlign w:val="center"/>
          </w:tcPr>
          <w:p w14:paraId="477ABBF3">
            <w:pPr>
              <w:spacing w:line="240" w:lineRule="auto"/>
              <w:jc w:val="center"/>
              <w:rPr>
                <w:rFonts w:ascii="Times New Roman" w:hAnsi="Times New Roman" w:eastAsia="宋体" w:cs="Times New Roman"/>
                <w:sz w:val="18"/>
                <w:szCs w:val="18"/>
                <w14:ligatures w14:val="none"/>
              </w:rPr>
            </w:pPr>
          </w:p>
        </w:tc>
      </w:tr>
    </w:tbl>
    <w:p w14:paraId="0081DBFB">
      <w:pPr>
        <w:rPr>
          <w:rFonts w:eastAsia="宋体"/>
        </w:rPr>
      </w:pPr>
    </w:p>
    <w:p w14:paraId="685FF1FF">
      <w:pPr>
        <w:spacing w:line="240" w:lineRule="auto"/>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.15  </w:t>
      </w:r>
      <w:r>
        <w:rPr>
          <w:rFonts w:hint="eastAsia" w:ascii="Times New Roman" w:hAnsi="Times New Roman" w:eastAsia="黑体" w:cs="Times New Roman"/>
          <w:snapToGrid w:val="0"/>
          <w:kern w:val="0"/>
          <w:sz w:val="18"/>
          <w:szCs w:val="18"/>
        </w:rPr>
        <w:t>安全阀、BDV设定值表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035"/>
        <w:gridCol w:w="1093"/>
        <w:gridCol w:w="957"/>
        <w:gridCol w:w="1553"/>
        <w:gridCol w:w="1129"/>
        <w:gridCol w:w="2448"/>
      </w:tblGrid>
      <w:tr w14:paraId="378A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67" w:type="pct"/>
            <w:vAlign w:val="center"/>
          </w:tcPr>
          <w:p w14:paraId="1E0B9CD5">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序号</w:t>
            </w:r>
          </w:p>
        </w:tc>
        <w:tc>
          <w:tcPr>
            <w:tcW w:w="571" w:type="pct"/>
            <w:vAlign w:val="center"/>
          </w:tcPr>
          <w:p w14:paraId="0DA1466A">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压力等级</w:t>
            </w:r>
          </w:p>
          <w:p w14:paraId="492E75A7">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MPa</w:t>
            </w:r>
            <w:r>
              <w:rPr>
                <w:rFonts w:hint="eastAsia" w:ascii="Times New Roman" w:hAnsi="Times New Roman" w:eastAsia="宋体" w:cs="Times New Roman"/>
                <w:sz w:val="18"/>
                <w:szCs w:val="18"/>
                <w14:ligatures w14:val="none"/>
              </w:rPr>
              <w:t>）</w:t>
            </w:r>
          </w:p>
        </w:tc>
        <w:tc>
          <w:tcPr>
            <w:tcW w:w="603" w:type="pct"/>
            <w:vAlign w:val="center"/>
          </w:tcPr>
          <w:p w14:paraId="2E78B1EA">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阀门口径</w:t>
            </w:r>
          </w:p>
          <w:p w14:paraId="128A365B">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mm</w:t>
            </w:r>
            <w:r>
              <w:rPr>
                <w:rFonts w:hint="eastAsia" w:ascii="Times New Roman" w:hAnsi="Times New Roman" w:eastAsia="宋体" w:cs="Times New Roman"/>
                <w:sz w:val="18"/>
                <w:szCs w:val="18"/>
                <w14:ligatures w14:val="none"/>
              </w:rPr>
              <w:t>）</w:t>
            </w:r>
          </w:p>
        </w:tc>
        <w:tc>
          <w:tcPr>
            <w:tcW w:w="528" w:type="pct"/>
            <w:vAlign w:val="center"/>
          </w:tcPr>
          <w:p w14:paraId="13D9D0B3">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数量</w:t>
            </w:r>
          </w:p>
          <w:p w14:paraId="534C0B62">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（个）</w:t>
            </w:r>
          </w:p>
        </w:tc>
        <w:tc>
          <w:tcPr>
            <w:tcW w:w="857" w:type="pct"/>
            <w:vAlign w:val="center"/>
          </w:tcPr>
          <w:p w14:paraId="2CF565C6">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设定压力</w:t>
            </w:r>
          </w:p>
          <w:p w14:paraId="735DDA11">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MPa</w:t>
            </w:r>
            <w:r>
              <w:rPr>
                <w:rFonts w:hint="eastAsia" w:ascii="Times New Roman" w:hAnsi="Times New Roman" w:eastAsia="宋体" w:cs="Times New Roman"/>
                <w:sz w:val="18"/>
                <w:szCs w:val="18"/>
                <w14:ligatures w14:val="none"/>
              </w:rPr>
              <w:t>）</w:t>
            </w:r>
          </w:p>
        </w:tc>
        <w:tc>
          <w:tcPr>
            <w:tcW w:w="623" w:type="pct"/>
            <w:vAlign w:val="center"/>
          </w:tcPr>
          <w:p w14:paraId="0EBAE20D">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整定压力</w:t>
            </w:r>
          </w:p>
          <w:p w14:paraId="23EC27AC">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MPa</w:t>
            </w:r>
            <w:r>
              <w:rPr>
                <w:rFonts w:hint="eastAsia" w:ascii="Times New Roman" w:hAnsi="Times New Roman" w:eastAsia="宋体" w:cs="Times New Roman"/>
                <w:sz w:val="18"/>
                <w:szCs w:val="18"/>
                <w14:ligatures w14:val="none"/>
              </w:rPr>
              <w:t>）</w:t>
            </w:r>
          </w:p>
        </w:tc>
        <w:tc>
          <w:tcPr>
            <w:tcW w:w="1351" w:type="pct"/>
            <w:vAlign w:val="center"/>
          </w:tcPr>
          <w:p w14:paraId="732E5AFE">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备注</w:t>
            </w:r>
          </w:p>
        </w:tc>
      </w:tr>
      <w:tr w14:paraId="353D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67" w:type="pct"/>
            <w:vAlign w:val="center"/>
          </w:tcPr>
          <w:p w14:paraId="042B2BB6">
            <w:pPr>
              <w:adjustRightInd w:val="0"/>
              <w:snapToGrid w:val="0"/>
              <w:jc w:val="center"/>
              <w:rPr>
                <w:rFonts w:ascii="Times New Roman" w:hAnsi="Times New Roman" w:eastAsiaTheme="minorEastAsia"/>
                <w:snapToGrid w:val="0"/>
                <w:szCs w:val="21"/>
              </w:rPr>
            </w:pPr>
            <w:r>
              <w:rPr>
                <w:rFonts w:hint="eastAsia" w:ascii="Times New Roman" w:hAnsi="Times New Roman" w:eastAsiaTheme="minorEastAsia"/>
                <w:snapToGrid w:val="0"/>
                <w:szCs w:val="21"/>
              </w:rPr>
              <w:t>1</w:t>
            </w:r>
          </w:p>
        </w:tc>
        <w:tc>
          <w:tcPr>
            <w:tcW w:w="571" w:type="pct"/>
            <w:vAlign w:val="center"/>
          </w:tcPr>
          <w:p w14:paraId="35D7DD2D">
            <w:pPr>
              <w:adjustRightInd w:val="0"/>
              <w:snapToGrid w:val="0"/>
              <w:jc w:val="center"/>
              <w:rPr>
                <w:rFonts w:ascii="Times New Roman" w:hAnsi="Times New Roman"/>
                <w:snapToGrid w:val="0"/>
                <w:szCs w:val="21"/>
              </w:rPr>
            </w:pPr>
          </w:p>
        </w:tc>
        <w:tc>
          <w:tcPr>
            <w:tcW w:w="603" w:type="pct"/>
            <w:vAlign w:val="center"/>
          </w:tcPr>
          <w:p w14:paraId="6E312C93">
            <w:pPr>
              <w:adjustRightInd w:val="0"/>
              <w:snapToGrid w:val="0"/>
              <w:jc w:val="center"/>
              <w:rPr>
                <w:rFonts w:ascii="Times New Roman" w:hAnsi="Times New Roman"/>
                <w:snapToGrid w:val="0"/>
                <w:szCs w:val="21"/>
              </w:rPr>
            </w:pPr>
          </w:p>
        </w:tc>
        <w:tc>
          <w:tcPr>
            <w:tcW w:w="528" w:type="pct"/>
            <w:vAlign w:val="center"/>
          </w:tcPr>
          <w:p w14:paraId="41199648">
            <w:pPr>
              <w:adjustRightInd w:val="0"/>
              <w:snapToGrid w:val="0"/>
              <w:jc w:val="center"/>
              <w:rPr>
                <w:rFonts w:ascii="Times New Roman" w:hAnsi="Times New Roman"/>
                <w:snapToGrid w:val="0"/>
                <w:szCs w:val="21"/>
              </w:rPr>
            </w:pPr>
          </w:p>
        </w:tc>
        <w:tc>
          <w:tcPr>
            <w:tcW w:w="857" w:type="pct"/>
            <w:vAlign w:val="center"/>
          </w:tcPr>
          <w:p w14:paraId="75FC6B03">
            <w:pPr>
              <w:adjustRightInd w:val="0"/>
              <w:snapToGrid w:val="0"/>
              <w:jc w:val="center"/>
              <w:rPr>
                <w:rFonts w:ascii="Times New Roman" w:hAnsi="Times New Roman"/>
                <w:snapToGrid w:val="0"/>
                <w:szCs w:val="21"/>
              </w:rPr>
            </w:pPr>
          </w:p>
        </w:tc>
        <w:tc>
          <w:tcPr>
            <w:tcW w:w="623" w:type="pct"/>
            <w:vAlign w:val="center"/>
          </w:tcPr>
          <w:p w14:paraId="6E7E52C1">
            <w:pPr>
              <w:adjustRightInd w:val="0"/>
              <w:snapToGrid w:val="0"/>
              <w:jc w:val="center"/>
              <w:rPr>
                <w:rFonts w:ascii="Times New Roman" w:hAnsi="Times New Roman"/>
                <w:snapToGrid w:val="0"/>
                <w:szCs w:val="21"/>
              </w:rPr>
            </w:pPr>
          </w:p>
        </w:tc>
        <w:tc>
          <w:tcPr>
            <w:tcW w:w="1351" w:type="pct"/>
            <w:vAlign w:val="center"/>
          </w:tcPr>
          <w:p w14:paraId="13BCCBA4">
            <w:pPr>
              <w:adjustRightInd w:val="0"/>
              <w:snapToGrid w:val="0"/>
              <w:jc w:val="center"/>
              <w:rPr>
                <w:rFonts w:ascii="Times New Roman" w:hAnsi="Times New Roman"/>
                <w:snapToGrid w:val="0"/>
                <w:szCs w:val="21"/>
              </w:rPr>
            </w:pPr>
          </w:p>
        </w:tc>
      </w:tr>
      <w:tr w14:paraId="7C9B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67" w:type="pct"/>
            <w:vAlign w:val="center"/>
          </w:tcPr>
          <w:p w14:paraId="68F8872B">
            <w:pPr>
              <w:adjustRightInd w:val="0"/>
              <w:snapToGrid w:val="0"/>
              <w:jc w:val="center"/>
              <w:rPr>
                <w:rFonts w:ascii="Times New Roman" w:hAnsi="Times New Roman" w:eastAsiaTheme="minorEastAsia"/>
                <w:snapToGrid w:val="0"/>
                <w:szCs w:val="21"/>
              </w:rPr>
            </w:pPr>
            <w:r>
              <w:rPr>
                <w:rFonts w:ascii="Times New Roman" w:hAnsi="Times New Roman" w:eastAsiaTheme="minorEastAsia"/>
                <w:snapToGrid w:val="0"/>
                <w:szCs w:val="21"/>
              </w:rPr>
              <w:t>…</w:t>
            </w:r>
          </w:p>
        </w:tc>
        <w:tc>
          <w:tcPr>
            <w:tcW w:w="571" w:type="pct"/>
            <w:vAlign w:val="center"/>
          </w:tcPr>
          <w:p w14:paraId="049476E7">
            <w:pPr>
              <w:adjustRightInd w:val="0"/>
              <w:snapToGrid w:val="0"/>
              <w:jc w:val="center"/>
              <w:rPr>
                <w:rFonts w:ascii="Times New Roman" w:hAnsi="Times New Roman"/>
                <w:snapToGrid w:val="0"/>
                <w:szCs w:val="21"/>
              </w:rPr>
            </w:pPr>
          </w:p>
        </w:tc>
        <w:tc>
          <w:tcPr>
            <w:tcW w:w="603" w:type="pct"/>
            <w:vAlign w:val="center"/>
          </w:tcPr>
          <w:p w14:paraId="051FA34D">
            <w:pPr>
              <w:adjustRightInd w:val="0"/>
              <w:snapToGrid w:val="0"/>
              <w:jc w:val="center"/>
              <w:rPr>
                <w:rFonts w:ascii="Times New Roman" w:hAnsi="Times New Roman"/>
                <w:snapToGrid w:val="0"/>
                <w:szCs w:val="21"/>
              </w:rPr>
            </w:pPr>
          </w:p>
        </w:tc>
        <w:tc>
          <w:tcPr>
            <w:tcW w:w="528" w:type="pct"/>
            <w:vAlign w:val="center"/>
          </w:tcPr>
          <w:p w14:paraId="6DC35945">
            <w:pPr>
              <w:adjustRightInd w:val="0"/>
              <w:snapToGrid w:val="0"/>
              <w:jc w:val="center"/>
              <w:rPr>
                <w:rFonts w:ascii="Times New Roman" w:hAnsi="Times New Roman"/>
                <w:snapToGrid w:val="0"/>
                <w:szCs w:val="21"/>
              </w:rPr>
            </w:pPr>
          </w:p>
        </w:tc>
        <w:tc>
          <w:tcPr>
            <w:tcW w:w="857" w:type="pct"/>
            <w:vAlign w:val="center"/>
          </w:tcPr>
          <w:p w14:paraId="16D2A85F">
            <w:pPr>
              <w:adjustRightInd w:val="0"/>
              <w:snapToGrid w:val="0"/>
              <w:jc w:val="center"/>
              <w:rPr>
                <w:rFonts w:ascii="Times New Roman" w:hAnsi="Times New Roman"/>
                <w:snapToGrid w:val="0"/>
                <w:szCs w:val="21"/>
              </w:rPr>
            </w:pPr>
          </w:p>
        </w:tc>
        <w:tc>
          <w:tcPr>
            <w:tcW w:w="623" w:type="pct"/>
            <w:vAlign w:val="center"/>
          </w:tcPr>
          <w:p w14:paraId="459A0649">
            <w:pPr>
              <w:adjustRightInd w:val="0"/>
              <w:snapToGrid w:val="0"/>
              <w:jc w:val="center"/>
              <w:rPr>
                <w:rFonts w:ascii="Times New Roman" w:hAnsi="Times New Roman"/>
                <w:snapToGrid w:val="0"/>
                <w:szCs w:val="21"/>
              </w:rPr>
            </w:pPr>
          </w:p>
        </w:tc>
        <w:tc>
          <w:tcPr>
            <w:tcW w:w="1351" w:type="pct"/>
            <w:vAlign w:val="center"/>
          </w:tcPr>
          <w:p w14:paraId="37E9BC45">
            <w:pPr>
              <w:adjustRightInd w:val="0"/>
              <w:snapToGrid w:val="0"/>
              <w:jc w:val="center"/>
              <w:rPr>
                <w:rFonts w:ascii="Times New Roman" w:hAnsi="Times New Roman"/>
                <w:snapToGrid w:val="0"/>
                <w:szCs w:val="21"/>
              </w:rPr>
            </w:pPr>
          </w:p>
        </w:tc>
      </w:tr>
    </w:tbl>
    <w:p w14:paraId="12C15131">
      <w:pPr>
        <w:spacing w:line="240" w:lineRule="auto"/>
        <w:jc w:val="center"/>
        <w:rPr>
          <w:rFonts w:ascii="Times New Roman" w:hAnsi="Times New Roman" w:eastAsia="黑体" w:cs="Times New Roman"/>
          <w:snapToGrid w:val="0"/>
          <w:kern w:val="0"/>
          <w:sz w:val="18"/>
          <w:szCs w:val="18"/>
        </w:rPr>
      </w:pPr>
    </w:p>
    <w:p w14:paraId="59C4B33B">
      <w:pPr>
        <w:spacing w:line="240" w:lineRule="auto"/>
        <w:jc w:val="center"/>
        <w:rPr>
          <w:rFonts w:ascii="Times New Roman" w:hAnsi="Times New Roman" w:eastAsia="黑体" w:cs="Times New Roman"/>
          <w:snapToGrid w:val="0"/>
          <w:kern w:val="0"/>
          <w:sz w:val="18"/>
          <w:szCs w:val="18"/>
        </w:rPr>
      </w:pPr>
      <w:r>
        <w:rPr>
          <w:rFonts w:ascii="Times New Roman" w:hAnsi="Times New Roman" w:eastAsia="黑体" w:cs="Times New Roman"/>
          <w:snapToGrid w:val="0"/>
          <w:kern w:val="0"/>
          <w:sz w:val="18"/>
          <w:szCs w:val="18"/>
        </w:rPr>
        <w:t>表</w:t>
      </w:r>
      <w:r>
        <w:rPr>
          <w:rFonts w:hint="eastAsia" w:ascii="Times New Roman" w:hAnsi="Times New Roman" w:eastAsia="黑体" w:cs="Times New Roman"/>
          <w:snapToGrid w:val="0"/>
          <w:kern w:val="0"/>
          <w:sz w:val="18"/>
          <w:szCs w:val="18"/>
        </w:rPr>
        <w:t>B</w:t>
      </w:r>
      <w:r>
        <w:rPr>
          <w:rFonts w:ascii="Times New Roman" w:hAnsi="Times New Roman" w:eastAsia="黑体" w:cs="Times New Roman"/>
          <w:snapToGrid w:val="0"/>
          <w:kern w:val="0"/>
          <w:sz w:val="18"/>
          <w:szCs w:val="18"/>
        </w:rPr>
        <w:t>.16  HAZOP分析结果落实情况</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4235"/>
        <w:gridCol w:w="1051"/>
        <w:gridCol w:w="3072"/>
      </w:tblGrid>
      <w:tr w14:paraId="5F20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trPr>
        <w:tc>
          <w:tcPr>
            <w:tcW w:w="388" w:type="pct"/>
            <w:vAlign w:val="center"/>
          </w:tcPr>
          <w:p w14:paraId="53444FAA">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序号</w:t>
            </w:r>
          </w:p>
        </w:tc>
        <w:tc>
          <w:tcPr>
            <w:tcW w:w="2337" w:type="pct"/>
            <w:vAlign w:val="center"/>
          </w:tcPr>
          <w:p w14:paraId="0AE091E5">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建议内容</w:t>
            </w:r>
          </w:p>
        </w:tc>
        <w:tc>
          <w:tcPr>
            <w:tcW w:w="580" w:type="pct"/>
            <w:vAlign w:val="center"/>
          </w:tcPr>
          <w:p w14:paraId="7B44CBA4">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是否采纳</w:t>
            </w:r>
          </w:p>
        </w:tc>
        <w:tc>
          <w:tcPr>
            <w:tcW w:w="1695" w:type="pct"/>
            <w:vAlign w:val="center"/>
          </w:tcPr>
          <w:p w14:paraId="3DE0C36C">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落实情况</w:t>
            </w:r>
          </w:p>
        </w:tc>
      </w:tr>
      <w:tr w14:paraId="3945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88" w:type="pct"/>
            <w:vAlign w:val="center"/>
          </w:tcPr>
          <w:p w14:paraId="33669DAA">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1</w:t>
            </w:r>
          </w:p>
        </w:tc>
        <w:tc>
          <w:tcPr>
            <w:tcW w:w="2337" w:type="pct"/>
            <w:vAlign w:val="center"/>
          </w:tcPr>
          <w:p w14:paraId="75F1D351">
            <w:pPr>
              <w:jc w:val="center"/>
              <w:rPr>
                <w:rFonts w:ascii="Times New Roman" w:hAnsi="Times New Roman" w:eastAsia="宋体" w:cs="Times New Roman"/>
                <w:sz w:val="18"/>
                <w:szCs w:val="18"/>
                <w14:ligatures w14:val="none"/>
              </w:rPr>
            </w:pPr>
          </w:p>
        </w:tc>
        <w:tc>
          <w:tcPr>
            <w:tcW w:w="580" w:type="pct"/>
            <w:vAlign w:val="center"/>
          </w:tcPr>
          <w:p w14:paraId="1AF5E3F6">
            <w:pPr>
              <w:jc w:val="center"/>
              <w:rPr>
                <w:rFonts w:ascii="Times New Roman" w:hAnsi="Times New Roman" w:eastAsia="宋体" w:cs="Times New Roman"/>
                <w:sz w:val="18"/>
                <w:szCs w:val="18"/>
                <w14:ligatures w14:val="none"/>
              </w:rPr>
            </w:pPr>
          </w:p>
        </w:tc>
        <w:tc>
          <w:tcPr>
            <w:tcW w:w="1695" w:type="pct"/>
            <w:vAlign w:val="center"/>
          </w:tcPr>
          <w:p w14:paraId="522C2B5D">
            <w:pPr>
              <w:jc w:val="center"/>
              <w:rPr>
                <w:rFonts w:ascii="Times New Roman" w:hAnsi="Times New Roman" w:eastAsia="宋体" w:cs="Times New Roman"/>
                <w:sz w:val="18"/>
                <w:szCs w:val="18"/>
                <w14:ligatures w14:val="none"/>
              </w:rPr>
            </w:pPr>
          </w:p>
        </w:tc>
      </w:tr>
      <w:tr w14:paraId="7180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388" w:type="pct"/>
            <w:vAlign w:val="center"/>
          </w:tcPr>
          <w:p w14:paraId="778FC189">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2337" w:type="pct"/>
            <w:vAlign w:val="center"/>
          </w:tcPr>
          <w:p w14:paraId="0217E893">
            <w:pPr>
              <w:jc w:val="center"/>
              <w:rPr>
                <w:rFonts w:ascii="Times New Roman" w:hAnsi="Times New Roman" w:eastAsia="宋体" w:cs="Times New Roman"/>
                <w:sz w:val="18"/>
                <w:szCs w:val="18"/>
                <w14:ligatures w14:val="none"/>
              </w:rPr>
            </w:pPr>
          </w:p>
        </w:tc>
        <w:tc>
          <w:tcPr>
            <w:tcW w:w="580" w:type="pct"/>
            <w:vAlign w:val="center"/>
          </w:tcPr>
          <w:p w14:paraId="18C64720">
            <w:pPr>
              <w:jc w:val="center"/>
              <w:rPr>
                <w:rFonts w:ascii="Times New Roman" w:hAnsi="Times New Roman" w:eastAsia="宋体" w:cs="Times New Roman"/>
                <w:sz w:val="18"/>
                <w:szCs w:val="18"/>
                <w14:ligatures w14:val="none"/>
              </w:rPr>
            </w:pPr>
          </w:p>
        </w:tc>
        <w:tc>
          <w:tcPr>
            <w:tcW w:w="1695" w:type="pct"/>
            <w:vAlign w:val="center"/>
          </w:tcPr>
          <w:p w14:paraId="166BDFC9">
            <w:pPr>
              <w:jc w:val="center"/>
              <w:rPr>
                <w:rFonts w:ascii="Times New Roman" w:hAnsi="Times New Roman" w:eastAsia="宋体" w:cs="Times New Roman"/>
                <w:sz w:val="18"/>
                <w:szCs w:val="18"/>
                <w14:ligatures w14:val="none"/>
              </w:rPr>
            </w:pPr>
          </w:p>
        </w:tc>
      </w:tr>
    </w:tbl>
    <w:p w14:paraId="514829C0">
      <w:pPr>
        <w:jc w:val="center"/>
        <w:rPr>
          <w:rFonts w:ascii="Times New Roman" w:hAnsi="Times New Roman" w:eastAsia="黑体" w:cs="Times New Roman"/>
          <w:snapToGrid w:val="0"/>
          <w:kern w:val="0"/>
          <w:sz w:val="18"/>
          <w:szCs w:val="18"/>
        </w:rPr>
      </w:pPr>
    </w:p>
    <w:p w14:paraId="4CDAC4FB">
      <w:pPr>
        <w:jc w:val="center"/>
        <w:rPr>
          <w:rFonts w:ascii="Times New Roman" w:eastAsia="黑体"/>
          <w:snapToGrid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.17  </w:t>
      </w:r>
      <w:r>
        <w:rPr>
          <w:rFonts w:hint="eastAsia" w:ascii="Times New Roman" w:hAnsi="Times New Roman" w:eastAsia="黑体" w:cs="Times New Roman"/>
          <w:snapToGrid w:val="0"/>
          <w:kern w:val="0"/>
          <w:sz w:val="18"/>
          <w:szCs w:val="18"/>
        </w:rPr>
        <w:t>人员密集高后果区统计表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2122"/>
        <w:gridCol w:w="944"/>
        <w:gridCol w:w="814"/>
        <w:gridCol w:w="611"/>
        <w:gridCol w:w="1374"/>
        <w:gridCol w:w="1606"/>
        <w:gridCol w:w="1011"/>
      </w:tblGrid>
      <w:tr w14:paraId="0650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20" w:type="pct"/>
            <w:vAlign w:val="center"/>
          </w:tcPr>
          <w:p w14:paraId="74356399">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序号</w:t>
            </w:r>
          </w:p>
        </w:tc>
        <w:tc>
          <w:tcPr>
            <w:tcW w:w="1171" w:type="pct"/>
            <w:vAlign w:val="center"/>
          </w:tcPr>
          <w:p w14:paraId="4B13CD44">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市（设区）、县、乡、村</w:t>
            </w:r>
          </w:p>
        </w:tc>
        <w:tc>
          <w:tcPr>
            <w:tcW w:w="521" w:type="pct"/>
            <w:vAlign w:val="center"/>
          </w:tcPr>
          <w:p w14:paraId="5E9146B9">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起止桩号</w:t>
            </w:r>
          </w:p>
        </w:tc>
        <w:tc>
          <w:tcPr>
            <w:tcW w:w="449" w:type="pct"/>
            <w:vAlign w:val="center"/>
          </w:tcPr>
          <w:p w14:paraId="2F498442">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长度</w:t>
            </w:r>
          </w:p>
          <w:p w14:paraId="7E7A8AF1">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m</w:t>
            </w:r>
            <w:r>
              <w:rPr>
                <w:rFonts w:hint="eastAsia" w:ascii="Times New Roman" w:hAnsi="Times New Roman" w:eastAsia="宋体" w:cs="Times New Roman"/>
                <w:sz w:val="18"/>
                <w:szCs w:val="18"/>
                <w14:ligatures w14:val="none"/>
              </w:rPr>
              <w:t>）</w:t>
            </w:r>
          </w:p>
        </w:tc>
        <w:tc>
          <w:tcPr>
            <w:tcW w:w="337" w:type="pct"/>
            <w:vAlign w:val="center"/>
          </w:tcPr>
          <w:p w14:paraId="129B341B">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级别</w:t>
            </w:r>
          </w:p>
        </w:tc>
        <w:tc>
          <w:tcPr>
            <w:tcW w:w="758" w:type="pct"/>
            <w:vAlign w:val="center"/>
          </w:tcPr>
          <w:p w14:paraId="5EF89F28">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输气管道地区等级</w:t>
            </w:r>
          </w:p>
        </w:tc>
        <w:tc>
          <w:tcPr>
            <w:tcW w:w="886" w:type="pct"/>
            <w:vAlign w:val="center"/>
          </w:tcPr>
          <w:p w14:paraId="2A0B0E7E">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距上下游站场</w:t>
            </w:r>
            <w:r>
              <w:rPr>
                <w:rFonts w:ascii="Times New Roman" w:hAnsi="Times New Roman" w:eastAsia="宋体" w:cs="Times New Roman"/>
                <w:sz w:val="18"/>
                <w:szCs w:val="18"/>
                <w14:ligatures w14:val="none"/>
              </w:rPr>
              <w:t>/</w:t>
            </w:r>
            <w:r>
              <w:rPr>
                <w:rFonts w:hint="eastAsia" w:ascii="Times New Roman" w:hAnsi="Times New Roman" w:eastAsia="宋体" w:cs="Times New Roman"/>
                <w:sz w:val="18"/>
                <w:szCs w:val="18"/>
                <w14:ligatures w14:val="none"/>
              </w:rPr>
              <w:t>阀室距离</w:t>
            </w:r>
          </w:p>
        </w:tc>
        <w:tc>
          <w:tcPr>
            <w:tcW w:w="558" w:type="pct"/>
            <w:vAlign w:val="center"/>
          </w:tcPr>
          <w:p w14:paraId="66181679">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识别描述</w:t>
            </w:r>
          </w:p>
        </w:tc>
      </w:tr>
      <w:tr w14:paraId="53D0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20" w:type="pct"/>
            <w:vAlign w:val="center"/>
          </w:tcPr>
          <w:p w14:paraId="5DE2A158">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1</w:t>
            </w:r>
          </w:p>
        </w:tc>
        <w:tc>
          <w:tcPr>
            <w:tcW w:w="1171" w:type="pct"/>
            <w:vAlign w:val="center"/>
          </w:tcPr>
          <w:p w14:paraId="431D2320">
            <w:pPr>
              <w:spacing w:line="240" w:lineRule="auto"/>
              <w:jc w:val="center"/>
              <w:rPr>
                <w:rFonts w:ascii="Times New Roman" w:hAnsi="Times New Roman" w:eastAsia="宋体" w:cs="Times New Roman"/>
                <w:sz w:val="18"/>
                <w:szCs w:val="18"/>
                <w14:ligatures w14:val="none"/>
              </w:rPr>
            </w:pPr>
          </w:p>
        </w:tc>
        <w:tc>
          <w:tcPr>
            <w:tcW w:w="521" w:type="pct"/>
            <w:vAlign w:val="center"/>
          </w:tcPr>
          <w:p w14:paraId="057A8A34">
            <w:pPr>
              <w:spacing w:line="240" w:lineRule="auto"/>
              <w:jc w:val="center"/>
              <w:rPr>
                <w:rFonts w:ascii="Times New Roman" w:hAnsi="Times New Roman" w:eastAsia="宋体" w:cs="Times New Roman"/>
                <w:sz w:val="18"/>
                <w:szCs w:val="18"/>
                <w14:ligatures w14:val="none"/>
              </w:rPr>
            </w:pPr>
          </w:p>
        </w:tc>
        <w:tc>
          <w:tcPr>
            <w:tcW w:w="449" w:type="pct"/>
            <w:vAlign w:val="center"/>
          </w:tcPr>
          <w:p w14:paraId="401013A5">
            <w:pPr>
              <w:spacing w:line="240" w:lineRule="auto"/>
              <w:jc w:val="center"/>
              <w:rPr>
                <w:rFonts w:ascii="Times New Roman" w:hAnsi="Times New Roman" w:eastAsia="宋体" w:cs="Times New Roman"/>
                <w:sz w:val="18"/>
                <w:szCs w:val="18"/>
                <w14:ligatures w14:val="none"/>
              </w:rPr>
            </w:pPr>
          </w:p>
        </w:tc>
        <w:tc>
          <w:tcPr>
            <w:tcW w:w="337" w:type="pct"/>
            <w:vAlign w:val="center"/>
          </w:tcPr>
          <w:p w14:paraId="0D3660AA">
            <w:pPr>
              <w:spacing w:line="240" w:lineRule="auto"/>
              <w:jc w:val="center"/>
              <w:rPr>
                <w:rFonts w:ascii="Times New Roman" w:hAnsi="Times New Roman" w:eastAsia="宋体" w:cs="Times New Roman"/>
                <w:sz w:val="18"/>
                <w:szCs w:val="18"/>
                <w14:ligatures w14:val="none"/>
              </w:rPr>
            </w:pPr>
          </w:p>
        </w:tc>
        <w:tc>
          <w:tcPr>
            <w:tcW w:w="758" w:type="pct"/>
            <w:vAlign w:val="center"/>
          </w:tcPr>
          <w:p w14:paraId="3CA1F185">
            <w:pPr>
              <w:spacing w:line="240" w:lineRule="auto"/>
              <w:jc w:val="center"/>
              <w:rPr>
                <w:rFonts w:ascii="Times New Roman" w:hAnsi="Times New Roman" w:eastAsia="宋体" w:cs="Times New Roman"/>
                <w:sz w:val="18"/>
                <w:szCs w:val="18"/>
                <w14:ligatures w14:val="none"/>
              </w:rPr>
            </w:pPr>
          </w:p>
        </w:tc>
        <w:tc>
          <w:tcPr>
            <w:tcW w:w="886" w:type="pct"/>
            <w:vAlign w:val="center"/>
          </w:tcPr>
          <w:p w14:paraId="641E93FF">
            <w:pPr>
              <w:spacing w:line="240" w:lineRule="auto"/>
              <w:jc w:val="center"/>
              <w:rPr>
                <w:rFonts w:ascii="Times New Roman" w:hAnsi="Times New Roman" w:eastAsia="宋体" w:cs="Times New Roman"/>
                <w:sz w:val="18"/>
                <w:szCs w:val="18"/>
                <w14:ligatures w14:val="none"/>
              </w:rPr>
            </w:pPr>
          </w:p>
        </w:tc>
        <w:tc>
          <w:tcPr>
            <w:tcW w:w="558" w:type="pct"/>
            <w:vAlign w:val="center"/>
          </w:tcPr>
          <w:p w14:paraId="6F53A949">
            <w:pPr>
              <w:spacing w:line="240" w:lineRule="auto"/>
              <w:jc w:val="center"/>
              <w:rPr>
                <w:rFonts w:ascii="Times New Roman" w:hAnsi="Times New Roman" w:eastAsia="宋体" w:cs="Times New Roman"/>
                <w:sz w:val="18"/>
                <w:szCs w:val="18"/>
                <w14:ligatures w14:val="none"/>
              </w:rPr>
            </w:pPr>
          </w:p>
        </w:tc>
      </w:tr>
      <w:tr w14:paraId="157A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20" w:type="pct"/>
            <w:vAlign w:val="center"/>
          </w:tcPr>
          <w:p w14:paraId="293F7383">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1171" w:type="pct"/>
            <w:vAlign w:val="center"/>
          </w:tcPr>
          <w:p w14:paraId="708E757A">
            <w:pPr>
              <w:spacing w:line="240" w:lineRule="auto"/>
              <w:jc w:val="center"/>
              <w:rPr>
                <w:rFonts w:ascii="Times New Roman" w:hAnsi="Times New Roman" w:eastAsia="宋体" w:cs="Times New Roman"/>
                <w:sz w:val="18"/>
                <w:szCs w:val="18"/>
                <w14:ligatures w14:val="none"/>
              </w:rPr>
            </w:pPr>
          </w:p>
        </w:tc>
        <w:tc>
          <w:tcPr>
            <w:tcW w:w="521" w:type="pct"/>
            <w:vAlign w:val="center"/>
          </w:tcPr>
          <w:p w14:paraId="5F26F11A">
            <w:pPr>
              <w:spacing w:line="240" w:lineRule="auto"/>
              <w:jc w:val="center"/>
              <w:rPr>
                <w:rFonts w:ascii="Times New Roman" w:hAnsi="Times New Roman" w:eastAsia="宋体" w:cs="Times New Roman"/>
                <w:sz w:val="18"/>
                <w:szCs w:val="18"/>
                <w14:ligatures w14:val="none"/>
              </w:rPr>
            </w:pPr>
          </w:p>
        </w:tc>
        <w:tc>
          <w:tcPr>
            <w:tcW w:w="449" w:type="pct"/>
            <w:vAlign w:val="center"/>
          </w:tcPr>
          <w:p w14:paraId="1C8EF75B">
            <w:pPr>
              <w:spacing w:line="240" w:lineRule="auto"/>
              <w:jc w:val="center"/>
              <w:rPr>
                <w:rFonts w:ascii="Times New Roman" w:hAnsi="Times New Roman" w:eastAsia="宋体" w:cs="Times New Roman"/>
                <w:sz w:val="18"/>
                <w:szCs w:val="18"/>
                <w14:ligatures w14:val="none"/>
              </w:rPr>
            </w:pPr>
          </w:p>
        </w:tc>
        <w:tc>
          <w:tcPr>
            <w:tcW w:w="337" w:type="pct"/>
            <w:vAlign w:val="center"/>
          </w:tcPr>
          <w:p w14:paraId="6C6B36F8">
            <w:pPr>
              <w:spacing w:line="240" w:lineRule="auto"/>
              <w:jc w:val="center"/>
              <w:rPr>
                <w:rFonts w:ascii="Times New Roman" w:hAnsi="Times New Roman" w:eastAsia="宋体" w:cs="Times New Roman"/>
                <w:sz w:val="18"/>
                <w:szCs w:val="18"/>
                <w14:ligatures w14:val="none"/>
              </w:rPr>
            </w:pPr>
          </w:p>
        </w:tc>
        <w:tc>
          <w:tcPr>
            <w:tcW w:w="758" w:type="pct"/>
            <w:vAlign w:val="center"/>
          </w:tcPr>
          <w:p w14:paraId="75F472F6">
            <w:pPr>
              <w:spacing w:line="240" w:lineRule="auto"/>
              <w:jc w:val="center"/>
              <w:rPr>
                <w:rFonts w:ascii="Times New Roman" w:hAnsi="Times New Roman" w:eastAsia="宋体" w:cs="Times New Roman"/>
                <w:sz w:val="18"/>
                <w:szCs w:val="18"/>
                <w14:ligatures w14:val="none"/>
              </w:rPr>
            </w:pPr>
          </w:p>
        </w:tc>
        <w:tc>
          <w:tcPr>
            <w:tcW w:w="886" w:type="pct"/>
            <w:vAlign w:val="center"/>
          </w:tcPr>
          <w:p w14:paraId="2BF1CEEE">
            <w:pPr>
              <w:spacing w:line="240" w:lineRule="auto"/>
              <w:jc w:val="center"/>
              <w:rPr>
                <w:rFonts w:ascii="Times New Roman" w:hAnsi="Times New Roman" w:eastAsia="宋体" w:cs="Times New Roman"/>
                <w:sz w:val="18"/>
                <w:szCs w:val="18"/>
                <w14:ligatures w14:val="none"/>
              </w:rPr>
            </w:pPr>
          </w:p>
        </w:tc>
        <w:tc>
          <w:tcPr>
            <w:tcW w:w="558" w:type="pct"/>
            <w:vAlign w:val="center"/>
          </w:tcPr>
          <w:p w14:paraId="401E0C17">
            <w:pPr>
              <w:spacing w:line="240" w:lineRule="auto"/>
              <w:jc w:val="center"/>
              <w:rPr>
                <w:rFonts w:ascii="Times New Roman" w:hAnsi="Times New Roman" w:eastAsia="宋体" w:cs="Times New Roman"/>
                <w:sz w:val="18"/>
                <w:szCs w:val="18"/>
                <w14:ligatures w14:val="none"/>
              </w:rPr>
            </w:pPr>
          </w:p>
        </w:tc>
      </w:tr>
    </w:tbl>
    <w:p w14:paraId="543911EE">
      <w:pPr>
        <w:jc w:val="center"/>
        <w:rPr>
          <w:rFonts w:ascii="Times New Roman" w:hAnsi="Times New Roman" w:eastAsia="黑体" w:cs="Times New Roman"/>
          <w:snapToGrid w:val="0"/>
          <w:kern w:val="0"/>
          <w:sz w:val="18"/>
          <w:szCs w:val="18"/>
        </w:rPr>
      </w:pPr>
    </w:p>
    <w:p w14:paraId="5BF56324">
      <w:pPr>
        <w:jc w:val="center"/>
        <w:rPr>
          <w:rFonts w:ascii="Times New Roman" w:hAnsi="Times New Roman" w:eastAsia="黑体" w:cs="Times New Roman"/>
          <w:snapToGrid w:val="0"/>
          <w:kern w:val="0"/>
          <w:sz w:val="18"/>
          <w:szCs w:val="18"/>
        </w:rPr>
      </w:pPr>
      <w:r>
        <w:rPr>
          <w:rFonts w:ascii="Times New Roman" w:hAnsi="Times New Roman" w:eastAsia="黑体" w:cs="Times New Roman"/>
          <w:snapToGrid w:val="0"/>
          <w:kern w:val="0"/>
          <w:sz w:val="18"/>
          <w:szCs w:val="18"/>
        </w:rPr>
        <w:t>表</w:t>
      </w:r>
      <w:r>
        <w:rPr>
          <w:rFonts w:hint="eastAsia" w:ascii="Times New Roman" w:hAnsi="Times New Roman" w:eastAsia="黑体" w:cs="Times New Roman"/>
          <w:snapToGrid w:val="0"/>
          <w:kern w:val="0"/>
          <w:sz w:val="18"/>
          <w:szCs w:val="18"/>
        </w:rPr>
        <w:t>B</w:t>
      </w:r>
      <w:r>
        <w:rPr>
          <w:rFonts w:ascii="Times New Roman" w:hAnsi="Times New Roman" w:eastAsia="黑体" w:cs="Times New Roman"/>
          <w:snapToGrid w:val="0"/>
          <w:kern w:val="0"/>
          <w:sz w:val="18"/>
          <w:szCs w:val="18"/>
        </w:rPr>
        <w:t>.18  穿（跨）越统计表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773"/>
        <w:gridCol w:w="2013"/>
        <w:gridCol w:w="1876"/>
        <w:gridCol w:w="1772"/>
      </w:tblGrid>
      <w:tr w14:paraId="61AF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346" w:type="pct"/>
            <w:vAlign w:val="center"/>
          </w:tcPr>
          <w:p w14:paraId="720FADB7">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序号</w:t>
            </w:r>
          </w:p>
        </w:tc>
        <w:tc>
          <w:tcPr>
            <w:tcW w:w="1530" w:type="pct"/>
            <w:vAlign w:val="center"/>
          </w:tcPr>
          <w:p w14:paraId="5CF55B1E">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名称</w:t>
            </w:r>
          </w:p>
        </w:tc>
        <w:tc>
          <w:tcPr>
            <w:tcW w:w="1111" w:type="pct"/>
            <w:vAlign w:val="center"/>
          </w:tcPr>
          <w:p w14:paraId="0A0D4FFB">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穿（跨）越方式</w:t>
            </w:r>
          </w:p>
        </w:tc>
        <w:tc>
          <w:tcPr>
            <w:tcW w:w="1035" w:type="pct"/>
            <w:vAlign w:val="center"/>
          </w:tcPr>
          <w:p w14:paraId="7C2F7B38">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长度</w:t>
            </w:r>
          </w:p>
          <w:p w14:paraId="4785092F">
            <w:pPr>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km</w:t>
            </w:r>
            <w:r>
              <w:rPr>
                <w:rFonts w:hint="eastAsia" w:ascii="Times New Roman" w:hAnsi="Times New Roman" w:eastAsia="宋体" w:cs="Times New Roman"/>
                <w:sz w:val="18"/>
                <w:szCs w:val="18"/>
                <w14:ligatures w14:val="none"/>
              </w:rPr>
              <w:t>）</w:t>
            </w:r>
          </w:p>
        </w:tc>
        <w:tc>
          <w:tcPr>
            <w:tcW w:w="979" w:type="pct"/>
            <w:vAlign w:val="center"/>
          </w:tcPr>
          <w:p w14:paraId="432C1A40">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地理位置</w:t>
            </w:r>
          </w:p>
        </w:tc>
      </w:tr>
      <w:tr w14:paraId="3F93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46" w:type="pct"/>
            <w:vAlign w:val="center"/>
          </w:tcPr>
          <w:p w14:paraId="344F12E1">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1</w:t>
            </w:r>
          </w:p>
        </w:tc>
        <w:tc>
          <w:tcPr>
            <w:tcW w:w="1530" w:type="pct"/>
            <w:vAlign w:val="center"/>
          </w:tcPr>
          <w:p w14:paraId="225E5C17">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XX山岭穿越</w:t>
            </w:r>
          </w:p>
        </w:tc>
        <w:tc>
          <w:tcPr>
            <w:tcW w:w="1111" w:type="pct"/>
            <w:vAlign w:val="center"/>
          </w:tcPr>
          <w:p w14:paraId="447CCA93">
            <w:pPr>
              <w:spacing w:line="240" w:lineRule="auto"/>
              <w:jc w:val="center"/>
              <w:rPr>
                <w:rFonts w:ascii="Times New Roman" w:hAnsi="Times New Roman" w:eastAsia="宋体" w:cs="Times New Roman"/>
                <w:sz w:val="18"/>
                <w:szCs w:val="18"/>
                <w14:ligatures w14:val="none"/>
              </w:rPr>
            </w:pPr>
          </w:p>
        </w:tc>
        <w:tc>
          <w:tcPr>
            <w:tcW w:w="1035" w:type="pct"/>
            <w:vAlign w:val="center"/>
          </w:tcPr>
          <w:p w14:paraId="511FADEF">
            <w:pPr>
              <w:spacing w:line="240" w:lineRule="auto"/>
              <w:jc w:val="center"/>
              <w:rPr>
                <w:rFonts w:ascii="Times New Roman" w:hAnsi="Times New Roman" w:eastAsia="宋体" w:cs="Times New Roman"/>
                <w:sz w:val="18"/>
                <w:szCs w:val="18"/>
                <w14:ligatures w14:val="none"/>
              </w:rPr>
            </w:pPr>
          </w:p>
        </w:tc>
        <w:tc>
          <w:tcPr>
            <w:tcW w:w="979" w:type="pct"/>
            <w:vAlign w:val="center"/>
          </w:tcPr>
          <w:p w14:paraId="19E345D5">
            <w:pPr>
              <w:spacing w:line="240" w:lineRule="auto"/>
              <w:jc w:val="center"/>
              <w:rPr>
                <w:rFonts w:ascii="Times New Roman" w:hAnsi="Times New Roman" w:eastAsia="宋体" w:cs="Times New Roman"/>
                <w:sz w:val="18"/>
                <w:szCs w:val="18"/>
                <w14:ligatures w14:val="none"/>
              </w:rPr>
            </w:pPr>
          </w:p>
        </w:tc>
      </w:tr>
      <w:tr w14:paraId="02EF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46" w:type="pct"/>
            <w:vAlign w:val="center"/>
          </w:tcPr>
          <w:p w14:paraId="7DE43E46">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2</w:t>
            </w:r>
          </w:p>
        </w:tc>
        <w:tc>
          <w:tcPr>
            <w:tcW w:w="1530" w:type="pct"/>
            <w:vAlign w:val="center"/>
          </w:tcPr>
          <w:p w14:paraId="5B0CFB3B">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XX河流穿（跨）越</w:t>
            </w:r>
          </w:p>
        </w:tc>
        <w:tc>
          <w:tcPr>
            <w:tcW w:w="1111" w:type="pct"/>
            <w:vAlign w:val="center"/>
          </w:tcPr>
          <w:p w14:paraId="3DA9C4D9">
            <w:pPr>
              <w:spacing w:line="240" w:lineRule="auto"/>
              <w:jc w:val="center"/>
              <w:rPr>
                <w:rFonts w:ascii="Times New Roman" w:hAnsi="Times New Roman" w:eastAsia="宋体" w:cs="Times New Roman"/>
                <w:sz w:val="18"/>
                <w:szCs w:val="18"/>
                <w14:ligatures w14:val="none"/>
              </w:rPr>
            </w:pPr>
          </w:p>
        </w:tc>
        <w:tc>
          <w:tcPr>
            <w:tcW w:w="1035" w:type="pct"/>
            <w:vAlign w:val="center"/>
          </w:tcPr>
          <w:p w14:paraId="00A1C658">
            <w:pPr>
              <w:spacing w:line="240" w:lineRule="auto"/>
              <w:jc w:val="center"/>
              <w:rPr>
                <w:rFonts w:ascii="Times New Roman" w:hAnsi="Times New Roman" w:eastAsia="宋体" w:cs="Times New Roman"/>
                <w:sz w:val="18"/>
                <w:szCs w:val="18"/>
                <w14:ligatures w14:val="none"/>
              </w:rPr>
            </w:pPr>
          </w:p>
        </w:tc>
        <w:tc>
          <w:tcPr>
            <w:tcW w:w="979" w:type="pct"/>
            <w:vAlign w:val="center"/>
          </w:tcPr>
          <w:p w14:paraId="4C345D1F">
            <w:pPr>
              <w:spacing w:line="240" w:lineRule="auto"/>
              <w:jc w:val="center"/>
              <w:rPr>
                <w:rFonts w:ascii="Times New Roman" w:hAnsi="Times New Roman" w:eastAsia="宋体" w:cs="Times New Roman"/>
                <w:sz w:val="18"/>
                <w:szCs w:val="18"/>
                <w14:ligatures w14:val="none"/>
              </w:rPr>
            </w:pPr>
          </w:p>
        </w:tc>
      </w:tr>
      <w:tr w14:paraId="6DA3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46" w:type="pct"/>
            <w:vAlign w:val="center"/>
          </w:tcPr>
          <w:p w14:paraId="631AC17C">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3</w:t>
            </w:r>
          </w:p>
        </w:tc>
        <w:tc>
          <w:tcPr>
            <w:tcW w:w="1530" w:type="pct"/>
            <w:vAlign w:val="center"/>
          </w:tcPr>
          <w:p w14:paraId="704BE0E7">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XX铁路穿越</w:t>
            </w:r>
          </w:p>
        </w:tc>
        <w:tc>
          <w:tcPr>
            <w:tcW w:w="1111" w:type="pct"/>
            <w:vAlign w:val="center"/>
          </w:tcPr>
          <w:p w14:paraId="7C6F1851">
            <w:pPr>
              <w:spacing w:line="240" w:lineRule="auto"/>
              <w:jc w:val="center"/>
              <w:rPr>
                <w:rFonts w:ascii="Times New Roman" w:hAnsi="Times New Roman" w:eastAsia="宋体" w:cs="Times New Roman"/>
                <w:sz w:val="18"/>
                <w:szCs w:val="18"/>
                <w14:ligatures w14:val="none"/>
              </w:rPr>
            </w:pPr>
          </w:p>
        </w:tc>
        <w:tc>
          <w:tcPr>
            <w:tcW w:w="1035" w:type="pct"/>
            <w:vAlign w:val="center"/>
          </w:tcPr>
          <w:p w14:paraId="39F5D337">
            <w:pPr>
              <w:spacing w:line="240" w:lineRule="auto"/>
              <w:jc w:val="center"/>
              <w:rPr>
                <w:rFonts w:ascii="Times New Roman" w:hAnsi="Times New Roman" w:eastAsia="宋体" w:cs="Times New Roman"/>
                <w:sz w:val="18"/>
                <w:szCs w:val="18"/>
                <w14:ligatures w14:val="none"/>
              </w:rPr>
            </w:pPr>
          </w:p>
        </w:tc>
        <w:tc>
          <w:tcPr>
            <w:tcW w:w="979" w:type="pct"/>
            <w:vAlign w:val="center"/>
          </w:tcPr>
          <w:p w14:paraId="79923F5B">
            <w:pPr>
              <w:spacing w:line="240" w:lineRule="auto"/>
              <w:jc w:val="center"/>
              <w:rPr>
                <w:rFonts w:ascii="Times New Roman" w:hAnsi="Times New Roman" w:eastAsia="宋体" w:cs="Times New Roman"/>
                <w:sz w:val="18"/>
                <w:szCs w:val="18"/>
                <w14:ligatures w14:val="none"/>
              </w:rPr>
            </w:pPr>
          </w:p>
        </w:tc>
      </w:tr>
      <w:tr w14:paraId="6FF1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46" w:type="pct"/>
            <w:vAlign w:val="center"/>
          </w:tcPr>
          <w:p w14:paraId="1C4E3517">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4</w:t>
            </w:r>
          </w:p>
        </w:tc>
        <w:tc>
          <w:tcPr>
            <w:tcW w:w="1530" w:type="pct"/>
            <w:vAlign w:val="center"/>
          </w:tcPr>
          <w:p w14:paraId="4F0744A3">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XX公路穿越</w:t>
            </w:r>
          </w:p>
        </w:tc>
        <w:tc>
          <w:tcPr>
            <w:tcW w:w="1111" w:type="pct"/>
            <w:vAlign w:val="center"/>
          </w:tcPr>
          <w:p w14:paraId="70E66597">
            <w:pPr>
              <w:spacing w:line="240" w:lineRule="auto"/>
              <w:jc w:val="center"/>
              <w:rPr>
                <w:rFonts w:ascii="Times New Roman" w:hAnsi="Times New Roman" w:eastAsia="宋体" w:cs="Times New Roman"/>
                <w:sz w:val="18"/>
                <w:szCs w:val="18"/>
                <w14:ligatures w14:val="none"/>
              </w:rPr>
            </w:pPr>
          </w:p>
        </w:tc>
        <w:tc>
          <w:tcPr>
            <w:tcW w:w="1035" w:type="pct"/>
            <w:vAlign w:val="center"/>
          </w:tcPr>
          <w:p w14:paraId="6AEA86BE">
            <w:pPr>
              <w:spacing w:line="240" w:lineRule="auto"/>
              <w:jc w:val="center"/>
              <w:rPr>
                <w:rFonts w:ascii="Times New Roman" w:hAnsi="Times New Roman" w:eastAsia="宋体" w:cs="Times New Roman"/>
                <w:sz w:val="18"/>
                <w:szCs w:val="18"/>
                <w14:ligatures w14:val="none"/>
              </w:rPr>
            </w:pPr>
          </w:p>
        </w:tc>
        <w:tc>
          <w:tcPr>
            <w:tcW w:w="979" w:type="pct"/>
            <w:vAlign w:val="center"/>
          </w:tcPr>
          <w:p w14:paraId="1CDBC27F">
            <w:pPr>
              <w:spacing w:line="240" w:lineRule="auto"/>
              <w:jc w:val="center"/>
              <w:rPr>
                <w:rFonts w:ascii="Times New Roman" w:hAnsi="Times New Roman" w:eastAsia="宋体" w:cs="Times New Roman"/>
                <w:sz w:val="18"/>
                <w:szCs w:val="18"/>
                <w14:ligatures w14:val="none"/>
              </w:rPr>
            </w:pPr>
          </w:p>
        </w:tc>
      </w:tr>
      <w:tr w14:paraId="5B4A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46" w:type="pct"/>
            <w:vAlign w:val="center"/>
          </w:tcPr>
          <w:p w14:paraId="791B5D59">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5</w:t>
            </w:r>
          </w:p>
        </w:tc>
        <w:tc>
          <w:tcPr>
            <w:tcW w:w="1530" w:type="pct"/>
            <w:vAlign w:val="center"/>
          </w:tcPr>
          <w:p w14:paraId="3B531765">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XX隧道穿越</w:t>
            </w:r>
          </w:p>
        </w:tc>
        <w:tc>
          <w:tcPr>
            <w:tcW w:w="1111" w:type="pct"/>
            <w:vAlign w:val="center"/>
          </w:tcPr>
          <w:p w14:paraId="45A84C9A">
            <w:pPr>
              <w:spacing w:line="240" w:lineRule="auto"/>
              <w:jc w:val="center"/>
              <w:rPr>
                <w:rFonts w:ascii="Times New Roman" w:hAnsi="Times New Roman" w:eastAsia="宋体" w:cs="Times New Roman"/>
                <w:sz w:val="18"/>
                <w:szCs w:val="18"/>
                <w14:ligatures w14:val="none"/>
              </w:rPr>
            </w:pPr>
          </w:p>
        </w:tc>
        <w:tc>
          <w:tcPr>
            <w:tcW w:w="1035" w:type="pct"/>
            <w:vAlign w:val="center"/>
          </w:tcPr>
          <w:p w14:paraId="7A4FC4D8">
            <w:pPr>
              <w:spacing w:line="240" w:lineRule="auto"/>
              <w:jc w:val="center"/>
              <w:rPr>
                <w:rFonts w:ascii="Times New Roman" w:hAnsi="Times New Roman" w:eastAsia="宋体" w:cs="Times New Roman"/>
                <w:sz w:val="18"/>
                <w:szCs w:val="18"/>
                <w14:ligatures w14:val="none"/>
              </w:rPr>
            </w:pPr>
          </w:p>
        </w:tc>
        <w:tc>
          <w:tcPr>
            <w:tcW w:w="979" w:type="pct"/>
            <w:vAlign w:val="center"/>
          </w:tcPr>
          <w:p w14:paraId="1EE46201">
            <w:pPr>
              <w:spacing w:line="240" w:lineRule="auto"/>
              <w:jc w:val="center"/>
              <w:rPr>
                <w:rFonts w:ascii="Times New Roman" w:hAnsi="Times New Roman" w:eastAsia="宋体" w:cs="Times New Roman"/>
                <w:sz w:val="18"/>
                <w:szCs w:val="18"/>
                <w14:ligatures w14:val="none"/>
              </w:rPr>
            </w:pPr>
          </w:p>
        </w:tc>
      </w:tr>
      <w:tr w14:paraId="15F4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46" w:type="pct"/>
            <w:vAlign w:val="center"/>
          </w:tcPr>
          <w:p w14:paraId="3258689F">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1530" w:type="pct"/>
            <w:vAlign w:val="center"/>
          </w:tcPr>
          <w:p w14:paraId="1D08D7F8">
            <w:pPr>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1111" w:type="pct"/>
            <w:vAlign w:val="center"/>
          </w:tcPr>
          <w:p w14:paraId="6E91EAC0">
            <w:pPr>
              <w:spacing w:line="240" w:lineRule="auto"/>
              <w:jc w:val="center"/>
              <w:rPr>
                <w:rFonts w:ascii="Times New Roman" w:hAnsi="Times New Roman" w:eastAsia="宋体" w:cs="Times New Roman"/>
                <w:sz w:val="18"/>
                <w:szCs w:val="18"/>
                <w14:ligatures w14:val="none"/>
              </w:rPr>
            </w:pPr>
          </w:p>
        </w:tc>
        <w:tc>
          <w:tcPr>
            <w:tcW w:w="1035" w:type="pct"/>
            <w:vAlign w:val="center"/>
          </w:tcPr>
          <w:p w14:paraId="2C364680">
            <w:pPr>
              <w:spacing w:line="240" w:lineRule="auto"/>
              <w:jc w:val="center"/>
              <w:rPr>
                <w:rFonts w:ascii="Times New Roman" w:hAnsi="Times New Roman" w:eastAsia="宋体" w:cs="Times New Roman"/>
                <w:sz w:val="18"/>
                <w:szCs w:val="18"/>
                <w14:ligatures w14:val="none"/>
              </w:rPr>
            </w:pPr>
          </w:p>
        </w:tc>
        <w:tc>
          <w:tcPr>
            <w:tcW w:w="979" w:type="pct"/>
            <w:vAlign w:val="center"/>
          </w:tcPr>
          <w:p w14:paraId="0C751989">
            <w:pPr>
              <w:spacing w:line="240" w:lineRule="auto"/>
              <w:jc w:val="center"/>
              <w:rPr>
                <w:rFonts w:ascii="Times New Roman" w:hAnsi="Times New Roman" w:eastAsia="宋体" w:cs="Times New Roman"/>
                <w:sz w:val="18"/>
                <w:szCs w:val="18"/>
                <w14:ligatures w14:val="none"/>
              </w:rPr>
            </w:pPr>
          </w:p>
        </w:tc>
      </w:tr>
    </w:tbl>
    <w:p w14:paraId="304FC745">
      <w:pPr>
        <w:tabs>
          <w:tab w:val="left" w:pos="0"/>
        </w:tabs>
        <w:jc w:val="center"/>
        <w:rPr>
          <w:rFonts w:ascii="Times New Roman" w:hAnsi="Times New Roman" w:eastAsia="黑体" w:cs="Times New Roman"/>
          <w:snapToGrid w:val="0"/>
          <w:kern w:val="0"/>
          <w:sz w:val="18"/>
          <w:szCs w:val="18"/>
        </w:rPr>
      </w:pPr>
    </w:p>
    <w:p w14:paraId="42F94A31">
      <w:pPr>
        <w:tabs>
          <w:tab w:val="left" w:pos="0"/>
        </w:tabs>
        <w:jc w:val="center"/>
        <w:rPr>
          <w:rFonts w:ascii="Times New Roman" w:hAnsi="Times New Roman" w:eastAsia="黑体" w:cs="Times New Roman"/>
          <w:snapToGrid w:val="0"/>
          <w:kern w:val="0"/>
          <w:sz w:val="18"/>
          <w:szCs w:val="18"/>
        </w:rPr>
      </w:pPr>
      <w:r>
        <w:rPr>
          <w:rFonts w:ascii="Times New Roman" w:hAnsi="Times New Roman" w:eastAsia="黑体" w:cs="Times New Roman"/>
          <w:snapToGrid w:val="0"/>
          <w:kern w:val="0"/>
          <w:sz w:val="18"/>
          <w:szCs w:val="18"/>
        </w:rPr>
        <w:t>表</w:t>
      </w:r>
      <w:r>
        <w:rPr>
          <w:rFonts w:hint="eastAsia" w:ascii="Times New Roman" w:hAnsi="Times New Roman" w:eastAsia="黑体" w:cs="Times New Roman"/>
          <w:snapToGrid w:val="0"/>
          <w:kern w:val="0"/>
          <w:sz w:val="18"/>
          <w:szCs w:val="18"/>
        </w:rPr>
        <w:t>B</w:t>
      </w:r>
      <w:r>
        <w:rPr>
          <w:rFonts w:ascii="Times New Roman" w:hAnsi="Times New Roman" w:eastAsia="黑体" w:cs="Times New Roman"/>
          <w:snapToGrid w:val="0"/>
          <w:kern w:val="0"/>
          <w:sz w:val="18"/>
          <w:szCs w:val="18"/>
        </w:rPr>
        <w:t>.19  并行统计</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2629"/>
        <w:gridCol w:w="2157"/>
        <w:gridCol w:w="2010"/>
        <w:gridCol w:w="1693"/>
      </w:tblGrid>
      <w:tr w14:paraId="5A28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314" w:type="pct"/>
            <w:vAlign w:val="center"/>
          </w:tcPr>
          <w:p w14:paraId="052B7E61">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序号</w:t>
            </w:r>
          </w:p>
        </w:tc>
        <w:tc>
          <w:tcPr>
            <w:tcW w:w="1451" w:type="pct"/>
            <w:vAlign w:val="center"/>
          </w:tcPr>
          <w:p w14:paraId="4CD3B4BF">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名称</w:t>
            </w:r>
          </w:p>
        </w:tc>
        <w:tc>
          <w:tcPr>
            <w:tcW w:w="1190" w:type="pct"/>
            <w:vAlign w:val="center"/>
          </w:tcPr>
          <w:p w14:paraId="5C7FFDEA">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并行长度</w:t>
            </w:r>
          </w:p>
          <w:p w14:paraId="3420843F">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km</w:t>
            </w:r>
            <w:r>
              <w:rPr>
                <w:rFonts w:hint="eastAsia" w:ascii="Times New Roman" w:hAnsi="Times New Roman" w:eastAsia="宋体" w:cs="Times New Roman"/>
                <w:sz w:val="18"/>
                <w:szCs w:val="18"/>
                <w14:ligatures w14:val="none"/>
              </w:rPr>
              <w:t>）</w:t>
            </w:r>
          </w:p>
        </w:tc>
        <w:tc>
          <w:tcPr>
            <w:tcW w:w="1109" w:type="pct"/>
            <w:vAlign w:val="center"/>
          </w:tcPr>
          <w:p w14:paraId="1A2C2F0B">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并行间距</w:t>
            </w:r>
          </w:p>
          <w:p w14:paraId="212B68FA">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km</w:t>
            </w:r>
            <w:r>
              <w:rPr>
                <w:rFonts w:hint="eastAsia" w:ascii="Times New Roman" w:hAnsi="Times New Roman" w:eastAsia="宋体" w:cs="Times New Roman"/>
                <w:sz w:val="18"/>
                <w:szCs w:val="18"/>
                <w14:ligatures w14:val="none"/>
              </w:rPr>
              <w:t>）</w:t>
            </w:r>
          </w:p>
        </w:tc>
        <w:tc>
          <w:tcPr>
            <w:tcW w:w="934" w:type="pct"/>
            <w:vAlign w:val="center"/>
          </w:tcPr>
          <w:p w14:paraId="32DAE292">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地质条件</w:t>
            </w:r>
          </w:p>
        </w:tc>
      </w:tr>
      <w:tr w14:paraId="00B2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14" w:type="pct"/>
            <w:vAlign w:val="center"/>
          </w:tcPr>
          <w:p w14:paraId="054ECA3B">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1</w:t>
            </w:r>
          </w:p>
        </w:tc>
        <w:tc>
          <w:tcPr>
            <w:tcW w:w="1451" w:type="pct"/>
            <w:vAlign w:val="center"/>
          </w:tcPr>
          <w:p w14:paraId="7F9AE0B3">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XX铁路并行</w:t>
            </w:r>
          </w:p>
        </w:tc>
        <w:tc>
          <w:tcPr>
            <w:tcW w:w="1190" w:type="pct"/>
            <w:vAlign w:val="center"/>
          </w:tcPr>
          <w:p w14:paraId="2D451248">
            <w:pPr>
              <w:spacing w:line="240" w:lineRule="auto"/>
              <w:jc w:val="center"/>
              <w:rPr>
                <w:rFonts w:ascii="Times New Roman" w:hAnsi="Times New Roman" w:eastAsia="宋体" w:cs="Times New Roman"/>
                <w:sz w:val="18"/>
                <w:szCs w:val="18"/>
                <w14:ligatures w14:val="none"/>
              </w:rPr>
            </w:pPr>
          </w:p>
        </w:tc>
        <w:tc>
          <w:tcPr>
            <w:tcW w:w="1109" w:type="pct"/>
            <w:vAlign w:val="center"/>
          </w:tcPr>
          <w:p w14:paraId="2A0FB205">
            <w:pPr>
              <w:spacing w:line="240" w:lineRule="auto"/>
              <w:jc w:val="center"/>
              <w:rPr>
                <w:rFonts w:ascii="Times New Roman" w:hAnsi="Times New Roman" w:eastAsia="宋体" w:cs="Times New Roman"/>
                <w:sz w:val="18"/>
                <w:szCs w:val="18"/>
                <w14:ligatures w14:val="none"/>
              </w:rPr>
            </w:pPr>
          </w:p>
        </w:tc>
        <w:tc>
          <w:tcPr>
            <w:tcW w:w="934" w:type="pct"/>
            <w:vAlign w:val="center"/>
          </w:tcPr>
          <w:p w14:paraId="1B6B15A8">
            <w:pPr>
              <w:spacing w:line="240" w:lineRule="auto"/>
              <w:jc w:val="center"/>
              <w:rPr>
                <w:rFonts w:ascii="Times New Roman" w:hAnsi="Times New Roman" w:eastAsia="宋体" w:cs="Times New Roman"/>
                <w:sz w:val="18"/>
                <w:szCs w:val="18"/>
                <w14:ligatures w14:val="none"/>
              </w:rPr>
            </w:pPr>
          </w:p>
        </w:tc>
      </w:tr>
      <w:tr w14:paraId="7FDA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14" w:type="pct"/>
            <w:vAlign w:val="center"/>
          </w:tcPr>
          <w:p w14:paraId="71A432CA">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2</w:t>
            </w:r>
          </w:p>
        </w:tc>
        <w:tc>
          <w:tcPr>
            <w:tcW w:w="1451" w:type="pct"/>
            <w:vAlign w:val="center"/>
          </w:tcPr>
          <w:p w14:paraId="2422D02E">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XX公路并行</w:t>
            </w:r>
          </w:p>
        </w:tc>
        <w:tc>
          <w:tcPr>
            <w:tcW w:w="1190" w:type="pct"/>
            <w:vAlign w:val="center"/>
          </w:tcPr>
          <w:p w14:paraId="03028232">
            <w:pPr>
              <w:spacing w:line="240" w:lineRule="auto"/>
              <w:jc w:val="center"/>
              <w:rPr>
                <w:rFonts w:ascii="Times New Roman" w:hAnsi="Times New Roman" w:eastAsia="宋体" w:cs="Times New Roman"/>
                <w:sz w:val="18"/>
                <w:szCs w:val="18"/>
                <w14:ligatures w14:val="none"/>
              </w:rPr>
            </w:pPr>
          </w:p>
        </w:tc>
        <w:tc>
          <w:tcPr>
            <w:tcW w:w="1109" w:type="pct"/>
            <w:vAlign w:val="center"/>
          </w:tcPr>
          <w:p w14:paraId="7C32CE9D">
            <w:pPr>
              <w:spacing w:line="240" w:lineRule="auto"/>
              <w:jc w:val="center"/>
              <w:rPr>
                <w:rFonts w:ascii="Times New Roman" w:hAnsi="Times New Roman" w:eastAsia="宋体" w:cs="Times New Roman"/>
                <w:sz w:val="18"/>
                <w:szCs w:val="18"/>
                <w14:ligatures w14:val="none"/>
              </w:rPr>
            </w:pPr>
          </w:p>
        </w:tc>
        <w:tc>
          <w:tcPr>
            <w:tcW w:w="934" w:type="pct"/>
            <w:vAlign w:val="center"/>
          </w:tcPr>
          <w:p w14:paraId="03D97957">
            <w:pPr>
              <w:spacing w:line="240" w:lineRule="auto"/>
              <w:jc w:val="center"/>
              <w:rPr>
                <w:rFonts w:ascii="Times New Roman" w:hAnsi="Times New Roman" w:eastAsia="宋体" w:cs="Times New Roman"/>
                <w:sz w:val="18"/>
                <w:szCs w:val="18"/>
                <w14:ligatures w14:val="none"/>
              </w:rPr>
            </w:pPr>
          </w:p>
        </w:tc>
      </w:tr>
      <w:tr w14:paraId="4EEC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14" w:type="pct"/>
            <w:vAlign w:val="center"/>
          </w:tcPr>
          <w:p w14:paraId="1B6AB125">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3</w:t>
            </w:r>
          </w:p>
        </w:tc>
        <w:tc>
          <w:tcPr>
            <w:tcW w:w="1451" w:type="pct"/>
            <w:vAlign w:val="center"/>
          </w:tcPr>
          <w:p w14:paraId="56E8C56C">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XX架空输电线路并行</w:t>
            </w:r>
          </w:p>
        </w:tc>
        <w:tc>
          <w:tcPr>
            <w:tcW w:w="1190" w:type="pct"/>
            <w:vAlign w:val="center"/>
          </w:tcPr>
          <w:p w14:paraId="242B5162">
            <w:pPr>
              <w:spacing w:line="240" w:lineRule="auto"/>
              <w:jc w:val="center"/>
              <w:rPr>
                <w:rFonts w:ascii="Times New Roman" w:hAnsi="Times New Roman" w:eastAsia="宋体" w:cs="Times New Roman"/>
                <w:sz w:val="18"/>
                <w:szCs w:val="18"/>
                <w14:ligatures w14:val="none"/>
              </w:rPr>
            </w:pPr>
          </w:p>
        </w:tc>
        <w:tc>
          <w:tcPr>
            <w:tcW w:w="1109" w:type="pct"/>
            <w:vAlign w:val="center"/>
          </w:tcPr>
          <w:p w14:paraId="411F8CDC">
            <w:pPr>
              <w:spacing w:line="240" w:lineRule="auto"/>
              <w:jc w:val="center"/>
              <w:rPr>
                <w:rFonts w:ascii="Times New Roman" w:hAnsi="Times New Roman" w:eastAsia="宋体" w:cs="Times New Roman"/>
                <w:sz w:val="18"/>
                <w:szCs w:val="18"/>
                <w14:ligatures w14:val="none"/>
              </w:rPr>
            </w:pPr>
          </w:p>
        </w:tc>
        <w:tc>
          <w:tcPr>
            <w:tcW w:w="934" w:type="pct"/>
            <w:vAlign w:val="center"/>
          </w:tcPr>
          <w:p w14:paraId="4974E88D">
            <w:pPr>
              <w:spacing w:line="240" w:lineRule="auto"/>
              <w:jc w:val="center"/>
              <w:rPr>
                <w:rFonts w:ascii="Times New Roman" w:hAnsi="Times New Roman" w:eastAsia="宋体" w:cs="Times New Roman"/>
                <w:sz w:val="18"/>
                <w:szCs w:val="18"/>
                <w14:ligatures w14:val="none"/>
              </w:rPr>
            </w:pPr>
          </w:p>
        </w:tc>
      </w:tr>
      <w:tr w14:paraId="0277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14" w:type="pct"/>
            <w:vAlign w:val="center"/>
          </w:tcPr>
          <w:p w14:paraId="63D54F31">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4</w:t>
            </w:r>
          </w:p>
        </w:tc>
        <w:tc>
          <w:tcPr>
            <w:tcW w:w="1451" w:type="pct"/>
            <w:vAlign w:val="center"/>
          </w:tcPr>
          <w:p w14:paraId="6250B69B">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XX管道并行</w:t>
            </w:r>
          </w:p>
        </w:tc>
        <w:tc>
          <w:tcPr>
            <w:tcW w:w="1190" w:type="pct"/>
            <w:vAlign w:val="center"/>
          </w:tcPr>
          <w:p w14:paraId="6A0EA39C">
            <w:pPr>
              <w:spacing w:line="240" w:lineRule="auto"/>
              <w:jc w:val="center"/>
              <w:rPr>
                <w:rFonts w:ascii="Times New Roman" w:hAnsi="Times New Roman" w:eastAsia="宋体" w:cs="Times New Roman"/>
                <w:sz w:val="18"/>
                <w:szCs w:val="18"/>
                <w14:ligatures w14:val="none"/>
              </w:rPr>
            </w:pPr>
          </w:p>
        </w:tc>
        <w:tc>
          <w:tcPr>
            <w:tcW w:w="1109" w:type="pct"/>
            <w:vAlign w:val="center"/>
          </w:tcPr>
          <w:p w14:paraId="7D88C710">
            <w:pPr>
              <w:spacing w:line="240" w:lineRule="auto"/>
              <w:jc w:val="center"/>
              <w:rPr>
                <w:rFonts w:ascii="Times New Roman" w:hAnsi="Times New Roman" w:eastAsia="宋体" w:cs="Times New Roman"/>
                <w:sz w:val="18"/>
                <w:szCs w:val="18"/>
                <w14:ligatures w14:val="none"/>
              </w:rPr>
            </w:pPr>
          </w:p>
        </w:tc>
        <w:tc>
          <w:tcPr>
            <w:tcW w:w="934" w:type="pct"/>
            <w:vAlign w:val="center"/>
          </w:tcPr>
          <w:p w14:paraId="4823A1CB">
            <w:pPr>
              <w:spacing w:line="240" w:lineRule="auto"/>
              <w:jc w:val="center"/>
              <w:rPr>
                <w:rFonts w:ascii="Times New Roman" w:hAnsi="Times New Roman" w:eastAsia="宋体" w:cs="Times New Roman"/>
                <w:sz w:val="18"/>
                <w:szCs w:val="18"/>
                <w14:ligatures w14:val="none"/>
              </w:rPr>
            </w:pPr>
          </w:p>
        </w:tc>
      </w:tr>
      <w:tr w14:paraId="651C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14" w:type="pct"/>
            <w:vAlign w:val="center"/>
          </w:tcPr>
          <w:p w14:paraId="29BB91A0">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1451" w:type="pct"/>
            <w:vAlign w:val="center"/>
          </w:tcPr>
          <w:p w14:paraId="7B269061">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1190" w:type="pct"/>
            <w:vAlign w:val="center"/>
          </w:tcPr>
          <w:p w14:paraId="3EF680D6">
            <w:pPr>
              <w:spacing w:line="240" w:lineRule="auto"/>
              <w:jc w:val="center"/>
              <w:rPr>
                <w:rFonts w:ascii="Times New Roman" w:hAnsi="Times New Roman" w:eastAsia="宋体" w:cs="Times New Roman"/>
                <w:sz w:val="18"/>
                <w:szCs w:val="18"/>
                <w14:ligatures w14:val="none"/>
              </w:rPr>
            </w:pPr>
          </w:p>
        </w:tc>
        <w:tc>
          <w:tcPr>
            <w:tcW w:w="1109" w:type="pct"/>
            <w:vAlign w:val="center"/>
          </w:tcPr>
          <w:p w14:paraId="6B00B713">
            <w:pPr>
              <w:spacing w:line="240" w:lineRule="auto"/>
              <w:jc w:val="center"/>
              <w:rPr>
                <w:rFonts w:ascii="Times New Roman" w:hAnsi="Times New Roman" w:eastAsia="宋体" w:cs="Times New Roman"/>
                <w:sz w:val="18"/>
                <w:szCs w:val="18"/>
                <w14:ligatures w14:val="none"/>
              </w:rPr>
            </w:pPr>
          </w:p>
        </w:tc>
        <w:tc>
          <w:tcPr>
            <w:tcW w:w="934" w:type="pct"/>
            <w:vAlign w:val="center"/>
          </w:tcPr>
          <w:p w14:paraId="1ED63991">
            <w:pPr>
              <w:spacing w:line="240" w:lineRule="auto"/>
              <w:jc w:val="center"/>
              <w:rPr>
                <w:rFonts w:ascii="Times New Roman" w:hAnsi="Times New Roman" w:eastAsia="宋体" w:cs="Times New Roman"/>
                <w:sz w:val="18"/>
                <w:szCs w:val="18"/>
                <w14:ligatures w14:val="none"/>
              </w:rPr>
            </w:pPr>
          </w:p>
        </w:tc>
      </w:tr>
    </w:tbl>
    <w:p w14:paraId="03799D81">
      <w:pPr>
        <w:jc w:val="center"/>
        <w:rPr>
          <w:rFonts w:ascii="Times New Roman" w:hAnsi="Times New Roman" w:eastAsia="黑体" w:cs="Times New Roman"/>
          <w:snapToGrid w:val="0"/>
          <w:kern w:val="0"/>
          <w:sz w:val="18"/>
          <w:szCs w:val="18"/>
        </w:rPr>
      </w:pPr>
    </w:p>
    <w:p w14:paraId="183612AF">
      <w:pPr>
        <w:tabs>
          <w:tab w:val="left" w:pos="0"/>
        </w:tabs>
        <w:jc w:val="center"/>
        <w:rPr>
          <w:rFonts w:ascii="Times New Roman" w:hAnsi="Times New Roman" w:eastAsia="黑体" w:cs="Times New Roman"/>
          <w:snapToGrid w:val="0"/>
          <w:kern w:val="0"/>
          <w:sz w:val="18"/>
          <w:szCs w:val="18"/>
        </w:rPr>
      </w:pPr>
      <w:r>
        <w:rPr>
          <w:rFonts w:ascii="Times New Roman" w:hAnsi="Times New Roman" w:eastAsia="黑体" w:cs="Times New Roman"/>
          <w:snapToGrid w:val="0"/>
          <w:kern w:val="0"/>
          <w:sz w:val="18"/>
          <w:szCs w:val="18"/>
        </w:rPr>
        <w:t>表</w:t>
      </w:r>
      <w:r>
        <w:rPr>
          <w:rFonts w:hint="eastAsia" w:ascii="Times New Roman" w:hAnsi="Times New Roman" w:eastAsia="黑体" w:cs="Times New Roman"/>
          <w:snapToGrid w:val="0"/>
          <w:kern w:val="0"/>
          <w:sz w:val="18"/>
          <w:szCs w:val="18"/>
        </w:rPr>
        <w:t>B</w:t>
      </w:r>
      <w:r>
        <w:rPr>
          <w:rFonts w:ascii="Times New Roman" w:hAnsi="Times New Roman" w:eastAsia="黑体" w:cs="Times New Roman"/>
          <w:snapToGrid w:val="0"/>
          <w:kern w:val="0"/>
          <w:sz w:val="18"/>
          <w:szCs w:val="18"/>
        </w:rPr>
        <w:t>.20  SIF定级表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4"/>
        <w:gridCol w:w="4344"/>
        <w:gridCol w:w="3023"/>
      </w:tblGrid>
      <w:tr w14:paraId="15B1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pct"/>
          </w:tcPr>
          <w:p w14:paraId="2E9B32F5">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回路序号</w:t>
            </w:r>
          </w:p>
        </w:tc>
        <w:tc>
          <w:tcPr>
            <w:tcW w:w="2397" w:type="pct"/>
          </w:tcPr>
          <w:p w14:paraId="76D836F8">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回路描述</w:t>
            </w:r>
          </w:p>
        </w:tc>
        <w:tc>
          <w:tcPr>
            <w:tcW w:w="1668" w:type="pct"/>
          </w:tcPr>
          <w:p w14:paraId="0A2FC4E7">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定级结果</w:t>
            </w:r>
          </w:p>
        </w:tc>
      </w:tr>
      <w:tr w14:paraId="4E0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pct"/>
          </w:tcPr>
          <w:p w14:paraId="1D84AD5F">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1</w:t>
            </w:r>
          </w:p>
        </w:tc>
        <w:tc>
          <w:tcPr>
            <w:tcW w:w="2397" w:type="pct"/>
          </w:tcPr>
          <w:p w14:paraId="2210A84C">
            <w:pPr>
              <w:spacing w:line="240" w:lineRule="auto"/>
              <w:rPr>
                <w:rFonts w:ascii="Times New Roman" w:hAnsi="Times New Roman" w:eastAsia="宋体" w:cs="Times New Roman"/>
                <w:sz w:val="18"/>
                <w:szCs w:val="18"/>
                <w14:ligatures w14:val="none"/>
              </w:rPr>
            </w:pPr>
          </w:p>
        </w:tc>
        <w:tc>
          <w:tcPr>
            <w:tcW w:w="1668" w:type="pct"/>
          </w:tcPr>
          <w:p w14:paraId="4171C8D5">
            <w:pPr>
              <w:spacing w:line="240" w:lineRule="auto"/>
              <w:rPr>
                <w:rFonts w:ascii="Times New Roman" w:hAnsi="Times New Roman" w:eastAsia="宋体" w:cs="Times New Roman"/>
                <w:sz w:val="18"/>
                <w:szCs w:val="18"/>
                <w14:ligatures w14:val="none"/>
              </w:rPr>
            </w:pPr>
          </w:p>
        </w:tc>
      </w:tr>
      <w:tr w14:paraId="0617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pct"/>
          </w:tcPr>
          <w:p w14:paraId="59CF5602">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2397" w:type="pct"/>
          </w:tcPr>
          <w:p w14:paraId="1CF56F85">
            <w:pPr>
              <w:spacing w:line="240" w:lineRule="auto"/>
              <w:rPr>
                <w:rFonts w:ascii="Times New Roman" w:hAnsi="Times New Roman" w:eastAsia="宋体" w:cs="Times New Roman"/>
                <w:sz w:val="18"/>
                <w:szCs w:val="18"/>
                <w14:ligatures w14:val="none"/>
              </w:rPr>
            </w:pPr>
          </w:p>
        </w:tc>
        <w:tc>
          <w:tcPr>
            <w:tcW w:w="1668" w:type="pct"/>
          </w:tcPr>
          <w:p w14:paraId="2B9C114A">
            <w:pPr>
              <w:spacing w:line="240" w:lineRule="auto"/>
              <w:rPr>
                <w:rFonts w:ascii="Times New Roman" w:hAnsi="Times New Roman" w:eastAsia="宋体" w:cs="Times New Roman"/>
                <w:sz w:val="18"/>
                <w:szCs w:val="18"/>
                <w14:ligatures w14:val="none"/>
              </w:rPr>
            </w:pPr>
          </w:p>
        </w:tc>
      </w:tr>
    </w:tbl>
    <w:p w14:paraId="07E0BF7A">
      <w:pPr>
        <w:tabs>
          <w:tab w:val="left" w:pos="0"/>
        </w:tabs>
        <w:jc w:val="center"/>
        <w:rPr>
          <w:rFonts w:ascii="Times New Roman" w:hAnsi="Times New Roman" w:eastAsia="黑体" w:cs="Times New Roman"/>
          <w:snapToGrid w:val="0"/>
          <w:kern w:val="0"/>
          <w:sz w:val="18"/>
          <w:szCs w:val="18"/>
        </w:rPr>
      </w:pPr>
    </w:p>
    <w:p w14:paraId="4AE312DB">
      <w:pPr>
        <w:tabs>
          <w:tab w:val="left" w:pos="0"/>
        </w:tabs>
        <w:jc w:val="center"/>
        <w:rPr>
          <w:rFonts w:ascii="Times New Roman" w:hAnsi="Times New Roman" w:eastAsia="黑体" w:cs="Times New Roman"/>
          <w:snapToGrid w:val="0"/>
          <w:kern w:val="0"/>
          <w:sz w:val="18"/>
          <w:szCs w:val="18"/>
        </w:rPr>
      </w:pPr>
      <w:r>
        <w:rPr>
          <w:rFonts w:ascii="Times New Roman" w:hAnsi="Times New Roman" w:eastAsia="黑体" w:cs="Times New Roman"/>
          <w:snapToGrid w:val="0"/>
          <w:kern w:val="0"/>
          <w:sz w:val="18"/>
          <w:szCs w:val="18"/>
        </w:rPr>
        <w:t>表</w:t>
      </w:r>
      <w:r>
        <w:rPr>
          <w:rFonts w:hint="eastAsia" w:ascii="Times New Roman" w:hAnsi="Times New Roman" w:eastAsia="黑体" w:cs="Times New Roman"/>
          <w:snapToGrid w:val="0"/>
          <w:kern w:val="0"/>
          <w:sz w:val="18"/>
          <w:szCs w:val="18"/>
        </w:rPr>
        <w:t>B</w:t>
      </w:r>
      <w:r>
        <w:rPr>
          <w:rFonts w:ascii="Times New Roman" w:hAnsi="Times New Roman" w:eastAsia="黑体" w:cs="Times New Roman"/>
          <w:snapToGrid w:val="0"/>
          <w:kern w:val="0"/>
          <w:sz w:val="18"/>
          <w:szCs w:val="18"/>
        </w:rPr>
        <w:t>.21  建筑物汇总</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3"/>
        <w:gridCol w:w="1288"/>
        <w:gridCol w:w="1112"/>
        <w:gridCol w:w="926"/>
        <w:gridCol w:w="921"/>
        <w:gridCol w:w="1056"/>
        <w:gridCol w:w="1056"/>
        <w:gridCol w:w="827"/>
        <w:gridCol w:w="1156"/>
      </w:tblGrid>
      <w:tr w14:paraId="7407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90" w:type="pct"/>
            <w:vAlign w:val="center"/>
          </w:tcPr>
          <w:p w14:paraId="422D3523">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序号</w:t>
            </w:r>
          </w:p>
        </w:tc>
        <w:tc>
          <w:tcPr>
            <w:tcW w:w="727" w:type="pct"/>
            <w:vAlign w:val="center"/>
          </w:tcPr>
          <w:p w14:paraId="3D1B768D">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建筑物名称</w:t>
            </w:r>
          </w:p>
        </w:tc>
        <w:tc>
          <w:tcPr>
            <w:tcW w:w="628" w:type="pct"/>
            <w:vAlign w:val="center"/>
          </w:tcPr>
          <w:p w14:paraId="7ABFA1C8">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建筑物高度</w:t>
            </w:r>
          </w:p>
        </w:tc>
        <w:tc>
          <w:tcPr>
            <w:tcW w:w="523" w:type="pct"/>
            <w:vAlign w:val="center"/>
          </w:tcPr>
          <w:p w14:paraId="5280027B">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建筑面积</w:t>
            </w:r>
          </w:p>
          <w:p w14:paraId="690DF792">
            <w:pPr>
              <w:spacing w:line="240" w:lineRule="auto"/>
              <w:jc w:val="center"/>
              <w:rPr>
                <w:rFonts w:ascii="Times New Roman" w:hAnsi="Times New Roman" w:eastAsia="宋体" w:cs="Times New Roman"/>
                <w:sz w:val="18"/>
                <w:szCs w:val="18"/>
                <w14:ligatures w14:val="none"/>
              </w:rPr>
            </w:pPr>
            <w:r>
              <w:rPr>
                <w:rFonts w:hint="eastAsia" w:ascii="Times New Roman" w:hAnsi="Times New Roman" w:eastAsia="宋体" w:cs="Times New Roman"/>
                <w:sz w:val="18"/>
                <w:szCs w:val="18"/>
                <w14:ligatures w14:val="none"/>
              </w:rPr>
              <w:t>（</w:t>
            </w:r>
            <w:r>
              <w:rPr>
                <w:rFonts w:ascii="Times New Roman" w:hAnsi="Times New Roman" w:eastAsia="宋体" w:cs="Times New Roman"/>
                <w:sz w:val="18"/>
                <w:szCs w:val="18"/>
                <w14:ligatures w14:val="none"/>
              </w:rPr>
              <w:t>m</w:t>
            </w:r>
            <w:r>
              <w:rPr>
                <w:rFonts w:ascii="Times New Roman" w:hAnsi="Times New Roman" w:eastAsia="宋体" w:cs="Times New Roman"/>
                <w:sz w:val="18"/>
                <w:szCs w:val="18"/>
                <w:vertAlign w:val="superscript"/>
                <w14:ligatures w14:val="none"/>
              </w:rPr>
              <w:t>2</w:t>
            </w:r>
            <w:r>
              <w:rPr>
                <w:rFonts w:hint="eastAsia" w:ascii="Times New Roman" w:hAnsi="Times New Roman" w:eastAsia="宋体" w:cs="Times New Roman"/>
                <w:sz w:val="18"/>
                <w:szCs w:val="18"/>
                <w14:ligatures w14:val="none"/>
              </w:rPr>
              <w:t>）</w:t>
            </w:r>
          </w:p>
        </w:tc>
        <w:tc>
          <w:tcPr>
            <w:tcW w:w="520" w:type="pct"/>
            <w:vAlign w:val="center"/>
          </w:tcPr>
          <w:p w14:paraId="31D01E0C">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建筑结构</w:t>
            </w:r>
          </w:p>
        </w:tc>
        <w:tc>
          <w:tcPr>
            <w:tcW w:w="596" w:type="pct"/>
            <w:vAlign w:val="center"/>
          </w:tcPr>
          <w:p w14:paraId="2891D11D">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火灾危险性</w:t>
            </w:r>
          </w:p>
        </w:tc>
        <w:tc>
          <w:tcPr>
            <w:tcW w:w="596" w:type="pct"/>
            <w:vAlign w:val="center"/>
          </w:tcPr>
          <w:p w14:paraId="190FF707">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耐火等级</w:t>
            </w:r>
          </w:p>
        </w:tc>
        <w:tc>
          <w:tcPr>
            <w:tcW w:w="467" w:type="pct"/>
            <w:vAlign w:val="center"/>
          </w:tcPr>
          <w:p w14:paraId="0981658A">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层数</w:t>
            </w:r>
          </w:p>
        </w:tc>
        <w:tc>
          <w:tcPr>
            <w:tcW w:w="653" w:type="pct"/>
            <w:vAlign w:val="center"/>
          </w:tcPr>
          <w:p w14:paraId="37505BB3">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泄压比值</w:t>
            </w:r>
          </w:p>
        </w:tc>
      </w:tr>
      <w:tr w14:paraId="343A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90" w:type="pct"/>
            <w:vAlign w:val="center"/>
          </w:tcPr>
          <w:p w14:paraId="7C1EBF8E">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1</w:t>
            </w:r>
          </w:p>
        </w:tc>
        <w:tc>
          <w:tcPr>
            <w:tcW w:w="727" w:type="pct"/>
            <w:vAlign w:val="center"/>
          </w:tcPr>
          <w:p w14:paraId="61A9A4EE">
            <w:pPr>
              <w:spacing w:line="240" w:lineRule="auto"/>
              <w:jc w:val="center"/>
              <w:rPr>
                <w:rFonts w:ascii="Times New Roman" w:hAnsi="Times New Roman" w:eastAsia="宋体" w:cs="Times New Roman"/>
                <w:sz w:val="18"/>
                <w:szCs w:val="18"/>
                <w14:ligatures w14:val="none"/>
              </w:rPr>
            </w:pPr>
          </w:p>
        </w:tc>
        <w:tc>
          <w:tcPr>
            <w:tcW w:w="628" w:type="pct"/>
            <w:vAlign w:val="center"/>
          </w:tcPr>
          <w:p w14:paraId="714946FA">
            <w:pPr>
              <w:spacing w:line="240" w:lineRule="auto"/>
              <w:jc w:val="center"/>
              <w:rPr>
                <w:rFonts w:ascii="Times New Roman" w:hAnsi="Times New Roman" w:eastAsia="宋体" w:cs="Times New Roman"/>
                <w:sz w:val="18"/>
                <w:szCs w:val="18"/>
                <w14:ligatures w14:val="none"/>
              </w:rPr>
            </w:pPr>
          </w:p>
        </w:tc>
        <w:tc>
          <w:tcPr>
            <w:tcW w:w="523" w:type="pct"/>
            <w:vAlign w:val="center"/>
          </w:tcPr>
          <w:p w14:paraId="64368C80">
            <w:pPr>
              <w:spacing w:line="240" w:lineRule="auto"/>
              <w:jc w:val="center"/>
              <w:rPr>
                <w:rFonts w:ascii="Times New Roman" w:hAnsi="Times New Roman" w:eastAsia="宋体" w:cs="Times New Roman"/>
                <w:sz w:val="18"/>
                <w:szCs w:val="18"/>
                <w14:ligatures w14:val="none"/>
              </w:rPr>
            </w:pPr>
          </w:p>
        </w:tc>
        <w:tc>
          <w:tcPr>
            <w:tcW w:w="520" w:type="pct"/>
            <w:vAlign w:val="center"/>
          </w:tcPr>
          <w:p w14:paraId="56FD9048">
            <w:pPr>
              <w:spacing w:line="240" w:lineRule="auto"/>
              <w:jc w:val="center"/>
              <w:rPr>
                <w:rFonts w:ascii="Times New Roman" w:hAnsi="Times New Roman" w:eastAsia="宋体" w:cs="Times New Roman"/>
                <w:sz w:val="18"/>
                <w:szCs w:val="18"/>
                <w14:ligatures w14:val="none"/>
              </w:rPr>
            </w:pPr>
          </w:p>
        </w:tc>
        <w:tc>
          <w:tcPr>
            <w:tcW w:w="596" w:type="pct"/>
            <w:vAlign w:val="center"/>
          </w:tcPr>
          <w:p w14:paraId="07238AC9">
            <w:pPr>
              <w:spacing w:line="240" w:lineRule="auto"/>
              <w:jc w:val="center"/>
              <w:rPr>
                <w:rFonts w:ascii="Times New Roman" w:hAnsi="Times New Roman" w:eastAsia="宋体" w:cs="Times New Roman"/>
                <w:sz w:val="18"/>
                <w:szCs w:val="18"/>
                <w14:ligatures w14:val="none"/>
              </w:rPr>
            </w:pPr>
          </w:p>
        </w:tc>
        <w:tc>
          <w:tcPr>
            <w:tcW w:w="596" w:type="pct"/>
            <w:vAlign w:val="center"/>
          </w:tcPr>
          <w:p w14:paraId="2AA180B0">
            <w:pPr>
              <w:spacing w:line="240" w:lineRule="auto"/>
              <w:jc w:val="center"/>
              <w:rPr>
                <w:rFonts w:ascii="Times New Roman" w:hAnsi="Times New Roman" w:eastAsia="宋体" w:cs="Times New Roman"/>
                <w:sz w:val="18"/>
                <w:szCs w:val="18"/>
                <w14:ligatures w14:val="none"/>
              </w:rPr>
            </w:pPr>
          </w:p>
        </w:tc>
        <w:tc>
          <w:tcPr>
            <w:tcW w:w="467" w:type="pct"/>
            <w:vAlign w:val="center"/>
          </w:tcPr>
          <w:p w14:paraId="3B6DC856">
            <w:pPr>
              <w:spacing w:line="240" w:lineRule="auto"/>
              <w:jc w:val="center"/>
              <w:rPr>
                <w:rFonts w:ascii="Times New Roman" w:hAnsi="Times New Roman" w:eastAsia="宋体" w:cs="Times New Roman"/>
                <w:sz w:val="18"/>
                <w:szCs w:val="18"/>
                <w14:ligatures w14:val="none"/>
              </w:rPr>
            </w:pPr>
          </w:p>
        </w:tc>
        <w:tc>
          <w:tcPr>
            <w:tcW w:w="653" w:type="pct"/>
            <w:vAlign w:val="center"/>
          </w:tcPr>
          <w:p w14:paraId="4F2B1FE3">
            <w:pPr>
              <w:spacing w:line="240" w:lineRule="auto"/>
              <w:jc w:val="center"/>
              <w:rPr>
                <w:rFonts w:ascii="Times New Roman" w:hAnsi="Times New Roman" w:eastAsia="宋体" w:cs="Times New Roman"/>
                <w:sz w:val="18"/>
                <w:szCs w:val="18"/>
                <w14:ligatures w14:val="none"/>
              </w:rPr>
            </w:pPr>
          </w:p>
        </w:tc>
      </w:tr>
      <w:tr w14:paraId="5B5B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90" w:type="pct"/>
            <w:vAlign w:val="center"/>
          </w:tcPr>
          <w:p w14:paraId="4500F664">
            <w:pPr>
              <w:spacing w:line="240" w:lineRule="auto"/>
              <w:jc w:val="cente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w:t>
            </w:r>
          </w:p>
        </w:tc>
        <w:tc>
          <w:tcPr>
            <w:tcW w:w="727" w:type="pct"/>
            <w:vAlign w:val="center"/>
          </w:tcPr>
          <w:p w14:paraId="2643C034">
            <w:pPr>
              <w:spacing w:line="240" w:lineRule="auto"/>
              <w:jc w:val="center"/>
              <w:rPr>
                <w:rFonts w:ascii="Times New Roman" w:hAnsi="Times New Roman" w:eastAsia="宋体" w:cs="Times New Roman"/>
                <w:sz w:val="18"/>
                <w:szCs w:val="18"/>
                <w14:ligatures w14:val="none"/>
              </w:rPr>
            </w:pPr>
          </w:p>
        </w:tc>
        <w:tc>
          <w:tcPr>
            <w:tcW w:w="628" w:type="pct"/>
            <w:vAlign w:val="center"/>
          </w:tcPr>
          <w:p w14:paraId="77882B48">
            <w:pPr>
              <w:spacing w:line="240" w:lineRule="auto"/>
              <w:rPr>
                <w:rFonts w:ascii="Times New Roman" w:hAnsi="Times New Roman" w:eastAsia="宋体" w:cs="Times New Roman"/>
                <w:sz w:val="18"/>
                <w:szCs w:val="18"/>
                <w14:ligatures w14:val="none"/>
              </w:rPr>
            </w:pPr>
          </w:p>
        </w:tc>
        <w:tc>
          <w:tcPr>
            <w:tcW w:w="523" w:type="pct"/>
            <w:vAlign w:val="center"/>
          </w:tcPr>
          <w:p w14:paraId="28DAC33E">
            <w:pPr>
              <w:spacing w:line="240" w:lineRule="auto"/>
              <w:rPr>
                <w:rFonts w:ascii="Times New Roman" w:hAnsi="Times New Roman" w:eastAsia="宋体" w:cs="Times New Roman"/>
                <w:sz w:val="18"/>
                <w:szCs w:val="18"/>
                <w14:ligatures w14:val="none"/>
              </w:rPr>
            </w:pPr>
          </w:p>
        </w:tc>
        <w:tc>
          <w:tcPr>
            <w:tcW w:w="520" w:type="pct"/>
            <w:vAlign w:val="center"/>
          </w:tcPr>
          <w:p w14:paraId="28C8D529">
            <w:pPr>
              <w:spacing w:line="240" w:lineRule="auto"/>
              <w:rPr>
                <w:rFonts w:ascii="Times New Roman" w:hAnsi="Times New Roman" w:eastAsia="宋体" w:cs="Times New Roman"/>
                <w:sz w:val="18"/>
                <w:szCs w:val="18"/>
                <w14:ligatures w14:val="none"/>
              </w:rPr>
            </w:pPr>
          </w:p>
        </w:tc>
        <w:tc>
          <w:tcPr>
            <w:tcW w:w="596" w:type="pct"/>
            <w:vAlign w:val="center"/>
          </w:tcPr>
          <w:p w14:paraId="67EF3272">
            <w:pPr>
              <w:spacing w:line="240" w:lineRule="auto"/>
              <w:rPr>
                <w:rFonts w:ascii="Times New Roman" w:hAnsi="Times New Roman" w:eastAsia="宋体" w:cs="Times New Roman"/>
                <w:sz w:val="18"/>
                <w:szCs w:val="18"/>
                <w14:ligatures w14:val="none"/>
              </w:rPr>
            </w:pPr>
          </w:p>
        </w:tc>
        <w:tc>
          <w:tcPr>
            <w:tcW w:w="596" w:type="pct"/>
            <w:vAlign w:val="center"/>
          </w:tcPr>
          <w:p w14:paraId="3F644D94">
            <w:pPr>
              <w:spacing w:line="240" w:lineRule="auto"/>
              <w:rPr>
                <w:rFonts w:ascii="Times New Roman" w:hAnsi="Times New Roman" w:eastAsia="宋体" w:cs="Times New Roman"/>
                <w:sz w:val="18"/>
                <w:szCs w:val="18"/>
                <w14:ligatures w14:val="none"/>
              </w:rPr>
            </w:pPr>
          </w:p>
        </w:tc>
        <w:tc>
          <w:tcPr>
            <w:tcW w:w="467" w:type="pct"/>
            <w:vAlign w:val="center"/>
          </w:tcPr>
          <w:p w14:paraId="1B6EB6AB">
            <w:pPr>
              <w:spacing w:line="240" w:lineRule="auto"/>
              <w:rPr>
                <w:rFonts w:ascii="Times New Roman" w:hAnsi="Times New Roman" w:eastAsia="宋体" w:cs="Times New Roman"/>
                <w:sz w:val="18"/>
                <w:szCs w:val="18"/>
                <w14:ligatures w14:val="none"/>
              </w:rPr>
            </w:pPr>
          </w:p>
        </w:tc>
        <w:tc>
          <w:tcPr>
            <w:tcW w:w="653" w:type="pct"/>
            <w:vAlign w:val="center"/>
          </w:tcPr>
          <w:p w14:paraId="502E9133">
            <w:pPr>
              <w:spacing w:line="240" w:lineRule="auto"/>
              <w:rPr>
                <w:rFonts w:ascii="Times New Roman" w:hAnsi="Times New Roman" w:eastAsia="宋体" w:cs="Times New Roman"/>
                <w:sz w:val="18"/>
                <w:szCs w:val="18"/>
                <w14:ligatures w14:val="none"/>
              </w:rPr>
            </w:pPr>
          </w:p>
        </w:tc>
      </w:tr>
    </w:tbl>
    <w:p w14:paraId="24C64D35">
      <w:pPr>
        <w:jc w:val="center"/>
        <w:rPr>
          <w:rFonts w:ascii="Times New Roman" w:hAnsi="Times New Roman" w:eastAsia="黑体" w:cs="Times New Roman"/>
          <w:snapToGrid w:val="0"/>
          <w:kern w:val="0"/>
          <w:sz w:val="18"/>
          <w:szCs w:val="18"/>
        </w:rPr>
      </w:pPr>
    </w:p>
    <w:p w14:paraId="228B0C23">
      <w:pPr>
        <w:jc w:val="center"/>
        <w:rPr>
          <w:rFonts w:ascii="Times New Roman" w:hAnsi="Times New Roman" w:eastAsia="黑体" w:cs="Times New Roman"/>
          <w:snapToGrid w:val="0"/>
          <w:kern w:val="0"/>
          <w:sz w:val="18"/>
          <w:szCs w:val="18"/>
        </w:rPr>
      </w:pPr>
      <w:r>
        <w:rPr>
          <w:rFonts w:hint="eastAsia" w:ascii="Times New Roman" w:hAnsi="Times New Roman" w:eastAsia="黑体" w:cs="Times New Roman"/>
          <w:snapToGrid w:val="0"/>
          <w:kern w:val="0"/>
          <w:sz w:val="18"/>
          <w:szCs w:val="18"/>
        </w:rPr>
        <w:t>表B</w:t>
      </w:r>
      <w:r>
        <w:rPr>
          <w:rFonts w:ascii="Times New Roman" w:hAnsi="Times New Roman" w:eastAsia="黑体" w:cs="Times New Roman"/>
          <w:snapToGrid w:val="0"/>
          <w:kern w:val="0"/>
          <w:sz w:val="18"/>
          <w:szCs w:val="18"/>
        </w:rPr>
        <w:t xml:space="preserve">.22  </w:t>
      </w:r>
      <w:r>
        <w:rPr>
          <w:rFonts w:hint="eastAsia" w:ascii="Times New Roman" w:hAnsi="Times New Roman" w:eastAsia="黑体" w:cs="Times New Roman"/>
          <w:snapToGrid w:val="0"/>
          <w:kern w:val="0"/>
          <w:sz w:val="18"/>
          <w:szCs w:val="18"/>
        </w:rPr>
        <w:t>安全设施专用投资概算表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4753"/>
        <w:gridCol w:w="1736"/>
        <w:gridCol w:w="1853"/>
      </w:tblGrid>
      <w:tr w14:paraId="6EA2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pct"/>
            <w:vAlign w:val="center"/>
          </w:tcPr>
          <w:p w14:paraId="396B7B50">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序号</w:t>
            </w:r>
          </w:p>
        </w:tc>
        <w:tc>
          <w:tcPr>
            <w:tcW w:w="2623" w:type="pct"/>
            <w:vAlign w:val="center"/>
          </w:tcPr>
          <w:p w14:paraId="67E30FD4">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安全技术措施和设施名称</w:t>
            </w:r>
          </w:p>
        </w:tc>
        <w:tc>
          <w:tcPr>
            <w:tcW w:w="958" w:type="pct"/>
            <w:vAlign w:val="center"/>
          </w:tcPr>
          <w:p w14:paraId="1B3B574D">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概算投资</w:t>
            </w:r>
          </w:p>
          <w:p w14:paraId="55D71002">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（万元）</w:t>
            </w:r>
          </w:p>
        </w:tc>
        <w:tc>
          <w:tcPr>
            <w:tcW w:w="1022" w:type="pct"/>
            <w:vAlign w:val="center"/>
          </w:tcPr>
          <w:p w14:paraId="6DCC80E8">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占概算总投资比例（</w:t>
            </w:r>
            <w:r>
              <w:rPr>
                <w:rFonts w:ascii="Times New Roman" w:hAnsi="Times New Roman" w:cs="Times New Roman"/>
                <w:kern w:val="2"/>
                <w:sz w:val="18"/>
                <w:szCs w:val="18"/>
              </w:rPr>
              <w:t>%</w:t>
            </w:r>
            <w:r>
              <w:rPr>
                <w:rFonts w:hint="eastAsia" w:ascii="Times New Roman" w:hAnsi="Times New Roman" w:cs="Times New Roman"/>
                <w:kern w:val="2"/>
                <w:sz w:val="18"/>
                <w:szCs w:val="18"/>
              </w:rPr>
              <w:t>）</w:t>
            </w:r>
          </w:p>
        </w:tc>
      </w:tr>
      <w:tr w14:paraId="1B34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71A1F4F4">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一</w:t>
            </w:r>
          </w:p>
        </w:tc>
        <w:tc>
          <w:tcPr>
            <w:tcW w:w="2623" w:type="pct"/>
            <w:vAlign w:val="center"/>
          </w:tcPr>
          <w:p w14:paraId="2D2CCE6C">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预防事故设施费用</w:t>
            </w:r>
          </w:p>
        </w:tc>
        <w:tc>
          <w:tcPr>
            <w:tcW w:w="958" w:type="pct"/>
            <w:vAlign w:val="center"/>
          </w:tcPr>
          <w:p w14:paraId="257D2C0E">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4769613C">
            <w:pPr>
              <w:pStyle w:val="65"/>
              <w:spacing w:line="240" w:lineRule="auto"/>
              <w:ind w:firstLine="0" w:firstLineChars="0"/>
              <w:jc w:val="both"/>
              <w:textAlignment w:val="auto"/>
              <w:rPr>
                <w:rFonts w:ascii="Times New Roman" w:hAnsi="Times New Roman" w:cs="Times New Roman"/>
                <w:kern w:val="2"/>
                <w:sz w:val="18"/>
                <w:szCs w:val="18"/>
              </w:rPr>
            </w:pPr>
          </w:p>
        </w:tc>
      </w:tr>
      <w:tr w14:paraId="56B8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97" w:type="pct"/>
            <w:vAlign w:val="center"/>
          </w:tcPr>
          <w:p w14:paraId="4E11B431">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1</w:t>
            </w:r>
          </w:p>
        </w:tc>
        <w:tc>
          <w:tcPr>
            <w:tcW w:w="2623" w:type="pct"/>
            <w:vAlign w:val="center"/>
          </w:tcPr>
          <w:p w14:paraId="1672A608">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检测及报警设施</w:t>
            </w:r>
          </w:p>
        </w:tc>
        <w:tc>
          <w:tcPr>
            <w:tcW w:w="958" w:type="pct"/>
            <w:vAlign w:val="center"/>
          </w:tcPr>
          <w:p w14:paraId="25A88DDA">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07A86264">
            <w:pPr>
              <w:pStyle w:val="65"/>
              <w:spacing w:line="240" w:lineRule="auto"/>
              <w:ind w:firstLine="0" w:firstLineChars="0"/>
              <w:jc w:val="both"/>
              <w:textAlignment w:val="auto"/>
              <w:rPr>
                <w:rFonts w:ascii="Times New Roman" w:hAnsi="Times New Roman" w:cs="Times New Roman"/>
                <w:kern w:val="2"/>
                <w:sz w:val="18"/>
                <w:szCs w:val="18"/>
              </w:rPr>
            </w:pPr>
          </w:p>
        </w:tc>
      </w:tr>
      <w:tr w14:paraId="7633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72C32577">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2</w:t>
            </w:r>
          </w:p>
        </w:tc>
        <w:tc>
          <w:tcPr>
            <w:tcW w:w="2623" w:type="pct"/>
            <w:vAlign w:val="center"/>
          </w:tcPr>
          <w:p w14:paraId="4D472100">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防雷电及防静电设施</w:t>
            </w:r>
          </w:p>
        </w:tc>
        <w:tc>
          <w:tcPr>
            <w:tcW w:w="958" w:type="pct"/>
            <w:vAlign w:val="center"/>
          </w:tcPr>
          <w:p w14:paraId="41D7898A">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75CACC73">
            <w:pPr>
              <w:pStyle w:val="65"/>
              <w:spacing w:line="240" w:lineRule="auto"/>
              <w:ind w:firstLine="0" w:firstLineChars="0"/>
              <w:jc w:val="both"/>
              <w:textAlignment w:val="auto"/>
              <w:rPr>
                <w:rFonts w:ascii="Times New Roman" w:hAnsi="Times New Roman" w:cs="Times New Roman"/>
                <w:kern w:val="2"/>
                <w:sz w:val="18"/>
                <w:szCs w:val="18"/>
              </w:rPr>
            </w:pPr>
          </w:p>
        </w:tc>
      </w:tr>
      <w:tr w14:paraId="7372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3D0DF2F7">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3</w:t>
            </w:r>
          </w:p>
        </w:tc>
        <w:tc>
          <w:tcPr>
            <w:tcW w:w="2623" w:type="pct"/>
            <w:vAlign w:val="center"/>
          </w:tcPr>
          <w:p w14:paraId="7667DE58">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设备及管道安全防护设施</w:t>
            </w:r>
          </w:p>
        </w:tc>
        <w:tc>
          <w:tcPr>
            <w:tcW w:w="958" w:type="pct"/>
            <w:vAlign w:val="center"/>
          </w:tcPr>
          <w:p w14:paraId="388F2024">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44ABB9B1">
            <w:pPr>
              <w:pStyle w:val="65"/>
              <w:spacing w:line="240" w:lineRule="auto"/>
              <w:ind w:firstLine="0" w:firstLineChars="0"/>
              <w:jc w:val="both"/>
              <w:textAlignment w:val="auto"/>
              <w:rPr>
                <w:rFonts w:ascii="Times New Roman" w:hAnsi="Times New Roman" w:cs="Times New Roman"/>
                <w:kern w:val="2"/>
                <w:sz w:val="18"/>
                <w:szCs w:val="18"/>
              </w:rPr>
            </w:pPr>
          </w:p>
        </w:tc>
      </w:tr>
      <w:tr w14:paraId="5662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2ABD6E5C">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4</w:t>
            </w:r>
          </w:p>
        </w:tc>
        <w:tc>
          <w:tcPr>
            <w:tcW w:w="2623" w:type="pct"/>
            <w:vAlign w:val="center"/>
          </w:tcPr>
          <w:p w14:paraId="28538A74">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防爆设施</w:t>
            </w:r>
          </w:p>
        </w:tc>
        <w:tc>
          <w:tcPr>
            <w:tcW w:w="958" w:type="pct"/>
            <w:vAlign w:val="center"/>
          </w:tcPr>
          <w:p w14:paraId="3457E5DE">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46D09E31">
            <w:pPr>
              <w:pStyle w:val="65"/>
              <w:spacing w:line="240" w:lineRule="auto"/>
              <w:ind w:firstLine="0" w:firstLineChars="0"/>
              <w:jc w:val="both"/>
              <w:textAlignment w:val="auto"/>
              <w:rPr>
                <w:rFonts w:ascii="Times New Roman" w:hAnsi="Times New Roman" w:cs="Times New Roman"/>
                <w:kern w:val="2"/>
                <w:sz w:val="18"/>
                <w:szCs w:val="18"/>
              </w:rPr>
            </w:pPr>
          </w:p>
        </w:tc>
      </w:tr>
      <w:tr w14:paraId="1AF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68D64A96">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5</w:t>
            </w:r>
          </w:p>
        </w:tc>
        <w:tc>
          <w:tcPr>
            <w:tcW w:w="2623" w:type="pct"/>
            <w:vAlign w:val="center"/>
          </w:tcPr>
          <w:p w14:paraId="74379037">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安防系统</w:t>
            </w:r>
          </w:p>
        </w:tc>
        <w:tc>
          <w:tcPr>
            <w:tcW w:w="958" w:type="pct"/>
            <w:vAlign w:val="center"/>
          </w:tcPr>
          <w:p w14:paraId="222229C6">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4045C538">
            <w:pPr>
              <w:pStyle w:val="65"/>
              <w:spacing w:line="240" w:lineRule="auto"/>
              <w:ind w:firstLine="0" w:firstLineChars="0"/>
              <w:jc w:val="both"/>
              <w:textAlignment w:val="auto"/>
              <w:rPr>
                <w:rFonts w:ascii="Times New Roman" w:hAnsi="Times New Roman" w:cs="Times New Roman"/>
                <w:kern w:val="2"/>
                <w:sz w:val="18"/>
                <w:szCs w:val="18"/>
              </w:rPr>
            </w:pPr>
          </w:p>
        </w:tc>
      </w:tr>
      <w:tr w14:paraId="535B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397" w:type="pct"/>
            <w:vAlign w:val="center"/>
          </w:tcPr>
          <w:p w14:paraId="68E5A378">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6</w:t>
            </w:r>
          </w:p>
        </w:tc>
        <w:tc>
          <w:tcPr>
            <w:tcW w:w="2623" w:type="pct"/>
            <w:vAlign w:val="center"/>
          </w:tcPr>
          <w:p w14:paraId="7D650C02">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安全警示标志</w:t>
            </w:r>
          </w:p>
        </w:tc>
        <w:tc>
          <w:tcPr>
            <w:tcW w:w="958" w:type="pct"/>
            <w:vAlign w:val="center"/>
          </w:tcPr>
          <w:p w14:paraId="5C00AC88">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2AC2A092">
            <w:pPr>
              <w:pStyle w:val="65"/>
              <w:spacing w:line="240" w:lineRule="auto"/>
              <w:ind w:firstLine="0" w:firstLineChars="0"/>
              <w:jc w:val="both"/>
              <w:textAlignment w:val="auto"/>
              <w:rPr>
                <w:rFonts w:ascii="Times New Roman" w:hAnsi="Times New Roman" w:cs="Times New Roman"/>
                <w:kern w:val="2"/>
                <w:sz w:val="18"/>
                <w:szCs w:val="18"/>
              </w:rPr>
            </w:pPr>
          </w:p>
        </w:tc>
      </w:tr>
      <w:tr w14:paraId="6F4B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0452600C">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7</w:t>
            </w:r>
          </w:p>
        </w:tc>
        <w:tc>
          <w:tcPr>
            <w:tcW w:w="2623" w:type="pct"/>
            <w:vAlign w:val="center"/>
          </w:tcPr>
          <w:p w14:paraId="250DFFD4">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作业场所防护设施</w:t>
            </w:r>
          </w:p>
        </w:tc>
        <w:tc>
          <w:tcPr>
            <w:tcW w:w="958" w:type="pct"/>
            <w:vAlign w:val="center"/>
          </w:tcPr>
          <w:p w14:paraId="642B0986">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302EBEC1">
            <w:pPr>
              <w:pStyle w:val="65"/>
              <w:spacing w:line="240" w:lineRule="auto"/>
              <w:ind w:firstLine="0" w:firstLineChars="0"/>
              <w:jc w:val="both"/>
              <w:textAlignment w:val="auto"/>
              <w:rPr>
                <w:rFonts w:ascii="Times New Roman" w:hAnsi="Times New Roman" w:cs="Times New Roman"/>
                <w:kern w:val="2"/>
                <w:sz w:val="18"/>
                <w:szCs w:val="18"/>
              </w:rPr>
            </w:pPr>
          </w:p>
        </w:tc>
      </w:tr>
      <w:tr w14:paraId="344F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97" w:type="pct"/>
            <w:vAlign w:val="center"/>
          </w:tcPr>
          <w:p w14:paraId="0BF4E04E">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w:t>
            </w:r>
          </w:p>
        </w:tc>
        <w:tc>
          <w:tcPr>
            <w:tcW w:w="2623" w:type="pct"/>
            <w:vAlign w:val="center"/>
          </w:tcPr>
          <w:p w14:paraId="0EE7EBA8">
            <w:pPr>
              <w:pStyle w:val="65"/>
              <w:spacing w:line="240" w:lineRule="auto"/>
              <w:ind w:firstLine="0" w:firstLineChars="0"/>
              <w:jc w:val="both"/>
              <w:textAlignment w:val="auto"/>
              <w:rPr>
                <w:rFonts w:ascii="Times New Roman" w:hAnsi="Times New Roman" w:cs="Times New Roman"/>
                <w:kern w:val="2"/>
                <w:sz w:val="18"/>
                <w:szCs w:val="18"/>
              </w:rPr>
            </w:pPr>
            <w:r>
              <w:rPr>
                <w:rFonts w:ascii="Times New Roman" w:hAnsi="Times New Roman" w:cs="Times New Roman"/>
                <w:kern w:val="2"/>
                <w:sz w:val="18"/>
                <w:szCs w:val="18"/>
              </w:rPr>
              <w:t>…</w:t>
            </w:r>
          </w:p>
        </w:tc>
        <w:tc>
          <w:tcPr>
            <w:tcW w:w="958" w:type="pct"/>
            <w:vAlign w:val="center"/>
          </w:tcPr>
          <w:p w14:paraId="4DEC0130">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52D5A690">
            <w:pPr>
              <w:pStyle w:val="65"/>
              <w:spacing w:line="240" w:lineRule="auto"/>
              <w:ind w:firstLine="0" w:firstLineChars="0"/>
              <w:jc w:val="both"/>
              <w:textAlignment w:val="auto"/>
              <w:rPr>
                <w:rFonts w:ascii="Times New Roman" w:hAnsi="Times New Roman" w:cs="Times New Roman"/>
                <w:kern w:val="2"/>
                <w:sz w:val="18"/>
                <w:szCs w:val="18"/>
              </w:rPr>
            </w:pPr>
          </w:p>
        </w:tc>
      </w:tr>
      <w:tr w14:paraId="1732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0FEA5035">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二</w:t>
            </w:r>
          </w:p>
        </w:tc>
        <w:tc>
          <w:tcPr>
            <w:tcW w:w="2623" w:type="pct"/>
            <w:vAlign w:val="center"/>
          </w:tcPr>
          <w:p w14:paraId="7211611B">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控制事故设施费用</w:t>
            </w:r>
          </w:p>
        </w:tc>
        <w:tc>
          <w:tcPr>
            <w:tcW w:w="958" w:type="pct"/>
            <w:vAlign w:val="center"/>
          </w:tcPr>
          <w:p w14:paraId="236BD176">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158547C0">
            <w:pPr>
              <w:pStyle w:val="65"/>
              <w:spacing w:line="240" w:lineRule="auto"/>
              <w:ind w:firstLine="0" w:firstLineChars="0"/>
              <w:jc w:val="both"/>
              <w:textAlignment w:val="auto"/>
              <w:rPr>
                <w:rFonts w:ascii="Times New Roman" w:hAnsi="Times New Roman" w:cs="Times New Roman"/>
                <w:kern w:val="2"/>
                <w:sz w:val="18"/>
                <w:szCs w:val="18"/>
              </w:rPr>
            </w:pPr>
          </w:p>
        </w:tc>
      </w:tr>
      <w:tr w14:paraId="0BAF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57D46466">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1</w:t>
            </w:r>
          </w:p>
        </w:tc>
        <w:tc>
          <w:tcPr>
            <w:tcW w:w="2623" w:type="pct"/>
            <w:vAlign w:val="center"/>
          </w:tcPr>
          <w:p w14:paraId="0CC9C24B">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泄压和止逆设施</w:t>
            </w:r>
          </w:p>
        </w:tc>
        <w:tc>
          <w:tcPr>
            <w:tcW w:w="958" w:type="pct"/>
            <w:vAlign w:val="center"/>
          </w:tcPr>
          <w:p w14:paraId="2359FC66">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0A0E6784">
            <w:pPr>
              <w:pStyle w:val="65"/>
              <w:spacing w:line="240" w:lineRule="auto"/>
              <w:ind w:firstLine="0" w:firstLineChars="0"/>
              <w:jc w:val="both"/>
              <w:textAlignment w:val="auto"/>
              <w:rPr>
                <w:rFonts w:ascii="Times New Roman" w:hAnsi="Times New Roman" w:cs="Times New Roman"/>
                <w:kern w:val="2"/>
                <w:sz w:val="18"/>
                <w:szCs w:val="18"/>
              </w:rPr>
            </w:pPr>
          </w:p>
        </w:tc>
      </w:tr>
      <w:tr w14:paraId="7323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3E9C9E63">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2</w:t>
            </w:r>
          </w:p>
        </w:tc>
        <w:tc>
          <w:tcPr>
            <w:tcW w:w="2623" w:type="pct"/>
            <w:vAlign w:val="center"/>
          </w:tcPr>
          <w:p w14:paraId="270B0160">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紧急处理设施</w:t>
            </w:r>
          </w:p>
        </w:tc>
        <w:tc>
          <w:tcPr>
            <w:tcW w:w="958" w:type="pct"/>
            <w:vAlign w:val="center"/>
          </w:tcPr>
          <w:p w14:paraId="06036D55">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2A65641D">
            <w:pPr>
              <w:pStyle w:val="65"/>
              <w:spacing w:line="240" w:lineRule="auto"/>
              <w:ind w:firstLine="0" w:firstLineChars="0"/>
              <w:jc w:val="both"/>
              <w:textAlignment w:val="auto"/>
              <w:rPr>
                <w:rFonts w:ascii="Times New Roman" w:hAnsi="Times New Roman" w:cs="Times New Roman"/>
                <w:kern w:val="2"/>
                <w:sz w:val="18"/>
                <w:szCs w:val="18"/>
              </w:rPr>
            </w:pPr>
          </w:p>
        </w:tc>
      </w:tr>
      <w:tr w14:paraId="6B5F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97" w:type="pct"/>
            <w:vAlign w:val="center"/>
          </w:tcPr>
          <w:p w14:paraId="702DA19A">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w:t>
            </w:r>
          </w:p>
        </w:tc>
        <w:tc>
          <w:tcPr>
            <w:tcW w:w="2623" w:type="pct"/>
            <w:vAlign w:val="center"/>
          </w:tcPr>
          <w:p w14:paraId="3A3D24C0">
            <w:pPr>
              <w:pStyle w:val="65"/>
              <w:spacing w:line="240" w:lineRule="auto"/>
              <w:ind w:firstLine="0" w:firstLineChars="0"/>
              <w:jc w:val="both"/>
              <w:textAlignment w:val="auto"/>
              <w:rPr>
                <w:rFonts w:ascii="Times New Roman" w:hAnsi="Times New Roman" w:cs="Times New Roman"/>
                <w:kern w:val="2"/>
                <w:sz w:val="18"/>
                <w:szCs w:val="18"/>
              </w:rPr>
            </w:pPr>
            <w:r>
              <w:rPr>
                <w:rFonts w:ascii="Times New Roman" w:hAnsi="Times New Roman" w:cs="Times New Roman"/>
                <w:kern w:val="2"/>
                <w:sz w:val="18"/>
                <w:szCs w:val="18"/>
              </w:rPr>
              <w:t>…</w:t>
            </w:r>
          </w:p>
        </w:tc>
        <w:tc>
          <w:tcPr>
            <w:tcW w:w="958" w:type="pct"/>
            <w:vAlign w:val="center"/>
          </w:tcPr>
          <w:p w14:paraId="5020DAE0">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18683F17">
            <w:pPr>
              <w:pStyle w:val="65"/>
              <w:spacing w:line="240" w:lineRule="auto"/>
              <w:ind w:firstLine="0" w:firstLineChars="0"/>
              <w:jc w:val="both"/>
              <w:textAlignment w:val="auto"/>
              <w:rPr>
                <w:rFonts w:ascii="Times New Roman" w:hAnsi="Times New Roman" w:cs="Times New Roman"/>
                <w:kern w:val="2"/>
                <w:sz w:val="18"/>
                <w:szCs w:val="18"/>
              </w:rPr>
            </w:pPr>
          </w:p>
        </w:tc>
      </w:tr>
      <w:tr w14:paraId="3297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397" w:type="pct"/>
            <w:vAlign w:val="center"/>
          </w:tcPr>
          <w:p w14:paraId="798DC23E">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三</w:t>
            </w:r>
          </w:p>
        </w:tc>
        <w:tc>
          <w:tcPr>
            <w:tcW w:w="2623" w:type="pct"/>
            <w:vAlign w:val="center"/>
          </w:tcPr>
          <w:p w14:paraId="2DCA59EF">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消减事故及影响设施费用</w:t>
            </w:r>
          </w:p>
        </w:tc>
        <w:tc>
          <w:tcPr>
            <w:tcW w:w="958" w:type="pct"/>
            <w:vAlign w:val="center"/>
          </w:tcPr>
          <w:p w14:paraId="7B7E1A8D">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05874F10">
            <w:pPr>
              <w:pStyle w:val="65"/>
              <w:spacing w:line="240" w:lineRule="auto"/>
              <w:ind w:firstLine="0" w:firstLineChars="0"/>
              <w:jc w:val="both"/>
              <w:textAlignment w:val="auto"/>
              <w:rPr>
                <w:rFonts w:ascii="Times New Roman" w:hAnsi="Times New Roman" w:cs="Times New Roman"/>
                <w:kern w:val="2"/>
                <w:sz w:val="18"/>
                <w:szCs w:val="18"/>
              </w:rPr>
            </w:pPr>
          </w:p>
        </w:tc>
      </w:tr>
      <w:tr w14:paraId="3E49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0B0717E4">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1</w:t>
            </w:r>
          </w:p>
        </w:tc>
        <w:tc>
          <w:tcPr>
            <w:tcW w:w="2623" w:type="pct"/>
            <w:vAlign w:val="center"/>
          </w:tcPr>
          <w:p w14:paraId="45E4ABAA">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防止火灾蔓延设施</w:t>
            </w:r>
          </w:p>
        </w:tc>
        <w:tc>
          <w:tcPr>
            <w:tcW w:w="958" w:type="pct"/>
            <w:vAlign w:val="center"/>
          </w:tcPr>
          <w:p w14:paraId="4BDF946B">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632BE63A">
            <w:pPr>
              <w:pStyle w:val="65"/>
              <w:spacing w:line="240" w:lineRule="auto"/>
              <w:ind w:firstLine="0" w:firstLineChars="0"/>
              <w:jc w:val="both"/>
              <w:textAlignment w:val="auto"/>
              <w:rPr>
                <w:rFonts w:ascii="Times New Roman" w:hAnsi="Times New Roman" w:cs="Times New Roman"/>
                <w:kern w:val="2"/>
                <w:sz w:val="18"/>
                <w:szCs w:val="18"/>
              </w:rPr>
            </w:pPr>
          </w:p>
        </w:tc>
      </w:tr>
      <w:tr w14:paraId="06F7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726C99D8">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2</w:t>
            </w:r>
          </w:p>
        </w:tc>
        <w:tc>
          <w:tcPr>
            <w:tcW w:w="2623" w:type="pct"/>
            <w:vAlign w:val="center"/>
          </w:tcPr>
          <w:p w14:paraId="2105C091">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应急救援设施</w:t>
            </w:r>
          </w:p>
        </w:tc>
        <w:tc>
          <w:tcPr>
            <w:tcW w:w="958" w:type="pct"/>
            <w:vAlign w:val="center"/>
          </w:tcPr>
          <w:p w14:paraId="64539FC3">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20D9E5D0">
            <w:pPr>
              <w:pStyle w:val="65"/>
              <w:spacing w:line="240" w:lineRule="auto"/>
              <w:ind w:firstLine="0" w:firstLineChars="0"/>
              <w:jc w:val="both"/>
              <w:textAlignment w:val="auto"/>
              <w:rPr>
                <w:rFonts w:ascii="Times New Roman" w:hAnsi="Times New Roman" w:cs="Times New Roman"/>
                <w:kern w:val="2"/>
                <w:sz w:val="18"/>
                <w:szCs w:val="18"/>
              </w:rPr>
            </w:pPr>
          </w:p>
        </w:tc>
      </w:tr>
      <w:tr w14:paraId="53A8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08A08CFD">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3</w:t>
            </w:r>
          </w:p>
        </w:tc>
        <w:tc>
          <w:tcPr>
            <w:tcW w:w="2623" w:type="pct"/>
            <w:vAlign w:val="center"/>
          </w:tcPr>
          <w:p w14:paraId="3AEE62B8">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逃生设施</w:t>
            </w:r>
          </w:p>
        </w:tc>
        <w:tc>
          <w:tcPr>
            <w:tcW w:w="958" w:type="pct"/>
            <w:vAlign w:val="center"/>
          </w:tcPr>
          <w:p w14:paraId="4D37AEC7">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075210E4">
            <w:pPr>
              <w:pStyle w:val="65"/>
              <w:spacing w:line="240" w:lineRule="auto"/>
              <w:ind w:firstLine="0" w:firstLineChars="0"/>
              <w:jc w:val="both"/>
              <w:textAlignment w:val="auto"/>
              <w:rPr>
                <w:rFonts w:ascii="Times New Roman" w:hAnsi="Times New Roman" w:cs="Times New Roman"/>
                <w:kern w:val="2"/>
                <w:sz w:val="18"/>
                <w:szCs w:val="18"/>
              </w:rPr>
            </w:pPr>
          </w:p>
        </w:tc>
      </w:tr>
      <w:tr w14:paraId="7698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2EDE7B2E">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4</w:t>
            </w:r>
          </w:p>
        </w:tc>
        <w:tc>
          <w:tcPr>
            <w:tcW w:w="2623" w:type="pct"/>
            <w:vAlign w:val="center"/>
          </w:tcPr>
          <w:p w14:paraId="4DA6C160">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劳动保护用品和装备</w:t>
            </w:r>
          </w:p>
        </w:tc>
        <w:tc>
          <w:tcPr>
            <w:tcW w:w="958" w:type="pct"/>
            <w:vAlign w:val="center"/>
          </w:tcPr>
          <w:p w14:paraId="0D67D016">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28CA575D">
            <w:pPr>
              <w:pStyle w:val="65"/>
              <w:spacing w:line="240" w:lineRule="auto"/>
              <w:ind w:firstLine="0" w:firstLineChars="0"/>
              <w:jc w:val="both"/>
              <w:textAlignment w:val="auto"/>
              <w:rPr>
                <w:rFonts w:ascii="Times New Roman" w:hAnsi="Times New Roman" w:cs="Times New Roman"/>
                <w:kern w:val="2"/>
                <w:sz w:val="18"/>
                <w:szCs w:val="18"/>
              </w:rPr>
            </w:pPr>
          </w:p>
        </w:tc>
      </w:tr>
      <w:tr w14:paraId="3E66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154DB1FC">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5</w:t>
            </w:r>
          </w:p>
        </w:tc>
        <w:tc>
          <w:tcPr>
            <w:tcW w:w="2623" w:type="pct"/>
            <w:vAlign w:val="center"/>
          </w:tcPr>
          <w:p w14:paraId="319B9DB3">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维抢修设备</w:t>
            </w:r>
          </w:p>
        </w:tc>
        <w:tc>
          <w:tcPr>
            <w:tcW w:w="958" w:type="pct"/>
            <w:vAlign w:val="center"/>
          </w:tcPr>
          <w:p w14:paraId="68387F37">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1DE66C95">
            <w:pPr>
              <w:pStyle w:val="65"/>
              <w:spacing w:line="240" w:lineRule="auto"/>
              <w:ind w:firstLine="0" w:firstLineChars="0"/>
              <w:jc w:val="both"/>
              <w:textAlignment w:val="auto"/>
              <w:rPr>
                <w:rFonts w:ascii="Times New Roman" w:hAnsi="Times New Roman" w:cs="Times New Roman"/>
                <w:kern w:val="2"/>
                <w:sz w:val="18"/>
                <w:szCs w:val="18"/>
              </w:rPr>
            </w:pPr>
          </w:p>
        </w:tc>
      </w:tr>
      <w:tr w14:paraId="06DB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97" w:type="pct"/>
            <w:vAlign w:val="center"/>
          </w:tcPr>
          <w:p w14:paraId="2C8D2CAA">
            <w:pPr>
              <w:pStyle w:val="65"/>
              <w:spacing w:line="240" w:lineRule="auto"/>
              <w:ind w:firstLine="0" w:firstLineChars="0"/>
              <w:textAlignment w:val="auto"/>
              <w:rPr>
                <w:rFonts w:ascii="Times New Roman" w:hAnsi="Times New Roman" w:cs="Times New Roman"/>
                <w:kern w:val="2"/>
                <w:sz w:val="18"/>
                <w:szCs w:val="18"/>
              </w:rPr>
            </w:pPr>
            <w:r>
              <w:rPr>
                <w:rFonts w:ascii="Times New Roman" w:hAnsi="Times New Roman" w:cs="Times New Roman"/>
                <w:kern w:val="2"/>
                <w:sz w:val="18"/>
                <w:szCs w:val="18"/>
              </w:rPr>
              <w:t>…</w:t>
            </w:r>
          </w:p>
        </w:tc>
        <w:tc>
          <w:tcPr>
            <w:tcW w:w="2623" w:type="pct"/>
            <w:vAlign w:val="center"/>
          </w:tcPr>
          <w:p w14:paraId="412C4893">
            <w:pPr>
              <w:pStyle w:val="65"/>
              <w:spacing w:line="240" w:lineRule="auto"/>
              <w:ind w:firstLine="0" w:firstLineChars="0"/>
              <w:jc w:val="both"/>
              <w:textAlignment w:val="auto"/>
              <w:rPr>
                <w:rFonts w:ascii="Times New Roman" w:hAnsi="Times New Roman" w:cs="Times New Roman"/>
                <w:kern w:val="2"/>
                <w:sz w:val="18"/>
                <w:szCs w:val="18"/>
              </w:rPr>
            </w:pPr>
          </w:p>
        </w:tc>
        <w:tc>
          <w:tcPr>
            <w:tcW w:w="958" w:type="pct"/>
            <w:vAlign w:val="center"/>
          </w:tcPr>
          <w:p w14:paraId="12BA6AB0">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57BB3F63">
            <w:pPr>
              <w:pStyle w:val="65"/>
              <w:spacing w:line="240" w:lineRule="auto"/>
              <w:ind w:firstLine="0" w:firstLineChars="0"/>
              <w:jc w:val="both"/>
              <w:textAlignment w:val="auto"/>
              <w:rPr>
                <w:rFonts w:ascii="Times New Roman" w:hAnsi="Times New Roman" w:cs="Times New Roman"/>
                <w:kern w:val="2"/>
                <w:sz w:val="18"/>
                <w:szCs w:val="18"/>
              </w:rPr>
            </w:pPr>
          </w:p>
        </w:tc>
      </w:tr>
      <w:tr w14:paraId="01F9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97" w:type="pct"/>
            <w:vAlign w:val="center"/>
          </w:tcPr>
          <w:p w14:paraId="0E599D81">
            <w:pPr>
              <w:pStyle w:val="65"/>
              <w:spacing w:line="240" w:lineRule="auto"/>
              <w:ind w:firstLine="0" w:firstLineChars="0"/>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五</w:t>
            </w:r>
          </w:p>
        </w:tc>
        <w:tc>
          <w:tcPr>
            <w:tcW w:w="2623" w:type="pct"/>
            <w:vAlign w:val="center"/>
          </w:tcPr>
          <w:p w14:paraId="7736E165">
            <w:pPr>
              <w:pStyle w:val="65"/>
              <w:spacing w:line="240" w:lineRule="auto"/>
              <w:ind w:firstLine="0" w:firstLineChars="0"/>
              <w:jc w:val="both"/>
              <w:textAlignment w:val="auto"/>
              <w:rPr>
                <w:rFonts w:ascii="Times New Roman" w:hAnsi="Times New Roman" w:cs="Times New Roman"/>
                <w:kern w:val="2"/>
                <w:sz w:val="18"/>
                <w:szCs w:val="18"/>
              </w:rPr>
            </w:pPr>
            <w:r>
              <w:rPr>
                <w:rFonts w:hint="eastAsia" w:ascii="Times New Roman" w:hAnsi="Times New Roman" w:cs="Times New Roman"/>
                <w:kern w:val="2"/>
                <w:sz w:val="18"/>
                <w:szCs w:val="18"/>
              </w:rPr>
              <w:t>总计</w:t>
            </w:r>
          </w:p>
        </w:tc>
        <w:tc>
          <w:tcPr>
            <w:tcW w:w="958" w:type="pct"/>
            <w:vAlign w:val="center"/>
          </w:tcPr>
          <w:p w14:paraId="7E66AE45">
            <w:pPr>
              <w:pStyle w:val="65"/>
              <w:spacing w:line="240" w:lineRule="auto"/>
              <w:ind w:firstLine="0" w:firstLineChars="0"/>
              <w:textAlignment w:val="auto"/>
              <w:rPr>
                <w:rFonts w:ascii="Times New Roman" w:hAnsi="Times New Roman" w:cs="Times New Roman"/>
                <w:kern w:val="2"/>
                <w:sz w:val="18"/>
                <w:szCs w:val="18"/>
              </w:rPr>
            </w:pPr>
          </w:p>
        </w:tc>
        <w:tc>
          <w:tcPr>
            <w:tcW w:w="1022" w:type="pct"/>
            <w:vAlign w:val="center"/>
          </w:tcPr>
          <w:p w14:paraId="721D5315">
            <w:pPr>
              <w:pStyle w:val="65"/>
              <w:spacing w:line="240" w:lineRule="auto"/>
              <w:ind w:firstLine="0" w:firstLineChars="0"/>
              <w:jc w:val="both"/>
              <w:textAlignment w:val="auto"/>
              <w:rPr>
                <w:rFonts w:ascii="Times New Roman" w:hAnsi="Times New Roman" w:cs="Times New Roman"/>
                <w:kern w:val="2"/>
                <w:sz w:val="18"/>
                <w:szCs w:val="18"/>
              </w:rPr>
            </w:pPr>
          </w:p>
        </w:tc>
      </w:tr>
    </w:tbl>
    <w:p w14:paraId="3B7399ED">
      <w:pPr>
        <w:widowControl/>
        <w:spacing w:line="240" w:lineRule="auto"/>
        <w:jc w:val="left"/>
        <w:rPr>
          <w:rFonts w:ascii="黑体" w:hAnsi="黑体" w:eastAsia="黑体"/>
          <w:bCs/>
          <w:kern w:val="44"/>
          <w:szCs w:val="21"/>
          <w14:ligatures w14:val="none"/>
        </w:rPr>
      </w:pPr>
      <w:r>
        <w:rPr>
          <w:rFonts w:ascii="黑体" w:hAnsi="黑体" w:eastAsia="黑体"/>
          <w:b/>
          <w:szCs w:val="21"/>
        </w:rPr>
        <w:br w:type="page"/>
      </w:r>
    </w:p>
    <w:p w14:paraId="6393F7F4">
      <w:pPr>
        <w:pStyle w:val="89"/>
        <w:spacing w:after="156"/>
      </w:pPr>
      <w:bookmarkStart w:id="216" w:name="_Toc195881894"/>
      <w:r>
        <w:rPr>
          <w:rFonts w:hint="eastAsia"/>
        </w:rPr>
        <w:t>附</w:t>
      </w:r>
      <w:r>
        <w:t xml:space="preserve"> </w:t>
      </w:r>
      <w:r>
        <w:rPr>
          <w:rFonts w:hint="eastAsia"/>
        </w:rPr>
        <w:t>录</w:t>
      </w:r>
      <w:r>
        <w:t xml:space="preserve"> </w:t>
      </w:r>
      <w:bookmarkStart w:id="217" w:name="_Toc8947"/>
      <w:r>
        <w:rPr>
          <w:rFonts w:hint="eastAsia"/>
        </w:rPr>
        <w:t>C</w:t>
      </w:r>
      <w:r>
        <w:br w:type="textWrapping"/>
      </w:r>
      <w:r>
        <w:rPr>
          <w:rFonts w:hint="eastAsia"/>
        </w:rPr>
        <w:t>（</w:t>
      </w:r>
      <w:r>
        <w:t>规范性</w:t>
      </w:r>
      <w:r>
        <w:rPr>
          <w:rFonts w:hint="eastAsia"/>
        </w:rPr>
        <w:t>）</w:t>
      </w:r>
      <w:r>
        <w:br w:type="textWrapping"/>
      </w:r>
      <w:r>
        <w:rPr>
          <w:rFonts w:hint="eastAsia"/>
        </w:rPr>
        <w:t>安全设施设计封面格式</w:t>
      </w:r>
      <w:bookmarkEnd w:id="216"/>
      <w:bookmarkEnd w:id="217"/>
    </w:p>
    <w:p w14:paraId="56958A9D">
      <w:pPr>
        <w:snapToGrid w:val="0"/>
        <w:spacing w:before="156" w:beforeLines="50" w:line="300" w:lineRule="auto"/>
        <w:jc w:val="center"/>
        <w:rPr>
          <w:rFonts w:ascii="Times New Roman" w:hAnsi="Times New Roman" w:eastAsia="宋体" w:cs="Times New Roman"/>
          <w:b/>
          <w:bCs/>
          <w:kern w:val="0"/>
          <w:sz w:val="52"/>
        </w:rPr>
      </w:pPr>
      <w:r>
        <w:rPr>
          <w:rFonts w:hint="eastAsia" w:ascii="Times New Roman" w:hAnsi="Times New Roman" w:eastAsia="宋体" w:cs="Times New Roman"/>
          <w:b/>
          <w:bCs/>
          <w:kern w:val="0"/>
          <w:sz w:val="52"/>
        </w:rPr>
        <w:t>（建设项目名称）</w:t>
      </w:r>
    </w:p>
    <w:p w14:paraId="663F8E01">
      <w:pPr>
        <w:snapToGrid w:val="0"/>
        <w:spacing w:before="156" w:beforeLines="50" w:line="300" w:lineRule="auto"/>
        <w:jc w:val="center"/>
        <w:rPr>
          <w:rFonts w:ascii="Times New Roman" w:hAnsi="Times New Roman" w:eastAsia="宋体" w:cs="Times New Roman"/>
          <w:b/>
          <w:bCs/>
          <w:kern w:val="0"/>
          <w:sz w:val="52"/>
        </w:rPr>
      </w:pPr>
      <w:r>
        <w:rPr>
          <w:rFonts w:ascii="Times New Roman" w:hAnsi="Times New Roman" w:eastAsia="宋体" w:cs="Times New Roman"/>
          <w:kern w:val="0"/>
        </w:rPr>
        <w:t>(</w:t>
      </w:r>
      <w:r>
        <w:rPr>
          <w:rFonts w:hint="eastAsia" w:ascii="Times New Roman" w:hAnsi="Times New Roman" w:eastAsia="宋体" w:cs="Times New Roman"/>
          <w:kern w:val="0"/>
        </w:rPr>
        <w:t>居中</w:t>
      </w:r>
      <w:r>
        <w:rPr>
          <w:rFonts w:ascii="Times New Roman" w:hAnsi="Times New Roman" w:eastAsia="宋体" w:cs="Times New Roman"/>
          <w:kern w:val="0"/>
        </w:rPr>
        <w:t>,</w:t>
      </w:r>
      <w:r>
        <w:rPr>
          <w:rFonts w:hint="eastAsia" w:ascii="Times New Roman" w:hAnsi="Times New Roman" w:eastAsia="宋体" w:cs="Times New Roman"/>
          <w:kern w:val="0"/>
        </w:rPr>
        <w:t>二号宋体加粗</w:t>
      </w:r>
      <w:r>
        <w:rPr>
          <w:rFonts w:ascii="Times New Roman" w:hAnsi="Times New Roman" w:eastAsia="宋体" w:cs="Times New Roman"/>
          <w:kern w:val="0"/>
        </w:rPr>
        <w:t>)</w:t>
      </w:r>
    </w:p>
    <w:p w14:paraId="3E6A788B">
      <w:pPr>
        <w:snapToGrid w:val="0"/>
        <w:spacing w:before="156" w:beforeLines="50" w:line="300" w:lineRule="auto"/>
        <w:jc w:val="center"/>
        <w:rPr>
          <w:rFonts w:ascii="Times New Roman" w:hAnsi="Times New Roman" w:eastAsia="宋体" w:cs="Times New Roman"/>
          <w:b/>
          <w:bCs/>
          <w:kern w:val="0"/>
          <w:sz w:val="52"/>
        </w:rPr>
      </w:pPr>
      <w:r>
        <w:rPr>
          <w:rFonts w:hint="eastAsia" w:ascii="Times New Roman" w:hAnsi="Times New Roman" w:eastAsia="宋体" w:cs="Times New Roman"/>
          <w:b/>
          <w:bCs/>
          <w:kern w:val="0"/>
          <w:sz w:val="52"/>
        </w:rPr>
        <w:t>安全</w:t>
      </w:r>
      <w:r>
        <w:rPr>
          <w:rFonts w:hint="eastAsia" w:ascii="Times New Roman" w:hAnsi="Times New Roman" w:eastAsia="宋体" w:cs="Times New Roman"/>
          <w:b/>
          <w:bCs/>
          <w:sz w:val="52"/>
        </w:rPr>
        <w:t>设施设计</w:t>
      </w:r>
    </w:p>
    <w:p w14:paraId="3577A8B1">
      <w:pPr>
        <w:snapToGrid w:val="0"/>
        <w:spacing w:before="156" w:beforeLines="50" w:line="300" w:lineRule="auto"/>
        <w:jc w:val="center"/>
        <w:rPr>
          <w:rFonts w:ascii="Times New Roman" w:hAnsi="Times New Roman" w:eastAsia="宋体" w:cs="Times New Roman"/>
          <w:b/>
          <w:bCs/>
          <w:kern w:val="0"/>
          <w:sz w:val="52"/>
        </w:rPr>
      </w:pPr>
      <w:r>
        <w:rPr>
          <w:rFonts w:ascii="Times New Roman" w:hAnsi="Times New Roman" w:eastAsia="宋体" w:cs="Times New Roman"/>
          <w:kern w:val="0"/>
        </w:rPr>
        <w:t>(</w:t>
      </w:r>
      <w:r>
        <w:rPr>
          <w:rFonts w:hint="eastAsia" w:ascii="Times New Roman" w:hAnsi="Times New Roman" w:eastAsia="宋体" w:cs="Times New Roman"/>
          <w:kern w:val="0"/>
        </w:rPr>
        <w:t>居中</w:t>
      </w:r>
      <w:r>
        <w:rPr>
          <w:rFonts w:ascii="Times New Roman" w:hAnsi="Times New Roman" w:eastAsia="宋体" w:cs="Times New Roman"/>
          <w:kern w:val="0"/>
        </w:rPr>
        <w:t>,</w:t>
      </w:r>
      <w:r>
        <w:rPr>
          <w:rFonts w:hint="eastAsia" w:ascii="Times New Roman" w:hAnsi="Times New Roman" w:eastAsia="宋体" w:cs="Times New Roman"/>
          <w:kern w:val="0"/>
        </w:rPr>
        <w:t>一号黑体加粗</w:t>
      </w:r>
      <w:r>
        <w:rPr>
          <w:rFonts w:ascii="Times New Roman" w:hAnsi="Times New Roman" w:eastAsia="宋体" w:cs="Times New Roman"/>
          <w:kern w:val="0"/>
        </w:rPr>
        <w:t>)</w:t>
      </w:r>
    </w:p>
    <w:p w14:paraId="1D792022">
      <w:pPr>
        <w:spacing w:before="156" w:beforeLines="50" w:line="300" w:lineRule="auto"/>
        <w:ind w:left="2127"/>
        <w:rPr>
          <w:rFonts w:ascii="Times New Roman" w:hAnsi="Times New Roman" w:eastAsia="宋体" w:cs="Times New Roman"/>
          <w:b/>
          <w:bCs/>
          <w:kern w:val="0"/>
          <w:sz w:val="52"/>
        </w:rPr>
      </w:pPr>
    </w:p>
    <w:p w14:paraId="40D97F6F">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建设单位：</w:t>
      </w:r>
    </w:p>
    <w:p w14:paraId="7E799BDB">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建设单位法定代表人：</w:t>
      </w:r>
    </w:p>
    <w:p w14:paraId="34C579EB">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建设项目单位：</w:t>
      </w:r>
    </w:p>
    <w:p w14:paraId="102A8F80">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建设项目单位主要负责人：</w:t>
      </w:r>
    </w:p>
    <w:p w14:paraId="2343120B">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建设项目单位联系人：</w:t>
      </w:r>
    </w:p>
    <w:p w14:paraId="7E8B6C96">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建设项目单位联系电话：</w:t>
      </w:r>
    </w:p>
    <w:p w14:paraId="614AFAD3">
      <w:pPr>
        <w:spacing w:before="156" w:beforeLines="50" w:line="300" w:lineRule="auto"/>
        <w:jc w:val="left"/>
        <w:rPr>
          <w:rFonts w:ascii="Times New Roman" w:hAnsi="Times New Roman" w:eastAsia="宋体" w:cs="Times New Roman"/>
          <w:kern w:val="0"/>
          <w:sz w:val="24"/>
        </w:rPr>
      </w:pPr>
      <w:r>
        <w:rPr>
          <w:rFonts w:ascii="Times New Roman" w:hAnsi="Times New Roman" w:eastAsia="宋体" w:cs="Times New Roman"/>
          <w:kern w:val="0"/>
          <w:sz w:val="24"/>
        </w:rPr>
        <w:t>(</w:t>
      </w:r>
      <w:r>
        <w:rPr>
          <w:rFonts w:hint="eastAsia" w:ascii="Times New Roman" w:hAnsi="Times New Roman" w:eastAsia="宋体" w:cs="Times New Roman"/>
          <w:kern w:val="0"/>
          <w:sz w:val="24"/>
        </w:rPr>
        <w:t>顶端缩进</w:t>
      </w:r>
      <w:r>
        <w:rPr>
          <w:rFonts w:ascii="Times New Roman" w:hAnsi="Times New Roman" w:eastAsia="宋体" w:cs="Times New Roman"/>
          <w:kern w:val="0"/>
          <w:sz w:val="24"/>
        </w:rPr>
        <w:t>2</w:t>
      </w:r>
      <w:r>
        <w:rPr>
          <w:rFonts w:hint="eastAsia" w:ascii="Times New Roman" w:hAnsi="Times New Roman" w:eastAsia="宋体" w:cs="Times New Roman"/>
          <w:kern w:val="0"/>
          <w:sz w:val="24"/>
        </w:rPr>
        <w:t>个字符</w:t>
      </w:r>
      <w:r>
        <w:rPr>
          <w:rFonts w:ascii="Times New Roman" w:hAnsi="Times New Roman" w:eastAsia="宋体" w:cs="Times New Roman"/>
          <w:kern w:val="0"/>
          <w:sz w:val="24"/>
        </w:rPr>
        <w:t>,</w:t>
      </w:r>
      <w:r>
        <w:rPr>
          <w:rFonts w:hint="eastAsia" w:ascii="Times New Roman" w:hAnsi="Times New Roman" w:eastAsia="宋体" w:cs="Times New Roman"/>
          <w:kern w:val="0"/>
          <w:sz w:val="24"/>
        </w:rPr>
        <w:t>三号宋体加粗</w:t>
      </w:r>
      <w:r>
        <w:rPr>
          <w:rFonts w:ascii="Times New Roman" w:hAnsi="Times New Roman" w:eastAsia="宋体" w:cs="Times New Roman"/>
          <w:kern w:val="0"/>
          <w:sz w:val="24"/>
        </w:rPr>
        <w:t>)</w:t>
      </w:r>
    </w:p>
    <w:p w14:paraId="173FBDBA">
      <w:pPr>
        <w:spacing w:before="156" w:beforeLines="50" w:line="300" w:lineRule="auto"/>
        <w:ind w:left="2127"/>
        <w:jc w:val="center"/>
        <w:rPr>
          <w:rFonts w:ascii="Times New Roman" w:hAnsi="Times New Roman" w:eastAsia="宋体" w:cs="Times New Roman"/>
          <w:kern w:val="0"/>
          <w:sz w:val="32"/>
        </w:rPr>
      </w:pPr>
      <w:r>
        <w:rPr>
          <w:rFonts w:hint="eastAsia" w:ascii="Times New Roman" w:hAnsi="Times New Roman" w:eastAsia="宋体" w:cs="Times New Roman"/>
          <w:kern w:val="0"/>
          <w:sz w:val="32"/>
        </w:rPr>
        <w:t>（建设项目单位公章）</w:t>
      </w:r>
    </w:p>
    <w:p w14:paraId="1B16723F">
      <w:pPr>
        <w:spacing w:before="156" w:beforeLines="50" w:line="300" w:lineRule="auto"/>
        <w:ind w:left="2127"/>
        <w:jc w:val="center"/>
        <w:rPr>
          <w:rFonts w:ascii="Times New Roman" w:hAnsi="Times New Roman" w:eastAsia="宋体" w:cs="Times New Roman"/>
          <w:kern w:val="0"/>
          <w:sz w:val="32"/>
        </w:rPr>
      </w:pPr>
      <w:r>
        <w:rPr>
          <w:rFonts w:hint="eastAsia" w:ascii="Times New Roman" w:hAnsi="Times New Roman" w:eastAsia="宋体" w:cs="Times New Roman"/>
          <w:kern w:val="0"/>
          <w:sz w:val="32"/>
        </w:rPr>
        <w:t>年　　月　　日</w:t>
      </w:r>
    </w:p>
    <w:p w14:paraId="349B39D0">
      <w:pPr>
        <w:spacing w:before="156" w:beforeLines="50" w:line="300" w:lineRule="auto"/>
        <w:ind w:left="2127"/>
        <w:jc w:val="center"/>
        <w:rPr>
          <w:rFonts w:ascii="Times New Roman" w:hAnsi="Times New Roman" w:eastAsia="宋体" w:cs="Times New Roman"/>
          <w:kern w:val="0"/>
          <w:sz w:val="24"/>
        </w:rPr>
      </w:pPr>
      <w:r>
        <w:rPr>
          <w:rFonts w:ascii="Times New Roman" w:hAnsi="Times New Roman" w:eastAsia="宋体" w:cs="Times New Roman"/>
          <w:kern w:val="0"/>
          <w:sz w:val="24"/>
        </w:rPr>
        <w:t>(</w:t>
      </w:r>
      <w:r>
        <w:rPr>
          <w:rFonts w:hint="eastAsia" w:ascii="Times New Roman" w:hAnsi="Times New Roman" w:eastAsia="宋体" w:cs="Times New Roman"/>
          <w:kern w:val="0"/>
          <w:sz w:val="24"/>
        </w:rPr>
        <w:t>居中</w:t>
      </w:r>
      <w:r>
        <w:rPr>
          <w:rFonts w:ascii="Times New Roman" w:hAnsi="Times New Roman" w:eastAsia="宋体" w:cs="Times New Roman"/>
          <w:kern w:val="0"/>
          <w:sz w:val="24"/>
        </w:rPr>
        <w:t>,</w:t>
      </w:r>
      <w:r>
        <w:rPr>
          <w:rFonts w:hint="eastAsia" w:ascii="Times New Roman" w:hAnsi="Times New Roman" w:eastAsia="宋体" w:cs="Times New Roman"/>
          <w:kern w:val="0"/>
          <w:sz w:val="24"/>
        </w:rPr>
        <w:t>三号宋体加粗</w:t>
      </w:r>
      <w:r>
        <w:rPr>
          <w:rFonts w:ascii="Times New Roman" w:hAnsi="Times New Roman" w:eastAsia="宋体" w:cs="Times New Roman"/>
          <w:kern w:val="0"/>
          <w:sz w:val="24"/>
        </w:rPr>
        <w:t>)</w:t>
      </w:r>
    </w:p>
    <w:p w14:paraId="20A30B92">
      <w:pPr>
        <w:widowControl/>
        <w:spacing w:line="240" w:lineRule="auto"/>
        <w:jc w:val="left"/>
        <w:rPr>
          <w:rFonts w:ascii="Times New Roman" w:hAnsi="Times New Roman" w:eastAsia="宋体" w:cs="Times New Roman"/>
          <w:kern w:val="0"/>
          <w:szCs w:val="20"/>
          <w14:ligatures w14:val="none"/>
        </w:rPr>
      </w:pPr>
      <w:bookmarkStart w:id="218" w:name="_Toc1808"/>
      <w:r>
        <w:rPr>
          <w:rFonts w:ascii="Times New Roman" w:hAnsi="Times New Roman" w:eastAsia="宋体"/>
        </w:rPr>
        <w:br w:type="page"/>
      </w:r>
    </w:p>
    <w:bookmarkEnd w:id="218"/>
    <w:p w14:paraId="756AC3AE">
      <w:pPr>
        <w:pStyle w:val="89"/>
        <w:spacing w:after="156"/>
      </w:pPr>
      <w:bookmarkStart w:id="219" w:name="_Toc195881895"/>
      <w:bookmarkStart w:id="220" w:name="_Toc2940"/>
      <w:r>
        <w:rPr>
          <w:rFonts w:hint="eastAsia"/>
        </w:rPr>
        <w:t>附</w:t>
      </w:r>
      <w:r>
        <w:t xml:space="preserve"> </w:t>
      </w:r>
      <w:r>
        <w:rPr>
          <w:rFonts w:hint="eastAsia"/>
        </w:rPr>
        <w:t>录</w:t>
      </w:r>
      <w:r>
        <w:t xml:space="preserve"> </w:t>
      </w:r>
      <w:r>
        <w:rPr>
          <w:rFonts w:hint="eastAsia"/>
        </w:rPr>
        <w:t>D</w:t>
      </w:r>
      <w:r>
        <w:br w:type="textWrapping"/>
      </w:r>
      <w:r>
        <w:rPr>
          <w:rFonts w:hint="eastAsia"/>
        </w:rPr>
        <w:t>（</w:t>
      </w:r>
      <w:r>
        <w:t>规范性</w:t>
      </w:r>
      <w:r>
        <w:rPr>
          <w:rFonts w:hint="eastAsia"/>
        </w:rPr>
        <w:t>）</w:t>
      </w:r>
      <w:r>
        <w:br w:type="textWrapping"/>
      </w:r>
      <w:r>
        <w:rPr>
          <w:rFonts w:hint="eastAsia"/>
        </w:rPr>
        <w:t>安全设施设计扉页格式</w:t>
      </w:r>
      <w:bookmarkEnd w:id="219"/>
    </w:p>
    <w:p w14:paraId="3EAFE2E7">
      <w:pPr>
        <w:snapToGrid w:val="0"/>
        <w:spacing w:before="156" w:beforeLines="50" w:line="300" w:lineRule="auto"/>
        <w:jc w:val="center"/>
        <w:rPr>
          <w:rFonts w:ascii="Times New Roman" w:hAnsi="Times New Roman" w:eastAsia="宋体" w:cs="Times New Roman"/>
          <w:b/>
          <w:bCs/>
          <w:kern w:val="0"/>
          <w:sz w:val="52"/>
        </w:rPr>
      </w:pPr>
      <w:r>
        <w:rPr>
          <w:rFonts w:hint="eastAsia" w:ascii="Times New Roman" w:hAnsi="Times New Roman" w:eastAsia="宋体" w:cs="Times New Roman"/>
          <w:b/>
          <w:bCs/>
          <w:kern w:val="0"/>
          <w:sz w:val="52"/>
        </w:rPr>
        <w:t>（建设项目名称）</w:t>
      </w:r>
    </w:p>
    <w:p w14:paraId="75C98A23">
      <w:pPr>
        <w:snapToGrid w:val="0"/>
        <w:spacing w:before="156" w:beforeLines="50" w:line="300" w:lineRule="auto"/>
        <w:jc w:val="center"/>
        <w:rPr>
          <w:rFonts w:ascii="Times New Roman" w:hAnsi="Times New Roman" w:eastAsia="宋体" w:cs="Times New Roman"/>
          <w:b/>
          <w:bCs/>
          <w:kern w:val="0"/>
          <w:sz w:val="52"/>
        </w:rPr>
      </w:pPr>
      <w:r>
        <w:rPr>
          <w:rFonts w:ascii="Times New Roman" w:hAnsi="Times New Roman" w:eastAsia="宋体" w:cs="Times New Roman"/>
          <w:kern w:val="0"/>
        </w:rPr>
        <w:t>(</w:t>
      </w:r>
      <w:r>
        <w:rPr>
          <w:rFonts w:hint="eastAsia" w:ascii="Times New Roman" w:hAnsi="Times New Roman" w:eastAsia="宋体" w:cs="Times New Roman"/>
          <w:kern w:val="0"/>
        </w:rPr>
        <w:t>居中</w:t>
      </w:r>
      <w:r>
        <w:rPr>
          <w:rFonts w:ascii="Times New Roman" w:hAnsi="Times New Roman" w:eastAsia="宋体" w:cs="Times New Roman"/>
          <w:kern w:val="0"/>
        </w:rPr>
        <w:t>,</w:t>
      </w:r>
      <w:r>
        <w:rPr>
          <w:rFonts w:hint="eastAsia" w:ascii="Times New Roman" w:hAnsi="Times New Roman" w:eastAsia="宋体" w:cs="Times New Roman"/>
          <w:kern w:val="0"/>
        </w:rPr>
        <w:t>二号宋体加粗</w:t>
      </w:r>
      <w:r>
        <w:rPr>
          <w:rFonts w:ascii="Times New Roman" w:hAnsi="Times New Roman" w:eastAsia="宋体" w:cs="Times New Roman"/>
          <w:kern w:val="0"/>
        </w:rPr>
        <w:t>)</w:t>
      </w:r>
    </w:p>
    <w:p w14:paraId="5AED3A97">
      <w:pPr>
        <w:snapToGrid w:val="0"/>
        <w:spacing w:before="156" w:beforeLines="50" w:line="300" w:lineRule="auto"/>
        <w:jc w:val="center"/>
        <w:rPr>
          <w:rFonts w:ascii="Times New Roman" w:hAnsi="Times New Roman" w:eastAsia="宋体" w:cs="Times New Roman"/>
          <w:b/>
          <w:bCs/>
          <w:kern w:val="0"/>
          <w:sz w:val="52"/>
        </w:rPr>
      </w:pPr>
      <w:r>
        <w:rPr>
          <w:rFonts w:hint="eastAsia" w:ascii="Times New Roman" w:hAnsi="Times New Roman" w:eastAsia="宋体" w:cs="Times New Roman"/>
          <w:b/>
          <w:bCs/>
          <w:kern w:val="0"/>
          <w:sz w:val="52"/>
        </w:rPr>
        <w:t>安全</w:t>
      </w:r>
      <w:r>
        <w:rPr>
          <w:rFonts w:hint="eastAsia" w:ascii="Times New Roman" w:hAnsi="Times New Roman" w:eastAsia="宋体" w:cs="Times New Roman"/>
          <w:b/>
          <w:bCs/>
          <w:sz w:val="52"/>
        </w:rPr>
        <w:t>设施设计</w:t>
      </w:r>
    </w:p>
    <w:p w14:paraId="2B295FFF">
      <w:pPr>
        <w:snapToGrid w:val="0"/>
        <w:spacing w:before="156" w:beforeLines="50" w:line="300" w:lineRule="auto"/>
        <w:jc w:val="center"/>
        <w:rPr>
          <w:rFonts w:ascii="Times New Roman" w:hAnsi="Times New Roman" w:eastAsia="宋体" w:cs="Times New Roman"/>
          <w:b/>
          <w:bCs/>
          <w:kern w:val="0"/>
          <w:sz w:val="52"/>
        </w:rPr>
      </w:pPr>
      <w:r>
        <w:rPr>
          <w:rFonts w:ascii="Times New Roman" w:hAnsi="Times New Roman" w:eastAsia="宋体" w:cs="Times New Roman"/>
          <w:kern w:val="0"/>
        </w:rPr>
        <w:t>(</w:t>
      </w:r>
      <w:r>
        <w:rPr>
          <w:rFonts w:hint="eastAsia" w:ascii="Times New Roman" w:hAnsi="Times New Roman" w:eastAsia="宋体" w:cs="Times New Roman"/>
          <w:kern w:val="0"/>
        </w:rPr>
        <w:t>居中</w:t>
      </w:r>
      <w:r>
        <w:rPr>
          <w:rFonts w:ascii="Times New Roman" w:hAnsi="Times New Roman" w:eastAsia="宋体" w:cs="Times New Roman"/>
          <w:kern w:val="0"/>
        </w:rPr>
        <w:t>,</w:t>
      </w:r>
      <w:r>
        <w:rPr>
          <w:rFonts w:hint="eastAsia" w:ascii="Times New Roman" w:hAnsi="Times New Roman" w:eastAsia="宋体" w:cs="Times New Roman"/>
          <w:kern w:val="0"/>
        </w:rPr>
        <w:t>一号黑体加粗</w:t>
      </w:r>
      <w:r>
        <w:rPr>
          <w:rFonts w:ascii="Times New Roman" w:hAnsi="Times New Roman" w:eastAsia="宋体" w:cs="Times New Roman"/>
          <w:kern w:val="0"/>
        </w:rPr>
        <w:t>)</w:t>
      </w:r>
    </w:p>
    <w:p w14:paraId="4D072411">
      <w:pPr>
        <w:spacing w:before="156" w:beforeLines="50" w:line="300" w:lineRule="auto"/>
        <w:ind w:left="3969"/>
        <w:rPr>
          <w:rFonts w:ascii="Times New Roman" w:hAnsi="Times New Roman" w:eastAsia="宋体" w:cs="Times New Roman"/>
          <w:b/>
          <w:bCs/>
          <w:kern w:val="0"/>
          <w:sz w:val="52"/>
        </w:rPr>
      </w:pPr>
    </w:p>
    <w:p w14:paraId="3E5D65B8">
      <w:pPr>
        <w:spacing w:before="156" w:beforeLines="50" w:line="300" w:lineRule="auto"/>
        <w:ind w:left="3969"/>
        <w:rPr>
          <w:rFonts w:ascii="Times New Roman" w:hAnsi="Times New Roman" w:eastAsia="宋体" w:cs="Times New Roman"/>
          <w:b/>
          <w:bCs/>
          <w:kern w:val="0"/>
          <w:sz w:val="52"/>
        </w:rPr>
      </w:pPr>
    </w:p>
    <w:p w14:paraId="43265BD6">
      <w:pPr>
        <w:spacing w:before="156" w:beforeLines="50" w:line="300" w:lineRule="auto"/>
        <w:ind w:left="3969"/>
        <w:rPr>
          <w:rFonts w:ascii="Times New Roman" w:hAnsi="Times New Roman" w:eastAsia="宋体" w:cs="Times New Roman"/>
          <w:b/>
          <w:bCs/>
          <w:kern w:val="0"/>
          <w:sz w:val="52"/>
        </w:rPr>
      </w:pPr>
    </w:p>
    <w:p w14:paraId="41683B3A">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设计单位名称：</w:t>
      </w:r>
    </w:p>
    <w:p w14:paraId="4AF966D7">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设计单位法定代表人：</w:t>
      </w:r>
    </w:p>
    <w:p w14:paraId="68D1E0EC">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设计项目负责人：</w:t>
      </w:r>
    </w:p>
    <w:p w14:paraId="02326A3D">
      <w:pPr>
        <w:spacing w:before="156" w:beforeLines="50" w:line="300" w:lineRule="auto"/>
        <w:jc w:val="left"/>
        <w:rPr>
          <w:rFonts w:ascii="Times New Roman" w:hAnsi="Times New Roman" w:eastAsia="宋体" w:cs="Times New Roman"/>
          <w:kern w:val="0"/>
          <w:sz w:val="32"/>
        </w:rPr>
      </w:pPr>
      <w:r>
        <w:rPr>
          <w:rFonts w:hint="eastAsia" w:ascii="Times New Roman" w:hAnsi="Times New Roman" w:eastAsia="宋体" w:cs="Times New Roman"/>
          <w:kern w:val="0"/>
          <w:sz w:val="32"/>
        </w:rPr>
        <w:t>设计单位联系电话：</w:t>
      </w:r>
    </w:p>
    <w:p w14:paraId="0E293C46">
      <w:pPr>
        <w:spacing w:before="156" w:beforeLines="50" w:line="300" w:lineRule="auto"/>
        <w:jc w:val="left"/>
        <w:rPr>
          <w:rFonts w:ascii="Times New Roman" w:hAnsi="Times New Roman" w:eastAsia="宋体" w:cs="Times New Roman"/>
          <w:kern w:val="0"/>
          <w:sz w:val="24"/>
        </w:rPr>
      </w:pPr>
      <w:r>
        <w:rPr>
          <w:rFonts w:ascii="Times New Roman" w:hAnsi="Times New Roman" w:eastAsia="宋体" w:cs="Times New Roman"/>
          <w:kern w:val="0"/>
          <w:sz w:val="24"/>
        </w:rPr>
        <w:t>(</w:t>
      </w:r>
      <w:r>
        <w:rPr>
          <w:rFonts w:hint="eastAsia" w:ascii="Times New Roman" w:hAnsi="Times New Roman" w:eastAsia="宋体" w:cs="Times New Roman"/>
          <w:kern w:val="0"/>
          <w:sz w:val="24"/>
        </w:rPr>
        <w:t>顶端缩进</w:t>
      </w:r>
      <w:r>
        <w:rPr>
          <w:rFonts w:ascii="Times New Roman" w:hAnsi="Times New Roman" w:eastAsia="宋体" w:cs="Times New Roman"/>
          <w:kern w:val="0"/>
          <w:sz w:val="24"/>
        </w:rPr>
        <w:t>2</w:t>
      </w:r>
      <w:r>
        <w:rPr>
          <w:rFonts w:hint="eastAsia" w:ascii="Times New Roman" w:hAnsi="Times New Roman" w:eastAsia="宋体" w:cs="Times New Roman"/>
          <w:kern w:val="0"/>
          <w:sz w:val="24"/>
        </w:rPr>
        <w:t>个字符</w:t>
      </w:r>
      <w:r>
        <w:rPr>
          <w:rFonts w:ascii="Times New Roman" w:hAnsi="Times New Roman" w:eastAsia="宋体" w:cs="Times New Roman"/>
          <w:kern w:val="0"/>
          <w:sz w:val="24"/>
        </w:rPr>
        <w:t>,</w:t>
      </w:r>
      <w:r>
        <w:rPr>
          <w:rFonts w:hint="eastAsia" w:ascii="Times New Roman" w:hAnsi="Times New Roman" w:eastAsia="宋体" w:cs="Times New Roman"/>
          <w:kern w:val="0"/>
          <w:sz w:val="24"/>
        </w:rPr>
        <w:t>三号宋体加粗</w:t>
      </w:r>
      <w:r>
        <w:rPr>
          <w:rFonts w:ascii="Times New Roman" w:hAnsi="Times New Roman" w:eastAsia="宋体" w:cs="Times New Roman"/>
          <w:kern w:val="0"/>
          <w:sz w:val="24"/>
        </w:rPr>
        <w:t>)</w:t>
      </w:r>
    </w:p>
    <w:p w14:paraId="14331C6F">
      <w:pPr>
        <w:spacing w:before="156" w:beforeLines="50" w:line="300" w:lineRule="auto"/>
        <w:ind w:left="2127"/>
        <w:jc w:val="center"/>
        <w:rPr>
          <w:rFonts w:ascii="Times New Roman" w:hAnsi="Times New Roman" w:eastAsia="宋体" w:cs="Times New Roman"/>
          <w:kern w:val="0"/>
          <w:sz w:val="32"/>
        </w:rPr>
      </w:pPr>
      <w:r>
        <w:rPr>
          <w:rFonts w:hint="eastAsia" w:ascii="Times New Roman" w:hAnsi="Times New Roman" w:eastAsia="宋体" w:cs="Times New Roman"/>
          <w:kern w:val="0"/>
          <w:sz w:val="32"/>
        </w:rPr>
        <w:t>（设计单位公章）</w:t>
      </w:r>
    </w:p>
    <w:p w14:paraId="7DB1A466">
      <w:pPr>
        <w:spacing w:before="156" w:beforeLines="50" w:line="300" w:lineRule="auto"/>
        <w:ind w:left="2127"/>
        <w:jc w:val="center"/>
        <w:rPr>
          <w:rFonts w:ascii="Times New Roman" w:hAnsi="Times New Roman" w:eastAsia="宋体" w:cs="Times New Roman"/>
          <w:kern w:val="0"/>
          <w:sz w:val="32"/>
        </w:rPr>
      </w:pPr>
      <w:r>
        <w:rPr>
          <w:rFonts w:hint="eastAsia" w:ascii="Times New Roman" w:hAnsi="Times New Roman" w:eastAsia="宋体" w:cs="Times New Roman"/>
          <w:kern w:val="0"/>
          <w:sz w:val="32"/>
        </w:rPr>
        <w:t>年　　月　　日</w:t>
      </w:r>
    </w:p>
    <w:p w14:paraId="0C467104">
      <w:pPr>
        <w:spacing w:before="156" w:beforeLines="50" w:line="300" w:lineRule="auto"/>
        <w:ind w:left="2127"/>
        <w:jc w:val="center"/>
        <w:rPr>
          <w:rFonts w:ascii="Times New Roman" w:hAnsi="Times New Roman" w:eastAsia="宋体" w:cs="Times New Roman"/>
          <w:kern w:val="0"/>
          <w:sz w:val="24"/>
        </w:rPr>
      </w:pPr>
      <w:r>
        <w:rPr>
          <w:rFonts w:ascii="Times New Roman" w:hAnsi="Times New Roman" w:eastAsia="宋体" w:cs="Times New Roman"/>
          <w:kern w:val="0"/>
          <w:sz w:val="24"/>
        </w:rPr>
        <w:t>(</w:t>
      </w:r>
      <w:r>
        <w:rPr>
          <w:rFonts w:hint="eastAsia" w:ascii="Times New Roman" w:hAnsi="Times New Roman" w:eastAsia="宋体" w:cs="Times New Roman"/>
          <w:kern w:val="0"/>
          <w:sz w:val="24"/>
        </w:rPr>
        <w:t>居中</w:t>
      </w:r>
      <w:r>
        <w:rPr>
          <w:rFonts w:ascii="Times New Roman" w:hAnsi="Times New Roman" w:eastAsia="宋体" w:cs="Times New Roman"/>
          <w:kern w:val="0"/>
          <w:sz w:val="24"/>
        </w:rPr>
        <w:t>,</w:t>
      </w:r>
      <w:r>
        <w:rPr>
          <w:rFonts w:hint="eastAsia" w:ascii="Times New Roman" w:hAnsi="Times New Roman" w:eastAsia="宋体" w:cs="Times New Roman"/>
          <w:kern w:val="0"/>
          <w:sz w:val="24"/>
        </w:rPr>
        <w:t>三号宋体加粗</w:t>
      </w:r>
      <w:r>
        <w:rPr>
          <w:rFonts w:ascii="Times New Roman" w:hAnsi="Times New Roman" w:eastAsia="宋体" w:cs="Times New Roman"/>
          <w:kern w:val="0"/>
          <w:sz w:val="24"/>
        </w:rPr>
        <w:t>)</w:t>
      </w:r>
    </w:p>
    <w:p w14:paraId="7B994908">
      <w:pPr>
        <w:widowControl/>
        <w:spacing w:line="240" w:lineRule="auto"/>
        <w:jc w:val="left"/>
        <w:rPr>
          <w:rFonts w:eastAsiaTheme="minorEastAsia"/>
          <w:kern w:val="0"/>
          <w:sz w:val="20"/>
          <w:szCs w:val="20"/>
          <w14:ligatures w14:val="none"/>
        </w:rPr>
      </w:pPr>
      <w:r>
        <w:rPr>
          <w:rFonts w:ascii="Times New Roman" w:hAnsi="Times New Roman"/>
          <w:b/>
        </w:rPr>
        <w:br w:type="page"/>
      </w:r>
    </w:p>
    <w:p w14:paraId="60CB06F3">
      <w:pPr>
        <w:pStyle w:val="89"/>
        <w:spacing w:after="156"/>
        <w:rPr>
          <w:rFonts w:hAnsi="黑体"/>
          <w:szCs w:val="21"/>
        </w:rPr>
      </w:pPr>
      <w:bookmarkStart w:id="221" w:name="_Toc195881896"/>
      <w:r>
        <w:rPr>
          <w:rFonts w:hint="eastAsia"/>
        </w:rPr>
        <w:t>附</w:t>
      </w:r>
      <w:r>
        <w:t xml:space="preserve"> </w:t>
      </w:r>
      <w:r>
        <w:rPr>
          <w:rFonts w:hint="eastAsia"/>
        </w:rPr>
        <w:t>录</w:t>
      </w:r>
      <w:r>
        <w:t xml:space="preserve"> </w:t>
      </w:r>
      <w:r>
        <w:rPr>
          <w:rFonts w:hint="eastAsia"/>
        </w:rPr>
        <w:t>E</w:t>
      </w:r>
      <w:r>
        <w:br w:type="textWrapping"/>
      </w:r>
      <w:r>
        <w:rPr>
          <w:rFonts w:hint="eastAsia"/>
        </w:rPr>
        <w:t>（规范性）</w:t>
      </w:r>
      <w:r>
        <w:br w:type="textWrapping"/>
      </w:r>
      <w:r>
        <w:rPr>
          <w:rFonts w:hint="eastAsia"/>
        </w:rPr>
        <w:t>安全设施设计校审人员名单格式</w:t>
      </w:r>
      <w:bookmarkEnd w:id="220"/>
      <w:bookmarkEnd w:id="221"/>
    </w:p>
    <w:p w14:paraId="6F54D87D">
      <w:pPr>
        <w:spacing w:before="156" w:beforeLines="50" w:line="300" w:lineRule="auto"/>
        <w:jc w:val="center"/>
        <w:rPr>
          <w:rFonts w:ascii="Times New Roman" w:hAnsi="Times New Roman" w:eastAsia="宋体" w:cs="Times New Roman"/>
        </w:rPr>
      </w:pPr>
      <w:r>
        <w:rPr>
          <w:rFonts w:hint="eastAsia" w:ascii="Times New Roman" w:hAnsi="Times New Roman" w:eastAsia="宋体" w:cs="Times New Roman"/>
        </w:rPr>
        <w:t>主要编制人员</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445"/>
        <w:gridCol w:w="1765"/>
        <w:gridCol w:w="1765"/>
        <w:gridCol w:w="1769"/>
      </w:tblGrid>
      <w:tr w14:paraId="35B5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827" w:type="dxa"/>
            <w:vAlign w:val="center"/>
          </w:tcPr>
          <w:p w14:paraId="29547E9D">
            <w:pPr>
              <w:spacing w:before="156" w:beforeLines="50" w:line="300" w:lineRule="auto"/>
              <w:jc w:val="center"/>
              <w:rPr>
                <w:rFonts w:ascii="Times New Roman" w:hAnsi="Times New Roman" w:eastAsia="宋体" w:cs="Times New Roman"/>
              </w:rPr>
            </w:pPr>
          </w:p>
        </w:tc>
        <w:tc>
          <w:tcPr>
            <w:tcW w:w="1445" w:type="dxa"/>
            <w:vAlign w:val="center"/>
          </w:tcPr>
          <w:p w14:paraId="60BFC413">
            <w:pPr>
              <w:spacing w:before="156" w:beforeLines="50" w:line="300" w:lineRule="auto"/>
              <w:jc w:val="center"/>
              <w:rPr>
                <w:rFonts w:ascii="Times New Roman" w:hAnsi="Times New Roman" w:eastAsia="宋体" w:cs="Times New Roman"/>
              </w:rPr>
            </w:pPr>
          </w:p>
        </w:tc>
        <w:tc>
          <w:tcPr>
            <w:tcW w:w="1765" w:type="dxa"/>
            <w:vAlign w:val="center"/>
          </w:tcPr>
          <w:p w14:paraId="3A0ACE82">
            <w:pPr>
              <w:spacing w:before="156" w:beforeLines="50" w:line="300" w:lineRule="auto"/>
              <w:jc w:val="center"/>
              <w:rPr>
                <w:rFonts w:ascii="Times New Roman" w:hAnsi="Times New Roman" w:eastAsia="宋体" w:cs="Times New Roman"/>
              </w:rPr>
            </w:pPr>
          </w:p>
        </w:tc>
        <w:tc>
          <w:tcPr>
            <w:tcW w:w="1765" w:type="dxa"/>
            <w:vAlign w:val="center"/>
          </w:tcPr>
          <w:p w14:paraId="1A2DB83E">
            <w:pPr>
              <w:spacing w:before="156" w:beforeLines="50" w:line="300" w:lineRule="auto"/>
              <w:jc w:val="center"/>
              <w:rPr>
                <w:rFonts w:ascii="Times New Roman" w:hAnsi="Times New Roman" w:eastAsia="宋体" w:cs="Times New Roman"/>
              </w:rPr>
            </w:pPr>
          </w:p>
        </w:tc>
        <w:tc>
          <w:tcPr>
            <w:tcW w:w="1769" w:type="dxa"/>
            <w:vAlign w:val="center"/>
          </w:tcPr>
          <w:p w14:paraId="347B90DE">
            <w:pPr>
              <w:spacing w:before="156" w:beforeLines="50" w:line="300" w:lineRule="auto"/>
              <w:jc w:val="center"/>
              <w:rPr>
                <w:rFonts w:ascii="Times New Roman" w:hAnsi="Times New Roman" w:eastAsia="宋体" w:cs="Times New Roman"/>
              </w:rPr>
            </w:pPr>
          </w:p>
        </w:tc>
      </w:tr>
      <w:tr w14:paraId="11C0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2B34D97C">
            <w:pPr>
              <w:spacing w:before="156" w:beforeLines="50" w:line="300" w:lineRule="auto"/>
              <w:jc w:val="center"/>
              <w:rPr>
                <w:rFonts w:ascii="Times New Roman" w:hAnsi="Times New Roman" w:eastAsia="宋体" w:cs="Times New Roman"/>
              </w:rPr>
            </w:pPr>
          </w:p>
        </w:tc>
        <w:tc>
          <w:tcPr>
            <w:tcW w:w="1445" w:type="dxa"/>
            <w:vAlign w:val="center"/>
          </w:tcPr>
          <w:p w14:paraId="18322BB3">
            <w:pPr>
              <w:spacing w:before="156" w:beforeLines="50" w:line="300" w:lineRule="auto"/>
              <w:jc w:val="center"/>
              <w:rPr>
                <w:rFonts w:ascii="Times New Roman" w:hAnsi="Times New Roman" w:eastAsia="宋体" w:cs="Times New Roman"/>
              </w:rPr>
            </w:pPr>
          </w:p>
        </w:tc>
        <w:tc>
          <w:tcPr>
            <w:tcW w:w="1765" w:type="dxa"/>
            <w:vAlign w:val="center"/>
          </w:tcPr>
          <w:p w14:paraId="558D5633">
            <w:pPr>
              <w:spacing w:before="156" w:beforeLines="50" w:line="300" w:lineRule="auto"/>
              <w:jc w:val="center"/>
              <w:rPr>
                <w:rFonts w:ascii="Times New Roman" w:hAnsi="Times New Roman" w:eastAsia="宋体" w:cs="Times New Roman"/>
              </w:rPr>
            </w:pPr>
          </w:p>
        </w:tc>
        <w:tc>
          <w:tcPr>
            <w:tcW w:w="1765" w:type="dxa"/>
            <w:vAlign w:val="center"/>
          </w:tcPr>
          <w:p w14:paraId="4925E558">
            <w:pPr>
              <w:spacing w:before="156" w:beforeLines="50" w:line="300" w:lineRule="auto"/>
              <w:jc w:val="center"/>
              <w:rPr>
                <w:rFonts w:ascii="Times New Roman" w:hAnsi="Times New Roman" w:eastAsia="宋体" w:cs="Times New Roman"/>
              </w:rPr>
            </w:pPr>
          </w:p>
        </w:tc>
        <w:tc>
          <w:tcPr>
            <w:tcW w:w="1769" w:type="dxa"/>
            <w:vAlign w:val="center"/>
          </w:tcPr>
          <w:p w14:paraId="2303ED68">
            <w:pPr>
              <w:spacing w:before="156" w:beforeLines="50" w:line="300" w:lineRule="auto"/>
              <w:jc w:val="center"/>
              <w:rPr>
                <w:rFonts w:ascii="Times New Roman" w:hAnsi="Times New Roman" w:eastAsia="宋体" w:cs="Times New Roman"/>
              </w:rPr>
            </w:pPr>
          </w:p>
        </w:tc>
      </w:tr>
      <w:tr w14:paraId="3013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2AA601DA">
            <w:pPr>
              <w:spacing w:before="156" w:beforeLines="50" w:line="300" w:lineRule="auto"/>
              <w:jc w:val="center"/>
              <w:rPr>
                <w:rFonts w:ascii="Times New Roman" w:hAnsi="Times New Roman" w:eastAsia="宋体" w:cs="Times New Roman"/>
              </w:rPr>
            </w:pPr>
          </w:p>
        </w:tc>
        <w:tc>
          <w:tcPr>
            <w:tcW w:w="1445" w:type="dxa"/>
            <w:vAlign w:val="center"/>
          </w:tcPr>
          <w:p w14:paraId="4B771B01">
            <w:pPr>
              <w:spacing w:before="156" w:beforeLines="50" w:line="300" w:lineRule="auto"/>
              <w:jc w:val="center"/>
              <w:rPr>
                <w:rFonts w:ascii="Times New Roman" w:hAnsi="Times New Roman" w:eastAsia="宋体" w:cs="Times New Roman"/>
              </w:rPr>
            </w:pPr>
          </w:p>
        </w:tc>
        <w:tc>
          <w:tcPr>
            <w:tcW w:w="1765" w:type="dxa"/>
            <w:vAlign w:val="center"/>
          </w:tcPr>
          <w:p w14:paraId="2942717E">
            <w:pPr>
              <w:spacing w:before="156" w:beforeLines="50" w:line="300" w:lineRule="auto"/>
              <w:jc w:val="center"/>
              <w:rPr>
                <w:rFonts w:ascii="Times New Roman" w:hAnsi="Times New Roman" w:eastAsia="宋体" w:cs="Times New Roman"/>
              </w:rPr>
            </w:pPr>
          </w:p>
        </w:tc>
        <w:tc>
          <w:tcPr>
            <w:tcW w:w="1765" w:type="dxa"/>
            <w:vAlign w:val="center"/>
          </w:tcPr>
          <w:p w14:paraId="0D6B189F">
            <w:pPr>
              <w:spacing w:before="156" w:beforeLines="50" w:line="300" w:lineRule="auto"/>
              <w:jc w:val="center"/>
              <w:rPr>
                <w:rFonts w:ascii="Times New Roman" w:hAnsi="Times New Roman" w:eastAsia="宋体" w:cs="Times New Roman"/>
              </w:rPr>
            </w:pPr>
          </w:p>
        </w:tc>
        <w:tc>
          <w:tcPr>
            <w:tcW w:w="1769" w:type="dxa"/>
            <w:vAlign w:val="center"/>
          </w:tcPr>
          <w:p w14:paraId="399115DF">
            <w:pPr>
              <w:spacing w:before="156" w:beforeLines="50" w:line="300" w:lineRule="auto"/>
              <w:jc w:val="center"/>
              <w:rPr>
                <w:rFonts w:ascii="Times New Roman" w:hAnsi="Times New Roman" w:eastAsia="宋体" w:cs="Times New Roman"/>
              </w:rPr>
            </w:pPr>
          </w:p>
        </w:tc>
      </w:tr>
      <w:tr w14:paraId="73F3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706B5095">
            <w:pPr>
              <w:spacing w:before="156" w:beforeLines="50" w:line="300" w:lineRule="auto"/>
              <w:jc w:val="center"/>
              <w:rPr>
                <w:rFonts w:ascii="Times New Roman" w:hAnsi="Times New Roman" w:eastAsia="宋体" w:cs="Times New Roman"/>
              </w:rPr>
            </w:pPr>
          </w:p>
        </w:tc>
        <w:tc>
          <w:tcPr>
            <w:tcW w:w="1445" w:type="dxa"/>
            <w:vAlign w:val="center"/>
          </w:tcPr>
          <w:p w14:paraId="1EB7506A">
            <w:pPr>
              <w:spacing w:before="156" w:beforeLines="50" w:line="300" w:lineRule="auto"/>
              <w:jc w:val="center"/>
              <w:rPr>
                <w:rFonts w:ascii="Times New Roman" w:hAnsi="Times New Roman" w:eastAsia="宋体" w:cs="Times New Roman"/>
              </w:rPr>
            </w:pPr>
          </w:p>
        </w:tc>
        <w:tc>
          <w:tcPr>
            <w:tcW w:w="1765" w:type="dxa"/>
            <w:vAlign w:val="center"/>
          </w:tcPr>
          <w:p w14:paraId="613825E3">
            <w:pPr>
              <w:spacing w:before="156" w:beforeLines="50" w:line="300" w:lineRule="auto"/>
              <w:jc w:val="center"/>
              <w:rPr>
                <w:rFonts w:ascii="Times New Roman" w:hAnsi="Times New Roman" w:eastAsia="宋体" w:cs="Times New Roman"/>
              </w:rPr>
            </w:pPr>
          </w:p>
        </w:tc>
        <w:tc>
          <w:tcPr>
            <w:tcW w:w="1765" w:type="dxa"/>
            <w:vAlign w:val="center"/>
          </w:tcPr>
          <w:p w14:paraId="6F7F7768">
            <w:pPr>
              <w:spacing w:before="156" w:beforeLines="50" w:line="300" w:lineRule="auto"/>
              <w:jc w:val="center"/>
              <w:rPr>
                <w:rFonts w:ascii="Times New Roman" w:hAnsi="Times New Roman" w:eastAsia="宋体" w:cs="Times New Roman"/>
              </w:rPr>
            </w:pPr>
          </w:p>
        </w:tc>
        <w:tc>
          <w:tcPr>
            <w:tcW w:w="1769" w:type="dxa"/>
            <w:vAlign w:val="center"/>
          </w:tcPr>
          <w:p w14:paraId="28ADFC13">
            <w:pPr>
              <w:spacing w:before="156" w:beforeLines="50" w:line="300" w:lineRule="auto"/>
              <w:jc w:val="center"/>
              <w:rPr>
                <w:rFonts w:ascii="Times New Roman" w:hAnsi="Times New Roman" w:eastAsia="宋体" w:cs="Times New Roman"/>
              </w:rPr>
            </w:pPr>
          </w:p>
        </w:tc>
      </w:tr>
      <w:tr w14:paraId="38DB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51679F30">
            <w:pPr>
              <w:spacing w:before="156" w:beforeLines="50" w:line="300" w:lineRule="auto"/>
              <w:jc w:val="center"/>
              <w:rPr>
                <w:rFonts w:ascii="Times New Roman" w:hAnsi="Times New Roman" w:eastAsia="宋体" w:cs="Times New Roman"/>
              </w:rPr>
            </w:pPr>
          </w:p>
        </w:tc>
        <w:tc>
          <w:tcPr>
            <w:tcW w:w="1445" w:type="dxa"/>
            <w:vAlign w:val="center"/>
          </w:tcPr>
          <w:p w14:paraId="245B4F96">
            <w:pPr>
              <w:spacing w:before="156" w:beforeLines="50" w:line="300" w:lineRule="auto"/>
              <w:jc w:val="center"/>
              <w:rPr>
                <w:rFonts w:ascii="Times New Roman" w:hAnsi="Times New Roman" w:eastAsia="宋体" w:cs="Times New Roman"/>
              </w:rPr>
            </w:pPr>
          </w:p>
        </w:tc>
        <w:tc>
          <w:tcPr>
            <w:tcW w:w="1765" w:type="dxa"/>
            <w:vAlign w:val="center"/>
          </w:tcPr>
          <w:p w14:paraId="198853D1">
            <w:pPr>
              <w:spacing w:before="156" w:beforeLines="50" w:line="300" w:lineRule="auto"/>
              <w:jc w:val="center"/>
              <w:rPr>
                <w:rFonts w:ascii="Times New Roman" w:hAnsi="Times New Roman" w:eastAsia="宋体" w:cs="Times New Roman"/>
              </w:rPr>
            </w:pPr>
          </w:p>
        </w:tc>
        <w:tc>
          <w:tcPr>
            <w:tcW w:w="1765" w:type="dxa"/>
            <w:vAlign w:val="center"/>
          </w:tcPr>
          <w:p w14:paraId="3FF1A6AD">
            <w:pPr>
              <w:spacing w:before="156" w:beforeLines="50" w:line="300" w:lineRule="auto"/>
              <w:jc w:val="center"/>
              <w:rPr>
                <w:rFonts w:ascii="Times New Roman" w:hAnsi="Times New Roman" w:eastAsia="宋体" w:cs="Times New Roman"/>
              </w:rPr>
            </w:pPr>
          </w:p>
        </w:tc>
        <w:tc>
          <w:tcPr>
            <w:tcW w:w="1769" w:type="dxa"/>
            <w:vAlign w:val="center"/>
          </w:tcPr>
          <w:p w14:paraId="6A2D6326">
            <w:pPr>
              <w:spacing w:before="156" w:beforeLines="50" w:line="300" w:lineRule="auto"/>
              <w:jc w:val="center"/>
              <w:rPr>
                <w:rFonts w:ascii="Times New Roman" w:hAnsi="Times New Roman" w:eastAsia="宋体" w:cs="Times New Roman"/>
              </w:rPr>
            </w:pPr>
          </w:p>
        </w:tc>
      </w:tr>
      <w:tr w14:paraId="1CE1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14592E00">
            <w:pPr>
              <w:spacing w:before="156" w:beforeLines="50" w:line="300" w:lineRule="auto"/>
              <w:jc w:val="center"/>
              <w:rPr>
                <w:rFonts w:ascii="Times New Roman" w:hAnsi="Times New Roman" w:eastAsia="宋体" w:cs="Times New Roman"/>
              </w:rPr>
            </w:pPr>
          </w:p>
        </w:tc>
        <w:tc>
          <w:tcPr>
            <w:tcW w:w="1445" w:type="dxa"/>
            <w:vAlign w:val="center"/>
          </w:tcPr>
          <w:p w14:paraId="0950A7C1">
            <w:pPr>
              <w:spacing w:before="156" w:beforeLines="50" w:line="300" w:lineRule="auto"/>
              <w:jc w:val="center"/>
              <w:rPr>
                <w:rFonts w:ascii="Times New Roman" w:hAnsi="Times New Roman" w:eastAsia="宋体" w:cs="Times New Roman"/>
              </w:rPr>
            </w:pPr>
          </w:p>
        </w:tc>
        <w:tc>
          <w:tcPr>
            <w:tcW w:w="1765" w:type="dxa"/>
            <w:vAlign w:val="center"/>
          </w:tcPr>
          <w:p w14:paraId="674786C5">
            <w:pPr>
              <w:spacing w:before="156" w:beforeLines="50" w:line="300" w:lineRule="auto"/>
              <w:jc w:val="center"/>
              <w:rPr>
                <w:rFonts w:ascii="Times New Roman" w:hAnsi="Times New Roman" w:eastAsia="宋体" w:cs="Times New Roman"/>
              </w:rPr>
            </w:pPr>
          </w:p>
        </w:tc>
        <w:tc>
          <w:tcPr>
            <w:tcW w:w="1765" w:type="dxa"/>
            <w:vAlign w:val="center"/>
          </w:tcPr>
          <w:p w14:paraId="60230553">
            <w:pPr>
              <w:spacing w:before="156" w:beforeLines="50" w:line="300" w:lineRule="auto"/>
              <w:jc w:val="center"/>
              <w:rPr>
                <w:rFonts w:ascii="Times New Roman" w:hAnsi="Times New Roman" w:eastAsia="宋体" w:cs="Times New Roman"/>
              </w:rPr>
            </w:pPr>
          </w:p>
        </w:tc>
        <w:tc>
          <w:tcPr>
            <w:tcW w:w="1769" w:type="dxa"/>
            <w:vAlign w:val="center"/>
          </w:tcPr>
          <w:p w14:paraId="10AFD8FF">
            <w:pPr>
              <w:spacing w:before="156" w:beforeLines="50" w:line="300" w:lineRule="auto"/>
              <w:jc w:val="center"/>
              <w:rPr>
                <w:rFonts w:ascii="Times New Roman" w:hAnsi="Times New Roman" w:eastAsia="宋体" w:cs="Times New Roman"/>
              </w:rPr>
            </w:pPr>
          </w:p>
        </w:tc>
      </w:tr>
      <w:tr w14:paraId="08EA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5259855F">
            <w:pPr>
              <w:spacing w:before="156" w:beforeLines="50" w:line="300" w:lineRule="auto"/>
              <w:jc w:val="center"/>
              <w:rPr>
                <w:rFonts w:ascii="Times New Roman" w:hAnsi="Times New Roman" w:eastAsia="宋体" w:cs="Times New Roman"/>
              </w:rPr>
            </w:pPr>
          </w:p>
        </w:tc>
        <w:tc>
          <w:tcPr>
            <w:tcW w:w="1445" w:type="dxa"/>
            <w:vAlign w:val="center"/>
          </w:tcPr>
          <w:p w14:paraId="5C34BA2B">
            <w:pPr>
              <w:spacing w:before="156" w:beforeLines="50" w:line="300" w:lineRule="auto"/>
              <w:jc w:val="center"/>
              <w:rPr>
                <w:rFonts w:ascii="Times New Roman" w:hAnsi="Times New Roman" w:eastAsia="宋体" w:cs="Times New Roman"/>
              </w:rPr>
            </w:pPr>
          </w:p>
        </w:tc>
        <w:tc>
          <w:tcPr>
            <w:tcW w:w="1765" w:type="dxa"/>
            <w:vAlign w:val="center"/>
          </w:tcPr>
          <w:p w14:paraId="162BEDE3">
            <w:pPr>
              <w:spacing w:before="156" w:beforeLines="50" w:line="300" w:lineRule="auto"/>
              <w:jc w:val="center"/>
              <w:rPr>
                <w:rFonts w:ascii="Times New Roman" w:hAnsi="Times New Roman" w:eastAsia="宋体" w:cs="Times New Roman"/>
              </w:rPr>
            </w:pPr>
          </w:p>
        </w:tc>
        <w:tc>
          <w:tcPr>
            <w:tcW w:w="1765" w:type="dxa"/>
            <w:vAlign w:val="center"/>
          </w:tcPr>
          <w:p w14:paraId="5B6B3FC4">
            <w:pPr>
              <w:spacing w:before="156" w:beforeLines="50" w:line="300" w:lineRule="auto"/>
              <w:jc w:val="center"/>
              <w:rPr>
                <w:rFonts w:ascii="Times New Roman" w:hAnsi="Times New Roman" w:eastAsia="宋体" w:cs="Times New Roman"/>
              </w:rPr>
            </w:pPr>
          </w:p>
        </w:tc>
        <w:tc>
          <w:tcPr>
            <w:tcW w:w="1769" w:type="dxa"/>
            <w:vAlign w:val="center"/>
          </w:tcPr>
          <w:p w14:paraId="069B39FF">
            <w:pPr>
              <w:spacing w:before="156" w:beforeLines="50" w:line="300" w:lineRule="auto"/>
              <w:jc w:val="center"/>
              <w:rPr>
                <w:rFonts w:ascii="Times New Roman" w:hAnsi="Times New Roman" w:eastAsia="宋体" w:cs="Times New Roman"/>
              </w:rPr>
            </w:pPr>
          </w:p>
        </w:tc>
      </w:tr>
      <w:tr w14:paraId="6968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3D55C5CA">
            <w:pPr>
              <w:spacing w:before="156" w:beforeLines="50" w:line="300" w:lineRule="auto"/>
              <w:jc w:val="center"/>
              <w:rPr>
                <w:rFonts w:ascii="Times New Roman" w:hAnsi="Times New Roman" w:eastAsia="宋体" w:cs="Times New Roman"/>
              </w:rPr>
            </w:pPr>
          </w:p>
        </w:tc>
        <w:tc>
          <w:tcPr>
            <w:tcW w:w="1445" w:type="dxa"/>
            <w:vAlign w:val="center"/>
          </w:tcPr>
          <w:p w14:paraId="65C0A96C">
            <w:pPr>
              <w:spacing w:before="156" w:beforeLines="50" w:line="300" w:lineRule="auto"/>
              <w:jc w:val="center"/>
              <w:rPr>
                <w:rFonts w:ascii="Times New Roman" w:hAnsi="Times New Roman" w:eastAsia="宋体" w:cs="Times New Roman"/>
              </w:rPr>
            </w:pPr>
          </w:p>
        </w:tc>
        <w:tc>
          <w:tcPr>
            <w:tcW w:w="1765" w:type="dxa"/>
            <w:vAlign w:val="center"/>
          </w:tcPr>
          <w:p w14:paraId="0D2EDF5E">
            <w:pPr>
              <w:spacing w:before="156" w:beforeLines="50" w:line="300" w:lineRule="auto"/>
              <w:jc w:val="center"/>
              <w:rPr>
                <w:rFonts w:ascii="Times New Roman" w:hAnsi="Times New Roman" w:eastAsia="宋体" w:cs="Times New Roman"/>
              </w:rPr>
            </w:pPr>
          </w:p>
        </w:tc>
        <w:tc>
          <w:tcPr>
            <w:tcW w:w="1765" w:type="dxa"/>
            <w:vAlign w:val="center"/>
          </w:tcPr>
          <w:p w14:paraId="042993A2">
            <w:pPr>
              <w:spacing w:before="156" w:beforeLines="50" w:line="300" w:lineRule="auto"/>
              <w:jc w:val="center"/>
              <w:rPr>
                <w:rFonts w:ascii="Times New Roman" w:hAnsi="Times New Roman" w:eastAsia="宋体" w:cs="Times New Roman"/>
              </w:rPr>
            </w:pPr>
          </w:p>
        </w:tc>
        <w:tc>
          <w:tcPr>
            <w:tcW w:w="1769" w:type="dxa"/>
            <w:vAlign w:val="center"/>
          </w:tcPr>
          <w:p w14:paraId="2105EF68">
            <w:pPr>
              <w:spacing w:before="156" w:beforeLines="50" w:line="300" w:lineRule="auto"/>
              <w:jc w:val="center"/>
              <w:rPr>
                <w:rFonts w:ascii="Times New Roman" w:hAnsi="Times New Roman" w:eastAsia="宋体" w:cs="Times New Roman"/>
              </w:rPr>
            </w:pPr>
          </w:p>
        </w:tc>
      </w:tr>
      <w:tr w14:paraId="377A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jc w:val="center"/>
        </w:trPr>
        <w:tc>
          <w:tcPr>
            <w:tcW w:w="2827" w:type="dxa"/>
            <w:vAlign w:val="center"/>
          </w:tcPr>
          <w:p w14:paraId="21B70B2B">
            <w:pPr>
              <w:spacing w:before="156" w:beforeLines="50" w:line="300" w:lineRule="auto"/>
              <w:jc w:val="center"/>
              <w:rPr>
                <w:rFonts w:ascii="Times New Roman" w:hAnsi="Times New Roman" w:eastAsia="宋体" w:cs="Times New Roman"/>
              </w:rPr>
            </w:pPr>
          </w:p>
        </w:tc>
        <w:tc>
          <w:tcPr>
            <w:tcW w:w="1445" w:type="dxa"/>
            <w:vAlign w:val="center"/>
          </w:tcPr>
          <w:p w14:paraId="170F7BE8">
            <w:pPr>
              <w:spacing w:before="156" w:beforeLines="50" w:line="300" w:lineRule="auto"/>
              <w:jc w:val="center"/>
              <w:rPr>
                <w:rFonts w:ascii="Times New Roman" w:hAnsi="Times New Roman" w:eastAsia="宋体" w:cs="Times New Roman"/>
              </w:rPr>
            </w:pPr>
          </w:p>
        </w:tc>
        <w:tc>
          <w:tcPr>
            <w:tcW w:w="1765" w:type="dxa"/>
            <w:vAlign w:val="center"/>
          </w:tcPr>
          <w:p w14:paraId="5A76B507">
            <w:pPr>
              <w:spacing w:before="156" w:beforeLines="50" w:line="300" w:lineRule="auto"/>
              <w:jc w:val="center"/>
              <w:rPr>
                <w:rFonts w:ascii="Times New Roman" w:hAnsi="Times New Roman" w:eastAsia="宋体" w:cs="Times New Roman"/>
              </w:rPr>
            </w:pPr>
          </w:p>
        </w:tc>
        <w:tc>
          <w:tcPr>
            <w:tcW w:w="1765" w:type="dxa"/>
            <w:vAlign w:val="center"/>
          </w:tcPr>
          <w:p w14:paraId="47D036C2">
            <w:pPr>
              <w:spacing w:before="156" w:beforeLines="50" w:line="300" w:lineRule="auto"/>
              <w:jc w:val="center"/>
              <w:rPr>
                <w:rFonts w:ascii="Times New Roman" w:hAnsi="Times New Roman" w:eastAsia="宋体" w:cs="Times New Roman"/>
              </w:rPr>
            </w:pPr>
          </w:p>
        </w:tc>
        <w:tc>
          <w:tcPr>
            <w:tcW w:w="1769" w:type="dxa"/>
            <w:vAlign w:val="center"/>
          </w:tcPr>
          <w:p w14:paraId="6B136421">
            <w:pPr>
              <w:spacing w:before="156" w:beforeLines="50" w:line="300" w:lineRule="auto"/>
              <w:jc w:val="center"/>
              <w:rPr>
                <w:rFonts w:ascii="Times New Roman" w:hAnsi="Times New Roman" w:eastAsia="宋体" w:cs="Times New Roman"/>
              </w:rPr>
            </w:pPr>
          </w:p>
        </w:tc>
      </w:tr>
      <w:tr w14:paraId="2B24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827" w:type="dxa"/>
            <w:vAlign w:val="center"/>
          </w:tcPr>
          <w:p w14:paraId="7F7C7DFE">
            <w:pPr>
              <w:spacing w:before="156" w:beforeLines="50" w:line="300" w:lineRule="auto"/>
              <w:jc w:val="center"/>
              <w:rPr>
                <w:rFonts w:ascii="Times New Roman" w:hAnsi="Times New Roman" w:eastAsia="宋体" w:cs="Times New Roman"/>
              </w:rPr>
            </w:pPr>
          </w:p>
        </w:tc>
        <w:tc>
          <w:tcPr>
            <w:tcW w:w="1445" w:type="dxa"/>
            <w:vAlign w:val="center"/>
          </w:tcPr>
          <w:p w14:paraId="6F6709DC">
            <w:pPr>
              <w:spacing w:before="156" w:beforeLines="50" w:line="300" w:lineRule="auto"/>
              <w:jc w:val="center"/>
              <w:rPr>
                <w:rFonts w:ascii="Times New Roman" w:hAnsi="Times New Roman" w:eastAsia="宋体" w:cs="Times New Roman"/>
              </w:rPr>
            </w:pPr>
          </w:p>
        </w:tc>
        <w:tc>
          <w:tcPr>
            <w:tcW w:w="1765" w:type="dxa"/>
            <w:vAlign w:val="center"/>
          </w:tcPr>
          <w:p w14:paraId="6B11D7A6">
            <w:pPr>
              <w:spacing w:before="156" w:beforeLines="50" w:line="300" w:lineRule="auto"/>
              <w:jc w:val="center"/>
              <w:rPr>
                <w:rFonts w:ascii="Times New Roman" w:hAnsi="Times New Roman" w:eastAsia="宋体" w:cs="Times New Roman"/>
              </w:rPr>
            </w:pPr>
          </w:p>
        </w:tc>
        <w:tc>
          <w:tcPr>
            <w:tcW w:w="1765" w:type="dxa"/>
            <w:vAlign w:val="center"/>
          </w:tcPr>
          <w:p w14:paraId="27E35A30">
            <w:pPr>
              <w:spacing w:before="156" w:beforeLines="50" w:line="300" w:lineRule="auto"/>
              <w:jc w:val="center"/>
              <w:rPr>
                <w:rFonts w:ascii="Times New Roman" w:hAnsi="Times New Roman" w:eastAsia="宋体" w:cs="Times New Roman"/>
              </w:rPr>
            </w:pPr>
          </w:p>
        </w:tc>
        <w:tc>
          <w:tcPr>
            <w:tcW w:w="1769" w:type="dxa"/>
            <w:vAlign w:val="center"/>
          </w:tcPr>
          <w:p w14:paraId="26B59E88">
            <w:pPr>
              <w:spacing w:before="156" w:beforeLines="50" w:line="300" w:lineRule="auto"/>
              <w:jc w:val="center"/>
              <w:rPr>
                <w:rFonts w:ascii="Times New Roman" w:hAnsi="Times New Roman" w:eastAsia="宋体" w:cs="Times New Roman"/>
              </w:rPr>
            </w:pPr>
          </w:p>
        </w:tc>
      </w:tr>
      <w:tr w14:paraId="1830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2827" w:type="dxa"/>
            <w:vAlign w:val="center"/>
          </w:tcPr>
          <w:p w14:paraId="3DF16111">
            <w:pPr>
              <w:spacing w:before="156" w:beforeLines="50" w:line="300" w:lineRule="auto"/>
              <w:jc w:val="center"/>
              <w:rPr>
                <w:rFonts w:ascii="Times New Roman" w:hAnsi="Times New Roman" w:eastAsia="宋体" w:cs="Times New Roman"/>
              </w:rPr>
            </w:pPr>
          </w:p>
        </w:tc>
        <w:tc>
          <w:tcPr>
            <w:tcW w:w="1445" w:type="dxa"/>
            <w:vAlign w:val="center"/>
          </w:tcPr>
          <w:p w14:paraId="24563B1B">
            <w:pPr>
              <w:spacing w:before="156" w:beforeLines="50" w:line="300" w:lineRule="auto"/>
              <w:jc w:val="center"/>
              <w:rPr>
                <w:rFonts w:ascii="Times New Roman" w:hAnsi="Times New Roman" w:eastAsia="宋体" w:cs="Times New Roman"/>
              </w:rPr>
            </w:pPr>
          </w:p>
        </w:tc>
        <w:tc>
          <w:tcPr>
            <w:tcW w:w="1765" w:type="dxa"/>
            <w:vAlign w:val="center"/>
          </w:tcPr>
          <w:p w14:paraId="79C2F229">
            <w:pPr>
              <w:spacing w:before="156" w:beforeLines="50" w:line="300" w:lineRule="auto"/>
              <w:jc w:val="center"/>
              <w:rPr>
                <w:rFonts w:ascii="Times New Roman" w:hAnsi="Times New Roman" w:eastAsia="宋体" w:cs="Times New Roman"/>
              </w:rPr>
            </w:pPr>
          </w:p>
        </w:tc>
        <w:tc>
          <w:tcPr>
            <w:tcW w:w="1765" w:type="dxa"/>
            <w:vAlign w:val="center"/>
          </w:tcPr>
          <w:p w14:paraId="36710402">
            <w:pPr>
              <w:spacing w:before="156" w:beforeLines="50" w:line="300" w:lineRule="auto"/>
              <w:jc w:val="center"/>
              <w:rPr>
                <w:rFonts w:ascii="Times New Roman" w:hAnsi="Times New Roman" w:eastAsia="宋体" w:cs="Times New Roman"/>
              </w:rPr>
            </w:pPr>
          </w:p>
        </w:tc>
        <w:tc>
          <w:tcPr>
            <w:tcW w:w="1769" w:type="dxa"/>
            <w:vAlign w:val="center"/>
          </w:tcPr>
          <w:p w14:paraId="415EBEBC">
            <w:pPr>
              <w:spacing w:before="156" w:beforeLines="50" w:line="300" w:lineRule="auto"/>
              <w:jc w:val="center"/>
              <w:rPr>
                <w:rFonts w:ascii="Times New Roman" w:hAnsi="Times New Roman" w:eastAsia="宋体" w:cs="Times New Roman"/>
              </w:rPr>
            </w:pPr>
          </w:p>
        </w:tc>
      </w:tr>
      <w:tr w14:paraId="6692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2827" w:type="dxa"/>
            <w:vAlign w:val="center"/>
          </w:tcPr>
          <w:p w14:paraId="2E551DBE">
            <w:pPr>
              <w:spacing w:before="156" w:beforeLines="50" w:line="300" w:lineRule="auto"/>
              <w:jc w:val="center"/>
              <w:rPr>
                <w:rFonts w:ascii="Times New Roman" w:hAnsi="Times New Roman" w:eastAsia="宋体" w:cs="Times New Roman"/>
              </w:rPr>
            </w:pPr>
          </w:p>
        </w:tc>
        <w:tc>
          <w:tcPr>
            <w:tcW w:w="1445" w:type="dxa"/>
            <w:vAlign w:val="center"/>
          </w:tcPr>
          <w:p w14:paraId="41437C8B">
            <w:pPr>
              <w:spacing w:before="156" w:beforeLines="50" w:line="300" w:lineRule="auto"/>
              <w:jc w:val="center"/>
              <w:rPr>
                <w:rFonts w:ascii="Times New Roman" w:hAnsi="Times New Roman" w:eastAsia="宋体" w:cs="Times New Roman"/>
              </w:rPr>
            </w:pPr>
          </w:p>
        </w:tc>
        <w:tc>
          <w:tcPr>
            <w:tcW w:w="1765" w:type="dxa"/>
            <w:vAlign w:val="center"/>
          </w:tcPr>
          <w:p w14:paraId="342A709E">
            <w:pPr>
              <w:spacing w:before="156" w:beforeLines="50" w:line="300" w:lineRule="auto"/>
              <w:jc w:val="center"/>
              <w:rPr>
                <w:rFonts w:ascii="Times New Roman" w:hAnsi="Times New Roman" w:eastAsia="宋体" w:cs="Times New Roman"/>
              </w:rPr>
            </w:pPr>
          </w:p>
        </w:tc>
        <w:tc>
          <w:tcPr>
            <w:tcW w:w="1765" w:type="dxa"/>
            <w:vAlign w:val="center"/>
          </w:tcPr>
          <w:p w14:paraId="16FB9D67">
            <w:pPr>
              <w:spacing w:before="156" w:beforeLines="50" w:line="300" w:lineRule="auto"/>
              <w:jc w:val="center"/>
              <w:rPr>
                <w:rFonts w:ascii="Times New Roman" w:hAnsi="Times New Roman" w:eastAsia="宋体" w:cs="Times New Roman"/>
              </w:rPr>
            </w:pPr>
          </w:p>
        </w:tc>
        <w:tc>
          <w:tcPr>
            <w:tcW w:w="1769" w:type="dxa"/>
            <w:vAlign w:val="center"/>
          </w:tcPr>
          <w:p w14:paraId="42E70686">
            <w:pPr>
              <w:spacing w:before="156" w:beforeLines="50" w:line="300" w:lineRule="auto"/>
              <w:jc w:val="center"/>
              <w:rPr>
                <w:rFonts w:ascii="Times New Roman" w:hAnsi="Times New Roman" w:eastAsia="宋体" w:cs="Times New Roman"/>
              </w:rPr>
            </w:pPr>
          </w:p>
        </w:tc>
      </w:tr>
      <w:tr w14:paraId="15E6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2827" w:type="dxa"/>
            <w:vAlign w:val="center"/>
          </w:tcPr>
          <w:p w14:paraId="09303C86">
            <w:pPr>
              <w:spacing w:before="156" w:beforeLines="50" w:line="300" w:lineRule="auto"/>
              <w:jc w:val="center"/>
              <w:rPr>
                <w:rFonts w:ascii="Times New Roman" w:hAnsi="Times New Roman" w:eastAsia="宋体" w:cs="Times New Roman"/>
              </w:rPr>
            </w:pPr>
          </w:p>
        </w:tc>
        <w:tc>
          <w:tcPr>
            <w:tcW w:w="1445" w:type="dxa"/>
            <w:vAlign w:val="center"/>
          </w:tcPr>
          <w:p w14:paraId="1284E9C0">
            <w:pPr>
              <w:spacing w:before="156" w:beforeLines="50" w:line="300" w:lineRule="auto"/>
              <w:jc w:val="center"/>
              <w:rPr>
                <w:rFonts w:ascii="Times New Roman" w:hAnsi="Times New Roman" w:eastAsia="宋体" w:cs="Times New Roman"/>
              </w:rPr>
            </w:pPr>
          </w:p>
        </w:tc>
        <w:tc>
          <w:tcPr>
            <w:tcW w:w="1765" w:type="dxa"/>
            <w:vAlign w:val="center"/>
          </w:tcPr>
          <w:p w14:paraId="20783016">
            <w:pPr>
              <w:spacing w:before="156" w:beforeLines="50" w:line="300" w:lineRule="auto"/>
              <w:jc w:val="center"/>
              <w:rPr>
                <w:rFonts w:ascii="Times New Roman" w:hAnsi="Times New Roman" w:eastAsia="宋体" w:cs="Times New Roman"/>
              </w:rPr>
            </w:pPr>
          </w:p>
        </w:tc>
        <w:tc>
          <w:tcPr>
            <w:tcW w:w="1765" w:type="dxa"/>
            <w:vAlign w:val="center"/>
          </w:tcPr>
          <w:p w14:paraId="6A7B3A5E">
            <w:pPr>
              <w:spacing w:before="156" w:beforeLines="50" w:line="300" w:lineRule="auto"/>
              <w:jc w:val="center"/>
              <w:rPr>
                <w:rFonts w:ascii="Times New Roman" w:hAnsi="Times New Roman" w:eastAsia="宋体" w:cs="Times New Roman"/>
              </w:rPr>
            </w:pPr>
          </w:p>
        </w:tc>
        <w:tc>
          <w:tcPr>
            <w:tcW w:w="1769" w:type="dxa"/>
            <w:vAlign w:val="center"/>
          </w:tcPr>
          <w:p w14:paraId="7DFAC440">
            <w:pPr>
              <w:spacing w:before="156" w:beforeLines="50" w:line="300" w:lineRule="auto"/>
              <w:jc w:val="center"/>
              <w:rPr>
                <w:rFonts w:ascii="Times New Roman" w:hAnsi="Times New Roman" w:eastAsia="宋体" w:cs="Times New Roman"/>
              </w:rPr>
            </w:pPr>
          </w:p>
        </w:tc>
      </w:tr>
      <w:tr w14:paraId="3AB5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625A8324">
            <w:pPr>
              <w:spacing w:before="156" w:beforeLines="50" w:line="300" w:lineRule="auto"/>
              <w:jc w:val="center"/>
              <w:rPr>
                <w:rFonts w:ascii="Times New Roman" w:hAnsi="Times New Roman" w:eastAsia="宋体" w:cs="Times New Roman"/>
              </w:rPr>
            </w:pPr>
          </w:p>
        </w:tc>
        <w:tc>
          <w:tcPr>
            <w:tcW w:w="1445" w:type="dxa"/>
            <w:vAlign w:val="center"/>
          </w:tcPr>
          <w:p w14:paraId="36849C75">
            <w:pPr>
              <w:spacing w:before="156" w:beforeLines="50" w:line="300" w:lineRule="auto"/>
              <w:jc w:val="center"/>
              <w:rPr>
                <w:rFonts w:ascii="Times New Roman" w:hAnsi="Times New Roman" w:eastAsia="宋体" w:cs="Times New Roman"/>
              </w:rPr>
            </w:pPr>
          </w:p>
        </w:tc>
        <w:tc>
          <w:tcPr>
            <w:tcW w:w="1765" w:type="dxa"/>
            <w:vAlign w:val="center"/>
          </w:tcPr>
          <w:p w14:paraId="41005D8D">
            <w:pPr>
              <w:spacing w:before="156" w:beforeLines="50" w:line="300" w:lineRule="auto"/>
              <w:jc w:val="center"/>
              <w:rPr>
                <w:rFonts w:ascii="Times New Roman" w:hAnsi="Times New Roman" w:eastAsia="宋体" w:cs="Times New Roman"/>
              </w:rPr>
            </w:pPr>
          </w:p>
        </w:tc>
        <w:tc>
          <w:tcPr>
            <w:tcW w:w="1765" w:type="dxa"/>
            <w:vAlign w:val="center"/>
          </w:tcPr>
          <w:p w14:paraId="639156ED">
            <w:pPr>
              <w:spacing w:before="156" w:beforeLines="50" w:line="300" w:lineRule="auto"/>
              <w:jc w:val="center"/>
              <w:rPr>
                <w:rFonts w:ascii="Times New Roman" w:hAnsi="Times New Roman" w:eastAsia="宋体" w:cs="Times New Roman"/>
              </w:rPr>
            </w:pPr>
          </w:p>
        </w:tc>
        <w:tc>
          <w:tcPr>
            <w:tcW w:w="1769" w:type="dxa"/>
            <w:vAlign w:val="center"/>
          </w:tcPr>
          <w:p w14:paraId="7881FA26">
            <w:pPr>
              <w:spacing w:before="156" w:beforeLines="50" w:line="300" w:lineRule="auto"/>
              <w:jc w:val="center"/>
              <w:rPr>
                <w:rFonts w:ascii="Times New Roman" w:hAnsi="Times New Roman" w:eastAsia="宋体" w:cs="Times New Roman"/>
              </w:rPr>
            </w:pPr>
          </w:p>
        </w:tc>
      </w:tr>
      <w:tr w14:paraId="647B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52648619">
            <w:pPr>
              <w:spacing w:before="156" w:beforeLines="50" w:line="300" w:lineRule="auto"/>
              <w:jc w:val="center"/>
              <w:rPr>
                <w:rFonts w:ascii="Times New Roman" w:hAnsi="Times New Roman" w:eastAsia="宋体" w:cs="Times New Roman"/>
              </w:rPr>
            </w:pPr>
          </w:p>
        </w:tc>
        <w:tc>
          <w:tcPr>
            <w:tcW w:w="1445" w:type="dxa"/>
            <w:vAlign w:val="center"/>
          </w:tcPr>
          <w:p w14:paraId="4EA4A43C">
            <w:pPr>
              <w:spacing w:before="156" w:beforeLines="50" w:line="300" w:lineRule="auto"/>
              <w:jc w:val="center"/>
              <w:rPr>
                <w:rFonts w:ascii="Times New Roman" w:hAnsi="Times New Roman" w:eastAsia="宋体" w:cs="Times New Roman"/>
              </w:rPr>
            </w:pPr>
          </w:p>
        </w:tc>
        <w:tc>
          <w:tcPr>
            <w:tcW w:w="1765" w:type="dxa"/>
            <w:vAlign w:val="center"/>
          </w:tcPr>
          <w:p w14:paraId="58C93090">
            <w:pPr>
              <w:spacing w:before="156" w:beforeLines="50" w:line="300" w:lineRule="auto"/>
              <w:jc w:val="center"/>
              <w:rPr>
                <w:rFonts w:ascii="Times New Roman" w:hAnsi="Times New Roman" w:eastAsia="宋体" w:cs="Times New Roman"/>
              </w:rPr>
            </w:pPr>
          </w:p>
        </w:tc>
        <w:tc>
          <w:tcPr>
            <w:tcW w:w="1765" w:type="dxa"/>
            <w:vAlign w:val="center"/>
          </w:tcPr>
          <w:p w14:paraId="677FC56F">
            <w:pPr>
              <w:spacing w:before="156" w:beforeLines="50" w:line="300" w:lineRule="auto"/>
              <w:jc w:val="center"/>
              <w:rPr>
                <w:rFonts w:ascii="Times New Roman" w:hAnsi="Times New Roman" w:eastAsia="宋体" w:cs="Times New Roman"/>
              </w:rPr>
            </w:pPr>
          </w:p>
        </w:tc>
        <w:tc>
          <w:tcPr>
            <w:tcW w:w="1769" w:type="dxa"/>
            <w:vAlign w:val="center"/>
          </w:tcPr>
          <w:p w14:paraId="1E8DDDBD">
            <w:pPr>
              <w:spacing w:before="156" w:beforeLines="50" w:line="300" w:lineRule="auto"/>
              <w:jc w:val="center"/>
              <w:rPr>
                <w:rFonts w:ascii="Times New Roman" w:hAnsi="Times New Roman" w:eastAsia="宋体" w:cs="Times New Roman"/>
              </w:rPr>
            </w:pPr>
          </w:p>
        </w:tc>
      </w:tr>
      <w:tr w14:paraId="61EF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0B5AECC0">
            <w:pPr>
              <w:spacing w:before="156" w:beforeLines="50" w:line="300" w:lineRule="auto"/>
              <w:jc w:val="center"/>
              <w:rPr>
                <w:rFonts w:ascii="Times New Roman" w:hAnsi="Times New Roman" w:eastAsia="宋体" w:cs="Times New Roman"/>
              </w:rPr>
            </w:pPr>
          </w:p>
        </w:tc>
        <w:tc>
          <w:tcPr>
            <w:tcW w:w="1445" w:type="dxa"/>
            <w:vAlign w:val="center"/>
          </w:tcPr>
          <w:p w14:paraId="2D0AC713">
            <w:pPr>
              <w:spacing w:before="156" w:beforeLines="50" w:line="300" w:lineRule="auto"/>
              <w:jc w:val="center"/>
              <w:rPr>
                <w:rFonts w:ascii="Times New Roman" w:hAnsi="Times New Roman" w:eastAsia="宋体" w:cs="Times New Roman"/>
              </w:rPr>
            </w:pPr>
          </w:p>
        </w:tc>
        <w:tc>
          <w:tcPr>
            <w:tcW w:w="1765" w:type="dxa"/>
            <w:vAlign w:val="center"/>
          </w:tcPr>
          <w:p w14:paraId="37170EBB">
            <w:pPr>
              <w:spacing w:before="156" w:beforeLines="50" w:line="300" w:lineRule="auto"/>
              <w:jc w:val="center"/>
              <w:rPr>
                <w:rFonts w:ascii="Times New Roman" w:hAnsi="Times New Roman" w:eastAsia="宋体" w:cs="Times New Roman"/>
              </w:rPr>
            </w:pPr>
          </w:p>
        </w:tc>
        <w:tc>
          <w:tcPr>
            <w:tcW w:w="1765" w:type="dxa"/>
            <w:vAlign w:val="center"/>
          </w:tcPr>
          <w:p w14:paraId="4BD9A146">
            <w:pPr>
              <w:spacing w:before="156" w:beforeLines="50" w:line="300" w:lineRule="auto"/>
              <w:jc w:val="center"/>
              <w:rPr>
                <w:rFonts w:ascii="Times New Roman" w:hAnsi="Times New Roman" w:eastAsia="宋体" w:cs="Times New Roman"/>
              </w:rPr>
            </w:pPr>
          </w:p>
        </w:tc>
        <w:tc>
          <w:tcPr>
            <w:tcW w:w="1769" w:type="dxa"/>
            <w:vAlign w:val="center"/>
          </w:tcPr>
          <w:p w14:paraId="69781A57">
            <w:pPr>
              <w:spacing w:before="156" w:beforeLines="50" w:line="300" w:lineRule="auto"/>
              <w:jc w:val="center"/>
              <w:rPr>
                <w:rFonts w:ascii="Times New Roman" w:hAnsi="Times New Roman" w:eastAsia="宋体" w:cs="Times New Roman"/>
              </w:rPr>
            </w:pPr>
          </w:p>
        </w:tc>
      </w:tr>
      <w:tr w14:paraId="270F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703C9458">
            <w:pPr>
              <w:spacing w:before="156" w:beforeLines="50" w:line="300" w:lineRule="auto"/>
              <w:jc w:val="center"/>
              <w:rPr>
                <w:rFonts w:ascii="Times New Roman" w:hAnsi="Times New Roman" w:eastAsia="宋体" w:cs="Times New Roman"/>
              </w:rPr>
            </w:pPr>
          </w:p>
        </w:tc>
        <w:tc>
          <w:tcPr>
            <w:tcW w:w="1445" w:type="dxa"/>
            <w:vAlign w:val="center"/>
          </w:tcPr>
          <w:p w14:paraId="4E4F5DD2">
            <w:pPr>
              <w:spacing w:before="156" w:beforeLines="50" w:line="300" w:lineRule="auto"/>
              <w:jc w:val="center"/>
              <w:rPr>
                <w:rFonts w:ascii="Times New Roman" w:hAnsi="Times New Roman" w:eastAsia="宋体" w:cs="Times New Roman"/>
              </w:rPr>
            </w:pPr>
          </w:p>
        </w:tc>
        <w:tc>
          <w:tcPr>
            <w:tcW w:w="1765" w:type="dxa"/>
            <w:vAlign w:val="center"/>
          </w:tcPr>
          <w:p w14:paraId="5DC2FD57">
            <w:pPr>
              <w:spacing w:before="156" w:beforeLines="50" w:line="300" w:lineRule="auto"/>
              <w:jc w:val="center"/>
              <w:rPr>
                <w:rFonts w:ascii="Times New Roman" w:hAnsi="Times New Roman" w:eastAsia="宋体" w:cs="Times New Roman"/>
              </w:rPr>
            </w:pPr>
          </w:p>
        </w:tc>
        <w:tc>
          <w:tcPr>
            <w:tcW w:w="1765" w:type="dxa"/>
            <w:vAlign w:val="center"/>
          </w:tcPr>
          <w:p w14:paraId="7229C439">
            <w:pPr>
              <w:spacing w:before="156" w:beforeLines="50" w:line="300" w:lineRule="auto"/>
              <w:jc w:val="center"/>
              <w:rPr>
                <w:rFonts w:ascii="Times New Roman" w:hAnsi="Times New Roman" w:eastAsia="宋体" w:cs="Times New Roman"/>
              </w:rPr>
            </w:pPr>
          </w:p>
        </w:tc>
        <w:tc>
          <w:tcPr>
            <w:tcW w:w="1769" w:type="dxa"/>
            <w:vAlign w:val="center"/>
          </w:tcPr>
          <w:p w14:paraId="10AB8B2E">
            <w:pPr>
              <w:spacing w:before="156" w:beforeLines="50" w:line="300" w:lineRule="auto"/>
              <w:jc w:val="center"/>
              <w:rPr>
                <w:rFonts w:ascii="Times New Roman" w:hAnsi="Times New Roman" w:eastAsia="宋体" w:cs="Times New Roman"/>
              </w:rPr>
            </w:pPr>
          </w:p>
        </w:tc>
      </w:tr>
      <w:tr w14:paraId="524F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2827" w:type="dxa"/>
            <w:vAlign w:val="center"/>
          </w:tcPr>
          <w:p w14:paraId="27450AFE">
            <w:pPr>
              <w:spacing w:before="156" w:beforeLines="50" w:line="300" w:lineRule="auto"/>
              <w:jc w:val="center"/>
              <w:rPr>
                <w:rFonts w:ascii="Times New Roman" w:hAnsi="Times New Roman" w:eastAsia="宋体" w:cs="Times New Roman"/>
              </w:rPr>
            </w:pPr>
            <w:r>
              <w:rPr>
                <w:rFonts w:hint="eastAsia" w:ascii="Times New Roman" w:hAnsi="Times New Roman" w:eastAsia="宋体" w:cs="Times New Roman"/>
              </w:rPr>
              <w:t>专业名称</w:t>
            </w:r>
          </w:p>
        </w:tc>
        <w:tc>
          <w:tcPr>
            <w:tcW w:w="1445" w:type="dxa"/>
            <w:vAlign w:val="center"/>
          </w:tcPr>
          <w:p w14:paraId="37573333">
            <w:pPr>
              <w:spacing w:before="156" w:beforeLines="50" w:line="300" w:lineRule="auto"/>
              <w:jc w:val="center"/>
              <w:rPr>
                <w:rFonts w:ascii="Times New Roman" w:hAnsi="Times New Roman" w:eastAsia="宋体" w:cs="Times New Roman"/>
              </w:rPr>
            </w:pPr>
            <w:r>
              <w:rPr>
                <w:rFonts w:hint="eastAsia" w:ascii="Times New Roman" w:hAnsi="Times New Roman" w:eastAsia="宋体" w:cs="Times New Roman"/>
              </w:rPr>
              <w:t>设</w:t>
            </w:r>
            <w:r>
              <w:rPr>
                <w:rFonts w:ascii="Times New Roman" w:hAnsi="Times New Roman" w:eastAsia="宋体" w:cs="Times New Roman"/>
              </w:rPr>
              <w:t xml:space="preserve">  </w:t>
            </w:r>
            <w:r>
              <w:rPr>
                <w:rFonts w:hint="eastAsia" w:ascii="Times New Roman" w:hAnsi="Times New Roman" w:eastAsia="宋体" w:cs="Times New Roman"/>
              </w:rPr>
              <w:t>计</w:t>
            </w:r>
          </w:p>
        </w:tc>
        <w:tc>
          <w:tcPr>
            <w:tcW w:w="1765" w:type="dxa"/>
            <w:vAlign w:val="center"/>
          </w:tcPr>
          <w:p w14:paraId="7C5A46D3">
            <w:pPr>
              <w:spacing w:before="156" w:beforeLines="50" w:line="300" w:lineRule="auto"/>
              <w:jc w:val="center"/>
              <w:rPr>
                <w:rFonts w:ascii="Times New Roman" w:hAnsi="Times New Roman" w:eastAsia="宋体" w:cs="Times New Roman"/>
              </w:rPr>
            </w:pPr>
            <w:r>
              <w:rPr>
                <w:rFonts w:hint="eastAsia" w:ascii="Times New Roman" w:hAnsi="Times New Roman" w:eastAsia="宋体" w:cs="Times New Roman"/>
              </w:rPr>
              <w:t>校</w:t>
            </w:r>
            <w:r>
              <w:rPr>
                <w:rFonts w:ascii="Times New Roman" w:hAnsi="Times New Roman" w:eastAsia="宋体" w:cs="Times New Roman"/>
              </w:rPr>
              <w:t xml:space="preserve">  </w:t>
            </w:r>
            <w:r>
              <w:rPr>
                <w:rFonts w:hint="eastAsia" w:ascii="Times New Roman" w:hAnsi="Times New Roman" w:eastAsia="宋体" w:cs="Times New Roman"/>
              </w:rPr>
              <w:t>对</w:t>
            </w:r>
          </w:p>
        </w:tc>
        <w:tc>
          <w:tcPr>
            <w:tcW w:w="1765" w:type="dxa"/>
            <w:vAlign w:val="center"/>
          </w:tcPr>
          <w:p w14:paraId="4EACFC1A">
            <w:pPr>
              <w:spacing w:before="156" w:beforeLines="50" w:line="300" w:lineRule="auto"/>
              <w:jc w:val="center"/>
              <w:rPr>
                <w:rFonts w:ascii="Times New Roman" w:hAnsi="Times New Roman" w:eastAsia="宋体" w:cs="Times New Roman"/>
              </w:rPr>
            </w:pPr>
            <w:r>
              <w:rPr>
                <w:rFonts w:hint="eastAsia" w:ascii="Times New Roman" w:hAnsi="Times New Roman" w:eastAsia="宋体" w:cs="Times New Roman"/>
              </w:rPr>
              <w:t>审</w:t>
            </w:r>
            <w:r>
              <w:rPr>
                <w:rFonts w:ascii="Times New Roman" w:hAnsi="Times New Roman" w:eastAsia="宋体" w:cs="Times New Roman"/>
              </w:rPr>
              <w:t xml:space="preserve">  </w:t>
            </w:r>
            <w:r>
              <w:rPr>
                <w:rFonts w:hint="eastAsia" w:ascii="Times New Roman" w:hAnsi="Times New Roman" w:eastAsia="宋体" w:cs="Times New Roman"/>
              </w:rPr>
              <w:t>核</w:t>
            </w:r>
          </w:p>
        </w:tc>
        <w:tc>
          <w:tcPr>
            <w:tcW w:w="1769" w:type="dxa"/>
            <w:vAlign w:val="center"/>
          </w:tcPr>
          <w:p w14:paraId="716CF9C8">
            <w:pPr>
              <w:spacing w:before="156" w:beforeLines="50" w:line="300" w:lineRule="auto"/>
              <w:jc w:val="center"/>
              <w:rPr>
                <w:rFonts w:ascii="Times New Roman" w:hAnsi="Times New Roman" w:eastAsia="宋体" w:cs="Times New Roman"/>
              </w:rPr>
            </w:pPr>
            <w:r>
              <w:rPr>
                <w:rFonts w:hint="eastAsia" w:ascii="Times New Roman" w:hAnsi="Times New Roman" w:eastAsia="宋体" w:cs="Times New Roman"/>
              </w:rPr>
              <w:t>审</w:t>
            </w:r>
            <w:r>
              <w:rPr>
                <w:rFonts w:ascii="Times New Roman" w:hAnsi="Times New Roman" w:eastAsia="宋体" w:cs="Times New Roman"/>
              </w:rPr>
              <w:t xml:space="preserve">  </w:t>
            </w:r>
            <w:r>
              <w:rPr>
                <w:rFonts w:hint="eastAsia" w:ascii="Times New Roman" w:hAnsi="Times New Roman" w:eastAsia="宋体" w:cs="Times New Roman"/>
              </w:rPr>
              <w:t>定</w:t>
            </w:r>
          </w:p>
        </w:tc>
      </w:tr>
    </w:tbl>
    <w:p w14:paraId="76F0FF5B">
      <w:pPr>
        <w:spacing w:before="156" w:beforeLines="50" w:line="300" w:lineRule="auto"/>
        <w:jc w:val="center"/>
        <w:rPr>
          <w:rFonts w:ascii="Times New Roman" w:hAnsi="Times New Roman" w:eastAsia="宋体" w:cs="Times New Roman"/>
        </w:rPr>
      </w:pPr>
    </w:p>
    <w:p w14:paraId="4AD5D810">
      <w:pPr>
        <w:spacing w:before="156" w:beforeLines="50" w:line="300" w:lineRule="auto"/>
        <w:jc w:val="center"/>
        <w:rPr>
          <w:rFonts w:ascii="Times New Roman" w:hAnsi="Times New Roman" w:eastAsia="宋体" w:cs="Times New Roman"/>
        </w:rPr>
      </w:pPr>
    </w:p>
    <w:p w14:paraId="619EC5AA">
      <w:pPr>
        <w:rPr>
          <w:rFonts w:ascii="宋体" w:hAnsi="宋体" w:eastAsia="仿宋"/>
          <w:sz w:val="30"/>
          <w:szCs w:val="30"/>
        </w:rPr>
      </w:pPr>
      <w:r>
        <w:rPr>
          <w:sz w:val="28"/>
          <w:szCs w:val="36"/>
        </w:rPr>
        <w:br w:type="page"/>
      </w:r>
    </w:p>
    <w:p w14:paraId="5440CE1B">
      <w:pPr>
        <w:rPr>
          <w:rFonts w:ascii="宋体" w:hAnsi="宋体" w:eastAsia="仿宋"/>
          <w:sz w:val="44"/>
          <w:szCs w:val="44"/>
        </w:rPr>
      </w:pPr>
      <w:r>
        <w:rPr>
          <w:rFonts w:hint="eastAsia" w:ascii="宋体" w:hAnsi="宋体" w:eastAsia="仿宋"/>
          <w:sz w:val="44"/>
          <w:szCs w:val="44"/>
        </w:rPr>
        <w:t xml:space="preserve"> </w:t>
      </w:r>
    </w:p>
    <w:p w14:paraId="2C53ABD1">
      <w:pPr>
        <w:rPr>
          <w:rFonts w:ascii="宋体" w:hAnsi="宋体" w:eastAsia="仿宋"/>
          <w:sz w:val="44"/>
          <w:szCs w:val="44"/>
        </w:rPr>
      </w:pPr>
      <w:r>
        <w:rPr>
          <w:rFonts w:hint="eastAsia" w:ascii="宋体" w:hAnsi="宋体" w:eastAsia="仿宋"/>
          <w:sz w:val="44"/>
          <w:szCs w:val="44"/>
        </w:rPr>
        <w:t xml:space="preserve"> </w:t>
      </w:r>
    </w:p>
    <w:p w14:paraId="1A7AB76B">
      <w:pPr>
        <w:rPr>
          <w:rFonts w:ascii="宋体" w:hAnsi="宋体" w:eastAsia="仿宋"/>
          <w:sz w:val="44"/>
          <w:szCs w:val="44"/>
        </w:rPr>
      </w:pPr>
      <w:r>
        <w:rPr>
          <w:rFonts w:hint="eastAsia" w:ascii="宋体" w:hAnsi="宋体" w:eastAsia="仿宋"/>
          <w:sz w:val="44"/>
          <w:szCs w:val="44"/>
        </w:rPr>
        <w:t xml:space="preserve"> </w:t>
      </w:r>
    </w:p>
    <w:p w14:paraId="0A7C5B79">
      <w:pPr>
        <w:jc w:val="center"/>
        <w:outlineLvl w:val="0"/>
        <w:rPr>
          <w:rFonts w:ascii="宋体" w:hAnsi="宋体" w:eastAsia="方正小标宋简体"/>
          <w:sz w:val="44"/>
          <w:szCs w:val="44"/>
        </w:rPr>
      </w:pPr>
      <w:bookmarkStart w:id="222" w:name="_Toc2085077807_WPSOffice_Level2"/>
      <w:bookmarkEnd w:id="222"/>
      <w:bookmarkStart w:id="223" w:name="_Toc195881897"/>
      <w:bookmarkStart w:id="224" w:name="_Toc193878416"/>
      <w:bookmarkStart w:id="225" w:name="_Toc193982948"/>
      <w:r>
        <w:rPr>
          <w:rFonts w:hint="eastAsia" w:ascii="方正小标宋简体" w:hAnsi="方正小标宋简体" w:eastAsia="方正小标宋简体"/>
          <w:sz w:val="44"/>
          <w:szCs w:val="44"/>
        </w:rPr>
        <w:t>《陆上石油天然气开采建设项目（地下储气库）安全设施设计导则》</w:t>
      </w:r>
      <w:bookmarkEnd w:id="223"/>
      <w:bookmarkEnd w:id="224"/>
      <w:bookmarkEnd w:id="225"/>
    </w:p>
    <w:p w14:paraId="28C3FA3B">
      <w:pPr>
        <w:jc w:val="center"/>
        <w:rPr>
          <w:rFonts w:ascii="宋体" w:hAnsi="宋体" w:eastAsia="仿宋_GB2312"/>
          <w:sz w:val="32"/>
          <w:szCs w:val="32"/>
        </w:rPr>
      </w:pPr>
      <w:r>
        <w:rPr>
          <w:rFonts w:hint="eastAsia" w:ascii="仿宋_GB2312" w:hAnsi="宋体" w:eastAsia="仿宋_GB2312"/>
          <w:sz w:val="32"/>
          <w:szCs w:val="32"/>
        </w:rPr>
        <w:t>（■征求意见稿</w:t>
      </w:r>
      <w:r>
        <w:rPr>
          <w:rFonts w:hint="eastAsia" w:ascii="宋体" w:hAnsi="宋体" w:eastAsia="仿宋_GB2312"/>
          <w:sz w:val="32"/>
          <w:szCs w:val="32"/>
        </w:rPr>
        <w:t xml:space="preserve">  </w:t>
      </w:r>
      <w:r>
        <w:rPr>
          <w:rFonts w:hint="eastAsia" w:ascii="仿宋_GB2312" w:hAnsi="宋体" w:eastAsia="仿宋_GB2312"/>
          <w:sz w:val="32"/>
          <w:szCs w:val="32"/>
        </w:rPr>
        <w:t>□送审稿</w:t>
      </w:r>
      <w:r>
        <w:rPr>
          <w:rFonts w:hint="eastAsia" w:ascii="宋体" w:hAnsi="宋体" w:eastAsia="仿宋_GB2312"/>
          <w:sz w:val="32"/>
          <w:szCs w:val="32"/>
        </w:rPr>
        <w:t xml:space="preserve">  </w:t>
      </w:r>
      <w:r>
        <w:rPr>
          <w:rFonts w:hint="eastAsia" w:ascii="仿宋_GB2312" w:hAnsi="宋体" w:eastAsia="仿宋_GB2312"/>
          <w:sz w:val="32"/>
          <w:szCs w:val="32"/>
        </w:rPr>
        <w:t>□报批稿）</w:t>
      </w:r>
    </w:p>
    <w:p w14:paraId="563E50F5">
      <w:pPr>
        <w:jc w:val="center"/>
        <w:rPr>
          <w:rFonts w:ascii="宋体" w:hAnsi="宋体" w:eastAsia="方正小标宋简体"/>
          <w:sz w:val="44"/>
          <w:szCs w:val="44"/>
        </w:rPr>
      </w:pPr>
      <w:r>
        <w:rPr>
          <w:rFonts w:hint="eastAsia" w:ascii="宋体" w:hAnsi="宋体" w:eastAsia="方正小标宋简体"/>
          <w:sz w:val="44"/>
          <w:szCs w:val="44"/>
        </w:rPr>
        <w:t xml:space="preserve"> </w:t>
      </w:r>
    </w:p>
    <w:p w14:paraId="4BF4FC93">
      <w:pPr>
        <w:jc w:val="center"/>
        <w:outlineLvl w:val="0"/>
        <w:rPr>
          <w:rFonts w:ascii="宋体" w:hAnsi="宋体" w:eastAsia="黑体"/>
          <w:sz w:val="44"/>
          <w:szCs w:val="44"/>
        </w:rPr>
      </w:pPr>
      <w:bookmarkStart w:id="226" w:name="_Toc193878417"/>
      <w:bookmarkStart w:id="227" w:name="_Toc193982949"/>
      <w:bookmarkStart w:id="228" w:name="_Toc195881898"/>
      <w:r>
        <w:rPr>
          <w:rFonts w:hint="eastAsia" w:ascii="黑体" w:hAnsi="黑体" w:eastAsia="黑体"/>
          <w:sz w:val="44"/>
          <w:szCs w:val="44"/>
        </w:rPr>
        <w:t>编制说明</w:t>
      </w:r>
      <w:bookmarkEnd w:id="226"/>
      <w:bookmarkEnd w:id="227"/>
      <w:bookmarkEnd w:id="228"/>
    </w:p>
    <w:p w14:paraId="7DA253BA">
      <w:pPr>
        <w:jc w:val="center"/>
        <w:rPr>
          <w:rFonts w:ascii="宋体" w:hAnsi="宋体" w:eastAsia="仿宋_GB2312"/>
          <w:i/>
          <w:iCs/>
          <w:sz w:val="28"/>
          <w:szCs w:val="28"/>
        </w:rPr>
      </w:pPr>
    </w:p>
    <w:p w14:paraId="44D48CB8">
      <w:pPr>
        <w:rPr>
          <w:rFonts w:ascii="宋体" w:hAnsi="宋体" w:eastAsia="仿宋_GB2312"/>
          <w:i/>
          <w:iCs/>
          <w:sz w:val="28"/>
          <w:szCs w:val="28"/>
        </w:rPr>
      </w:pPr>
      <w:r>
        <w:rPr>
          <w:rFonts w:hint="eastAsia" w:ascii="宋体" w:hAnsi="宋体" w:eastAsia="仿宋_GB2312"/>
          <w:i/>
          <w:iCs/>
          <w:sz w:val="28"/>
          <w:szCs w:val="28"/>
        </w:rPr>
        <w:t xml:space="preserve"> </w:t>
      </w:r>
    </w:p>
    <w:p w14:paraId="74EF5EFA">
      <w:pPr>
        <w:jc w:val="center"/>
        <w:rPr>
          <w:rFonts w:ascii="宋体" w:hAnsi="宋体" w:eastAsia="仿宋_GB2312"/>
          <w:i/>
          <w:iCs/>
          <w:sz w:val="28"/>
          <w:szCs w:val="28"/>
        </w:rPr>
      </w:pPr>
      <w:r>
        <w:rPr>
          <w:rFonts w:hint="eastAsia" w:ascii="宋体" w:hAnsi="宋体" w:eastAsia="仿宋_GB2312"/>
          <w:i/>
          <w:iCs/>
          <w:sz w:val="28"/>
          <w:szCs w:val="28"/>
        </w:rPr>
        <w:t xml:space="preserve"> </w:t>
      </w:r>
    </w:p>
    <w:p w14:paraId="44B504A3">
      <w:pPr>
        <w:jc w:val="center"/>
        <w:rPr>
          <w:rFonts w:ascii="宋体" w:hAnsi="宋体" w:eastAsia="仿宋_GB2312"/>
          <w:i/>
          <w:iCs/>
          <w:sz w:val="28"/>
          <w:szCs w:val="28"/>
        </w:rPr>
      </w:pPr>
      <w:r>
        <w:rPr>
          <w:rFonts w:hint="eastAsia" w:ascii="宋体" w:hAnsi="宋体" w:eastAsia="仿宋_GB2312"/>
          <w:i/>
          <w:iCs/>
          <w:sz w:val="28"/>
          <w:szCs w:val="28"/>
        </w:rPr>
        <w:t xml:space="preserve"> </w:t>
      </w:r>
    </w:p>
    <w:p w14:paraId="6F5819AB">
      <w:pPr>
        <w:jc w:val="center"/>
        <w:rPr>
          <w:rFonts w:ascii="宋体" w:hAnsi="宋体" w:eastAsia="仿宋_GB2312"/>
          <w:i/>
          <w:iCs/>
          <w:sz w:val="28"/>
          <w:szCs w:val="28"/>
        </w:rPr>
      </w:pPr>
      <w:r>
        <w:rPr>
          <w:rFonts w:hint="eastAsia" w:ascii="宋体" w:hAnsi="宋体" w:eastAsia="仿宋_GB2312"/>
          <w:i/>
          <w:iCs/>
          <w:sz w:val="28"/>
          <w:szCs w:val="28"/>
        </w:rPr>
        <w:t xml:space="preserve"> </w:t>
      </w:r>
    </w:p>
    <w:p w14:paraId="5199BD09">
      <w:pPr>
        <w:jc w:val="center"/>
        <w:rPr>
          <w:rFonts w:ascii="宋体" w:hAnsi="宋体" w:eastAsia="仿宋_GB2312"/>
          <w:i/>
          <w:iCs/>
          <w:sz w:val="28"/>
          <w:szCs w:val="28"/>
        </w:rPr>
      </w:pPr>
      <w:r>
        <w:rPr>
          <w:rFonts w:hint="eastAsia" w:ascii="宋体" w:hAnsi="宋体" w:eastAsia="仿宋_GB2312"/>
          <w:i/>
          <w:iCs/>
          <w:sz w:val="28"/>
          <w:szCs w:val="28"/>
        </w:rPr>
        <w:t xml:space="preserve"> </w:t>
      </w:r>
    </w:p>
    <w:p w14:paraId="0016915F">
      <w:pPr>
        <w:rPr>
          <w:rFonts w:ascii="宋体" w:hAnsi="宋体" w:eastAsia="仿宋_GB2312"/>
          <w:sz w:val="28"/>
          <w:szCs w:val="28"/>
        </w:rPr>
      </w:pPr>
      <w:r>
        <w:rPr>
          <w:rFonts w:hint="eastAsia" w:ascii="宋体" w:hAnsi="宋体" w:eastAsia="仿宋_GB2312"/>
          <w:sz w:val="28"/>
          <w:szCs w:val="28"/>
        </w:rPr>
        <w:t xml:space="preserve"> </w:t>
      </w:r>
    </w:p>
    <w:p w14:paraId="58999579">
      <w:pPr>
        <w:jc w:val="center"/>
        <w:rPr>
          <w:rFonts w:ascii="宋体" w:hAnsi="宋体" w:eastAsia="仿宋_GB2312"/>
          <w:sz w:val="32"/>
          <w:szCs w:val="32"/>
        </w:rPr>
      </w:pPr>
      <w:r>
        <w:rPr>
          <w:rFonts w:hint="eastAsia" w:ascii="仿宋_GB2312" w:hAnsi="宋体" w:eastAsia="仿宋_GB2312"/>
          <w:sz w:val="32"/>
          <w:szCs w:val="32"/>
        </w:rPr>
        <w:t>标准编制组</w:t>
      </w:r>
    </w:p>
    <w:p w14:paraId="3947F478">
      <w:pPr>
        <w:jc w:val="center"/>
        <w:rPr>
          <w:rFonts w:ascii="宋体" w:hAnsi="宋体" w:eastAsia="宋体"/>
          <w:b/>
          <w:sz w:val="32"/>
          <w:szCs w:val="32"/>
        </w:rPr>
      </w:pPr>
      <w:r>
        <w:rPr>
          <w:rFonts w:hint="eastAsia" w:ascii="宋体" w:hAnsi="宋体"/>
          <w:sz w:val="32"/>
          <w:szCs w:val="32"/>
        </w:rPr>
        <w:t>2025</w:t>
      </w:r>
      <w:r>
        <w:rPr>
          <w:rFonts w:hint="eastAsia" w:ascii="仿宋_GB2312" w:hAnsi="宋体" w:eastAsia="仿宋_GB2312"/>
          <w:sz w:val="32"/>
          <w:szCs w:val="32"/>
        </w:rPr>
        <w:t>年</w:t>
      </w:r>
      <w:r>
        <w:rPr>
          <w:rFonts w:hint="eastAsia" w:ascii="宋体" w:hAnsi="宋体"/>
          <w:sz w:val="32"/>
          <w:szCs w:val="32"/>
        </w:rPr>
        <w:t>0</w:t>
      </w:r>
      <w:r>
        <w:rPr>
          <w:rFonts w:hint="eastAsia" w:ascii="宋体" w:hAnsi="宋体" w:eastAsia="宋体"/>
          <w:sz w:val="32"/>
          <w:szCs w:val="32"/>
        </w:rPr>
        <w:t>4</w:t>
      </w:r>
      <w:r>
        <w:rPr>
          <w:rFonts w:hint="eastAsia" w:ascii="仿宋_GB2312" w:hAnsi="宋体" w:eastAsia="仿宋_GB2312"/>
          <w:sz w:val="32"/>
          <w:szCs w:val="32"/>
        </w:rPr>
        <w:t>月</w:t>
      </w:r>
    </w:p>
    <w:p w14:paraId="5402BD74">
      <w:pPr>
        <w:widowControl/>
        <w:jc w:val="left"/>
        <w:rPr>
          <w:rFonts w:ascii="宋体" w:hAnsi="宋体" w:eastAsia="方正小标宋_GBK" w:cs="宋体"/>
          <w:sz w:val="44"/>
          <w:szCs w:val="44"/>
        </w:rPr>
        <w:sectPr>
          <w:footerReference r:id="rId11" w:type="default"/>
          <w:footerReference r:id="rId12" w:type="even"/>
          <w:type w:val="continuous"/>
          <w:pgSz w:w="11906" w:h="16838"/>
          <w:pgMar w:top="1701" w:right="1474" w:bottom="1474" w:left="1587" w:header="851" w:footer="992" w:gutter="0"/>
          <w:paperSrc/>
          <w:pgNumType w:fmt="decimal" w:start="1"/>
          <w:cols w:space="0" w:num="1"/>
          <w:rtlGutter w:val="0"/>
          <w:docGrid w:type="lines" w:linePitch="312" w:charSpace="0"/>
        </w:sectPr>
      </w:pPr>
    </w:p>
    <w:p w14:paraId="3AEF95BA">
      <w:pPr>
        <w:jc w:val="center"/>
        <w:outlineLvl w:val="0"/>
        <w:rPr>
          <w:rFonts w:ascii="宋体" w:hAnsi="宋体" w:eastAsia="方正小标宋_GBK"/>
          <w:sz w:val="44"/>
          <w:szCs w:val="44"/>
        </w:rPr>
      </w:pPr>
      <w:bookmarkStart w:id="229" w:name="_Toc193878418"/>
      <w:bookmarkStart w:id="230" w:name="_Toc193982950"/>
      <w:bookmarkStart w:id="231" w:name="_Toc195881899"/>
      <w:r>
        <w:rPr>
          <w:rFonts w:hint="eastAsia" w:ascii="方正小标宋_GBK" w:hAnsi="方正小标宋_GBK" w:eastAsia="方正小标宋_GBK"/>
          <w:sz w:val="44"/>
          <w:szCs w:val="44"/>
        </w:rPr>
        <w:t>说</w:t>
      </w:r>
      <w:r>
        <w:rPr>
          <w:rFonts w:hint="eastAsia" w:ascii="宋体" w:hAnsi="宋体" w:eastAsia="方正小标宋_GBK"/>
          <w:sz w:val="44"/>
          <w:szCs w:val="44"/>
        </w:rPr>
        <w:t xml:space="preserve"> </w:t>
      </w:r>
      <w:r>
        <w:rPr>
          <w:rFonts w:hint="eastAsia" w:ascii="方正小标宋_GBK" w:hAnsi="方正小标宋_GBK" w:eastAsia="方正小标宋_GBK"/>
          <w:sz w:val="44"/>
          <w:szCs w:val="44"/>
        </w:rPr>
        <w:t>明</w:t>
      </w:r>
      <w:bookmarkEnd w:id="229"/>
      <w:bookmarkEnd w:id="230"/>
      <w:bookmarkEnd w:id="231"/>
    </w:p>
    <w:p w14:paraId="244A3B2B">
      <w:pPr>
        <w:autoSpaceDE w:val="0"/>
        <w:spacing w:line="360" w:lineRule="auto"/>
        <w:outlineLvl w:val="0"/>
        <w:rPr>
          <w:rFonts w:ascii="宋体" w:hAnsi="宋体" w:eastAsia="仿宋_GB2312"/>
          <w:sz w:val="24"/>
          <w:szCs w:val="24"/>
        </w:rPr>
      </w:pPr>
      <w:r>
        <w:rPr>
          <w:rFonts w:hint="eastAsia" w:ascii="宋体" w:hAnsi="宋体" w:eastAsia="仿宋_GB2312"/>
          <w:sz w:val="24"/>
          <w:szCs w:val="24"/>
        </w:rPr>
        <w:t xml:space="preserve">    </w:t>
      </w:r>
      <w:bookmarkStart w:id="232" w:name="_Toc193878419"/>
      <w:bookmarkStart w:id="233" w:name="_Toc193982951"/>
      <w:bookmarkStart w:id="234" w:name="_Toc195881900"/>
      <w:r>
        <w:rPr>
          <w:rFonts w:hint="eastAsia" w:ascii="宋体" w:hAnsi="宋体"/>
          <w:sz w:val="24"/>
          <w:szCs w:val="24"/>
        </w:rPr>
        <w:t>1</w:t>
      </w:r>
      <w:r>
        <w:rPr>
          <w:rFonts w:hint="eastAsia" w:ascii="仿宋_GB2312" w:hAnsi="宋体" w:eastAsia="仿宋_GB2312"/>
          <w:sz w:val="24"/>
          <w:szCs w:val="24"/>
        </w:rPr>
        <w:t>．标准编制说明的封面</w:t>
      </w:r>
      <w:bookmarkEnd w:id="232"/>
      <w:bookmarkEnd w:id="233"/>
      <w:bookmarkEnd w:id="234"/>
    </w:p>
    <w:p w14:paraId="6A41889F">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1</w:t>
      </w:r>
      <w:r>
        <w:rPr>
          <w:rFonts w:hint="eastAsia" w:ascii="仿宋_GB2312" w:hAnsi="宋体" w:eastAsia="仿宋_GB2312"/>
          <w:sz w:val="24"/>
          <w:szCs w:val="24"/>
        </w:rPr>
        <w:t>）标准名称。应在封面靠上居中位置，与标准稿名称保持一致。字体字号为方正小标宋二号。</w:t>
      </w:r>
    </w:p>
    <w:p w14:paraId="6A6C1707">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2</w:t>
      </w:r>
      <w:r>
        <w:rPr>
          <w:rFonts w:hint="eastAsia" w:ascii="仿宋_GB2312" w:hAnsi="宋体" w:eastAsia="仿宋_GB2312"/>
          <w:sz w:val="24"/>
          <w:szCs w:val="24"/>
        </w:rPr>
        <w:t>）标准文稿版次。在标准名称下方“征求意见稿、送审稿、报批稿”前的方框凃选其一，例如“</w:t>
      </w:r>
      <w:r>
        <w:rPr>
          <w:rFonts w:hint="eastAsia" w:ascii="华文宋体" w:hAnsi="华文宋体" w:eastAsia="华文宋体"/>
          <w:sz w:val="24"/>
          <w:szCs w:val="24"/>
        </w:rPr>
        <w:t>■</w:t>
      </w:r>
      <w:r>
        <w:rPr>
          <w:rFonts w:hint="eastAsia" w:ascii="仿宋_GB2312" w:hAnsi="宋体" w:eastAsia="仿宋_GB2312"/>
          <w:sz w:val="24"/>
          <w:szCs w:val="24"/>
        </w:rPr>
        <w:t>征求意见稿”。字体字号为仿宋三号。</w:t>
      </w:r>
    </w:p>
    <w:p w14:paraId="25E51197">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3</w:t>
      </w:r>
      <w:r>
        <w:rPr>
          <w:rFonts w:hint="eastAsia" w:ascii="仿宋_GB2312" w:hAnsi="宋体" w:eastAsia="仿宋_GB2312"/>
          <w:sz w:val="24"/>
          <w:szCs w:val="24"/>
        </w:rPr>
        <w:t>）标准编制组。在封面靠下居中位置。字体字号为仿宋三号。</w:t>
      </w:r>
    </w:p>
    <w:p w14:paraId="43710B93">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4</w:t>
      </w:r>
      <w:r>
        <w:rPr>
          <w:rFonts w:hint="eastAsia" w:ascii="仿宋_GB2312" w:hAnsi="宋体" w:eastAsia="仿宋_GB2312"/>
          <w:sz w:val="24"/>
          <w:szCs w:val="24"/>
        </w:rPr>
        <w:t>）编制日期。编制日期为本阶段完成的日期，以数字格式书写，字体为宋体，字号为三号。如：“</w:t>
      </w:r>
      <w:r>
        <w:rPr>
          <w:rFonts w:hint="eastAsia" w:ascii="宋体" w:hAnsi="宋体"/>
          <w:sz w:val="24"/>
          <w:szCs w:val="24"/>
        </w:rPr>
        <w:t>2020</w:t>
      </w:r>
      <w:r>
        <w:rPr>
          <w:rFonts w:hint="eastAsia" w:ascii="仿宋_GB2312" w:hAnsi="宋体" w:eastAsia="仿宋_GB2312"/>
          <w:sz w:val="24"/>
          <w:szCs w:val="24"/>
        </w:rPr>
        <w:t>年</w:t>
      </w:r>
      <w:r>
        <w:rPr>
          <w:rFonts w:hint="eastAsia" w:ascii="宋体" w:hAnsi="宋体"/>
          <w:sz w:val="24"/>
          <w:szCs w:val="24"/>
        </w:rPr>
        <w:t>3</w:t>
      </w:r>
      <w:r>
        <w:rPr>
          <w:rFonts w:hint="eastAsia" w:ascii="仿宋_GB2312" w:hAnsi="宋体" w:eastAsia="仿宋_GB2312"/>
          <w:sz w:val="24"/>
          <w:szCs w:val="24"/>
        </w:rPr>
        <w:t>月</w:t>
      </w:r>
      <w:r>
        <w:rPr>
          <w:rFonts w:hint="eastAsia" w:ascii="宋体" w:hAnsi="宋体"/>
          <w:sz w:val="24"/>
          <w:szCs w:val="24"/>
        </w:rPr>
        <w:t>30</w:t>
      </w:r>
      <w:r>
        <w:rPr>
          <w:rFonts w:hint="eastAsia" w:ascii="仿宋_GB2312" w:hAnsi="宋体" w:eastAsia="仿宋_GB2312"/>
          <w:sz w:val="24"/>
          <w:szCs w:val="24"/>
        </w:rPr>
        <w:t>日”。</w:t>
      </w:r>
    </w:p>
    <w:p w14:paraId="62512F0F">
      <w:pPr>
        <w:autoSpaceDE w:val="0"/>
        <w:spacing w:line="360" w:lineRule="auto"/>
        <w:outlineLvl w:val="0"/>
        <w:rPr>
          <w:rFonts w:ascii="宋体" w:hAnsi="宋体" w:eastAsia="仿宋_GB2312"/>
          <w:sz w:val="24"/>
          <w:szCs w:val="24"/>
        </w:rPr>
      </w:pPr>
      <w:r>
        <w:rPr>
          <w:rFonts w:hint="eastAsia" w:ascii="宋体" w:hAnsi="宋体" w:eastAsia="仿宋_GB2312"/>
          <w:sz w:val="24"/>
          <w:szCs w:val="24"/>
        </w:rPr>
        <w:t xml:space="preserve">    </w:t>
      </w:r>
      <w:bookmarkStart w:id="235" w:name="_Toc193878420"/>
      <w:bookmarkStart w:id="236" w:name="_Toc193982952"/>
      <w:bookmarkStart w:id="237" w:name="_Toc195881901"/>
      <w:r>
        <w:rPr>
          <w:rFonts w:hint="eastAsia" w:ascii="宋体" w:hAnsi="宋体"/>
          <w:sz w:val="24"/>
          <w:szCs w:val="24"/>
        </w:rPr>
        <w:t>2</w:t>
      </w:r>
      <w:r>
        <w:rPr>
          <w:rFonts w:hint="eastAsia" w:ascii="仿宋_GB2312" w:hAnsi="宋体" w:eastAsia="仿宋_GB2312"/>
          <w:sz w:val="24"/>
          <w:szCs w:val="24"/>
        </w:rPr>
        <w:t>．标准编制说明的正文</w:t>
      </w:r>
      <w:bookmarkEnd w:id="235"/>
      <w:bookmarkEnd w:id="236"/>
      <w:bookmarkEnd w:id="237"/>
    </w:p>
    <w:p w14:paraId="3C42F202">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1</w:t>
      </w:r>
      <w:r>
        <w:rPr>
          <w:rFonts w:hint="eastAsia" w:ascii="仿宋_GB2312" w:hAnsi="宋体" w:eastAsia="仿宋_GB2312"/>
          <w:sz w:val="24"/>
          <w:szCs w:val="24"/>
        </w:rPr>
        <w:t>）正文页边距为上</w:t>
      </w:r>
      <w:r>
        <w:rPr>
          <w:rFonts w:hint="eastAsia" w:ascii="宋体" w:hAnsi="宋体"/>
          <w:sz w:val="24"/>
          <w:szCs w:val="24"/>
        </w:rPr>
        <w:t>3cm</w:t>
      </w:r>
      <w:r>
        <w:rPr>
          <w:rFonts w:hint="eastAsia" w:ascii="仿宋_GB2312" w:hAnsi="宋体" w:eastAsia="仿宋_GB2312"/>
          <w:sz w:val="24"/>
          <w:szCs w:val="24"/>
        </w:rPr>
        <w:t>、下</w:t>
      </w:r>
      <w:r>
        <w:rPr>
          <w:rFonts w:hint="eastAsia" w:ascii="宋体" w:hAnsi="宋体" w:eastAsia="仿宋_GB2312"/>
          <w:sz w:val="24"/>
          <w:szCs w:val="24"/>
        </w:rPr>
        <w:t>2.6</w:t>
      </w:r>
      <w:r>
        <w:rPr>
          <w:rFonts w:hint="eastAsia" w:ascii="宋体" w:hAnsi="宋体"/>
          <w:sz w:val="24"/>
          <w:szCs w:val="24"/>
        </w:rPr>
        <w:t>cm</w:t>
      </w:r>
      <w:r>
        <w:rPr>
          <w:rFonts w:hint="eastAsia" w:ascii="仿宋_GB2312" w:hAnsi="宋体" w:eastAsia="仿宋_GB2312"/>
          <w:sz w:val="24"/>
          <w:szCs w:val="24"/>
        </w:rPr>
        <w:t>、左</w:t>
      </w:r>
      <w:r>
        <w:rPr>
          <w:rFonts w:hint="eastAsia" w:ascii="宋体" w:hAnsi="宋体"/>
          <w:sz w:val="24"/>
          <w:szCs w:val="24"/>
        </w:rPr>
        <w:t>2.8cm</w:t>
      </w:r>
      <w:r>
        <w:rPr>
          <w:rFonts w:hint="eastAsia" w:ascii="仿宋_GB2312" w:hAnsi="宋体" w:eastAsia="仿宋_GB2312"/>
          <w:sz w:val="24"/>
          <w:szCs w:val="24"/>
        </w:rPr>
        <w:t>、右</w:t>
      </w:r>
      <w:r>
        <w:rPr>
          <w:rFonts w:hint="eastAsia" w:ascii="宋体" w:hAnsi="宋体"/>
          <w:sz w:val="24"/>
          <w:szCs w:val="24"/>
        </w:rPr>
        <w:t>2.6cm</w:t>
      </w:r>
      <w:r>
        <w:rPr>
          <w:rFonts w:hint="eastAsia" w:ascii="仿宋_GB2312" w:hAnsi="宋体" w:eastAsia="仿宋_GB2312"/>
          <w:sz w:val="24"/>
          <w:szCs w:val="24"/>
        </w:rPr>
        <w:t>。</w:t>
      </w:r>
    </w:p>
    <w:p w14:paraId="4BE087A1">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2</w:t>
      </w:r>
      <w:r>
        <w:rPr>
          <w:rFonts w:hint="eastAsia" w:ascii="仿宋_GB2312" w:hAnsi="宋体" w:eastAsia="仿宋_GB2312"/>
          <w:sz w:val="24"/>
          <w:szCs w:val="24"/>
        </w:rPr>
        <w:t>）正文标题，一级标题用黑体三号字，二级标题用楷体三号字不加粗。三级、四级标题用仿宋</w:t>
      </w:r>
      <w:r>
        <w:rPr>
          <w:rFonts w:hint="eastAsia" w:ascii="宋体" w:hAnsi="宋体"/>
          <w:sz w:val="24"/>
          <w:szCs w:val="24"/>
        </w:rPr>
        <w:t>GB-2312</w:t>
      </w:r>
      <w:r>
        <w:rPr>
          <w:rFonts w:hint="eastAsia" w:ascii="仿宋_GB2312" w:hAnsi="宋体" w:eastAsia="仿宋_GB2312"/>
          <w:sz w:val="24"/>
          <w:szCs w:val="24"/>
        </w:rPr>
        <w:t>三号字不加粗。文中结构层次序数为“一、” “（一）” “</w:t>
      </w:r>
      <w:r>
        <w:rPr>
          <w:rFonts w:hint="eastAsia" w:ascii="宋体" w:hAnsi="宋体"/>
          <w:sz w:val="24"/>
          <w:szCs w:val="24"/>
        </w:rPr>
        <w:t>1.</w:t>
      </w:r>
      <w:r>
        <w:rPr>
          <w:rFonts w:hint="eastAsia" w:ascii="仿宋_GB2312" w:hAnsi="宋体" w:eastAsia="仿宋_GB2312"/>
          <w:sz w:val="24"/>
          <w:szCs w:val="24"/>
        </w:rPr>
        <w:t>” “（</w:t>
      </w:r>
      <w:r>
        <w:rPr>
          <w:rFonts w:hint="eastAsia" w:ascii="宋体" w:hAnsi="宋体"/>
          <w:sz w:val="24"/>
          <w:szCs w:val="24"/>
        </w:rPr>
        <w:t>1</w:t>
      </w:r>
      <w:r>
        <w:rPr>
          <w:rFonts w:hint="eastAsia" w:ascii="仿宋_GB2312" w:hAnsi="宋体" w:eastAsia="仿宋_GB2312"/>
          <w:sz w:val="24"/>
          <w:szCs w:val="24"/>
        </w:rPr>
        <w:t>）”标注。</w:t>
      </w:r>
    </w:p>
    <w:p w14:paraId="5DDAADE8">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3</w:t>
      </w:r>
      <w:r>
        <w:rPr>
          <w:rFonts w:hint="eastAsia" w:ascii="仿宋_GB2312" w:hAnsi="宋体" w:eastAsia="仿宋_GB2312"/>
          <w:sz w:val="24"/>
          <w:szCs w:val="24"/>
        </w:rPr>
        <w:t>）正文中文字体字号为仿宋</w:t>
      </w:r>
      <w:r>
        <w:rPr>
          <w:rFonts w:hint="eastAsia" w:ascii="宋体" w:hAnsi="宋体"/>
          <w:sz w:val="24"/>
          <w:szCs w:val="24"/>
        </w:rPr>
        <w:t>GB-2312</w:t>
      </w:r>
      <w:r>
        <w:rPr>
          <w:rFonts w:hint="eastAsia" w:ascii="仿宋_GB2312" w:hAnsi="宋体" w:eastAsia="仿宋_GB2312"/>
          <w:sz w:val="24"/>
          <w:szCs w:val="24"/>
        </w:rPr>
        <w:t>三号字，数字、字母等西文字体为宋体三号字，段落行距为</w:t>
      </w:r>
      <w:r>
        <w:rPr>
          <w:rFonts w:hint="eastAsia" w:ascii="宋体" w:hAnsi="宋体"/>
          <w:sz w:val="24"/>
          <w:szCs w:val="24"/>
        </w:rPr>
        <w:t>28</w:t>
      </w:r>
      <w:r>
        <w:rPr>
          <w:rFonts w:hint="eastAsia" w:ascii="仿宋_GB2312" w:hAnsi="宋体" w:eastAsia="仿宋_GB2312"/>
          <w:sz w:val="24"/>
          <w:szCs w:val="24"/>
        </w:rPr>
        <w:t>磅，首行缩进</w:t>
      </w:r>
      <w:r>
        <w:rPr>
          <w:rFonts w:hint="eastAsia" w:ascii="宋体" w:hAnsi="宋体"/>
          <w:sz w:val="24"/>
          <w:szCs w:val="24"/>
        </w:rPr>
        <w:t>2</w:t>
      </w:r>
      <w:r>
        <w:rPr>
          <w:rFonts w:hint="eastAsia" w:ascii="仿宋_GB2312" w:hAnsi="宋体" w:eastAsia="仿宋_GB2312"/>
          <w:sz w:val="24"/>
          <w:szCs w:val="24"/>
        </w:rPr>
        <w:t>字符。</w:t>
      </w:r>
    </w:p>
    <w:p w14:paraId="3FA8C377">
      <w:pPr>
        <w:autoSpaceDE w:val="0"/>
        <w:spacing w:line="360" w:lineRule="auto"/>
        <w:outlineLvl w:val="0"/>
        <w:rPr>
          <w:rFonts w:ascii="宋体" w:hAnsi="宋体" w:eastAsia="仿宋_GB2312"/>
          <w:sz w:val="24"/>
          <w:szCs w:val="24"/>
        </w:rPr>
      </w:pPr>
      <w:r>
        <w:rPr>
          <w:rFonts w:hint="eastAsia" w:ascii="宋体" w:hAnsi="宋体" w:eastAsia="仿宋_GB2312"/>
          <w:sz w:val="24"/>
          <w:szCs w:val="24"/>
        </w:rPr>
        <w:t xml:space="preserve">    </w:t>
      </w:r>
      <w:bookmarkStart w:id="238" w:name="_Toc193878421"/>
      <w:bookmarkStart w:id="239" w:name="_Toc193982953"/>
      <w:bookmarkStart w:id="240" w:name="_Toc195881902"/>
      <w:r>
        <w:rPr>
          <w:rFonts w:hint="eastAsia" w:ascii="宋体" w:hAnsi="宋体"/>
          <w:sz w:val="24"/>
          <w:szCs w:val="24"/>
        </w:rPr>
        <w:t>3.</w:t>
      </w:r>
      <w:r>
        <w:rPr>
          <w:rFonts w:hint="eastAsia" w:ascii="仿宋_GB2312" w:hAnsi="宋体" w:eastAsia="仿宋_GB2312"/>
          <w:sz w:val="24"/>
          <w:szCs w:val="24"/>
        </w:rPr>
        <w:t>编制说明的内容</w:t>
      </w:r>
      <w:bookmarkEnd w:id="238"/>
      <w:bookmarkEnd w:id="239"/>
      <w:bookmarkEnd w:id="240"/>
    </w:p>
    <w:p w14:paraId="559740AA">
      <w:pPr>
        <w:widowControl/>
        <w:autoSpaceDE w:val="0"/>
        <w:spacing w:line="360" w:lineRule="auto"/>
        <w:ind w:firstLine="48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1</w:t>
      </w:r>
      <w:r>
        <w:rPr>
          <w:rFonts w:hint="eastAsia" w:ascii="仿宋_GB2312" w:hAnsi="宋体" w:eastAsia="仿宋_GB2312"/>
          <w:sz w:val="24"/>
          <w:szCs w:val="24"/>
        </w:rPr>
        <w:t>）应按照格式要求逐条说明，不涉及的填“无”。</w:t>
      </w:r>
    </w:p>
    <w:p w14:paraId="0A596091">
      <w:pPr>
        <w:widowControl/>
        <w:autoSpaceDE w:val="0"/>
        <w:spacing w:line="360" w:lineRule="auto"/>
        <w:ind w:firstLine="48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2</w:t>
      </w:r>
      <w:r>
        <w:rPr>
          <w:rFonts w:hint="eastAsia" w:ascii="仿宋_GB2312" w:hAnsi="宋体" w:eastAsia="仿宋_GB2312"/>
          <w:sz w:val="24"/>
          <w:szCs w:val="24"/>
        </w:rPr>
        <w:t>）应根据工作进度不断补充完善，工作过程有连续性。</w:t>
      </w:r>
    </w:p>
    <w:p w14:paraId="51AF9750">
      <w:pPr>
        <w:widowControl/>
        <w:autoSpaceDE w:val="0"/>
        <w:spacing w:line="360" w:lineRule="auto"/>
        <w:ind w:firstLine="48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3</w:t>
      </w:r>
      <w:r>
        <w:rPr>
          <w:rFonts w:hint="eastAsia" w:ascii="仿宋_GB2312" w:hAnsi="宋体" w:eastAsia="仿宋_GB2312"/>
          <w:sz w:val="24"/>
          <w:szCs w:val="24"/>
        </w:rPr>
        <w:t>）编制说明不是对标准内容的复制。</w:t>
      </w:r>
    </w:p>
    <w:p w14:paraId="625982B2">
      <w:pPr>
        <w:autoSpaceDE w:val="0"/>
        <w:spacing w:line="360" w:lineRule="auto"/>
        <w:ind w:firstLine="480" w:firstLineChars="20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4</w:t>
      </w:r>
      <w:r>
        <w:rPr>
          <w:rFonts w:hint="eastAsia" w:ascii="仿宋_GB2312" w:hAnsi="宋体" w:eastAsia="仿宋_GB2312"/>
          <w:sz w:val="24"/>
          <w:szCs w:val="24"/>
        </w:rPr>
        <w:t>）应关注强制性标准的依据、修订标准的主要技术内容比对、标准实施过渡期、强制性标准实施政策等重要内容的编写，详见下文模板。</w:t>
      </w:r>
    </w:p>
    <w:p w14:paraId="03F1439F">
      <w:pPr>
        <w:widowControl/>
        <w:autoSpaceDE w:val="0"/>
        <w:spacing w:line="360" w:lineRule="auto"/>
        <w:outlineLvl w:val="0"/>
        <w:rPr>
          <w:rFonts w:ascii="宋体" w:hAnsi="宋体" w:eastAsia="仿宋_GB2312"/>
          <w:sz w:val="24"/>
          <w:szCs w:val="24"/>
        </w:rPr>
      </w:pPr>
      <w:r>
        <w:rPr>
          <w:rFonts w:hint="eastAsia" w:ascii="宋体" w:hAnsi="宋体" w:eastAsia="仿宋_GB2312"/>
          <w:sz w:val="24"/>
          <w:szCs w:val="24"/>
        </w:rPr>
        <w:t xml:space="preserve">    </w:t>
      </w:r>
      <w:bookmarkStart w:id="241" w:name="_Toc193982954"/>
      <w:bookmarkStart w:id="242" w:name="_Toc193878422"/>
      <w:bookmarkStart w:id="243" w:name="_Toc195881903"/>
      <w:r>
        <w:rPr>
          <w:rFonts w:hint="eastAsia" w:ascii="宋体" w:hAnsi="宋体"/>
          <w:sz w:val="24"/>
          <w:szCs w:val="24"/>
        </w:rPr>
        <w:t>4.</w:t>
      </w:r>
      <w:r>
        <w:rPr>
          <w:rFonts w:hint="eastAsia" w:ascii="仿宋_GB2312" w:hAnsi="宋体" w:eastAsia="仿宋_GB2312"/>
          <w:sz w:val="24"/>
          <w:szCs w:val="24"/>
        </w:rPr>
        <w:t>其他</w:t>
      </w:r>
      <w:bookmarkEnd w:id="241"/>
      <w:bookmarkEnd w:id="242"/>
      <w:bookmarkEnd w:id="243"/>
    </w:p>
    <w:p w14:paraId="4F76105D">
      <w:pPr>
        <w:widowControl/>
        <w:autoSpaceDE w:val="0"/>
        <w:spacing w:line="360" w:lineRule="auto"/>
        <w:ind w:firstLine="48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1</w:t>
      </w:r>
      <w:r>
        <w:rPr>
          <w:rFonts w:hint="eastAsia" w:ascii="仿宋_GB2312" w:hAnsi="宋体" w:eastAsia="仿宋_GB2312"/>
          <w:sz w:val="24"/>
          <w:szCs w:val="24"/>
        </w:rPr>
        <w:t>）编制说明内容模板中的斜体文字内容为参考，正式提交后应删除。</w:t>
      </w:r>
    </w:p>
    <w:p w14:paraId="4D336E0E">
      <w:pPr>
        <w:widowControl/>
        <w:autoSpaceDE w:val="0"/>
        <w:spacing w:line="360" w:lineRule="auto"/>
        <w:ind w:firstLine="48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2</w:t>
      </w:r>
      <w:r>
        <w:rPr>
          <w:rFonts w:hint="eastAsia" w:ascii="仿宋_GB2312" w:hAnsi="宋体" w:eastAsia="仿宋_GB2312"/>
          <w:sz w:val="24"/>
          <w:szCs w:val="24"/>
        </w:rPr>
        <w:t>）编制说明应正反面打印。本说明保留，打印首页反面。</w:t>
      </w:r>
    </w:p>
    <w:p w14:paraId="104E939B">
      <w:pPr>
        <w:widowControl/>
        <w:autoSpaceDE w:val="0"/>
        <w:spacing w:line="360" w:lineRule="auto"/>
        <w:ind w:firstLine="480"/>
        <w:rPr>
          <w:rFonts w:ascii="宋体" w:hAnsi="宋体" w:eastAsia="仿宋_GB2312"/>
          <w:sz w:val="24"/>
          <w:szCs w:val="24"/>
        </w:rPr>
      </w:pPr>
      <w:r>
        <w:rPr>
          <w:rFonts w:hint="eastAsia" w:ascii="仿宋_GB2312" w:hAnsi="宋体" w:eastAsia="仿宋_GB2312"/>
          <w:sz w:val="24"/>
          <w:szCs w:val="24"/>
        </w:rPr>
        <w:t>（</w:t>
      </w:r>
      <w:r>
        <w:rPr>
          <w:rFonts w:hint="eastAsia" w:ascii="宋体" w:hAnsi="宋体"/>
          <w:sz w:val="24"/>
          <w:szCs w:val="24"/>
        </w:rPr>
        <w:t>3</w:t>
      </w:r>
      <w:r>
        <w:rPr>
          <w:rFonts w:hint="eastAsia" w:ascii="仿宋_GB2312" w:hAnsi="宋体" w:eastAsia="仿宋_GB2312"/>
          <w:sz w:val="24"/>
          <w:szCs w:val="24"/>
        </w:rPr>
        <w:t>）页码从第三页开始编，起始页码为“</w:t>
      </w:r>
      <w:r>
        <w:rPr>
          <w:rFonts w:hint="eastAsia" w:ascii="宋体" w:hAnsi="宋体" w:eastAsia="仿宋_GB2312"/>
          <w:sz w:val="24"/>
          <w:szCs w:val="24"/>
        </w:rPr>
        <w:t>1</w:t>
      </w:r>
      <w:r>
        <w:rPr>
          <w:rFonts w:hint="eastAsia" w:ascii="仿宋_GB2312" w:hAnsi="宋体" w:eastAsia="仿宋_GB2312"/>
          <w:sz w:val="24"/>
          <w:szCs w:val="24"/>
        </w:rPr>
        <w:t>”，页码为五号宋体。</w:t>
      </w:r>
    </w:p>
    <w:p w14:paraId="05955301">
      <w:pPr>
        <w:ind w:firstLine="1076" w:firstLineChars="336"/>
        <w:rPr>
          <w:rFonts w:ascii="Times New Roman" w:hAnsi="Times New Roman" w:eastAsia="等线"/>
          <w:b/>
          <w:sz w:val="32"/>
          <w:szCs w:val="32"/>
        </w:rPr>
      </w:pPr>
    </w:p>
    <w:p w14:paraId="64052398">
      <w:pPr>
        <w:widowControl/>
        <w:jc w:val="left"/>
        <w:rPr>
          <w:rFonts w:ascii="黑体" w:hAnsi="黑体" w:eastAsia="黑体"/>
          <w:sz w:val="32"/>
          <w:szCs w:val="32"/>
        </w:rPr>
        <w:sectPr>
          <w:pgSz w:w="11906" w:h="16838"/>
          <w:pgMar w:top="1701" w:right="1474" w:bottom="1474" w:left="1587" w:header="851" w:footer="992" w:gutter="0"/>
          <w:pgNumType w:fmt="decimal"/>
          <w:cols w:space="720" w:num="1"/>
          <w:docGrid w:type="lines" w:linePitch="312" w:charSpace="0"/>
        </w:sectPr>
      </w:pPr>
    </w:p>
    <w:p w14:paraId="2C8D3F5C">
      <w:pPr>
        <w:widowControl/>
        <w:spacing w:line="560" w:lineRule="exact"/>
        <w:ind w:firstLine="640" w:firstLineChars="200"/>
        <w:outlineLvl w:val="0"/>
        <w:rPr>
          <w:rFonts w:ascii="宋体" w:hAnsi="宋体" w:eastAsia="黑体"/>
          <w:sz w:val="32"/>
          <w:szCs w:val="32"/>
        </w:rPr>
      </w:pPr>
      <w:bookmarkStart w:id="244" w:name="_Toc195881904"/>
      <w:bookmarkStart w:id="245" w:name="_Toc193982955"/>
      <w:bookmarkStart w:id="246" w:name="_Toc193878423"/>
      <w:r>
        <w:rPr>
          <w:rFonts w:hint="eastAsia" w:ascii="宋体" w:hAnsi="宋体" w:eastAsia="黑体"/>
          <w:sz w:val="32"/>
          <w:szCs w:val="32"/>
        </w:rPr>
        <w:t>一、工作简况</w:t>
      </w:r>
      <w:bookmarkEnd w:id="244"/>
      <w:bookmarkEnd w:id="245"/>
      <w:bookmarkEnd w:id="246"/>
    </w:p>
    <w:p w14:paraId="3FC3A615">
      <w:pPr>
        <w:spacing w:line="560" w:lineRule="exact"/>
        <w:ind w:firstLine="640" w:firstLineChars="200"/>
        <w:outlineLvl w:val="0"/>
        <w:rPr>
          <w:rFonts w:ascii="宋体" w:hAnsi="宋体" w:eastAsia="楷体"/>
          <w:sz w:val="32"/>
          <w:szCs w:val="32"/>
          <w:shd w:val="clear" w:color="auto" w:fill="FFFFFF"/>
        </w:rPr>
      </w:pPr>
      <w:bookmarkStart w:id="247" w:name="_Toc193982956"/>
      <w:bookmarkStart w:id="248" w:name="_Toc193878424"/>
      <w:bookmarkStart w:id="249" w:name="_Toc195881905"/>
      <w:r>
        <w:rPr>
          <w:rFonts w:hint="eastAsia" w:ascii="宋体" w:hAnsi="宋体" w:eastAsia="楷体"/>
          <w:sz w:val="32"/>
          <w:szCs w:val="32"/>
          <w:shd w:val="clear" w:color="auto" w:fill="FFFFFF"/>
        </w:rPr>
        <w:t>（一）任务来源</w:t>
      </w:r>
      <w:bookmarkEnd w:id="247"/>
      <w:bookmarkEnd w:id="248"/>
      <w:bookmarkEnd w:id="249"/>
    </w:p>
    <w:p w14:paraId="63DE6048">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根据应急管理部办公厅《关于印发</w:t>
      </w:r>
      <w:r>
        <w:rPr>
          <w:rFonts w:hint="eastAsia" w:ascii="宋体" w:hAnsi="宋体"/>
          <w:sz w:val="32"/>
          <w:szCs w:val="32"/>
          <w:shd w:val="clear" w:color="auto" w:fill="FFFFFF"/>
        </w:rPr>
        <w:t>34</w:t>
      </w:r>
      <w:r>
        <w:rPr>
          <w:rFonts w:hint="eastAsia" w:ascii="宋体" w:hAnsi="宋体" w:eastAsia="仿宋_GB2312"/>
          <w:sz w:val="32"/>
          <w:szCs w:val="32"/>
        </w:rPr>
        <w:t>项行业标准制修订计划的通知》（应急厅函</w:t>
      </w:r>
      <w:r>
        <w:rPr>
          <w:rFonts w:hint="eastAsia" w:ascii="宋体" w:hAnsi="宋体"/>
          <w:sz w:val="32"/>
          <w:szCs w:val="32"/>
          <w:shd w:val="clear" w:color="auto" w:fill="FFFFFF"/>
        </w:rPr>
        <w:t>〔2024〕262</w:t>
      </w:r>
      <w:r>
        <w:rPr>
          <w:rFonts w:hint="eastAsia" w:ascii="宋体" w:hAnsi="宋体" w:eastAsia="仿宋_GB2312"/>
          <w:sz w:val="32"/>
          <w:szCs w:val="32"/>
        </w:rPr>
        <w:t>号），《陆上石油天然气开采建设项目（地下储气库）安全设施设计导则》（以下简称《导则》）的制订计划编号为</w:t>
      </w:r>
      <w:r>
        <w:rPr>
          <w:rFonts w:hint="eastAsia" w:ascii="宋体" w:hAnsi="宋体"/>
          <w:sz w:val="32"/>
          <w:szCs w:val="32"/>
          <w:shd w:val="clear" w:color="auto" w:fill="FFFFFF"/>
        </w:rPr>
        <w:t>2024-AQ-31</w:t>
      </w:r>
      <w:r>
        <w:rPr>
          <w:rFonts w:hint="eastAsia" w:ascii="宋体" w:hAnsi="宋体" w:eastAsia="仿宋_GB2312"/>
          <w:sz w:val="32"/>
          <w:szCs w:val="32"/>
        </w:rPr>
        <w:t>，项目周期</w:t>
      </w:r>
      <w:r>
        <w:rPr>
          <w:rFonts w:hint="eastAsia" w:ascii="宋体" w:hAnsi="宋体"/>
          <w:sz w:val="32"/>
          <w:szCs w:val="32"/>
          <w:shd w:val="clear" w:color="auto" w:fill="FFFFFF"/>
        </w:rPr>
        <w:t>18</w:t>
      </w:r>
      <w:r>
        <w:rPr>
          <w:rFonts w:hint="eastAsia" w:ascii="宋体" w:hAnsi="宋体" w:eastAsia="仿宋_GB2312"/>
          <w:sz w:val="32"/>
          <w:szCs w:val="32"/>
        </w:rPr>
        <w:t>个月，由</w:t>
      </w:r>
      <w:r>
        <w:rPr>
          <w:rFonts w:hint="eastAsia" w:ascii="宋体" w:hAnsi="宋体"/>
          <w:sz w:val="32"/>
          <w:szCs w:val="32"/>
          <w:shd w:val="clear" w:color="auto" w:fill="FFFFFF"/>
        </w:rPr>
        <w:t xml:space="preserve">TC288/SC10 </w:t>
      </w:r>
      <w:r>
        <w:rPr>
          <w:rFonts w:hint="eastAsia" w:ascii="宋体" w:hAnsi="宋体" w:eastAsia="仿宋_GB2312"/>
          <w:sz w:val="32"/>
          <w:szCs w:val="32"/>
        </w:rPr>
        <w:t>全国安全生产标准化技术委员会石油天然气开采分技术委员会组织起草和审查。</w:t>
      </w:r>
    </w:p>
    <w:p w14:paraId="50D88CF7">
      <w:pPr>
        <w:spacing w:line="560" w:lineRule="exact"/>
        <w:ind w:firstLine="640" w:firstLineChars="200"/>
        <w:outlineLvl w:val="0"/>
        <w:rPr>
          <w:rFonts w:ascii="宋体" w:hAnsi="宋体" w:eastAsia="楷体"/>
          <w:sz w:val="32"/>
          <w:szCs w:val="32"/>
          <w:shd w:val="clear" w:color="auto" w:fill="FFFFFF"/>
        </w:rPr>
      </w:pPr>
      <w:bookmarkStart w:id="250" w:name="_Toc193878425"/>
      <w:bookmarkStart w:id="251" w:name="_Toc193982957"/>
      <w:bookmarkStart w:id="252" w:name="_Toc195881906"/>
      <w:r>
        <w:rPr>
          <w:rFonts w:hint="eastAsia" w:ascii="宋体" w:hAnsi="宋体" w:eastAsia="楷体"/>
          <w:sz w:val="32"/>
          <w:szCs w:val="32"/>
          <w:shd w:val="clear" w:color="auto" w:fill="FFFFFF"/>
        </w:rPr>
        <w:t>（二）制定背景</w:t>
      </w:r>
      <w:bookmarkEnd w:id="250"/>
      <w:bookmarkEnd w:id="251"/>
      <w:bookmarkEnd w:id="252"/>
    </w:p>
    <w:p w14:paraId="027831D2">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rPr>
        <w:t>储气库是应对地缘政治危机、进口气减供、管道中断、极寒天气等突发供气短缺的重大基础设施，在保障国家能源安全和国计民生中的作用不可替代。储气库具有“大吞大吐、多周期注采、高低压交替、长周期运行”的生产特点，尤其我国储气库埋藏深、地质条件复杂、注采管网压力高，安全管控要求更高。目前，我国已建成储气库（群）</w:t>
      </w:r>
      <w:r>
        <w:rPr>
          <w:rFonts w:hint="eastAsia" w:ascii="宋体" w:hAnsi="宋体"/>
          <w:sz w:val="32"/>
          <w:szCs w:val="32"/>
        </w:rPr>
        <w:t>33</w:t>
      </w:r>
      <w:r>
        <w:rPr>
          <w:rFonts w:hint="eastAsia" w:ascii="宋体" w:hAnsi="宋体" w:eastAsia="仿宋_GB2312"/>
          <w:sz w:val="32"/>
          <w:szCs w:val="32"/>
        </w:rPr>
        <w:t>座，但国内外尚无针对储气库建设项目安全设施设计的标准，储气库建设项目的安全设施设计多借鉴危险化学品安全设施设计相关内容，侧重地面工程相关安全防护技术和措施，缺少地质和气藏、井工程的安全设施设计内容，储气库建设项目的安全设施设计无标可依，给储气库的建设和安全运行带来一定的安全隐患。《中华人民共和国安全生产法》《建设项目安全设施“三同时”监督管理办法》（安监总局令第</w:t>
      </w:r>
      <w:r>
        <w:rPr>
          <w:rFonts w:hint="eastAsia" w:ascii="宋体" w:hAnsi="宋体"/>
          <w:sz w:val="32"/>
          <w:szCs w:val="32"/>
          <w:shd w:val="clear" w:color="auto" w:fill="FFFFFF"/>
        </w:rPr>
        <w:t>36</w:t>
      </w:r>
      <w:r>
        <w:rPr>
          <w:rFonts w:hint="eastAsia" w:ascii="宋体" w:hAnsi="宋体" w:eastAsia="仿宋_GB2312"/>
          <w:sz w:val="32"/>
          <w:szCs w:val="32"/>
        </w:rPr>
        <w:t>号）均要求建设项目的安全设施必须与主体工程同时设计、同时施工、同时投入生产和使用，储气库建设项目安全设施设计标准的缺失，同样使储气库建设项目的</w:t>
      </w:r>
      <w:r>
        <w:rPr>
          <w:rFonts w:hint="eastAsia" w:ascii="宋体" w:hAnsi="宋体" w:eastAsia="仿宋_GB2312"/>
          <w:sz w:val="32"/>
          <w:szCs w:val="32"/>
          <w:shd w:val="clear" w:color="auto" w:fill="FFFFFF"/>
        </w:rPr>
        <w:t>安全审批缺少可依据的标准。</w:t>
      </w:r>
    </w:p>
    <w:p w14:paraId="7CA84669">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为了解决储气库建设项目安全设施设计无标可依的难题，满足建设项目安全设施与主体结构“三同时”行政审批的需求，特制定《陆上石油天然气开采建设项目（地下储气库）安全设施设计导则》，指导我国地下储气库建设项目的安全设施设计、规范安全专篇的编写内容和要求，从源头提升储气库本质安全水平。</w:t>
      </w:r>
    </w:p>
    <w:p w14:paraId="3E1124F3">
      <w:pPr>
        <w:spacing w:line="560" w:lineRule="exact"/>
        <w:ind w:firstLine="640" w:firstLineChars="200"/>
        <w:outlineLvl w:val="0"/>
        <w:rPr>
          <w:rFonts w:ascii="宋体" w:hAnsi="宋体" w:eastAsia="楷体"/>
          <w:sz w:val="32"/>
          <w:szCs w:val="32"/>
          <w:shd w:val="clear" w:color="auto" w:fill="FFFFFF"/>
        </w:rPr>
      </w:pPr>
      <w:bookmarkStart w:id="253" w:name="_Toc193878426"/>
      <w:bookmarkStart w:id="254" w:name="_Toc193982958"/>
      <w:bookmarkStart w:id="255" w:name="_Toc195881907"/>
      <w:r>
        <w:rPr>
          <w:rFonts w:hint="eastAsia" w:ascii="宋体" w:hAnsi="宋体" w:eastAsia="楷体"/>
          <w:sz w:val="32"/>
          <w:szCs w:val="32"/>
          <w:shd w:val="clear" w:color="auto" w:fill="FFFFFF"/>
        </w:rPr>
        <w:t>（三）起草小组人员组成及所在单位</w:t>
      </w:r>
      <w:bookmarkEnd w:id="253"/>
      <w:bookmarkEnd w:id="254"/>
      <w:bookmarkEnd w:id="255"/>
    </w:p>
    <w:p w14:paraId="54994EE0">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根据立项计划，</w:t>
      </w:r>
      <w:r>
        <w:rPr>
          <w:rFonts w:hint="eastAsia" w:ascii="宋体" w:hAnsi="宋体"/>
          <w:sz w:val="32"/>
          <w:szCs w:val="32"/>
          <w:shd w:val="clear" w:color="auto" w:fill="FFFFFF"/>
        </w:rPr>
        <w:t>2024</w:t>
      </w:r>
      <w:r>
        <w:rPr>
          <w:rFonts w:hint="eastAsia" w:ascii="宋体" w:hAnsi="宋体" w:eastAsia="仿宋_GB2312"/>
          <w:sz w:val="32"/>
          <w:szCs w:val="32"/>
          <w:shd w:val="clear" w:color="auto" w:fill="FFFFFF"/>
        </w:rPr>
        <w:t>年</w:t>
      </w:r>
      <w:r>
        <w:rPr>
          <w:rFonts w:hint="eastAsia" w:ascii="宋体" w:hAnsi="宋体"/>
          <w:sz w:val="32"/>
          <w:szCs w:val="32"/>
          <w:shd w:val="clear" w:color="auto" w:fill="FFFFFF"/>
        </w:rPr>
        <w:t>1</w:t>
      </w:r>
      <w:r>
        <w:rPr>
          <w:rFonts w:hint="eastAsia" w:ascii="宋体" w:hAnsi="宋体" w:eastAsia="仿宋_GB2312"/>
          <w:sz w:val="32"/>
          <w:szCs w:val="32"/>
          <w:shd w:val="clear" w:color="auto" w:fill="FFFFFF"/>
        </w:rPr>
        <w:t>月成立标准起草工作组，中国石油集团工程材料研究院有限公司牵头负责本文件的制订工作，参编单位包括</w:t>
      </w:r>
      <w:r>
        <w:rPr>
          <w:rFonts w:ascii="宋体" w:hAnsi="宋体" w:eastAsia="仿宋_GB2312"/>
          <w:sz w:val="32"/>
          <w:szCs w:val="32"/>
          <w:shd w:val="clear" w:color="auto" w:fill="FFFFFF"/>
        </w:rPr>
        <w:t>中国石油天然气管道工程有限公司天津分公司、中国石油集团工程技术研究院有限公司、中国石油天然气股份有限公司长庆油田分公司、中国石油天然气股份有限公司勘探开发研究院、国家石油天然气管网集团有限公司、新疆油田储气库有限公司、中国石油天然气股份有限公司规划总院、中国石油集团安全环保技术研究院有限公司、中</w:t>
      </w:r>
      <w:r>
        <w:rPr>
          <w:rFonts w:hint="eastAsia" w:ascii="宋体" w:hAnsi="宋体" w:eastAsia="仿宋_GB2312"/>
          <w:sz w:val="32"/>
          <w:szCs w:val="32"/>
          <w:shd w:val="clear" w:color="auto" w:fill="FFFFFF"/>
        </w:rPr>
        <w:t>国石化</w:t>
      </w:r>
      <w:r>
        <w:rPr>
          <w:rFonts w:ascii="宋体" w:hAnsi="宋体" w:eastAsia="仿宋_GB2312"/>
          <w:sz w:val="32"/>
          <w:szCs w:val="32"/>
          <w:shd w:val="clear" w:color="auto" w:fill="FFFFFF"/>
        </w:rPr>
        <w:t>石油工程设计有限公司</w:t>
      </w:r>
      <w:r>
        <w:rPr>
          <w:rFonts w:hint="eastAsia" w:ascii="宋体" w:hAnsi="宋体" w:eastAsia="仿宋_GB2312"/>
          <w:sz w:val="32"/>
          <w:szCs w:val="32"/>
          <w:shd w:val="clear" w:color="auto" w:fill="FFFFFF"/>
        </w:rPr>
        <w:t>。</w:t>
      </w:r>
    </w:p>
    <w:p w14:paraId="6B0C9503">
      <w:pPr>
        <w:spacing w:line="560" w:lineRule="exact"/>
        <w:ind w:firstLine="640" w:firstLineChars="200"/>
        <w:outlineLvl w:val="0"/>
        <w:rPr>
          <w:rFonts w:ascii="宋体" w:hAnsi="宋体" w:eastAsia="楷体"/>
          <w:sz w:val="32"/>
          <w:szCs w:val="32"/>
          <w:shd w:val="clear" w:color="auto" w:fill="FFFFFF"/>
        </w:rPr>
      </w:pPr>
      <w:bookmarkStart w:id="256" w:name="_Toc195881908"/>
      <w:bookmarkStart w:id="257" w:name="_Toc193878427"/>
      <w:bookmarkStart w:id="258" w:name="_Toc193982959"/>
      <w:r>
        <w:rPr>
          <w:rFonts w:hint="eastAsia" w:ascii="宋体" w:hAnsi="宋体" w:eastAsia="楷体"/>
          <w:sz w:val="32"/>
          <w:szCs w:val="32"/>
          <w:shd w:val="clear" w:color="auto" w:fill="FFFFFF"/>
        </w:rPr>
        <w:t>（四）主要起草过程</w:t>
      </w:r>
      <w:bookmarkEnd w:id="256"/>
      <w:bookmarkEnd w:id="257"/>
      <w:bookmarkEnd w:id="258"/>
    </w:p>
    <w:p w14:paraId="1E3CB18B">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2024年9月，应急管理部办公厅</w:t>
      </w:r>
      <w:r>
        <w:rPr>
          <w:rFonts w:hint="eastAsia" w:ascii="宋体" w:hAnsi="宋体" w:eastAsia="仿宋_GB2312"/>
          <w:sz w:val="32"/>
          <w:szCs w:val="32"/>
          <w:shd w:val="clear" w:color="auto" w:fill="FFFFFF"/>
          <w:lang w:eastAsia="zh-CN"/>
        </w:rPr>
        <w:t>印发</w:t>
      </w:r>
      <w:r>
        <w:rPr>
          <w:rFonts w:hint="eastAsia" w:ascii="宋体" w:hAnsi="宋体" w:eastAsia="仿宋_GB2312"/>
          <w:sz w:val="32"/>
          <w:szCs w:val="32"/>
          <w:shd w:val="clear" w:color="auto" w:fill="FFFFFF"/>
        </w:rPr>
        <w:t>《应急管理部办公厅关于印发34项行业标准制修订</w:t>
      </w:r>
      <w:bookmarkStart w:id="319" w:name="_GoBack"/>
      <w:bookmarkEnd w:id="319"/>
      <w:r>
        <w:rPr>
          <w:rFonts w:hint="eastAsia" w:ascii="宋体" w:hAnsi="宋体" w:eastAsia="仿宋_GB2312"/>
          <w:sz w:val="32"/>
          <w:szCs w:val="32"/>
          <w:shd w:val="clear" w:color="auto" w:fill="FFFFFF"/>
        </w:rPr>
        <w:t>计划的通知》</w:t>
      </w:r>
      <w:r>
        <w:rPr>
          <w:rFonts w:hint="eastAsia" w:ascii="宋体" w:hAnsi="宋体" w:eastAsia="仿宋_GB2312"/>
          <w:sz w:val="32"/>
          <w:szCs w:val="32"/>
          <w:shd w:val="clear" w:color="auto" w:fill="FFFFFF"/>
          <w:lang w:eastAsia="zh-CN"/>
        </w:rPr>
        <w:t>，</w:t>
      </w:r>
      <w:r>
        <w:rPr>
          <w:rFonts w:hint="eastAsia" w:ascii="宋体" w:hAnsi="宋体" w:eastAsia="仿宋_GB2312"/>
          <w:sz w:val="32"/>
          <w:szCs w:val="32"/>
          <w:shd w:val="clear" w:color="auto" w:fill="FFFFFF"/>
        </w:rPr>
        <w:t>本标准制订项目正式立项。</w:t>
      </w:r>
    </w:p>
    <w:p w14:paraId="4C7DF561">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2024年9月，</w:t>
      </w:r>
      <w:r>
        <w:rPr>
          <w:rFonts w:ascii="宋体" w:hAnsi="宋体" w:eastAsia="仿宋_GB2312"/>
          <w:sz w:val="32"/>
          <w:szCs w:val="32"/>
          <w:shd w:val="clear" w:color="auto" w:fill="FFFFFF"/>
        </w:rPr>
        <w:t>根据石油安全分标委要求，《陆上石油天然气开采建设项目（地面工程）安全设施设计导则》、《陆上石油天然气开采建设项目（天然气处理厂）安全设施设计导则》、《陆上石油天然气开采建设项目（地下储气库）安全设施设计导则》三项标准为系列标准，同步进行标准的编制、审查，</w:t>
      </w:r>
      <w:r>
        <w:rPr>
          <w:rFonts w:hint="eastAsia" w:ascii="宋体" w:hAnsi="宋体" w:eastAsia="仿宋_GB2312"/>
          <w:sz w:val="32"/>
          <w:szCs w:val="32"/>
          <w:shd w:val="clear" w:color="auto" w:fill="FFFFFF"/>
        </w:rPr>
        <w:t>起草组</w:t>
      </w:r>
      <w:r>
        <w:rPr>
          <w:rFonts w:ascii="宋体" w:hAnsi="宋体" w:eastAsia="仿宋_GB2312"/>
          <w:sz w:val="32"/>
          <w:szCs w:val="32"/>
          <w:shd w:val="clear" w:color="auto" w:fill="FFFFFF"/>
        </w:rPr>
        <w:t>编制形成标准草案。</w:t>
      </w:r>
    </w:p>
    <w:p w14:paraId="6E7B06E1">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2024年10月，石油分标委在北京组织召开三项行业标准草案审核研讨会，邀请了中石油、中石化、国家管网等单位的代表参会，与会专家、代表从标准的适用范围、可操作性、与其他标准体系的相关性等问题进行讨论，进一步明确陆上石油天然气开采建设项目（地下储气库）安全设施设计的技术要求和风险防控措施。同时，对标准具体内容提出了14条修改意见建议，工作组按照专家意见建议对标准文稿进行了修改完善。</w:t>
      </w:r>
    </w:p>
    <w:p w14:paraId="1A865D40">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2024年12月，石油分标委在北京组织召开标准草案二次审查研讨，与会专家对标准的整体结构、具体条款进行了审核研讨，提出10个方面的修改意见和建议。会后，工作组按照专家的意见进一步完善标准文稿。</w:t>
      </w:r>
    </w:p>
    <w:p w14:paraId="37544248">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2025年2月，石油分标委在天津组织召开征求意见稿前的标准草案审核研讨会，应急管理部危化监管二司有关业务负责人，石油安全分标委有关委员，四川省、重庆市、辽宁省应急管理厅有关处室负责人，中国石油、中国石化及国家管网有关业务负责人和专家，对标准草案进行审查研讨。会后，工作组按照专家的意见进一步完善文稿。</w:t>
      </w:r>
      <w:r>
        <w:rPr>
          <w:rFonts w:ascii="宋体" w:hAnsi="宋体" w:eastAsia="仿宋_GB2312"/>
          <w:sz w:val="32"/>
          <w:szCs w:val="32"/>
          <w:shd w:val="clear" w:color="auto" w:fill="FFFFFF"/>
        </w:rPr>
        <w:t>至此，本标准初稿经过多轮评审、修改，</w:t>
      </w:r>
      <w:r>
        <w:rPr>
          <w:rFonts w:hint="eastAsia" w:ascii="宋体" w:hAnsi="宋体" w:eastAsia="仿宋_GB2312"/>
          <w:sz w:val="32"/>
          <w:szCs w:val="32"/>
          <w:shd w:val="clear" w:color="auto" w:fill="FFFFFF"/>
        </w:rPr>
        <w:t>最终形成征求意见稿。</w:t>
      </w:r>
    </w:p>
    <w:p w14:paraId="70D4B30F">
      <w:pPr>
        <w:widowControl/>
        <w:numPr>
          <w:ilvl w:val="255"/>
          <w:numId w:val="0"/>
        </w:numPr>
        <w:spacing w:line="560" w:lineRule="exact"/>
        <w:ind w:firstLine="640" w:firstLineChars="200"/>
        <w:outlineLvl w:val="0"/>
        <w:rPr>
          <w:rFonts w:ascii="宋体" w:hAnsi="宋体" w:eastAsia="黑体" w:cs="Times New Roman"/>
          <w:sz w:val="32"/>
          <w:szCs w:val="32"/>
        </w:rPr>
      </w:pPr>
      <w:bookmarkStart w:id="259" w:name="_Toc193982960"/>
      <w:bookmarkStart w:id="260" w:name="_Toc193878428"/>
      <w:bookmarkStart w:id="261" w:name="_Toc195881909"/>
      <w:r>
        <w:rPr>
          <w:rFonts w:hint="eastAsia" w:ascii="宋体" w:hAnsi="宋体" w:eastAsia="黑体"/>
          <w:sz w:val="32"/>
          <w:szCs w:val="32"/>
        </w:rPr>
        <w:t>二、标准编制原则、主要技术内容及其确定依据</w:t>
      </w:r>
      <w:bookmarkEnd w:id="259"/>
      <w:bookmarkEnd w:id="260"/>
      <w:bookmarkEnd w:id="261"/>
    </w:p>
    <w:p w14:paraId="4A374A26">
      <w:pPr>
        <w:spacing w:line="560" w:lineRule="exact"/>
        <w:ind w:firstLine="640" w:firstLineChars="200"/>
        <w:outlineLvl w:val="0"/>
        <w:rPr>
          <w:rFonts w:ascii="宋体" w:hAnsi="宋体" w:eastAsia="楷体"/>
          <w:sz w:val="32"/>
          <w:szCs w:val="32"/>
          <w:shd w:val="clear" w:color="auto" w:fill="FFFFFF"/>
        </w:rPr>
      </w:pPr>
      <w:bookmarkStart w:id="262" w:name="_Toc193982961"/>
      <w:bookmarkStart w:id="263" w:name="_Toc195881910"/>
      <w:bookmarkStart w:id="264" w:name="_Toc193878429"/>
      <w:r>
        <w:rPr>
          <w:rFonts w:hint="eastAsia" w:ascii="宋体" w:hAnsi="宋体" w:eastAsia="楷体"/>
          <w:sz w:val="32"/>
          <w:szCs w:val="32"/>
          <w:shd w:val="clear" w:color="auto" w:fill="FFFFFF"/>
        </w:rPr>
        <w:t>（一）标准编制原则</w:t>
      </w:r>
      <w:bookmarkEnd w:id="262"/>
      <w:bookmarkEnd w:id="263"/>
      <w:bookmarkEnd w:id="264"/>
    </w:p>
    <w:p w14:paraId="0C1C04F5">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本《导则》编制的总体原则是，针对储气库地质和气藏工程、井工程、地面工程相关安全防护手段和安全措施，提出储气库安全设施设计的相关要求，</w:t>
      </w:r>
      <w:r>
        <w:rPr>
          <w:rFonts w:ascii="宋体" w:hAnsi="宋体" w:eastAsia="仿宋_GB2312"/>
          <w:sz w:val="32"/>
          <w:szCs w:val="32"/>
          <w:shd w:val="clear" w:color="auto" w:fill="FFFFFF"/>
        </w:rPr>
        <w:t>强化地下储气库“地质与气藏-井-地面”三位一体的本质安全设计，</w:t>
      </w:r>
      <w:r>
        <w:rPr>
          <w:rFonts w:hint="eastAsia" w:ascii="宋体" w:hAnsi="宋体" w:eastAsia="仿宋_GB2312"/>
          <w:sz w:val="32"/>
          <w:szCs w:val="32"/>
          <w:shd w:val="clear" w:color="auto" w:fill="FFFFFF"/>
        </w:rPr>
        <w:t>完善安全设施设计的具体要求</w:t>
      </w:r>
      <w:r>
        <w:rPr>
          <w:rFonts w:ascii="宋体" w:hAnsi="宋体" w:eastAsia="仿宋_GB2312"/>
          <w:sz w:val="32"/>
          <w:szCs w:val="32"/>
          <w:shd w:val="clear" w:color="auto" w:fill="FFFFFF"/>
        </w:rPr>
        <w:t>，采取有针对性和经济合理的安全设施，</w:t>
      </w:r>
      <w:r>
        <w:rPr>
          <w:rFonts w:hint="eastAsia" w:ascii="宋体" w:hAnsi="宋体" w:eastAsia="仿宋_GB2312"/>
          <w:sz w:val="32"/>
          <w:szCs w:val="32"/>
          <w:shd w:val="clear" w:color="auto" w:fill="FFFFFF"/>
        </w:rPr>
        <w:t>并明确地下储气库建设项目的设计依据及各类相关资料。</w:t>
      </w:r>
    </w:p>
    <w:p w14:paraId="61D06D3D">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为提高《导则》的编制质量，促进安全设施设计编制和审查水平的提升，依托项目团队在储气库安全方面的研究成果，并结合资料文献调研、行业专家和学者技术咨询、现场调研验证等，重点突出本质安全设计、细化各系统安全防护措施要求，使内容科学明确、并易于指导实践，能够适应新形势下地下储气库安全管理的需求。本标准在制定的过程中严格执行《标准化工作导则 第1部分：标准化文件的结构和起草规则》（GB/T 1.1-2020）的要求，对标准进行认真的策划和编排，确保标准层次清楚、逻辑严谨、条理通顺，便于操作。</w:t>
      </w:r>
    </w:p>
    <w:p w14:paraId="30757F16">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1.协调性</w:t>
      </w:r>
    </w:p>
    <w:p w14:paraId="0C93B9D5">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标准编制保证与现行法律法规、规章规范的协调性，同时具体条款不能与上一级法规要求相冲突。</w:t>
      </w:r>
    </w:p>
    <w:p w14:paraId="11CDD6D9">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2.适用性</w:t>
      </w:r>
    </w:p>
    <w:p w14:paraId="29EB7C7B">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广泛收集现行法律、法规、标准、规范中的相关要求，充分调研了解地下储气库行业发展现状，确保标准条款与行业发展实际相结合，确保标准的适用性。</w:t>
      </w:r>
    </w:p>
    <w:p w14:paraId="1E0BCF7A">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3.科学性</w:t>
      </w:r>
    </w:p>
    <w:p w14:paraId="766CE91E">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借鉴了国家标准和行业标准。标准编制由中国石油集团工程材料研究院有限公司牵头，中国石油天然气管道工程有限公司天津分公司、中国石油集团工程技术研究院有限公司、中国石油天然气股份有限公司长庆油田分公司、中国石油天然气股份有限公司勘探开发研究院、国家石油天然气管网集团有限公司、新疆油田储气库有限公司、中国石油天然气股份有限公司规划总院、中国石油集团安全环保技术研究院有限公司、中石化石油工程设计有限公司等企业、设计院及科研院所共同参与，起草组在储气库设计、地质与气藏、井工程、地面工程、安全环保体系、储气库设计、建设和运行管理方面具有技术优势，能够充分吸收、总结地下储气库行业现行做法，保证标准的科学性。</w:t>
      </w:r>
    </w:p>
    <w:p w14:paraId="1C54E567">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4.可执行性</w:t>
      </w:r>
    </w:p>
    <w:p w14:paraId="0B467C87">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标准条款内容将广泛征求相关单位的意见建议，对于反馈的意见建议组织工作组专题讨论，采纳吸收科学合理的意见建议，确保标准内容贴近行业实际需求，兼顾标准的可执行性。</w:t>
      </w:r>
    </w:p>
    <w:p w14:paraId="159ED323">
      <w:pPr>
        <w:spacing w:line="560" w:lineRule="exact"/>
        <w:ind w:firstLine="640" w:firstLineChars="200"/>
        <w:outlineLvl w:val="0"/>
        <w:rPr>
          <w:rFonts w:ascii="宋体" w:hAnsi="宋体" w:eastAsia="楷体"/>
          <w:sz w:val="32"/>
          <w:szCs w:val="32"/>
          <w:shd w:val="clear" w:color="auto" w:fill="FFFFFF"/>
        </w:rPr>
      </w:pPr>
      <w:bookmarkStart w:id="265" w:name="_Toc193982962"/>
      <w:bookmarkStart w:id="266" w:name="_Toc195881911"/>
      <w:bookmarkStart w:id="267" w:name="_Toc193878430"/>
      <w:r>
        <w:rPr>
          <w:rFonts w:hint="eastAsia" w:ascii="宋体" w:hAnsi="宋体" w:eastAsia="楷体"/>
          <w:sz w:val="32"/>
          <w:szCs w:val="32"/>
          <w:shd w:val="clear" w:color="auto" w:fill="FFFFFF"/>
        </w:rPr>
        <w:t>（二）标准主要技术内容及确定依据</w:t>
      </w:r>
      <w:bookmarkEnd w:id="265"/>
      <w:bookmarkEnd w:id="266"/>
      <w:bookmarkEnd w:id="267"/>
    </w:p>
    <w:p w14:paraId="220007EA">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1.标准的主要技术内容</w:t>
      </w:r>
    </w:p>
    <w:p w14:paraId="71074821">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适用范围</w:t>
      </w:r>
    </w:p>
    <w:p w14:paraId="361F67C0">
      <w:pPr>
        <w:spacing w:line="560" w:lineRule="exact"/>
        <w:ind w:firstLine="640" w:firstLineChars="200"/>
        <w:rPr>
          <w:rFonts w:ascii="宋体" w:hAnsi="宋体" w:eastAsia="仿宋_GB2312"/>
          <w:sz w:val="32"/>
          <w:szCs w:val="32"/>
          <w:highlight w:val="yellow"/>
          <w:shd w:val="clear" w:color="auto" w:fill="FFFFFF"/>
        </w:rPr>
      </w:pPr>
      <w:r>
        <w:rPr>
          <w:rFonts w:ascii="宋体" w:hAnsi="宋体" w:eastAsia="仿宋_GB2312"/>
          <w:sz w:val="32"/>
          <w:szCs w:val="32"/>
          <w:shd w:val="clear" w:color="auto" w:fill="FFFFFF"/>
        </w:rPr>
        <w:t>本文件规定了陆上石油天然气开采地下储气库建设项目安全设施设计的内容及编制要求。本文件适用于陆上石油天然气开采地下储气库新建、改建及扩建项目的安全设施设计，包含气藏型和油藏型。本文件不适用于盐穴型地下储气库。</w:t>
      </w:r>
    </w:p>
    <w:p w14:paraId="2305CA63">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规范性引用文件</w:t>
      </w:r>
    </w:p>
    <w:p w14:paraId="61BF55BC">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列出了本标准引用和相衔接的相关标准，如《气田集输设计规范》（</w:t>
      </w:r>
      <w:r>
        <w:rPr>
          <w:rFonts w:hint="eastAsia" w:ascii="宋体" w:hAnsi="宋体"/>
          <w:sz w:val="32"/>
          <w:szCs w:val="32"/>
          <w:shd w:val="clear" w:color="auto" w:fill="FFFFFF"/>
        </w:rPr>
        <w:t>GB 50349</w:t>
      </w:r>
      <w:r>
        <w:rPr>
          <w:rFonts w:hint="eastAsia" w:ascii="宋体" w:hAnsi="宋体" w:eastAsia="仿宋_GB2312"/>
          <w:sz w:val="32"/>
          <w:szCs w:val="32"/>
          <w:shd w:val="clear" w:color="auto" w:fill="FFFFFF"/>
        </w:rPr>
        <w:t>）、《石油天然气工程设计防火规范》（</w:t>
      </w:r>
      <w:r>
        <w:rPr>
          <w:rFonts w:hint="eastAsia" w:ascii="宋体" w:hAnsi="宋体"/>
          <w:sz w:val="32"/>
          <w:szCs w:val="32"/>
          <w:shd w:val="clear" w:color="auto" w:fill="FFFFFF"/>
        </w:rPr>
        <w:t>GB 50183</w:t>
      </w:r>
      <w:r>
        <w:rPr>
          <w:rFonts w:hint="eastAsia" w:ascii="宋体" w:hAnsi="宋体" w:eastAsia="仿宋_GB2312"/>
          <w:sz w:val="32"/>
          <w:szCs w:val="32"/>
          <w:shd w:val="clear" w:color="auto" w:fill="FFFFFF"/>
        </w:rPr>
        <w:t>）、《地下储气库设计规范》（</w:t>
      </w:r>
      <w:r>
        <w:rPr>
          <w:rFonts w:hint="eastAsia" w:ascii="宋体" w:hAnsi="宋体"/>
          <w:sz w:val="32"/>
          <w:szCs w:val="32"/>
          <w:shd w:val="clear" w:color="auto" w:fill="FFFFFF"/>
        </w:rPr>
        <w:t>SY/T 6848</w:t>
      </w:r>
      <w:r>
        <w:rPr>
          <w:rFonts w:hint="eastAsia" w:ascii="宋体" w:hAnsi="宋体" w:eastAsia="仿宋_GB2312"/>
          <w:sz w:val="32"/>
          <w:szCs w:val="32"/>
          <w:shd w:val="clear" w:color="auto" w:fill="FFFFFF"/>
        </w:rPr>
        <w:t>）、《油气藏型地下储气库安全技术规程》（</w:t>
      </w:r>
      <w:r>
        <w:rPr>
          <w:rFonts w:hint="eastAsia" w:ascii="宋体" w:hAnsi="宋体"/>
          <w:sz w:val="32"/>
          <w:szCs w:val="32"/>
          <w:shd w:val="clear" w:color="auto" w:fill="FFFFFF"/>
        </w:rPr>
        <w:t>SY/T 6805</w:t>
      </w:r>
      <w:r>
        <w:rPr>
          <w:rFonts w:hint="eastAsia" w:ascii="宋体" w:hAnsi="宋体" w:eastAsia="仿宋_GB2312"/>
          <w:sz w:val="32"/>
          <w:szCs w:val="32"/>
          <w:shd w:val="clear" w:color="auto" w:fill="FFFFFF"/>
        </w:rPr>
        <w:t>）等。</w:t>
      </w:r>
    </w:p>
    <w:p w14:paraId="7A2999A9">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术语和定义</w:t>
      </w:r>
    </w:p>
    <w:p w14:paraId="078CDE93">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为了统一和明确行业相关用语表述，本标准列出了</w:t>
      </w:r>
      <w:r>
        <w:rPr>
          <w:rFonts w:ascii="宋体" w:hAnsi="宋体" w:eastAsia="仿宋_GB2312"/>
          <w:sz w:val="32"/>
          <w:szCs w:val="32"/>
          <w:shd w:val="clear" w:color="auto" w:fill="FFFFFF"/>
        </w:rPr>
        <w:t>5</w:t>
      </w:r>
      <w:r>
        <w:rPr>
          <w:rFonts w:hint="eastAsia" w:ascii="宋体" w:hAnsi="宋体" w:eastAsia="仿宋_GB2312"/>
          <w:sz w:val="32"/>
          <w:szCs w:val="32"/>
          <w:shd w:val="clear" w:color="auto" w:fill="FFFFFF"/>
        </w:rPr>
        <w:t>项文中涉及的行业术语和定义，包括“安全设施”、“井工程”、“联络线”、“集注站”和“重大变更”等。术语和定义的描述部分根据行业内统一认识，规范相关行业用语的表述。</w:t>
      </w:r>
    </w:p>
    <w:p w14:paraId="7250EBC6">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缩略语</w:t>
      </w:r>
    </w:p>
    <w:p w14:paraId="5EED810C">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列出了本文件中涉及的8项英文缩略语。</w:t>
      </w:r>
    </w:p>
    <w:p w14:paraId="4DC5BBAA">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总体要求</w:t>
      </w:r>
    </w:p>
    <w:p w14:paraId="4E32E390">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提出建设项目初设时委托有相应资质的设计单位进行安全设施设计的要求，规定了重新进行安全设施设计的5种重大变更，并规定了安全设施设计的内容。</w:t>
      </w:r>
    </w:p>
    <w:p w14:paraId="453ED46E">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设计依据</w:t>
      </w:r>
    </w:p>
    <w:p w14:paraId="628157B4">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列出建设项目的批复文件，包括有关审批、核准或者备案的文件、设计委托书、可行性研究报告及批复文件、安全预评价报告及批复文件等，以说明行政审批的合法、合规性；进一步要求明确设计依据的现行国家法律、行政法规、部门规章、地方法规和地方规章，以及现行国家和行业标准，避免设计过程中其他行业规定的过度引申应用；提出了列出与安全相关的地质灾害危险性评估、地震安全性评价、压覆矿产资源评估、防洪影响评价等的批复或评审文件要求，进一步明确行政审批的合规性。</w:t>
      </w:r>
    </w:p>
    <w:p w14:paraId="3C8E9E07">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建设项目概述</w:t>
      </w:r>
    </w:p>
    <w:p w14:paraId="20868F56">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说明建设项目的项目概况、主体工艺、</w:t>
      </w:r>
      <w:bookmarkStart w:id="268" w:name="_Toc42674404"/>
      <w:bookmarkEnd w:id="268"/>
      <w:bookmarkStart w:id="269" w:name="_Toc523342851"/>
      <w:bookmarkEnd w:id="269"/>
      <w:bookmarkStart w:id="270" w:name="_Toc516995045"/>
      <w:bookmarkEnd w:id="270"/>
      <w:bookmarkStart w:id="271" w:name="_Toc17897009"/>
      <w:bookmarkEnd w:id="271"/>
      <w:bookmarkStart w:id="272" w:name="_Toc44344928"/>
      <w:bookmarkEnd w:id="272"/>
      <w:bookmarkStart w:id="273" w:name="_Toc174058449"/>
      <w:r>
        <w:rPr>
          <w:rFonts w:hint="eastAsia" w:ascii="宋体" w:hAnsi="宋体" w:eastAsia="仿宋_GB2312"/>
          <w:sz w:val="32"/>
          <w:szCs w:val="32"/>
          <w:shd w:val="clear" w:color="auto" w:fill="FFFFFF"/>
        </w:rPr>
        <w:t>辅助生产系统和公用工程、</w:t>
      </w:r>
      <w:bookmarkEnd w:id="273"/>
      <w:r>
        <w:rPr>
          <w:rFonts w:hint="eastAsia" w:ascii="宋体" w:hAnsi="宋体" w:eastAsia="仿宋_GB2312"/>
          <w:sz w:val="32"/>
          <w:szCs w:val="32"/>
          <w:shd w:val="clear" w:color="auto" w:fill="FFFFFF"/>
        </w:rPr>
        <w:t>主要工程量等情况。</w:t>
      </w:r>
    </w:p>
    <w:p w14:paraId="4B1E8EF8">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项目概况中说明建设项目的建设和生产管理单位、项目性质以及项目的基本信息（地理位置、范围、规模及投资概算等）；说明项目的开发方案，包括建库指标，井场数量、井网部署、集注站数量、注采管道和双向输气管道/联络线长度等；说明项目的自然环境、社会环境、人居环境和敏感设施等；说明项目的外部依托条件，如水源、电源、通信、道路、消防和维抢修等；说明项目的物料，包括注入和采出天然气、危险物质或化学药剂、气藏水质分析组分等。</w:t>
      </w:r>
    </w:p>
    <w:p w14:paraId="6CFA3634">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说明建设项目的主体工艺，包括地质与气藏工程、井工程和地面工程的工艺。地质与气藏工程要求说明储气库的基本地质特征、储气地质体结构和密封性评价结果、油气藏特征、气藏设计指标和依据、储气地质体完整性的监测方式等；井工程要求说明布井方案、井眼轨迹和井身结构、固井工艺、注采完井工艺、开采方式及注采工艺、井口装置的结构、密封方式、性能及规范级别，以及全部老井的地质、钻井和生产信息等；地面工程要求描述站场主体工艺和线路工程设计方案。</w:t>
      </w:r>
    </w:p>
    <w:p w14:paraId="24821F89">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说明辅助生产系统和公用工程的内容，包括仪表控制、火炬及放空系统、供配电、通信、给排水、暖通、热工、建筑与结构、防腐与绝热、总图与道路等。</w:t>
      </w:r>
    </w:p>
    <w:p w14:paraId="18F00A14">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列表说明主要工程量，包括各类井场、站场、管道的数量和主要设备等。</w:t>
      </w:r>
    </w:p>
    <w:p w14:paraId="10B17166">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危险有害因素分析</w:t>
      </w:r>
    </w:p>
    <w:p w14:paraId="1F4D11EB">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要求说明安全预评价报告危险有害因素分析结论，并要求对变更部分进行危险有害因素辨识并提出安全措施、列出设计变更情况分析表；要求对开展了</w:t>
      </w:r>
      <w:r>
        <w:rPr>
          <w:rFonts w:hint="eastAsia" w:ascii="宋体" w:hAnsi="宋体"/>
          <w:sz w:val="32"/>
          <w:szCs w:val="32"/>
          <w:shd w:val="clear" w:color="auto" w:fill="FFFFFF"/>
        </w:rPr>
        <w:t>HAZOP、SIL</w:t>
      </w:r>
      <w:r>
        <w:rPr>
          <w:rFonts w:hint="eastAsia" w:ascii="宋体" w:hAnsi="宋体" w:eastAsia="仿宋_GB2312"/>
          <w:sz w:val="32"/>
          <w:szCs w:val="32"/>
          <w:shd w:val="clear" w:color="auto" w:fill="FFFFFF"/>
        </w:rPr>
        <w:t>定级等研究或其他安全风险分析的站场，说明主要分析结果；此外，还要求对新工艺、新技术、新材料或新设备可能产生的危险有害因素进行重点分析。</w:t>
      </w:r>
    </w:p>
    <w:p w14:paraId="082569D0">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ascii="宋体" w:hAnsi="宋体" w:eastAsia="仿宋_GB2312"/>
          <w:sz w:val="32"/>
          <w:szCs w:val="32"/>
          <w:shd w:val="clear" w:color="auto" w:fill="FFFFFF"/>
        </w:rPr>
        <w:t>安全预评价响应</w:t>
      </w:r>
    </w:p>
    <w:p w14:paraId="0CC6BA53">
      <w:pPr>
        <w:spacing w:line="560" w:lineRule="exact"/>
        <w:ind w:firstLine="640" w:firstLineChars="200"/>
        <w:rPr>
          <w:rFonts w:ascii="宋体" w:hAnsi="宋体" w:eastAsia="仿宋_GB2312"/>
          <w:sz w:val="32"/>
          <w:szCs w:val="32"/>
          <w:shd w:val="clear" w:color="auto" w:fill="FFFFFF"/>
        </w:rPr>
      </w:pPr>
      <w:r>
        <w:rPr>
          <w:rFonts w:ascii="宋体" w:hAnsi="宋体" w:eastAsia="仿宋_GB2312"/>
          <w:sz w:val="32"/>
          <w:szCs w:val="32"/>
          <w:shd w:val="clear" w:color="auto" w:fill="FFFFFF"/>
        </w:rPr>
        <w:t>根据《建设项目安全设施“三同时”监督管理办法》，列出建设项目安全预评价报告中提出的安全对策措施的采纳情况；对未采纳的或部分采纳的措施</w:t>
      </w:r>
      <w:r>
        <w:rPr>
          <w:rFonts w:hint="eastAsia" w:ascii="宋体" w:hAnsi="宋体" w:eastAsia="仿宋_GB2312"/>
          <w:sz w:val="32"/>
          <w:szCs w:val="32"/>
          <w:shd w:val="clear" w:color="auto" w:fill="FFFFFF"/>
        </w:rPr>
        <w:t>做</w:t>
      </w:r>
      <w:r>
        <w:rPr>
          <w:rFonts w:ascii="宋体" w:hAnsi="宋体" w:eastAsia="仿宋_GB2312"/>
          <w:sz w:val="32"/>
          <w:szCs w:val="32"/>
          <w:shd w:val="clear" w:color="auto" w:fill="FFFFFF"/>
        </w:rPr>
        <w:t>充分论证说明。</w:t>
      </w:r>
    </w:p>
    <w:p w14:paraId="091578CB">
      <w:pPr>
        <w:numPr>
          <w:ilvl w:val="0"/>
          <w:numId w:val="15"/>
        </w:numPr>
        <w:autoSpaceDE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地质与气藏工程安全措施</w:t>
      </w:r>
    </w:p>
    <w:p w14:paraId="3B49250B">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规定了选址、地质与气藏、地质体监测部署等安全措施要求。</w:t>
      </w:r>
    </w:p>
    <w:p w14:paraId="610F26B6">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按照《储气库选址评价推荐作法》（</w:t>
      </w:r>
      <w:r>
        <w:rPr>
          <w:rFonts w:hint="eastAsia" w:ascii="宋体" w:hAnsi="宋体"/>
          <w:sz w:val="32"/>
          <w:szCs w:val="32"/>
          <w:shd w:val="clear" w:color="auto" w:fill="FFFFFF"/>
        </w:rPr>
        <w:t>SY/T 7643-2021</w:t>
      </w:r>
      <w:r>
        <w:rPr>
          <w:rFonts w:hint="eastAsia" w:ascii="宋体" w:hAnsi="宋体" w:eastAsia="仿宋_GB2312"/>
          <w:sz w:val="32"/>
          <w:szCs w:val="32"/>
          <w:shd w:val="clear" w:color="auto" w:fill="FFFFFF"/>
        </w:rPr>
        <w:t>）、《地下储气库设计规范》（</w:t>
      </w:r>
      <w:r>
        <w:rPr>
          <w:rFonts w:hint="eastAsia" w:ascii="宋体" w:hAnsi="宋体"/>
          <w:sz w:val="32"/>
          <w:szCs w:val="32"/>
          <w:shd w:val="clear" w:color="auto" w:fill="FFFFFF"/>
        </w:rPr>
        <w:t>SY/T 6848-2023</w:t>
      </w:r>
      <w:r>
        <w:rPr>
          <w:rFonts w:hint="eastAsia" w:ascii="宋体" w:hAnsi="宋体" w:eastAsia="仿宋_GB2312"/>
          <w:sz w:val="32"/>
          <w:szCs w:val="32"/>
          <w:shd w:val="clear" w:color="auto" w:fill="FFFFFF"/>
        </w:rPr>
        <w:t>）标准，规定了储气库库址选择和建库层系的要求。</w:t>
      </w:r>
    </w:p>
    <w:p w14:paraId="6BB91F4A">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参照《气藏型储气库库容参数设计方法》（</w:t>
      </w:r>
      <w:r>
        <w:rPr>
          <w:rFonts w:hint="eastAsia" w:ascii="宋体" w:hAnsi="宋体"/>
          <w:sz w:val="32"/>
          <w:szCs w:val="32"/>
          <w:shd w:val="clear" w:color="auto" w:fill="FFFFFF"/>
        </w:rPr>
        <w:t>SY/T 7652-2021</w:t>
      </w:r>
      <w:r>
        <w:rPr>
          <w:rFonts w:hint="eastAsia" w:ascii="宋体" w:hAnsi="宋体" w:eastAsia="仿宋_GB2312"/>
          <w:sz w:val="32"/>
          <w:szCs w:val="32"/>
          <w:shd w:val="clear" w:color="auto" w:fill="FFFFFF"/>
        </w:rPr>
        <w:t>）、《气藏型储气库动态分析技术规范》（</w:t>
      </w:r>
      <w:r>
        <w:rPr>
          <w:rFonts w:hint="eastAsia" w:ascii="宋体" w:hAnsi="宋体"/>
          <w:sz w:val="32"/>
          <w:szCs w:val="32"/>
          <w:shd w:val="clear" w:color="auto" w:fill="FFFFFF"/>
        </w:rPr>
        <w:t>SY/T 7687-2023</w:t>
      </w:r>
      <w:r>
        <w:rPr>
          <w:rFonts w:hint="eastAsia" w:ascii="宋体" w:hAnsi="宋体" w:eastAsia="仿宋_GB2312"/>
          <w:sz w:val="32"/>
          <w:szCs w:val="32"/>
          <w:shd w:val="clear" w:color="auto" w:fill="FFFFFF"/>
        </w:rPr>
        <w:t>）等标准，提出了储气地质体上限压力的要求、保障储气地质体全生命周期动态密封性、地质力学稳定性的安全措施要求，并提出含硫气藏、凝析气藏改建的储气库安全措施的要求，以及说明气液界面或气液边界的变化、出砂、结盐等对储气地质体伤害的风险所采取的安全措施。</w:t>
      </w:r>
    </w:p>
    <w:p w14:paraId="7AC2359A">
      <w:pPr>
        <w:spacing w:line="560" w:lineRule="exact"/>
        <w:ind w:firstLine="640" w:firstLineChars="200"/>
        <w:rPr>
          <w:rFonts w:ascii="宋体" w:hAnsi="宋体" w:eastAsia="宋体"/>
          <w:sz w:val="32"/>
          <w:szCs w:val="32"/>
          <w:shd w:val="clear" w:color="auto" w:fill="FFFFFF"/>
        </w:rPr>
      </w:pPr>
      <w:r>
        <w:rPr>
          <w:rFonts w:hint="eastAsia" w:ascii="宋体" w:hAnsi="宋体" w:eastAsia="仿宋_GB2312"/>
          <w:sz w:val="32"/>
          <w:szCs w:val="32"/>
          <w:shd w:val="clear" w:color="auto" w:fill="FFFFFF"/>
        </w:rPr>
        <w:t>按照《油气藏型地下储气库安全技术规程》（</w:t>
      </w:r>
      <w:r>
        <w:rPr>
          <w:rFonts w:hint="eastAsia" w:ascii="宋体" w:hAnsi="宋体"/>
          <w:sz w:val="32"/>
          <w:szCs w:val="32"/>
          <w:shd w:val="clear" w:color="auto" w:fill="FFFFFF"/>
        </w:rPr>
        <w:t>SY/T 6805-2017</w:t>
      </w:r>
      <w:r>
        <w:rPr>
          <w:rFonts w:hint="eastAsia" w:ascii="宋体" w:hAnsi="宋体" w:eastAsia="仿宋_GB2312"/>
          <w:sz w:val="32"/>
          <w:szCs w:val="32"/>
          <w:shd w:val="clear" w:color="auto" w:fill="FFFFFF"/>
        </w:rPr>
        <w:t>）</w:t>
      </w:r>
      <w:r>
        <w:rPr>
          <w:rFonts w:hint="eastAsia" w:ascii="宋体" w:hAnsi="宋体"/>
          <w:sz w:val="32"/>
          <w:szCs w:val="32"/>
          <w:shd w:val="clear" w:color="auto" w:fill="FFFFFF"/>
        </w:rPr>
        <w:t>、《</w:t>
      </w:r>
      <w:r>
        <w:rPr>
          <w:rFonts w:hint="eastAsia" w:ascii="宋体" w:hAnsi="宋体" w:eastAsia="仿宋_GB2312"/>
          <w:sz w:val="32"/>
          <w:szCs w:val="32"/>
          <w:shd w:val="clear" w:color="auto" w:fill="FFFFFF"/>
        </w:rPr>
        <w:t>储气库监测系统设计技术要求</w:t>
      </w:r>
      <w:r>
        <w:rPr>
          <w:rFonts w:hint="eastAsia" w:ascii="宋体" w:hAnsi="宋体"/>
          <w:sz w:val="32"/>
          <w:szCs w:val="32"/>
          <w:shd w:val="clear" w:color="auto" w:fill="FFFFFF"/>
        </w:rPr>
        <w:t>》（SY/T 7760-2024）、</w:t>
      </w:r>
      <w:r>
        <w:rPr>
          <w:rFonts w:hint="eastAsia" w:ascii="宋体" w:hAnsi="宋体" w:eastAsia="仿宋_GB2312"/>
          <w:sz w:val="32"/>
          <w:szCs w:val="32"/>
          <w:shd w:val="clear" w:color="auto" w:fill="FFFFFF"/>
        </w:rPr>
        <w:t>《地下储气库设计规范》（</w:t>
      </w:r>
      <w:r>
        <w:rPr>
          <w:rFonts w:hint="eastAsia" w:ascii="宋体" w:hAnsi="宋体"/>
          <w:sz w:val="32"/>
          <w:szCs w:val="32"/>
          <w:shd w:val="clear" w:color="auto" w:fill="FFFFFF"/>
        </w:rPr>
        <w:t>SY/T 6848-2023</w:t>
      </w:r>
      <w:r>
        <w:rPr>
          <w:rFonts w:hint="eastAsia" w:ascii="宋体" w:hAnsi="宋体" w:eastAsia="仿宋_GB2312"/>
          <w:sz w:val="32"/>
          <w:szCs w:val="32"/>
          <w:shd w:val="clear" w:color="auto" w:fill="FFFFFF"/>
        </w:rPr>
        <w:t>）标准，规定了地质体监测设计的要求，规定了浅层地表水、上覆渗透层、上覆盖层、断层、下伏底托层、溢出点、周边岩性控制边界地层的监测要求，以及密封性薄弱区域的监测的要求，提出压力、温度、流体性质（组分）、气液界面、微地震事件等监测覆盖的要求。</w:t>
      </w:r>
    </w:p>
    <w:p w14:paraId="338A075A">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井工程安全措施</w:t>
      </w:r>
    </w:p>
    <w:p w14:paraId="5F26A104">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规定了安全距离、工程质量、完井安全设施、硫化氢防护和防火防爆等井工程安全设施的要求。</w:t>
      </w:r>
    </w:p>
    <w:p w14:paraId="7BE206A1">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按照《石油天然气钻井、开发、储运防火防爆安全生产技术规程》（</w:t>
      </w:r>
      <w:r>
        <w:rPr>
          <w:rFonts w:hint="eastAsia" w:ascii="宋体" w:hAnsi="宋体"/>
          <w:sz w:val="32"/>
          <w:szCs w:val="32"/>
          <w:shd w:val="clear" w:color="auto" w:fill="FFFFFF"/>
        </w:rPr>
        <w:t>SY/T 5225-2019</w:t>
      </w:r>
      <w:r>
        <w:rPr>
          <w:rFonts w:hint="eastAsia" w:ascii="宋体" w:hAnsi="宋体" w:eastAsia="仿宋_GB2312"/>
          <w:sz w:val="32"/>
          <w:szCs w:val="32"/>
          <w:shd w:val="clear" w:color="auto" w:fill="FFFFFF"/>
        </w:rPr>
        <w:t>）、《石油天然气工程设计防火规范》（</w:t>
      </w:r>
      <w:r>
        <w:rPr>
          <w:rFonts w:hint="eastAsia" w:ascii="宋体" w:hAnsi="宋体"/>
          <w:sz w:val="32"/>
          <w:szCs w:val="32"/>
          <w:shd w:val="clear" w:color="auto" w:fill="FFFFFF"/>
        </w:rPr>
        <w:t>GB 50183-2004</w:t>
      </w:r>
      <w:r>
        <w:rPr>
          <w:rFonts w:hint="eastAsia" w:ascii="宋体" w:hAnsi="宋体" w:eastAsia="仿宋_GB2312"/>
          <w:sz w:val="32"/>
          <w:szCs w:val="32"/>
          <w:shd w:val="clear" w:color="auto" w:fill="FFFFFF"/>
        </w:rPr>
        <w:t>）标准，规定了井场距离外部公共设施、井间距的安全距离合规性及采取的安全措施要求；按照《枯竭型气藏储气库钻井技术规范》（</w:t>
      </w:r>
      <w:r>
        <w:rPr>
          <w:rFonts w:hint="eastAsia" w:ascii="宋体" w:hAnsi="宋体"/>
          <w:sz w:val="32"/>
          <w:szCs w:val="32"/>
          <w:shd w:val="clear" w:color="auto" w:fill="FFFFFF"/>
        </w:rPr>
        <w:t>SY/T 7451-2019</w:t>
      </w:r>
      <w:r>
        <w:rPr>
          <w:rFonts w:hint="eastAsia" w:ascii="宋体" w:hAnsi="宋体" w:eastAsia="仿宋_GB2312"/>
          <w:sz w:val="32"/>
          <w:szCs w:val="32"/>
          <w:shd w:val="clear" w:color="auto" w:fill="FFFFFF"/>
        </w:rPr>
        <w:t>）标准，规定了井身质量控制的安全措施，以及井斜、方位数据采集间距和测量间距、直井全角变化率和定向井（含水平井）的造斜井段与扭方位井段全角变化率等安全措施要求；按照《储气库井固井技术要求》（</w:t>
      </w:r>
      <w:r>
        <w:rPr>
          <w:rFonts w:hint="eastAsia" w:ascii="宋体" w:hAnsi="宋体"/>
          <w:sz w:val="32"/>
          <w:szCs w:val="32"/>
          <w:shd w:val="clear" w:color="auto" w:fill="FFFFFF"/>
        </w:rPr>
        <w:t>SY/T 7648-2021</w:t>
      </w:r>
      <w:r>
        <w:rPr>
          <w:rFonts w:hint="eastAsia" w:ascii="宋体" w:hAnsi="宋体" w:eastAsia="仿宋_GB2312"/>
          <w:sz w:val="32"/>
          <w:szCs w:val="32"/>
          <w:shd w:val="clear" w:color="auto" w:fill="FFFFFF"/>
        </w:rPr>
        <w:t>）标准，规定了注采井各层套管固井水泥返高、水泥浆性能指标、固井质量测井评价方式和表层套管、技术套管、生产套管水泥封固合格率，盖层井段水泥封固质量连续优质井段长度等固井质量的安全措施要求；按照《地下储气库设计规范》（</w:t>
      </w:r>
      <w:r>
        <w:rPr>
          <w:rFonts w:hint="eastAsia" w:ascii="宋体" w:hAnsi="宋体"/>
          <w:sz w:val="32"/>
          <w:szCs w:val="32"/>
          <w:shd w:val="clear" w:color="auto" w:fill="FFFFFF"/>
        </w:rPr>
        <w:t>SY/T 6848-2023</w:t>
      </w:r>
      <w:r>
        <w:rPr>
          <w:rFonts w:hint="eastAsia" w:ascii="宋体" w:hAnsi="宋体" w:eastAsia="仿宋_GB2312"/>
          <w:sz w:val="32"/>
          <w:szCs w:val="32"/>
          <w:shd w:val="clear" w:color="auto" w:fill="FFFFFF"/>
        </w:rPr>
        <w:t>）、《气藏型储气库老井封堵技术规范》（</w:t>
      </w:r>
      <w:r>
        <w:rPr>
          <w:rFonts w:hint="eastAsia" w:ascii="宋体" w:hAnsi="宋体"/>
          <w:sz w:val="32"/>
          <w:szCs w:val="32"/>
          <w:shd w:val="clear" w:color="auto" w:fill="FFFFFF"/>
        </w:rPr>
        <w:t>SY/T 7688-2023</w:t>
      </w:r>
      <w:r>
        <w:rPr>
          <w:rFonts w:hint="eastAsia" w:ascii="宋体" w:hAnsi="宋体" w:eastAsia="仿宋_GB2312"/>
          <w:sz w:val="32"/>
          <w:szCs w:val="32"/>
          <w:shd w:val="clear" w:color="auto" w:fill="FFFFFF"/>
        </w:rPr>
        <w:t>）标准，规定了老井处置的安全措施要求，包括再利用检测评价和封堵。</w:t>
      </w:r>
    </w:p>
    <w:p w14:paraId="1051505E">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提出了完井安全设施的要求，包括生产套管和注采管柱、老井完井管柱、井口装置等相关设施。其中，按照《地下储气库注采管柱选用与设计推荐做法》（</w:t>
      </w:r>
      <w:r>
        <w:rPr>
          <w:rFonts w:hint="eastAsia" w:ascii="宋体" w:hAnsi="宋体"/>
          <w:sz w:val="32"/>
          <w:szCs w:val="32"/>
          <w:shd w:val="clear" w:color="auto" w:fill="FFFFFF"/>
        </w:rPr>
        <w:t>SY/T 7370-2017</w:t>
      </w:r>
      <w:r>
        <w:rPr>
          <w:rFonts w:hint="eastAsia" w:ascii="宋体" w:hAnsi="宋体" w:eastAsia="仿宋_GB2312"/>
          <w:sz w:val="32"/>
          <w:szCs w:val="32"/>
          <w:shd w:val="clear" w:color="auto" w:fill="FFFFFF"/>
        </w:rPr>
        <w:t>）、《枯竭型气藏储气库钻井技术规范》（</w:t>
      </w:r>
      <w:r>
        <w:rPr>
          <w:rFonts w:hint="eastAsia" w:ascii="宋体" w:hAnsi="宋体"/>
          <w:sz w:val="32"/>
          <w:szCs w:val="32"/>
          <w:shd w:val="clear" w:color="auto" w:fill="FFFFFF"/>
        </w:rPr>
        <w:t>SY/T 7451-2019</w:t>
      </w:r>
      <w:r>
        <w:rPr>
          <w:rFonts w:hint="eastAsia" w:ascii="宋体" w:hAnsi="宋体" w:eastAsia="仿宋_GB2312"/>
          <w:sz w:val="32"/>
          <w:szCs w:val="32"/>
          <w:shd w:val="clear" w:color="auto" w:fill="FFFFFF"/>
        </w:rPr>
        <w:t>）标准，对生产套管和注采管柱材质、强度、螺纹选用情况、试压要求、封隔器和井下安全阀配置进行了规定，提出了再利用为采气井和同层监测井的老井完井管柱的要求，并按照《石油天然气钻采设备 井口装置和采油树》（</w:t>
      </w:r>
      <w:r>
        <w:rPr>
          <w:rFonts w:hint="eastAsia" w:ascii="宋体" w:hAnsi="宋体"/>
          <w:sz w:val="32"/>
          <w:szCs w:val="32"/>
          <w:shd w:val="clear" w:color="auto" w:fill="FFFFFF"/>
        </w:rPr>
        <w:t>GB/T 22513</w:t>
      </w:r>
      <w:r>
        <w:rPr>
          <w:rFonts w:hint="eastAsia" w:ascii="宋体" w:hAnsi="宋体" w:eastAsia="仿宋_GB2312"/>
          <w:sz w:val="32"/>
          <w:szCs w:val="32"/>
          <w:shd w:val="clear" w:color="auto" w:fill="FFFFFF"/>
        </w:rPr>
        <w:t>）标准，提出了井口装置的要求，提出了井口压力、温度及各级环空压力监测、井口抬升/沉降监测和井周可燃气体浓度监测等安全措施要求。</w:t>
      </w:r>
    </w:p>
    <w:p w14:paraId="1A71F0F5">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按照《硫化氢环境井下作业场所作业安全规范》（</w:t>
      </w:r>
      <w:r>
        <w:rPr>
          <w:rFonts w:hint="eastAsia" w:ascii="宋体" w:hAnsi="宋体"/>
          <w:sz w:val="32"/>
          <w:szCs w:val="32"/>
          <w:shd w:val="clear" w:color="auto" w:fill="FFFFFF"/>
        </w:rPr>
        <w:t>SY/T 6610-2017</w:t>
      </w:r>
      <w:r>
        <w:rPr>
          <w:rFonts w:hint="eastAsia" w:ascii="宋体" w:hAnsi="宋体" w:eastAsia="仿宋_GB2312"/>
          <w:sz w:val="32"/>
          <w:szCs w:val="32"/>
          <w:shd w:val="clear" w:color="auto" w:fill="FFFFFF"/>
        </w:rPr>
        <w:t>）、《硫化氢环境人身防护规范》（</w:t>
      </w:r>
      <w:r>
        <w:rPr>
          <w:rFonts w:hint="eastAsia" w:ascii="宋体" w:hAnsi="宋体"/>
          <w:sz w:val="32"/>
          <w:szCs w:val="32"/>
          <w:shd w:val="clear" w:color="auto" w:fill="FFFFFF"/>
        </w:rPr>
        <w:t>SY/T 6277-2017</w:t>
      </w:r>
      <w:r>
        <w:rPr>
          <w:rFonts w:hint="eastAsia" w:ascii="宋体" w:hAnsi="宋体" w:eastAsia="仿宋_GB2312"/>
          <w:sz w:val="32"/>
          <w:szCs w:val="32"/>
          <w:shd w:val="clear" w:color="auto" w:fill="FFFFFF"/>
        </w:rPr>
        <w:t>）等标准，对含硫气井的监测防护设施进行了规定；此外，提出了含硫化氢环境中的作业人员上岗的安全措施要求。</w:t>
      </w:r>
    </w:p>
    <w:p w14:paraId="7EADF37D">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规定了井场防火、安全警示标志设置，关键部位冷却灭火装置的安装，可燃气体监测设备安装、报警值设置等防火防爆相关设施的要求。</w:t>
      </w:r>
    </w:p>
    <w:p w14:paraId="4E147CA3">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地面工程安全措施</w:t>
      </w:r>
    </w:p>
    <w:p w14:paraId="5813D205">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规定了区域布置及总平面布置、地面工艺、线路工程、自控、公用工程、防腐与绝热、防范其他危险危害因素的安全措施和人员逃救生的安全措施要求。</w:t>
      </w:r>
    </w:p>
    <w:p w14:paraId="25188B49">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区域布置及总平面布置方面，按照《石油天然气工程设计防火规范》（</w:t>
      </w:r>
      <w:r>
        <w:rPr>
          <w:rFonts w:hint="eastAsia" w:ascii="宋体" w:hAnsi="宋体"/>
          <w:sz w:val="32"/>
          <w:szCs w:val="32"/>
          <w:shd w:val="clear" w:color="auto" w:fill="FFFFFF"/>
        </w:rPr>
        <w:t>GB 50183-2004</w:t>
      </w:r>
      <w:r>
        <w:rPr>
          <w:rFonts w:hint="eastAsia" w:ascii="宋体" w:hAnsi="宋体" w:eastAsia="仿宋_GB2312"/>
          <w:sz w:val="32"/>
          <w:szCs w:val="32"/>
          <w:shd w:val="clear" w:color="auto" w:fill="FFFFFF"/>
        </w:rPr>
        <w:t>）、《石油天然气工程总图设计规范》（</w:t>
      </w:r>
      <w:r>
        <w:rPr>
          <w:rFonts w:hint="eastAsia" w:ascii="宋体" w:hAnsi="宋体"/>
          <w:sz w:val="32"/>
          <w:szCs w:val="32"/>
          <w:shd w:val="clear" w:color="auto" w:fill="FFFFFF"/>
        </w:rPr>
        <w:t>SY/T 0048-2016</w:t>
      </w:r>
      <w:r>
        <w:rPr>
          <w:rFonts w:hint="eastAsia" w:ascii="宋体" w:hAnsi="宋体" w:eastAsia="仿宋_GB2312"/>
          <w:sz w:val="32"/>
          <w:szCs w:val="32"/>
          <w:shd w:val="clear" w:color="auto" w:fill="FFFFFF"/>
        </w:rPr>
        <w:t>）、《湿陷性黄土地区建筑规范》（</w:t>
      </w:r>
      <w:r>
        <w:rPr>
          <w:rFonts w:hint="eastAsia" w:ascii="宋体" w:hAnsi="宋体"/>
          <w:sz w:val="32"/>
          <w:szCs w:val="32"/>
          <w:shd w:val="clear" w:color="auto" w:fill="FFFFFF"/>
        </w:rPr>
        <w:t>GB 50025-2018）</w:t>
      </w:r>
      <w:r>
        <w:rPr>
          <w:rFonts w:hint="eastAsia" w:ascii="宋体" w:hAnsi="宋体" w:eastAsia="仿宋_GB2312"/>
          <w:sz w:val="32"/>
          <w:szCs w:val="32"/>
          <w:shd w:val="clear" w:color="auto" w:fill="FFFFFF"/>
        </w:rPr>
        <w:t>、膨胀土地区建筑技术规范（</w:t>
      </w:r>
      <w:r>
        <w:rPr>
          <w:rFonts w:hint="eastAsia" w:ascii="宋体" w:hAnsi="宋体"/>
          <w:sz w:val="32"/>
          <w:szCs w:val="32"/>
          <w:shd w:val="clear" w:color="auto" w:fill="FFFFFF"/>
        </w:rPr>
        <w:t>GB 50112-2013</w:t>
      </w:r>
      <w:r>
        <w:rPr>
          <w:rFonts w:hint="eastAsia" w:ascii="宋体" w:hAnsi="宋体" w:eastAsia="仿宋_GB2312"/>
          <w:sz w:val="32"/>
          <w:szCs w:val="32"/>
          <w:shd w:val="clear" w:color="auto" w:fill="FFFFFF"/>
        </w:rPr>
        <w:t>）、盐渍土地区建筑技术规范（</w:t>
      </w:r>
      <w:r>
        <w:rPr>
          <w:rFonts w:hint="eastAsia" w:ascii="宋体" w:hAnsi="宋体"/>
          <w:sz w:val="32"/>
          <w:szCs w:val="32"/>
          <w:shd w:val="clear" w:color="auto" w:fill="FFFFFF"/>
        </w:rPr>
        <w:t>GB/T 50942-2014</w:t>
      </w:r>
      <w:r>
        <w:rPr>
          <w:rFonts w:hint="eastAsia" w:ascii="宋体" w:hAnsi="宋体" w:eastAsia="仿宋_GB2312"/>
          <w:sz w:val="32"/>
          <w:szCs w:val="32"/>
          <w:shd w:val="clear" w:color="auto" w:fill="FFFFFF"/>
        </w:rPr>
        <w:t>）等标准，规定了地面站场区域布置、总平面布置、竖向布置和安全通道等安全措施要求。</w:t>
      </w:r>
    </w:p>
    <w:p w14:paraId="7CE0DF60">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地面工艺方面，规定了站场工艺、压缩机、管道、辅助生产设施、材质选择、</w:t>
      </w:r>
      <w:r>
        <w:rPr>
          <w:rFonts w:hint="eastAsia" w:ascii="宋体" w:hAnsi="宋体"/>
          <w:sz w:val="32"/>
          <w:szCs w:val="32"/>
          <w:shd w:val="clear" w:color="auto" w:fill="FFFFFF"/>
        </w:rPr>
        <w:t>HAZOP</w:t>
      </w:r>
      <w:r>
        <w:rPr>
          <w:rFonts w:hint="eastAsia" w:ascii="宋体" w:hAnsi="宋体" w:eastAsia="仿宋_GB2312"/>
          <w:sz w:val="32"/>
          <w:szCs w:val="32"/>
          <w:shd w:val="clear" w:color="auto" w:fill="FFFFFF"/>
        </w:rPr>
        <w:t>落实情况等安全措施要求。其中，按照《石油天然气工程设计防火规范》（</w:t>
      </w:r>
      <w:r>
        <w:rPr>
          <w:rFonts w:hint="eastAsia" w:ascii="宋体" w:hAnsi="宋体"/>
          <w:sz w:val="32"/>
          <w:szCs w:val="32"/>
          <w:shd w:val="clear" w:color="auto" w:fill="FFFFFF"/>
        </w:rPr>
        <w:t>GB 50183-2004</w:t>
      </w:r>
      <w:r>
        <w:rPr>
          <w:rFonts w:hint="eastAsia" w:ascii="宋体" w:hAnsi="宋体" w:eastAsia="仿宋_GB2312"/>
          <w:sz w:val="32"/>
          <w:szCs w:val="32"/>
          <w:shd w:val="clear" w:color="auto" w:fill="FFFFFF"/>
        </w:rPr>
        <w:t>）、《气田集输设计规范》（</w:t>
      </w:r>
      <w:r>
        <w:rPr>
          <w:rFonts w:hint="eastAsia" w:ascii="宋体" w:hAnsi="宋体"/>
          <w:sz w:val="32"/>
          <w:szCs w:val="32"/>
          <w:shd w:val="clear" w:color="auto" w:fill="FFFFFF"/>
        </w:rPr>
        <w:t>GB 50349-2015</w:t>
      </w:r>
      <w:r>
        <w:rPr>
          <w:rFonts w:hint="eastAsia" w:ascii="宋体" w:hAnsi="宋体" w:eastAsia="仿宋_GB2312"/>
          <w:sz w:val="32"/>
          <w:szCs w:val="32"/>
          <w:shd w:val="clear" w:color="auto" w:fill="FFFFFF"/>
        </w:rPr>
        <w:t>）</w:t>
      </w:r>
      <w:r>
        <w:rPr>
          <w:rFonts w:hint="eastAsia" w:ascii="宋体" w:hAnsi="宋体"/>
          <w:sz w:val="32"/>
          <w:szCs w:val="32"/>
          <w:shd w:val="clear" w:color="auto" w:fill="FFFFFF"/>
        </w:rPr>
        <w:t>、《</w:t>
      </w:r>
      <w:r>
        <w:rPr>
          <w:rFonts w:hint="eastAsia" w:ascii="宋体" w:hAnsi="宋体" w:eastAsia="仿宋_GB2312"/>
          <w:sz w:val="32"/>
          <w:szCs w:val="32"/>
          <w:shd w:val="clear" w:color="auto" w:fill="FFFFFF"/>
        </w:rPr>
        <w:t>油田油气集输设计规范</w:t>
      </w:r>
      <w:r>
        <w:rPr>
          <w:rFonts w:hint="eastAsia" w:ascii="宋体" w:hAnsi="宋体"/>
          <w:sz w:val="32"/>
          <w:szCs w:val="32"/>
          <w:shd w:val="clear" w:color="auto" w:fill="FFFFFF"/>
        </w:rPr>
        <w:t>》（GB 50350-2015）</w:t>
      </w:r>
      <w:r>
        <w:rPr>
          <w:rFonts w:hint="eastAsia" w:ascii="宋体" w:hAnsi="宋体" w:eastAsia="仿宋_GB2312"/>
          <w:sz w:val="32"/>
          <w:szCs w:val="32"/>
          <w:shd w:val="clear" w:color="auto" w:fill="FFFFFF"/>
        </w:rPr>
        <w:t>、《油气藏型地下储气库安全技术规程》（</w:t>
      </w:r>
      <w:r>
        <w:rPr>
          <w:rFonts w:hint="eastAsia" w:ascii="宋体" w:hAnsi="宋体"/>
          <w:sz w:val="32"/>
          <w:szCs w:val="32"/>
          <w:shd w:val="clear" w:color="auto" w:fill="FFFFFF"/>
        </w:rPr>
        <w:t>SY/T 6805 -2017）</w:t>
      </w:r>
      <w:r>
        <w:rPr>
          <w:rFonts w:hint="eastAsia" w:ascii="宋体" w:hAnsi="宋体" w:eastAsia="仿宋_GB2312"/>
          <w:sz w:val="32"/>
          <w:szCs w:val="32"/>
          <w:shd w:val="clear" w:color="auto" w:fill="FFFFFF"/>
        </w:rPr>
        <w:t>等标准，提出了井场（集配站）和集注站工艺的要求；压缩机方面，规定了防脉动、防喘振的安全措施，压缩机组监测、控制、报警和联锁停车保护系统等采取的安全措施以及压缩机组安全泄放系统的设置及超压保护措施；管道方面，按照《石油天然气工程设计防火规范》（</w:t>
      </w:r>
      <w:r>
        <w:rPr>
          <w:rFonts w:hint="eastAsia" w:ascii="宋体" w:hAnsi="宋体"/>
          <w:sz w:val="32"/>
          <w:szCs w:val="32"/>
          <w:shd w:val="clear" w:color="auto" w:fill="FFFFFF"/>
        </w:rPr>
        <w:t>GB 50183-2004</w:t>
      </w:r>
      <w:r>
        <w:rPr>
          <w:rFonts w:hint="eastAsia" w:ascii="宋体" w:hAnsi="宋体" w:eastAsia="仿宋_GB2312"/>
          <w:sz w:val="32"/>
          <w:szCs w:val="32"/>
          <w:shd w:val="clear" w:color="auto" w:fill="FFFFFF"/>
        </w:rPr>
        <w:t xml:space="preserve">）、《气田集输设计规范》（GB </w:t>
      </w:r>
      <w:r>
        <w:rPr>
          <w:rFonts w:hint="eastAsia" w:ascii="宋体" w:hAnsi="宋体"/>
          <w:sz w:val="32"/>
          <w:szCs w:val="32"/>
          <w:shd w:val="clear" w:color="auto" w:fill="FFFFFF"/>
        </w:rPr>
        <w:t>50349-2015</w:t>
      </w:r>
      <w:r>
        <w:rPr>
          <w:rFonts w:hint="eastAsia" w:ascii="宋体" w:hAnsi="宋体" w:eastAsia="仿宋_GB2312"/>
          <w:sz w:val="32"/>
          <w:szCs w:val="32"/>
          <w:shd w:val="clear" w:color="auto" w:fill="FFFFFF"/>
        </w:rPr>
        <w:t>）、《输气管道工程设计规范》（</w:t>
      </w:r>
      <w:r>
        <w:rPr>
          <w:rFonts w:hint="eastAsia" w:ascii="宋体" w:hAnsi="宋体"/>
          <w:sz w:val="32"/>
          <w:szCs w:val="32"/>
          <w:shd w:val="clear" w:color="auto" w:fill="FFFFFF"/>
        </w:rPr>
        <w:t>GB 50251-2015</w:t>
      </w:r>
      <w:r>
        <w:rPr>
          <w:rFonts w:hint="eastAsia" w:ascii="宋体" w:hAnsi="宋体" w:eastAsia="仿宋_GB2312"/>
          <w:sz w:val="32"/>
          <w:szCs w:val="32"/>
          <w:shd w:val="clear" w:color="auto" w:fill="FFFFFF"/>
        </w:rPr>
        <w:t>）标准，规定了集输管道干线和双向输气管道的清管及检测、管道泄漏检测以及集输系统段塞流情况采取的安全措施；辅助生产设施方面，按照《石油天然气工程设计防火规范》（</w:t>
      </w:r>
      <w:r>
        <w:rPr>
          <w:rFonts w:hint="eastAsia" w:ascii="宋体" w:hAnsi="宋体"/>
          <w:sz w:val="32"/>
          <w:szCs w:val="32"/>
          <w:shd w:val="clear" w:color="auto" w:fill="FFFFFF"/>
        </w:rPr>
        <w:t>GB 50183-2004</w:t>
      </w:r>
      <w:r>
        <w:rPr>
          <w:rFonts w:hint="eastAsia" w:ascii="宋体" w:hAnsi="宋体" w:eastAsia="仿宋_GB2312"/>
          <w:sz w:val="32"/>
          <w:szCs w:val="32"/>
          <w:shd w:val="clear" w:color="auto" w:fill="FFFFFF"/>
        </w:rPr>
        <w:t>）、《储气库排放系统设计规范》（</w:t>
      </w:r>
      <w:r>
        <w:rPr>
          <w:rFonts w:hint="eastAsia" w:ascii="宋体" w:hAnsi="宋体"/>
          <w:sz w:val="32"/>
          <w:szCs w:val="32"/>
          <w:shd w:val="clear" w:color="auto" w:fill="FFFFFF"/>
        </w:rPr>
        <w:t>SY/T 7757-2024</w:t>
      </w:r>
      <w:r>
        <w:rPr>
          <w:rFonts w:hint="eastAsia" w:ascii="宋体" w:hAnsi="宋体" w:eastAsia="仿宋_GB2312"/>
          <w:sz w:val="32"/>
          <w:szCs w:val="32"/>
          <w:shd w:val="clear" w:color="auto" w:fill="FFFFFF"/>
        </w:rPr>
        <w:t>）、《泄压和减压系统指南》（</w:t>
      </w:r>
      <w:r>
        <w:rPr>
          <w:rFonts w:hint="eastAsia" w:ascii="宋体" w:hAnsi="宋体"/>
          <w:sz w:val="32"/>
          <w:szCs w:val="32"/>
          <w:shd w:val="clear" w:color="auto" w:fill="FFFFFF"/>
        </w:rPr>
        <w:t>SY/T 10043-2017</w:t>
      </w:r>
      <w:r>
        <w:rPr>
          <w:rFonts w:hint="eastAsia" w:ascii="宋体" w:hAnsi="宋体" w:eastAsia="仿宋_GB2312"/>
          <w:sz w:val="32"/>
          <w:szCs w:val="32"/>
          <w:shd w:val="clear" w:color="auto" w:fill="FFFFFF"/>
        </w:rPr>
        <w:t>）等标准，规定了安全系防系统、空氮系统、燃料气系统的安全措施；材质选择方面，按照《压力容器 第1部分：通用要求》（</w:t>
      </w:r>
      <w:r>
        <w:rPr>
          <w:rFonts w:hint="eastAsia" w:ascii="宋体" w:hAnsi="宋体"/>
          <w:sz w:val="32"/>
          <w:szCs w:val="32"/>
          <w:shd w:val="clear" w:color="auto" w:fill="FFFFFF"/>
        </w:rPr>
        <w:t>GB/T 150.1-2024</w:t>
      </w:r>
      <w:r>
        <w:rPr>
          <w:rFonts w:hint="eastAsia" w:ascii="宋体" w:hAnsi="宋体" w:eastAsia="仿宋_GB2312"/>
          <w:sz w:val="32"/>
          <w:szCs w:val="32"/>
          <w:shd w:val="clear" w:color="auto" w:fill="FFFFFF"/>
        </w:rPr>
        <w:t>）、《天然气地面设施抗硫化物应力开裂和应力腐蚀开裂金属材料技术规范》（</w:t>
      </w:r>
      <w:r>
        <w:rPr>
          <w:rFonts w:hint="eastAsia" w:ascii="宋体" w:hAnsi="宋体"/>
          <w:sz w:val="32"/>
          <w:szCs w:val="32"/>
          <w:shd w:val="clear" w:color="auto" w:fill="FFFFFF"/>
        </w:rPr>
        <w:t>SY/T 0599-2018</w:t>
      </w:r>
      <w:r>
        <w:rPr>
          <w:rFonts w:hint="eastAsia" w:ascii="宋体" w:hAnsi="宋体" w:eastAsia="仿宋_GB2312"/>
          <w:sz w:val="32"/>
          <w:szCs w:val="32"/>
          <w:shd w:val="clear" w:color="auto" w:fill="FFFFFF"/>
        </w:rPr>
        <w:t>）等，规定了工艺设备选材的措施；此外，要求列表说明</w:t>
      </w:r>
      <w:r>
        <w:rPr>
          <w:rFonts w:hint="eastAsia" w:ascii="宋体" w:hAnsi="宋体"/>
          <w:sz w:val="32"/>
          <w:szCs w:val="32"/>
          <w:shd w:val="clear" w:color="auto" w:fill="FFFFFF"/>
        </w:rPr>
        <w:t>HAZOP</w:t>
      </w:r>
      <w:r>
        <w:rPr>
          <w:rFonts w:hint="eastAsia" w:ascii="宋体" w:hAnsi="宋体" w:eastAsia="仿宋_GB2312"/>
          <w:sz w:val="32"/>
          <w:szCs w:val="32"/>
          <w:shd w:val="clear" w:color="auto" w:fill="FFFFFF"/>
        </w:rPr>
        <w:t>及其他危险性评估报告建议措施的落实情况。</w:t>
      </w:r>
    </w:p>
    <w:p w14:paraId="62701C9B">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线路工程方面，按照《气田集输设计规范》（</w:t>
      </w:r>
      <w:r>
        <w:rPr>
          <w:rFonts w:hint="eastAsia" w:ascii="宋体" w:hAnsi="宋体"/>
          <w:sz w:val="32"/>
          <w:szCs w:val="32"/>
          <w:shd w:val="clear" w:color="auto" w:fill="FFFFFF"/>
        </w:rPr>
        <w:t>GB 50349-2015</w:t>
      </w:r>
      <w:r>
        <w:rPr>
          <w:rFonts w:hint="eastAsia" w:ascii="宋体" w:hAnsi="宋体" w:eastAsia="仿宋_GB2312"/>
          <w:sz w:val="32"/>
          <w:szCs w:val="32"/>
          <w:shd w:val="clear" w:color="auto" w:fill="FFFFFF"/>
        </w:rPr>
        <w:t>）、《输气管道工程设计规范》（</w:t>
      </w:r>
      <w:r>
        <w:rPr>
          <w:rFonts w:hint="eastAsia" w:ascii="宋体" w:hAnsi="宋体"/>
          <w:sz w:val="32"/>
          <w:szCs w:val="32"/>
          <w:shd w:val="clear" w:color="auto" w:fill="FFFFFF"/>
        </w:rPr>
        <w:t>GB 50251-2015</w:t>
      </w:r>
      <w:r>
        <w:rPr>
          <w:rFonts w:hint="eastAsia" w:ascii="宋体" w:hAnsi="宋体" w:eastAsia="仿宋_GB2312"/>
          <w:sz w:val="32"/>
          <w:szCs w:val="32"/>
          <w:shd w:val="clear" w:color="auto" w:fill="FFFFFF"/>
        </w:rPr>
        <w:t>）、《油气输送管道完整性管理规范》（</w:t>
      </w:r>
      <w:r>
        <w:rPr>
          <w:rFonts w:hint="eastAsia" w:ascii="宋体" w:hAnsi="宋体"/>
          <w:sz w:val="32"/>
          <w:szCs w:val="32"/>
          <w:shd w:val="clear" w:color="auto" w:fill="FFFFFF"/>
        </w:rPr>
        <w:t>GB/T 32167-2015</w:t>
      </w:r>
      <w:r>
        <w:rPr>
          <w:rFonts w:hint="eastAsia" w:ascii="宋体" w:hAnsi="宋体" w:eastAsia="仿宋_GB2312"/>
          <w:sz w:val="32"/>
          <w:szCs w:val="32"/>
          <w:shd w:val="clear" w:color="auto" w:fill="FFFFFF"/>
        </w:rPr>
        <w:t>）、《油气输送管道穿越工程设计规范》（</w:t>
      </w:r>
      <w:r>
        <w:rPr>
          <w:rFonts w:hint="eastAsia" w:ascii="宋体" w:hAnsi="宋体"/>
          <w:sz w:val="32"/>
          <w:szCs w:val="32"/>
          <w:shd w:val="clear" w:color="auto" w:fill="FFFFFF"/>
        </w:rPr>
        <w:t>GB 50423-2013</w:t>
      </w:r>
      <w:r>
        <w:rPr>
          <w:rFonts w:hint="eastAsia" w:ascii="宋体" w:hAnsi="宋体" w:eastAsia="仿宋_GB2312"/>
          <w:sz w:val="32"/>
          <w:szCs w:val="32"/>
          <w:shd w:val="clear" w:color="auto" w:fill="FFFFFF"/>
        </w:rPr>
        <w:t>）、《油气输送管道跨越工程设计规范》（</w:t>
      </w:r>
      <w:r>
        <w:rPr>
          <w:rFonts w:hint="eastAsia" w:ascii="宋体" w:hAnsi="宋体"/>
          <w:sz w:val="32"/>
          <w:szCs w:val="32"/>
          <w:shd w:val="clear" w:color="auto" w:fill="FFFFFF"/>
        </w:rPr>
        <w:t>GB 50459-2017</w:t>
      </w:r>
      <w:r>
        <w:rPr>
          <w:rFonts w:hint="eastAsia" w:ascii="宋体" w:hAnsi="宋体" w:eastAsia="仿宋_GB2312"/>
          <w:sz w:val="32"/>
          <w:szCs w:val="32"/>
          <w:shd w:val="clear" w:color="auto" w:fill="FFFFFF"/>
        </w:rPr>
        <w:t>）、《油气输送管道并行敷设技术规范》（</w:t>
      </w:r>
      <w:r>
        <w:rPr>
          <w:rFonts w:hint="eastAsia" w:ascii="宋体" w:hAnsi="宋体"/>
          <w:sz w:val="32"/>
          <w:szCs w:val="32"/>
          <w:shd w:val="clear" w:color="auto" w:fill="FFFFFF"/>
        </w:rPr>
        <w:t>SY/T 7365-2017）</w:t>
      </w:r>
      <w:r>
        <w:rPr>
          <w:rFonts w:hint="eastAsia" w:ascii="宋体" w:hAnsi="宋体" w:eastAsia="仿宋_GB2312"/>
          <w:sz w:val="32"/>
          <w:szCs w:val="32"/>
          <w:shd w:val="clear" w:color="auto" w:fill="FFFFFF"/>
        </w:rPr>
        <w:t>、《油田油气集输设计规范》（</w:t>
      </w:r>
      <w:r>
        <w:rPr>
          <w:rFonts w:hint="eastAsia" w:ascii="宋体" w:hAnsi="宋体"/>
          <w:sz w:val="32"/>
          <w:szCs w:val="32"/>
          <w:shd w:val="clear" w:color="auto" w:fill="FFFFFF"/>
        </w:rPr>
        <w:t>GB 50350-2015</w:t>
      </w:r>
      <w:r>
        <w:rPr>
          <w:rFonts w:hint="eastAsia" w:ascii="宋体" w:hAnsi="宋体" w:eastAsia="仿宋_GB2312"/>
          <w:sz w:val="32"/>
          <w:szCs w:val="32"/>
          <w:shd w:val="clear" w:color="auto" w:fill="FFFFFF"/>
        </w:rPr>
        <w:t>）等标准，规定了管道本体、管道敷设、人员密集场所高后果区、地质灾害、地震、采矿区、穿跨越、并行、标识与伴行、截断阀室等方面采取的安全措施。</w:t>
      </w:r>
    </w:p>
    <w:p w14:paraId="386A17B4">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自控方面，规定了监控和数据采集（</w:t>
      </w:r>
      <w:r>
        <w:rPr>
          <w:rFonts w:hint="eastAsia" w:ascii="宋体" w:hAnsi="宋体"/>
          <w:sz w:val="32"/>
          <w:szCs w:val="32"/>
          <w:shd w:val="clear" w:color="auto" w:fill="FFFFFF"/>
        </w:rPr>
        <w:t>SCADA</w:t>
      </w:r>
      <w:r>
        <w:rPr>
          <w:rFonts w:hint="eastAsia" w:ascii="宋体" w:hAnsi="宋体" w:eastAsia="仿宋_GB2312"/>
          <w:sz w:val="32"/>
          <w:szCs w:val="32"/>
          <w:shd w:val="clear" w:color="auto" w:fill="FFFFFF"/>
        </w:rPr>
        <w:t>）系统和基本过程控制系统、安全仪表系统、单井井口安全控制系统、管道泄漏检测系统、气体检测和报警系统、火灾报警系统、站控制室的设置以及其他安全措施的要求。其中，按照《油气田及管道工程仪表控制系统设计规范》（</w:t>
      </w:r>
      <w:r>
        <w:rPr>
          <w:rFonts w:hint="eastAsia" w:ascii="宋体" w:hAnsi="宋体"/>
          <w:sz w:val="32"/>
          <w:szCs w:val="32"/>
          <w:shd w:val="clear" w:color="auto" w:fill="FFFFFF"/>
        </w:rPr>
        <w:t>SY/T 7700-2023</w:t>
      </w:r>
      <w:r>
        <w:rPr>
          <w:rFonts w:hint="eastAsia" w:ascii="宋体" w:hAnsi="宋体" w:eastAsia="仿宋_GB2312"/>
          <w:sz w:val="32"/>
          <w:szCs w:val="32"/>
          <w:shd w:val="clear" w:color="auto" w:fill="FFFFFF"/>
        </w:rPr>
        <w:t>）、《油气田及管道工程计算机控制系统设计规范》（</w:t>
      </w:r>
      <w:r>
        <w:rPr>
          <w:rFonts w:hint="eastAsia" w:ascii="宋体" w:hAnsi="宋体"/>
          <w:sz w:val="32"/>
          <w:szCs w:val="32"/>
          <w:shd w:val="clear" w:color="auto" w:fill="FFFFFF"/>
        </w:rPr>
        <w:t>SY/T 7628-2021</w:t>
      </w:r>
      <w:r>
        <w:rPr>
          <w:rFonts w:hint="eastAsia" w:ascii="宋体" w:hAnsi="宋体" w:eastAsia="仿宋_GB2312"/>
          <w:sz w:val="32"/>
          <w:szCs w:val="32"/>
          <w:shd w:val="clear" w:color="auto" w:fill="FFFFFF"/>
        </w:rPr>
        <w:t>）标准，提出了</w:t>
      </w:r>
      <w:r>
        <w:rPr>
          <w:rFonts w:hint="eastAsia" w:ascii="宋体" w:hAnsi="宋体"/>
          <w:sz w:val="32"/>
          <w:szCs w:val="32"/>
          <w:shd w:val="clear" w:color="auto" w:fill="FFFFFF"/>
        </w:rPr>
        <w:t>SCADA</w:t>
      </w:r>
      <w:r>
        <w:rPr>
          <w:rFonts w:hint="eastAsia" w:ascii="宋体" w:hAnsi="宋体" w:eastAsia="仿宋_GB2312"/>
          <w:sz w:val="32"/>
          <w:szCs w:val="32"/>
          <w:shd w:val="clear" w:color="auto" w:fill="FFFFFF"/>
        </w:rPr>
        <w:t>系统及基本过程控制系统的系统结构、报警及联锁保护，系统间的网络安全防护及设置、通信中断处理等要求；按照《输油气管道工程安全仪表系统设计规范》（</w:t>
      </w:r>
      <w:r>
        <w:rPr>
          <w:rFonts w:hint="eastAsia" w:ascii="宋体" w:hAnsi="宋体"/>
          <w:sz w:val="32"/>
          <w:szCs w:val="32"/>
          <w:shd w:val="clear" w:color="auto" w:fill="FFFFFF"/>
        </w:rPr>
        <w:t>SY/T 6966-2023</w:t>
      </w:r>
      <w:r>
        <w:rPr>
          <w:rFonts w:hint="eastAsia" w:ascii="宋体" w:hAnsi="宋体" w:eastAsia="仿宋_GB2312"/>
          <w:sz w:val="32"/>
          <w:szCs w:val="32"/>
          <w:shd w:val="clear" w:color="auto" w:fill="FFFFFF"/>
        </w:rPr>
        <w:t>）、《油气田及管道工程计算机控制系统设计规范》（</w:t>
      </w:r>
      <w:r>
        <w:rPr>
          <w:rFonts w:hint="eastAsia" w:ascii="宋体" w:hAnsi="宋体"/>
          <w:sz w:val="32"/>
          <w:szCs w:val="32"/>
          <w:shd w:val="clear" w:color="auto" w:fill="FFFFFF"/>
        </w:rPr>
        <w:t>SY/T 7628-2021</w:t>
      </w:r>
      <w:r>
        <w:rPr>
          <w:rFonts w:hint="eastAsia" w:ascii="宋体" w:hAnsi="宋体" w:eastAsia="仿宋_GB2312"/>
          <w:sz w:val="32"/>
          <w:szCs w:val="32"/>
          <w:shd w:val="clear" w:color="auto" w:fill="FFFFFF"/>
        </w:rPr>
        <w:t>）标准，规定了集注/配站、井场等安全仪表系统的安全措施，包括安全仪表系统</w:t>
      </w:r>
      <w:r>
        <w:rPr>
          <w:rFonts w:hint="eastAsia" w:ascii="宋体" w:hAnsi="宋体"/>
          <w:sz w:val="32"/>
          <w:szCs w:val="32"/>
          <w:shd w:val="clear" w:color="auto" w:fill="FFFFFF"/>
        </w:rPr>
        <w:t>SIF</w:t>
      </w:r>
      <w:r>
        <w:rPr>
          <w:rFonts w:hint="eastAsia" w:ascii="宋体" w:hAnsi="宋体" w:eastAsia="仿宋_GB2312"/>
          <w:sz w:val="32"/>
          <w:szCs w:val="32"/>
          <w:shd w:val="clear" w:color="auto" w:fill="FFFFFF"/>
        </w:rPr>
        <w:t>回路、安全联锁关断级别、报警的设置等；单井井口安全控制系统规定了系统配置、关断触发条件及结果、与站控系统的联锁的要求；对设置了管道泄漏检测系统的管道，提出泄漏检测系统软硬件配置、检测原理、定位精度、灵敏度、响应时间、报警管理等安全措施要求；按照《石油天然气工程可燃气体和有毒气体检测报警系统安全规范》（</w:t>
      </w:r>
      <w:r>
        <w:rPr>
          <w:rFonts w:hint="eastAsia" w:ascii="宋体" w:hAnsi="宋体"/>
          <w:sz w:val="32"/>
          <w:szCs w:val="32"/>
          <w:shd w:val="clear" w:color="auto" w:fill="FFFFFF"/>
        </w:rPr>
        <w:t>SY/T 6503-2022</w:t>
      </w:r>
      <w:r>
        <w:rPr>
          <w:rFonts w:hint="eastAsia" w:ascii="宋体" w:hAnsi="宋体" w:eastAsia="仿宋_GB2312"/>
          <w:sz w:val="32"/>
          <w:szCs w:val="32"/>
          <w:shd w:val="clear" w:color="auto" w:fill="FFFFFF"/>
        </w:rPr>
        <w:t xml:space="preserve">）标准规定了气体检测和报警系统设置、报警联锁、探测器设置原则、选型、数量及安装位置等；按照《火灾自动报警系统设计规范》（GB </w:t>
      </w:r>
      <w:r>
        <w:rPr>
          <w:rFonts w:hint="eastAsia" w:ascii="宋体" w:hAnsi="宋体"/>
          <w:sz w:val="32"/>
          <w:szCs w:val="32"/>
          <w:shd w:val="clear" w:color="auto" w:fill="FFFFFF"/>
        </w:rPr>
        <w:t>50116-2013</w:t>
      </w:r>
      <w:r>
        <w:rPr>
          <w:rFonts w:hint="eastAsia" w:ascii="宋体" w:hAnsi="宋体" w:eastAsia="仿宋_GB2312"/>
          <w:sz w:val="32"/>
          <w:szCs w:val="32"/>
          <w:shd w:val="clear" w:color="auto" w:fill="FFFFFF"/>
        </w:rPr>
        <w:t>）标准，规定了火灾自动报警系统设置、报警联锁、探测器和报警器设置选型及安装位置、消防联动控制系统的设置、功能及触发条件以及联锁控制等；按照《石油天然气工程设计防火规范》（</w:t>
      </w:r>
      <w:r>
        <w:rPr>
          <w:rFonts w:hint="eastAsia" w:ascii="宋体" w:hAnsi="宋体"/>
          <w:sz w:val="32"/>
          <w:szCs w:val="32"/>
          <w:shd w:val="clear" w:color="auto" w:fill="FFFFFF"/>
        </w:rPr>
        <w:t>GB 50183-2004）</w:t>
      </w:r>
      <w:r>
        <w:rPr>
          <w:rFonts w:hint="eastAsia" w:ascii="宋体" w:hAnsi="宋体" w:eastAsia="仿宋_GB2312"/>
          <w:sz w:val="32"/>
          <w:szCs w:val="32"/>
          <w:shd w:val="clear" w:color="auto" w:fill="FFFFFF"/>
        </w:rPr>
        <w:t>、《油气田及管道工程计算机控制系统设计规范》（</w:t>
      </w:r>
      <w:r>
        <w:rPr>
          <w:rFonts w:hint="eastAsia" w:ascii="宋体" w:hAnsi="宋体"/>
          <w:sz w:val="32"/>
          <w:szCs w:val="32"/>
          <w:shd w:val="clear" w:color="auto" w:fill="FFFFFF"/>
        </w:rPr>
        <w:t>SY/T 7628-2021</w:t>
      </w:r>
      <w:r>
        <w:rPr>
          <w:rFonts w:hint="eastAsia" w:ascii="宋体" w:hAnsi="宋体" w:eastAsia="仿宋_GB2312"/>
          <w:sz w:val="32"/>
          <w:szCs w:val="32"/>
          <w:shd w:val="clear" w:color="auto" w:fill="FFFFFF"/>
        </w:rPr>
        <w:t>）标准，规定了站控制室的设置；此外，还要求了仪表设备防爆及防护等级、保温伴热的安全措施、仪表接地系统的电阻要求、用电仪表的供电电源类型、电压等级、</w:t>
      </w:r>
      <w:r>
        <w:rPr>
          <w:rFonts w:hint="eastAsia" w:ascii="宋体" w:hAnsi="宋体"/>
          <w:sz w:val="32"/>
          <w:szCs w:val="32"/>
          <w:shd w:val="clear" w:color="auto" w:fill="FFFFFF"/>
        </w:rPr>
        <w:t>UPS</w:t>
      </w:r>
      <w:r>
        <w:rPr>
          <w:rFonts w:hint="eastAsia" w:ascii="宋体" w:hAnsi="宋体" w:eastAsia="仿宋_GB2312"/>
          <w:sz w:val="32"/>
          <w:szCs w:val="32"/>
          <w:shd w:val="clear" w:color="auto" w:fill="FFFFFF"/>
        </w:rPr>
        <w:t>电源后备时间等其他安全措施。</w:t>
      </w:r>
    </w:p>
    <w:p w14:paraId="09362B4D">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公用工程方面，规定了供配电、通信、热工、通风、建（构）筑物等安全措施。按照《供配电系统设计规范》（GB 50052-2009）、《油气田变配电设计规范》（SY/T 0033-2020）等标准，规定了应急电源的设置要求；按照《石油设施电气设备场所0区、1区和2区的分类推荐作法》（SY/T 6671-2017）、《爆炸危险环境电力装置设计规范》（GB 50058-2014）、《建筑防火通用规范》（GB 55037-2022）、《建筑设计防火规范》（GB 50016-2024）等标准，规定了爆炸危险区域划分、爆炸和火灾危险场所防爆防火措施；按照《建筑防火通用规范》（GB 55037-2022）、《石油天然气工程设计防火规范》（GB 50183-2004）、《消防应急照明和疏散指示系统技术标准》（GB 51309-2018）等标准，规定了应急照明设置要求；按照《交流电气装置的过电压保护和绝缘配合设计规范》（GB 50064-2014）、《交流电气装置的接地设计规范》（GB 50065-2011）、《油气田及管道工程雷电防护设计规范》（SY/T 6885-2020）、《建筑物防雷设计规范》（GB 50057-2010）等标准，规定了工艺设施、建（构）筑物、电气设施等采取相应防雷、防静电措施的要求；按照《低压配电设计规范》（GB 50054-2011）、《</w:t>
      </w:r>
      <w:r>
        <w:rPr>
          <w:rFonts w:ascii="宋体" w:hAnsi="宋体"/>
        </w:rPr>
        <w:fldChar w:fldCharType="begin"/>
      </w:r>
      <w:r>
        <w:rPr>
          <w:rFonts w:ascii="宋体" w:hAnsi="宋体"/>
        </w:rPr>
        <w:instrText xml:space="preserve"> HYPERLINK "https://www.baidu.com/link?url=HnRFAv8wjqeOBG8hIW08TrWvbmJQFCQWFo439t-elh0-2lbG8rIIB2_IBuuexXoc3cT1gd5k1hochdX_AU0u0K&amp;wd=&amp;eqid=b800140300074b2d0000000267dccfba" </w:instrText>
      </w:r>
      <w:r>
        <w:rPr>
          <w:rFonts w:ascii="宋体" w:hAnsi="宋体"/>
        </w:rPr>
        <w:fldChar w:fldCharType="separate"/>
      </w:r>
      <w:r>
        <w:rPr>
          <w:rFonts w:hint="eastAsia" w:ascii="宋体" w:hAnsi="宋体" w:eastAsia="仿宋_GB2312"/>
          <w:sz w:val="32"/>
          <w:szCs w:val="32"/>
          <w:shd w:val="clear" w:color="auto" w:fill="FFFFFF"/>
        </w:rPr>
        <w:t>3</w:t>
      </w:r>
      <w:r>
        <w:rPr>
          <w:rFonts w:hint="eastAsia" w:ascii="宋体" w:hAnsi="宋体" w:eastAsia="仿宋_GB2312"/>
          <w:sz w:val="32"/>
          <w:szCs w:val="32"/>
          <w:shd w:val="clear" w:color="auto" w:fill="FFFFFF"/>
          <w:lang w:val="en-US" w:eastAsia="zh-CN"/>
        </w:rPr>
        <w:t>-</w:t>
      </w:r>
      <w:r>
        <w:rPr>
          <w:rFonts w:hint="eastAsia" w:ascii="宋体" w:hAnsi="宋体" w:eastAsia="仿宋_GB2312"/>
          <w:sz w:val="32"/>
          <w:szCs w:val="32"/>
          <w:shd w:val="clear" w:color="auto" w:fill="FFFFFF"/>
        </w:rPr>
        <w:t>110KV 高压配电装置设计规范</w:t>
      </w:r>
      <w:r>
        <w:rPr>
          <w:rFonts w:hint="eastAsia" w:ascii="宋体" w:hAnsi="宋体" w:eastAsia="仿宋_GB2312"/>
          <w:sz w:val="32"/>
          <w:szCs w:val="32"/>
          <w:shd w:val="clear" w:color="auto" w:fill="FFFFFF"/>
        </w:rPr>
        <w:fldChar w:fldCharType="end"/>
      </w:r>
      <w:r>
        <w:rPr>
          <w:rFonts w:hint="eastAsia" w:ascii="宋体" w:hAnsi="宋体" w:eastAsia="仿宋_GB2312"/>
          <w:sz w:val="32"/>
          <w:szCs w:val="32"/>
          <w:shd w:val="clear" w:color="auto" w:fill="FFFFFF"/>
        </w:rPr>
        <w:t>》（GB 50060-2008）等标准，规定了电击防护措施的要求；按照《公共广播系统工程技术规范》（GB 50526-2010）等标准，规定了电话系统、</w:t>
      </w:r>
      <w:r>
        <w:rPr>
          <w:rFonts w:ascii="宋体" w:hAnsi="宋体"/>
        </w:rPr>
        <w:fldChar w:fldCharType="begin"/>
      </w:r>
      <w:r>
        <w:rPr>
          <w:rFonts w:ascii="宋体" w:hAnsi="宋体"/>
        </w:rPr>
        <w:instrText xml:space="preserve"> HYPERLINK "http://www.baidu.com/link?url=jautkBhnwieTYxPpJRvNX1_8Cusbc4rCvMQNBKrwYcuLGxNmjh9OUPMcibbgcctZxacnZvbkkleH0oeesub4K8RUmafSjl4hPWkDMsCovjDZEy4DM5ti57RM0xdqwAeiiT9Zx4K8MaoemsZuty51yyMU2k1471XGvpeJ1v_GX5Du1aAZ5a12KMuZmLY1AbG9pogu-GioU8BQTdEIyXhdhEiiTOndKlwsOkJ1DM1I_wat1zBop1cD1Ku4PV_xFZji9jhNFn56d6JU8gRBL88IBL1xk_V70r5Qi6Ihh0LiOPfT-IWmzteo0vAlcDpm9S6rtA-1RSvkKnxNYeXVrU1bSyAqOR8-70HngM4M9OWEtxtAVX0Wm9D5VTAaTl9yxl7Qq0iFGaFRbvSdwVYOoQLYZySjVvUUs6-rENMoHsC1hV10tBvj0EKercILFsh6-DSEanCD1ZIxuHxSopLmnOGF1ECJ0yTrLMSY7SYgdhAIO8WZSyz36-BKSGSNuJYUQ8KPwt9aHd8kJfr7irts5WxKWYvOp3lgwpV6WDW2o3rXMcPfKYbbhLPT7EatVBlim-_zekvJgbzAZL50-Pgtbwko3-Q2_m_z9Z3tFeWw16VwaIkDB4FP3iQVTxskEkDTSd6sw_MQfmjxNqVOwFSmWe8DEngsvJCONt1vCe0sYe-rQ4KHD5eLDU9gDkWakBA2A8yG-ar7Z4Xta-qPpvsPmpHzKWvRRwwTVZaf5BUuGI-j_r95hEjnmrsU0XoLZn4r_WHGLfSPfnDuykZ3xHpWwC0CQDlHbKyhst7zfK9BSVyNM1MVwMakqpjVAoOqN7wgYZoL" </w:instrText>
      </w:r>
      <w:r>
        <w:rPr>
          <w:rFonts w:ascii="宋体" w:hAnsi="宋体"/>
        </w:rPr>
        <w:fldChar w:fldCharType="separate"/>
      </w:r>
      <w:r>
        <w:rPr>
          <w:rFonts w:hint="eastAsia" w:ascii="宋体" w:hAnsi="宋体" w:eastAsia="仿宋_GB2312"/>
          <w:sz w:val="32"/>
          <w:szCs w:val="32"/>
          <w:shd w:val="clear" w:color="auto" w:fill="FFFFFF"/>
        </w:rPr>
        <w:t>扩音对讲及广播系统、应急通信系统的设施要求；按照《锅炉房设计标准》（GB 50041-2020）、《</w:t>
      </w:r>
      <w:r>
        <w:rPr>
          <w:rFonts w:hint="eastAsia" w:ascii="宋体" w:hAnsi="宋体" w:eastAsia="仿宋_GB2312"/>
          <w:sz w:val="32"/>
          <w:szCs w:val="32"/>
          <w:shd w:val="clear" w:color="auto" w:fill="FFFFFF"/>
        </w:rPr>
        <w:fldChar w:fldCharType="end"/>
      </w:r>
      <w:r>
        <w:rPr>
          <w:rFonts w:ascii="宋体" w:hAnsi="宋体"/>
        </w:rPr>
        <w:fldChar w:fldCharType="begin"/>
      </w:r>
      <w:r>
        <w:rPr>
          <w:rFonts w:ascii="宋体" w:hAnsi="宋体"/>
        </w:rPr>
        <w:instrText xml:space="preserve"> HYPERLINK "https://www.baidu.com/link?url=SU9aJfFUwFFgpwlolQ7REGe2qMoCB33rlOj6ZRYOHBdzaFgme7icop9t1GDCYbG_ojlnoOkXXAT3KRFD5W9mxa&amp;wd=&amp;eqid=d23c65e8000009ba0000000267dcd0fc" </w:instrText>
      </w:r>
      <w:r>
        <w:rPr>
          <w:rFonts w:ascii="宋体" w:hAnsi="宋体"/>
        </w:rPr>
        <w:fldChar w:fldCharType="separate"/>
      </w:r>
      <w:r>
        <w:rPr>
          <w:rFonts w:hint="eastAsia" w:ascii="宋体" w:hAnsi="宋体" w:eastAsia="仿宋_GB2312"/>
          <w:sz w:val="32"/>
          <w:szCs w:val="32"/>
          <w:shd w:val="clear" w:color="auto" w:fill="FFFFFF"/>
        </w:rPr>
        <w:t>锅炉用液体和气体燃料燃烧器技术条件</w:t>
      </w:r>
      <w:r>
        <w:rPr>
          <w:rFonts w:hint="eastAsia" w:ascii="宋体" w:hAnsi="宋体" w:eastAsia="仿宋_GB2312"/>
          <w:sz w:val="32"/>
          <w:szCs w:val="32"/>
          <w:shd w:val="clear" w:color="auto" w:fill="FFFFFF"/>
        </w:rPr>
        <w:fldChar w:fldCharType="end"/>
      </w:r>
      <w:r>
        <w:rPr>
          <w:rFonts w:hint="eastAsia" w:ascii="宋体" w:hAnsi="宋体" w:eastAsia="仿宋_GB2312"/>
          <w:sz w:val="32"/>
          <w:szCs w:val="32"/>
          <w:shd w:val="clear" w:color="auto" w:fill="FFFFFF"/>
        </w:rPr>
        <w:t>》（GB/T 36699-2018）、《导热油加热炉系统规范》（SY/T 0524-2016）等，规定了热工的安全措施；按照《工业建筑供暖通风与空气调节设计规范》（GB 50019-2015）、《石油天然气地面建设工程供暖通风与空气调节设计规范》（SY/T 7021-2014）、《建筑防火通用规范》（GB 55037-2022）等标准，规定了防排烟区域及形式、防排烟系统具体设置等；按照《火灾自动报警系统设计规范》（GB 50116-2013）、《建筑防烟排烟系统技术标准》（GB 51251-2017）等，规定了建（构）筑物防火分区、安全出口及安全疏散距离，建构筑物设置的防火、泄爆、抗爆、排烟、防腐等安全措施，按照《建筑抗震设计标准》（GB/T 50011-2010）、《建筑工程抗震设防分类标准》（GB 50223-2008）等标准，规定了建（构）筑物的抗震设防烈度、抗震设防分类、结构抗震等级、结构形式及采用的抗震构造等措施，并按照《湿陷性黄土地区建筑标准》（GB 50025-2018）等标准，规定了液化土、湿陷性黄土、盐渍土、膨胀岩土、厚填土、淤泥、溶洞等不良地质土层的地基处理方案和采取的安全措施。</w:t>
      </w:r>
    </w:p>
    <w:p w14:paraId="2E806B6F">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防腐及绝热方面，规定了防腐、绝热的安全措施。其中，按照《钢制管道外腐蚀控制规范》（</w:t>
      </w:r>
      <w:r>
        <w:rPr>
          <w:rFonts w:hint="eastAsia" w:ascii="宋体" w:hAnsi="宋体"/>
          <w:sz w:val="32"/>
          <w:szCs w:val="32"/>
          <w:shd w:val="clear" w:color="auto" w:fill="FFFFFF"/>
        </w:rPr>
        <w:t>GB/T 21447-2018</w:t>
      </w:r>
      <w:r>
        <w:rPr>
          <w:rFonts w:hint="eastAsia" w:ascii="宋体" w:hAnsi="宋体" w:eastAsia="仿宋_GB2312"/>
          <w:sz w:val="32"/>
          <w:szCs w:val="32"/>
          <w:shd w:val="clear" w:color="auto" w:fill="FFFFFF"/>
        </w:rPr>
        <w:t>）、《埋地钢质管道防腐保温层技术规范》（</w:t>
      </w:r>
      <w:r>
        <w:rPr>
          <w:rFonts w:hint="eastAsia" w:ascii="宋体" w:hAnsi="宋体"/>
          <w:sz w:val="32"/>
          <w:szCs w:val="32"/>
          <w:shd w:val="clear" w:color="auto" w:fill="FFFFFF"/>
        </w:rPr>
        <w:t>GB/T 50538-2020</w:t>
      </w:r>
      <w:r>
        <w:rPr>
          <w:rFonts w:hint="eastAsia" w:ascii="宋体" w:hAnsi="宋体" w:eastAsia="仿宋_GB2312"/>
          <w:sz w:val="32"/>
          <w:szCs w:val="32"/>
          <w:shd w:val="clear" w:color="auto" w:fill="FFFFFF"/>
        </w:rPr>
        <w:t>）等标准，规定了线路管道防腐方案的要求；按照《钢制管道外腐蚀控制规范》（</w:t>
      </w:r>
      <w:r>
        <w:rPr>
          <w:rFonts w:hint="eastAsia" w:ascii="宋体" w:hAnsi="宋体"/>
          <w:sz w:val="32"/>
          <w:szCs w:val="32"/>
          <w:shd w:val="clear" w:color="auto" w:fill="FFFFFF"/>
        </w:rPr>
        <w:t>GB/T 21447-2018）</w:t>
      </w:r>
      <w:r>
        <w:rPr>
          <w:rFonts w:hint="eastAsia" w:ascii="宋体" w:hAnsi="宋体" w:eastAsia="仿宋_GB2312"/>
          <w:sz w:val="32"/>
          <w:szCs w:val="32"/>
          <w:shd w:val="clear" w:color="auto" w:fill="FFFFFF"/>
        </w:rPr>
        <w:t>、《钢质储罐防腐层技术规范》（</w:t>
      </w:r>
      <w:r>
        <w:rPr>
          <w:rFonts w:hint="eastAsia" w:ascii="宋体" w:hAnsi="宋体"/>
          <w:sz w:val="32"/>
          <w:szCs w:val="32"/>
          <w:shd w:val="clear" w:color="auto" w:fill="FFFFFF"/>
        </w:rPr>
        <w:t>SY/T 0319-2021</w:t>
      </w:r>
      <w:r>
        <w:rPr>
          <w:rFonts w:hint="eastAsia" w:ascii="宋体" w:hAnsi="宋体" w:eastAsia="仿宋_GB2312"/>
          <w:sz w:val="32"/>
          <w:szCs w:val="32"/>
          <w:shd w:val="clear" w:color="auto" w:fill="FFFFFF"/>
        </w:rPr>
        <w:t>）等标准，规定了站场/井场内管道及设备防腐方案，包括站场/井场内管道及设备的防腐层方案、补口方案等；按照《钢质管道内腐蚀控制规范》（</w:t>
      </w:r>
      <w:r>
        <w:rPr>
          <w:rFonts w:hint="eastAsia" w:ascii="宋体" w:hAnsi="宋体"/>
          <w:sz w:val="32"/>
          <w:szCs w:val="32"/>
          <w:shd w:val="clear" w:color="auto" w:fill="FFFFFF"/>
        </w:rPr>
        <w:t>GB/T 23258-2020</w:t>
      </w:r>
      <w:r>
        <w:rPr>
          <w:rFonts w:hint="eastAsia" w:ascii="宋体" w:hAnsi="宋体" w:eastAsia="仿宋_GB2312"/>
          <w:sz w:val="32"/>
          <w:szCs w:val="32"/>
          <w:shd w:val="clear" w:color="auto" w:fill="FFFFFF"/>
        </w:rPr>
        <w:t>）、《气田集输设计规范》（</w:t>
      </w:r>
      <w:r>
        <w:rPr>
          <w:rFonts w:hint="eastAsia" w:ascii="宋体" w:hAnsi="宋体"/>
          <w:sz w:val="32"/>
          <w:szCs w:val="32"/>
          <w:shd w:val="clear" w:color="auto" w:fill="FFFFFF"/>
        </w:rPr>
        <w:t>GB 50349-2015</w:t>
      </w:r>
      <w:r>
        <w:rPr>
          <w:rFonts w:hint="eastAsia" w:ascii="宋体" w:hAnsi="宋体" w:eastAsia="仿宋_GB2312"/>
          <w:sz w:val="32"/>
          <w:szCs w:val="32"/>
          <w:shd w:val="clear" w:color="auto" w:fill="FFFFFF"/>
        </w:rPr>
        <w:t>）等，规定了管道内腐蚀控制方案；按照《钢制管道外腐蚀控制规范》（</w:t>
      </w:r>
      <w:r>
        <w:rPr>
          <w:rFonts w:hint="eastAsia" w:ascii="宋体" w:hAnsi="宋体"/>
          <w:sz w:val="32"/>
          <w:szCs w:val="32"/>
          <w:shd w:val="clear" w:color="auto" w:fill="FFFFFF"/>
        </w:rPr>
        <w:t>GB/T 21447-2018</w:t>
      </w:r>
      <w:r>
        <w:rPr>
          <w:rFonts w:hint="eastAsia" w:ascii="宋体" w:hAnsi="宋体" w:eastAsia="仿宋_GB2312"/>
          <w:sz w:val="32"/>
          <w:szCs w:val="32"/>
          <w:shd w:val="clear" w:color="auto" w:fill="FFFFFF"/>
        </w:rPr>
        <w:t>）、《埋地钢质管道阴极保护技术规范》（</w:t>
      </w:r>
      <w:r>
        <w:rPr>
          <w:rFonts w:hint="eastAsia" w:ascii="宋体" w:hAnsi="宋体"/>
          <w:sz w:val="32"/>
          <w:szCs w:val="32"/>
          <w:shd w:val="clear" w:color="auto" w:fill="FFFFFF"/>
        </w:rPr>
        <w:t>GB/T 21448-2017</w:t>
      </w:r>
      <w:r>
        <w:rPr>
          <w:rFonts w:hint="eastAsia" w:ascii="宋体" w:hAnsi="宋体" w:eastAsia="仿宋_GB2312"/>
          <w:sz w:val="32"/>
          <w:szCs w:val="32"/>
          <w:shd w:val="clear" w:color="auto" w:fill="FFFFFF"/>
        </w:rPr>
        <w:t>）、《钢质储罐、容器内部阴极报价技术规范》等标准，规定了线路管道阴极保护方案、站场/井场内阴极保护方案的要求；按照《工业设备及管道绝热工程设计规范》（</w:t>
      </w:r>
      <w:r>
        <w:rPr>
          <w:rFonts w:hint="eastAsia" w:ascii="宋体" w:hAnsi="宋体"/>
          <w:sz w:val="32"/>
          <w:szCs w:val="32"/>
          <w:shd w:val="clear" w:color="auto" w:fill="FFFFFF"/>
        </w:rPr>
        <w:t>GB 50264-2013</w:t>
      </w:r>
      <w:r>
        <w:rPr>
          <w:rFonts w:hint="eastAsia" w:ascii="宋体" w:hAnsi="宋体" w:eastAsia="仿宋_GB2312"/>
          <w:sz w:val="32"/>
          <w:szCs w:val="32"/>
          <w:shd w:val="clear" w:color="auto" w:fill="FFFFFF"/>
        </w:rPr>
        <w:t>）、《埋地钢质管道防腐保温层技术标准》（</w:t>
      </w:r>
      <w:r>
        <w:rPr>
          <w:rFonts w:hint="eastAsia" w:ascii="宋体" w:hAnsi="宋体"/>
          <w:sz w:val="32"/>
          <w:szCs w:val="32"/>
          <w:shd w:val="clear" w:color="auto" w:fill="FFFFFF"/>
        </w:rPr>
        <w:t>GB/T 50538-2020</w:t>
      </w:r>
      <w:r>
        <w:rPr>
          <w:rFonts w:hint="eastAsia" w:ascii="宋体" w:hAnsi="宋体" w:eastAsia="仿宋_GB2312"/>
          <w:sz w:val="32"/>
          <w:szCs w:val="32"/>
          <w:shd w:val="clear" w:color="auto" w:fill="FFFFFF"/>
        </w:rPr>
        <w:t>）等标准，规定了线路管道绝热、工艺站场/井场管道及设备绝热方案。</w:t>
      </w:r>
    </w:p>
    <w:p w14:paraId="6339DC26">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此外，规定了防范其他危险、危害因素的安全措施，包括防噪声、防机械伤害、物体打击高处坠落、自然灾害的措施，周边防范的安全措施，目视化及安全标识的安全措施等。</w:t>
      </w:r>
    </w:p>
    <w:p w14:paraId="5210F185">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逃生及救生方面，按照《个体防护装备配备规范 第2部分：石油、化工、天然气》（</w:t>
      </w:r>
      <w:r>
        <w:rPr>
          <w:rFonts w:hint="eastAsia" w:ascii="宋体" w:hAnsi="宋体"/>
          <w:sz w:val="32"/>
          <w:szCs w:val="32"/>
          <w:shd w:val="clear" w:color="auto" w:fill="FFFFFF"/>
        </w:rPr>
        <w:t>GB 39800.2-2020</w:t>
      </w:r>
      <w:r>
        <w:rPr>
          <w:rFonts w:hint="eastAsia" w:ascii="宋体" w:hAnsi="宋体" w:eastAsia="仿宋_GB2312"/>
          <w:sz w:val="32"/>
          <w:szCs w:val="32"/>
          <w:shd w:val="clear" w:color="auto" w:fill="FFFFFF"/>
        </w:rPr>
        <w:t>）、《石油天然气作业场所劳动防护用品配备规范》（</w:t>
      </w:r>
      <w:r>
        <w:rPr>
          <w:rFonts w:hint="eastAsia" w:ascii="宋体" w:hAnsi="宋体"/>
          <w:sz w:val="32"/>
          <w:szCs w:val="32"/>
          <w:shd w:val="clear" w:color="auto" w:fill="FFFFFF"/>
        </w:rPr>
        <w:t>SY/T 6524-2017</w:t>
      </w:r>
      <w:r>
        <w:rPr>
          <w:rFonts w:hint="eastAsia" w:ascii="宋体" w:hAnsi="宋体" w:eastAsia="仿宋_GB2312"/>
          <w:sz w:val="32"/>
          <w:szCs w:val="32"/>
          <w:shd w:val="clear" w:color="auto" w:fill="FFFFFF"/>
        </w:rPr>
        <w:t>）标准，规定了人员逃生和救生的安全措施，以及逃生所需安全防护物资。</w:t>
      </w:r>
    </w:p>
    <w:p w14:paraId="774C584A">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安全管理</w:t>
      </w:r>
    </w:p>
    <w:p w14:paraId="27B01AB3">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参照《安全生产法》关于安全管理的相关要求，对安全管理机构设置和人员配置、安全教育和培训、劳动防护用品和装备、抢（维）修设备配备、应急机构及配置等提出了具体的要求。</w:t>
      </w:r>
    </w:p>
    <w:p w14:paraId="5F30CD06">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专用投资概算</w:t>
      </w:r>
    </w:p>
    <w:p w14:paraId="40D23065">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规定了列出工程概算总投资，说明用于安全设施专项投资及其占总投资的比例，包括预防事故设施、控制事故设施、消减事故及影响设施的费用。</w:t>
      </w:r>
    </w:p>
    <w:p w14:paraId="42ABA77E">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主要结论和建议</w:t>
      </w:r>
    </w:p>
    <w:p w14:paraId="4B3192E1">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规定了安全设施设计结论的内容，并提出对施工图设计、建设施工、生产运行有针对性的建议。</w:t>
      </w:r>
    </w:p>
    <w:p w14:paraId="25C1868D">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安全设施设计格式要求</w:t>
      </w:r>
    </w:p>
    <w:p w14:paraId="5AB465BA">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规定了安全设施设计的结构、纸张排版、印刷和封装的要求。</w:t>
      </w:r>
    </w:p>
    <w:p w14:paraId="6FCF97E6">
      <w:pPr>
        <w:numPr>
          <w:ilvl w:val="0"/>
          <w:numId w:val="15"/>
        </w:num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附录</w:t>
      </w:r>
    </w:p>
    <w:p w14:paraId="32B438EE">
      <w:pPr>
        <w:spacing w:line="560" w:lineRule="exact"/>
        <w:ind w:firstLine="64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规定了安全设施分类、安全设施设计的表格、封面、扉页、校审人员名单格式等。</w:t>
      </w:r>
    </w:p>
    <w:p w14:paraId="1CD818C2">
      <w:pPr>
        <w:widowControl/>
        <w:spacing w:line="560" w:lineRule="exact"/>
        <w:ind w:firstLine="640" w:firstLineChars="200"/>
        <w:outlineLvl w:val="0"/>
        <w:rPr>
          <w:rFonts w:ascii="宋体" w:hAnsi="宋体" w:eastAsia="黑体"/>
          <w:sz w:val="32"/>
          <w:szCs w:val="32"/>
        </w:rPr>
      </w:pPr>
      <w:bookmarkStart w:id="274" w:name="_Toc195881912"/>
      <w:bookmarkStart w:id="275" w:name="_Toc193982963"/>
      <w:bookmarkStart w:id="276" w:name="_Toc193878431"/>
      <w:r>
        <w:rPr>
          <w:rFonts w:hint="eastAsia" w:ascii="宋体" w:hAnsi="宋体" w:eastAsia="黑体"/>
          <w:sz w:val="32"/>
          <w:szCs w:val="32"/>
        </w:rPr>
        <w:t>三、试验验证的分析、综述报告、技术经济论证，预期的经济效益、社会效益和生态效益。</w:t>
      </w:r>
      <w:bookmarkEnd w:id="274"/>
      <w:bookmarkEnd w:id="275"/>
      <w:bookmarkEnd w:id="276"/>
    </w:p>
    <w:p w14:paraId="72FEF73F">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通过制订该标准，可以规范地下储气库建设项目安全设施设计，</w:t>
      </w:r>
      <w:r>
        <w:rPr>
          <w:rFonts w:ascii="宋体" w:hAnsi="宋体" w:eastAsia="仿宋_GB2312"/>
          <w:sz w:val="32"/>
          <w:szCs w:val="32"/>
          <w:shd w:val="clear" w:color="auto" w:fill="FFFFFF"/>
        </w:rPr>
        <w:t>明确安全设施设计的内容、推荐的标准和编制的深度，</w:t>
      </w:r>
      <w:r>
        <w:rPr>
          <w:rFonts w:hint="eastAsia" w:ascii="宋体" w:hAnsi="宋体" w:eastAsia="仿宋_GB2312"/>
          <w:sz w:val="32"/>
          <w:szCs w:val="32"/>
          <w:shd w:val="clear" w:color="auto" w:fill="FFFFFF"/>
        </w:rPr>
        <w:t>减少设计过程中由于对条款理解不一致出现偏差，导致设计反复，提高工作效率。</w:t>
      </w:r>
      <w:r>
        <w:rPr>
          <w:rFonts w:ascii="宋体" w:hAnsi="宋体" w:eastAsia="仿宋_GB2312"/>
          <w:sz w:val="32"/>
          <w:szCs w:val="32"/>
          <w:shd w:val="clear" w:color="auto" w:fill="FFFFFF"/>
        </w:rPr>
        <w:t>本标准为补充行政审批的配套标准，</w:t>
      </w:r>
      <w:r>
        <w:rPr>
          <w:rFonts w:hint="eastAsia" w:ascii="宋体" w:hAnsi="宋体" w:eastAsia="仿宋_GB2312"/>
          <w:sz w:val="32"/>
          <w:szCs w:val="32"/>
          <w:shd w:val="clear" w:color="auto" w:fill="FFFFFF"/>
        </w:rPr>
        <w:t>为行政审批和安全监管提供依据。陆上石油天然气开采建设项目（地下储气库）安全设施设计的规范化，将为地下储气库的发展带来明显的经济效益和社会效益。</w:t>
      </w:r>
    </w:p>
    <w:p w14:paraId="63436B3B">
      <w:pPr>
        <w:widowControl/>
        <w:spacing w:line="560" w:lineRule="exact"/>
        <w:ind w:firstLine="640" w:firstLineChars="200"/>
        <w:outlineLvl w:val="0"/>
        <w:rPr>
          <w:rFonts w:ascii="宋体" w:hAnsi="宋体" w:eastAsia="黑体"/>
          <w:sz w:val="32"/>
          <w:szCs w:val="32"/>
        </w:rPr>
      </w:pPr>
      <w:bookmarkStart w:id="277" w:name="_Toc195881913"/>
      <w:bookmarkStart w:id="278" w:name="_Toc193982964"/>
      <w:bookmarkStart w:id="279" w:name="_Toc193878432"/>
      <w:r>
        <w:rPr>
          <w:rFonts w:hint="eastAsia" w:ascii="宋体" w:hAnsi="宋体" w:eastAsia="黑体"/>
          <w:sz w:val="32"/>
          <w:szCs w:val="32"/>
        </w:rPr>
        <w:t>四、与国际、国外同类标准技术内容的对比情况</w:t>
      </w:r>
      <w:bookmarkEnd w:id="277"/>
      <w:bookmarkEnd w:id="278"/>
      <w:bookmarkEnd w:id="279"/>
    </w:p>
    <w:p w14:paraId="475C7D8D">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通过对国外同类标准情况的调研，美国、加拿大、欧盟等国家针对不同类型储气库建设运行的特点，建立了适合本国特点的标准规范，涵盖选址、设计、建设、运行、监测、维护及废弃等全过程。但是，国外标准对各类储气库的安全设施设计方面侧重地质、井和井口，未对地面管道和站场安全设施设计提出要求，未提出工艺安全措施方面的要求，也没有安全设施设计专篇的编制与审查要求，其安全监管方式与我国完全不同。如《盐岩储气库的设计》《</w:t>
      </w:r>
      <w:r>
        <w:rPr>
          <w:rFonts w:hint="eastAsia" w:ascii="宋体" w:hAnsi="宋体"/>
          <w:sz w:val="32"/>
          <w:szCs w:val="32"/>
          <w:shd w:val="clear" w:color="auto" w:fill="FFFFFF"/>
        </w:rPr>
        <w:t>API RP 1114</w:t>
      </w:r>
      <w:r>
        <w:rPr>
          <w:rFonts w:hint="eastAsia" w:ascii="宋体" w:hAnsi="宋体" w:eastAsia="仿宋_GB2312"/>
          <w:sz w:val="32"/>
          <w:szCs w:val="32"/>
          <w:shd w:val="clear" w:color="auto" w:fill="FFFFFF"/>
        </w:rPr>
        <w:t>》对新建地下盐岩储气库的选址、建设、测试和封堵报废等方面进行了规范，不适用于天然气地下储气库；《水溶开采盐穴储气库的设计与操作》（</w:t>
      </w:r>
      <w:r>
        <w:rPr>
          <w:rFonts w:hint="eastAsia" w:ascii="宋体" w:hAnsi="宋体"/>
          <w:sz w:val="32"/>
          <w:szCs w:val="32"/>
          <w:shd w:val="clear" w:color="auto" w:fill="FFFFFF"/>
        </w:rPr>
        <w:t>API RP 1170</w:t>
      </w:r>
      <w:r>
        <w:rPr>
          <w:rFonts w:hint="eastAsia" w:ascii="宋体" w:hAnsi="宋体" w:eastAsia="仿宋_GB2312"/>
          <w:sz w:val="32"/>
          <w:szCs w:val="32"/>
          <w:shd w:val="clear" w:color="auto" w:fill="FFFFFF"/>
        </w:rPr>
        <w:t>）为用于天然气储存的盐穴设施提供了指导，侧重于设施地质力学评估、盐穴井设计和钻井、风险管理、水溶采矿技术和作业等；《枯竭油气藏和含水层储气库功能完整性》（</w:t>
      </w:r>
      <w:r>
        <w:rPr>
          <w:rFonts w:hint="eastAsia" w:ascii="宋体" w:hAnsi="宋体"/>
          <w:sz w:val="32"/>
          <w:szCs w:val="32"/>
          <w:shd w:val="clear" w:color="auto" w:fill="FFFFFF"/>
        </w:rPr>
        <w:t>API 1171</w:t>
      </w:r>
      <w:r>
        <w:rPr>
          <w:rFonts w:hint="eastAsia" w:ascii="宋体" w:hAnsi="宋体" w:eastAsia="仿宋_GB2312"/>
          <w:sz w:val="32"/>
          <w:szCs w:val="32"/>
          <w:shd w:val="clear" w:color="auto" w:fill="FFFFFF"/>
        </w:rPr>
        <w:t>）主要涉及储气井、储层和流体管理在设计、施工、作业、监测、维护和文件环节中的功能完整性；《碳氢化合物地下储库》（</w:t>
      </w:r>
      <w:r>
        <w:rPr>
          <w:rFonts w:hint="eastAsia" w:ascii="宋体" w:hAnsi="宋体"/>
          <w:sz w:val="32"/>
          <w:szCs w:val="32"/>
          <w:shd w:val="clear" w:color="auto" w:fill="FFFFFF"/>
        </w:rPr>
        <w:t>CAN/CSA-Z341</w:t>
      </w:r>
      <w:r>
        <w:rPr>
          <w:rFonts w:hint="eastAsia" w:ascii="宋体" w:hAnsi="宋体" w:eastAsia="仿宋_GB2312"/>
          <w:sz w:val="32"/>
          <w:szCs w:val="32"/>
          <w:shd w:val="clear" w:color="auto" w:fill="FFFFFF"/>
        </w:rPr>
        <w:t>）分别规定了储层型、盐穴型、矿洞型储气库的设计、建造、运行、维护、报废和安全的最低要求，对井口、采油树、地下部分、监测设备、控制和紧急停工安全设备提出了基本要求；《天然气供应系统-地下储气库》（</w:t>
      </w:r>
      <w:r>
        <w:rPr>
          <w:rFonts w:hint="eastAsia" w:ascii="宋体" w:hAnsi="宋体"/>
          <w:sz w:val="32"/>
          <w:szCs w:val="32"/>
          <w:shd w:val="clear" w:color="auto" w:fill="FFFFFF"/>
        </w:rPr>
        <w:t>EN 1918</w:t>
      </w:r>
      <w:r>
        <w:rPr>
          <w:rFonts w:hint="eastAsia" w:ascii="宋体" w:hAnsi="宋体" w:eastAsia="仿宋_GB2312"/>
          <w:sz w:val="32"/>
          <w:szCs w:val="32"/>
          <w:shd w:val="clear" w:color="auto" w:fill="FFFFFF"/>
        </w:rPr>
        <w:t>）规定了地下储气库的设计、施工、测试、运行、维护和废弃的基本要求，对地下设备到井口进行了规范。</w:t>
      </w:r>
    </w:p>
    <w:p w14:paraId="6F852E17">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我国在储气库安全方面的标准主要有《油气藏型地下储气库安全技术规程》（</w:t>
      </w:r>
      <w:r>
        <w:rPr>
          <w:rFonts w:hint="eastAsia" w:ascii="宋体" w:hAnsi="宋体"/>
          <w:sz w:val="32"/>
          <w:szCs w:val="32"/>
          <w:shd w:val="clear" w:color="auto" w:fill="FFFFFF"/>
        </w:rPr>
        <w:t>SY/T 6805-2017</w:t>
      </w:r>
      <w:r>
        <w:rPr>
          <w:rFonts w:hint="eastAsia" w:ascii="宋体" w:hAnsi="宋体" w:eastAsia="仿宋_GB2312"/>
          <w:sz w:val="32"/>
          <w:szCs w:val="32"/>
          <w:shd w:val="clear" w:color="auto" w:fill="FFFFFF"/>
        </w:rPr>
        <w:t>）、《盐穴地下储气库安全技术规程》（</w:t>
      </w:r>
      <w:r>
        <w:rPr>
          <w:rFonts w:hint="eastAsia" w:ascii="宋体" w:hAnsi="宋体"/>
          <w:sz w:val="32"/>
          <w:szCs w:val="32"/>
          <w:shd w:val="clear" w:color="auto" w:fill="FFFFFF"/>
        </w:rPr>
        <w:t>SY/T 6806-2019</w:t>
      </w:r>
      <w:r>
        <w:rPr>
          <w:rFonts w:hint="eastAsia" w:ascii="宋体" w:hAnsi="宋体" w:eastAsia="仿宋_GB2312"/>
          <w:sz w:val="32"/>
          <w:szCs w:val="32"/>
          <w:shd w:val="clear" w:color="auto" w:fill="FFFFFF"/>
        </w:rPr>
        <w:t>），这两个标准分别针对油气藏和盐穴型储气库设计、施工、生产运行过程中的基本安全提出了要求，设计中的安全防护技术和安全措施方面的内容不够全面，缺少安全管理机构设置、应急救援预案等安全措施；《地下储气库设计规范》（</w:t>
      </w:r>
      <w:r>
        <w:rPr>
          <w:rFonts w:hint="eastAsia" w:ascii="宋体" w:hAnsi="宋体"/>
          <w:sz w:val="32"/>
          <w:szCs w:val="32"/>
          <w:shd w:val="clear" w:color="auto" w:fill="FFFFFF"/>
        </w:rPr>
        <w:t>SY/T 6848-2023</w:t>
      </w:r>
      <w:r>
        <w:rPr>
          <w:rFonts w:hint="eastAsia" w:ascii="宋体" w:hAnsi="宋体" w:eastAsia="仿宋_GB2312"/>
          <w:sz w:val="32"/>
          <w:szCs w:val="32"/>
          <w:shd w:val="clear" w:color="auto" w:fill="FFFFFF"/>
        </w:rPr>
        <w:t>）其主要目标是提高储气库建设设计水平，兼顾质量、安全、环保和经济，未单独提出安全设施设计方面的内容；《储气库选址评价推荐做法》（</w:t>
      </w:r>
      <w:r>
        <w:rPr>
          <w:rFonts w:hint="eastAsia" w:ascii="宋体" w:hAnsi="宋体"/>
          <w:sz w:val="32"/>
          <w:szCs w:val="32"/>
          <w:shd w:val="clear" w:color="auto" w:fill="FFFFFF"/>
        </w:rPr>
        <w:t>SY/T 7643-2021</w:t>
      </w:r>
      <w:r>
        <w:rPr>
          <w:rFonts w:hint="eastAsia" w:ascii="宋体" w:hAnsi="宋体" w:eastAsia="仿宋_GB2312"/>
          <w:sz w:val="32"/>
          <w:szCs w:val="32"/>
          <w:shd w:val="clear" w:color="auto" w:fill="FFFFFF"/>
        </w:rPr>
        <w:t>）、《地下储气库注采管柱选用与设计推荐做法》（</w:t>
      </w:r>
      <w:r>
        <w:rPr>
          <w:rFonts w:hint="eastAsia" w:ascii="宋体" w:hAnsi="宋体"/>
          <w:sz w:val="32"/>
          <w:szCs w:val="32"/>
          <w:shd w:val="clear" w:color="auto" w:fill="FFFFFF"/>
        </w:rPr>
        <w:t>SY/T 7370-2017</w:t>
      </w:r>
      <w:r>
        <w:rPr>
          <w:rFonts w:hint="eastAsia" w:ascii="宋体" w:hAnsi="宋体" w:eastAsia="仿宋_GB2312"/>
          <w:sz w:val="32"/>
          <w:szCs w:val="32"/>
          <w:shd w:val="clear" w:color="auto" w:fill="FFFFFF"/>
        </w:rPr>
        <w:t>）等标准分别规定了地下储气库选址、管柱用选材等方面的安全要求，具有局限性，不能满足开展储气库建设项目安全设施设计的要求。此外，以上标准均未规定储气库建设项目安全设施设计的编制要求。</w:t>
      </w:r>
    </w:p>
    <w:p w14:paraId="0183E788">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综上，本标准在制订过程中将充分结合我国的实际情况，并考虑吸纳国外相关先进的、成熟的经验，满足我国地下储气库安全监管的需求。</w:t>
      </w:r>
    </w:p>
    <w:p w14:paraId="378D61EB">
      <w:pPr>
        <w:widowControl/>
        <w:spacing w:line="560" w:lineRule="exact"/>
        <w:ind w:firstLine="640" w:firstLineChars="200"/>
        <w:outlineLvl w:val="0"/>
        <w:rPr>
          <w:rFonts w:ascii="宋体" w:hAnsi="宋体" w:eastAsia="黑体"/>
          <w:sz w:val="32"/>
          <w:szCs w:val="32"/>
        </w:rPr>
      </w:pPr>
      <w:bookmarkStart w:id="280" w:name="_Toc195881914"/>
      <w:bookmarkStart w:id="281" w:name="_Toc193982965"/>
      <w:bookmarkStart w:id="282" w:name="_Toc193878433"/>
      <w:r>
        <w:rPr>
          <w:rFonts w:hint="eastAsia" w:ascii="宋体" w:hAnsi="宋体" w:eastAsia="黑体"/>
          <w:sz w:val="32"/>
          <w:szCs w:val="32"/>
        </w:rPr>
        <w:t>五、以国际标准为基础的起草情况、是否合规引用或采用国际国外标准以及未采用国际标准的原因</w:t>
      </w:r>
      <w:bookmarkEnd w:id="280"/>
      <w:bookmarkEnd w:id="281"/>
      <w:bookmarkEnd w:id="282"/>
    </w:p>
    <w:p w14:paraId="1BC0046F">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无。</w:t>
      </w:r>
    </w:p>
    <w:p w14:paraId="4B371443">
      <w:pPr>
        <w:widowControl/>
        <w:spacing w:line="560" w:lineRule="exact"/>
        <w:ind w:firstLine="640" w:firstLineChars="200"/>
        <w:outlineLvl w:val="0"/>
        <w:rPr>
          <w:rFonts w:ascii="宋体" w:hAnsi="宋体" w:eastAsia="黑体"/>
          <w:sz w:val="32"/>
          <w:szCs w:val="32"/>
        </w:rPr>
      </w:pPr>
      <w:bookmarkStart w:id="283" w:name="_Toc195881915"/>
      <w:bookmarkStart w:id="284" w:name="_Toc193878434"/>
      <w:bookmarkStart w:id="285" w:name="_Toc193982966"/>
      <w:r>
        <w:rPr>
          <w:rFonts w:hint="eastAsia" w:ascii="宋体" w:hAnsi="宋体" w:eastAsia="黑体"/>
          <w:sz w:val="32"/>
          <w:szCs w:val="32"/>
        </w:rPr>
        <w:t>六、与有关法律、行政法规及相关标准水平的关系</w:t>
      </w:r>
      <w:bookmarkEnd w:id="283"/>
      <w:bookmarkEnd w:id="284"/>
      <w:bookmarkEnd w:id="285"/>
    </w:p>
    <w:p w14:paraId="43BCA19F">
      <w:pPr>
        <w:numPr>
          <w:ilvl w:val="0"/>
          <w:numId w:val="16"/>
        </w:numPr>
        <w:spacing w:line="560" w:lineRule="exact"/>
        <w:ind w:firstLine="640" w:firstLineChars="200"/>
        <w:outlineLvl w:val="0"/>
        <w:rPr>
          <w:rFonts w:ascii="宋体" w:hAnsi="宋体" w:eastAsia="楷体"/>
          <w:sz w:val="32"/>
          <w:szCs w:val="32"/>
          <w:shd w:val="clear" w:color="auto" w:fill="FFFFFF"/>
        </w:rPr>
      </w:pPr>
      <w:bookmarkStart w:id="286" w:name="_Toc193982967"/>
      <w:bookmarkStart w:id="287" w:name="_Toc193878435"/>
      <w:bookmarkStart w:id="288" w:name="_Toc195881916"/>
      <w:r>
        <w:rPr>
          <w:rFonts w:hint="eastAsia" w:ascii="宋体" w:hAnsi="宋体" w:eastAsia="楷体"/>
          <w:sz w:val="32"/>
          <w:szCs w:val="32"/>
          <w:shd w:val="clear" w:color="auto" w:fill="FFFFFF"/>
        </w:rPr>
        <w:t>与有关法律、行政法规、标准关系</w:t>
      </w:r>
      <w:bookmarkEnd w:id="286"/>
      <w:bookmarkEnd w:id="287"/>
      <w:bookmarkEnd w:id="288"/>
    </w:p>
    <w:p w14:paraId="183CB536">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本标准的编制工作根据应急管理部《“十四五”应急管理标准化发展计划》《应急管理标准化工作管理办法》等文件精神开展，在全国安全生产标准化技术委员会石油天然气开采安全分技术委员会（TC 288/SC 10）的工作指导下进行，符合《安全生产法》《标准化法》等相关法律要求。</w:t>
      </w:r>
    </w:p>
    <w:p w14:paraId="581035D4">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本标准依据《标准化工作导则第1部分：标准化文件的结构和起草规则》（GB/T 1.1-2020）的规定起草。</w:t>
      </w:r>
    </w:p>
    <w:p w14:paraId="1847C20F">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本标准遵循《中华人民共和国安全生产法》《建设项目安全设施“三同时”监督管理办法》《非煤矿矿山建设项目安全设施设计审查与竣工验收办法》等相关要求而制定，标准内容是对法律、法规的进一步落实和细化，是指导地下储气库建设项目安全设施设计管理工作的重要支撑。</w:t>
      </w:r>
    </w:p>
    <w:p w14:paraId="2BB7835E">
      <w:pPr>
        <w:numPr>
          <w:ilvl w:val="0"/>
          <w:numId w:val="16"/>
        </w:numPr>
        <w:spacing w:line="560" w:lineRule="exact"/>
        <w:ind w:firstLine="640" w:firstLineChars="200"/>
        <w:outlineLvl w:val="0"/>
        <w:rPr>
          <w:rFonts w:ascii="宋体" w:hAnsi="宋体" w:eastAsia="楷体"/>
          <w:sz w:val="32"/>
          <w:szCs w:val="32"/>
          <w:shd w:val="clear" w:color="auto" w:fill="FFFFFF"/>
        </w:rPr>
      </w:pPr>
      <w:bookmarkStart w:id="289" w:name="_Toc195881917"/>
      <w:bookmarkStart w:id="290" w:name="_Toc193878436"/>
      <w:bookmarkStart w:id="291" w:name="_Toc193982968"/>
      <w:r>
        <w:rPr>
          <w:rFonts w:hint="eastAsia" w:ascii="宋体" w:hAnsi="宋体" w:eastAsia="楷体"/>
          <w:sz w:val="32"/>
          <w:szCs w:val="32"/>
          <w:shd w:val="clear" w:color="auto" w:fill="FFFFFF"/>
        </w:rPr>
        <w:t>配套推荐性标准的制定情况（强制性标准应填写）</w:t>
      </w:r>
      <w:bookmarkEnd w:id="289"/>
      <w:bookmarkEnd w:id="290"/>
      <w:bookmarkEnd w:id="291"/>
    </w:p>
    <w:p w14:paraId="32F23892">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无。</w:t>
      </w:r>
    </w:p>
    <w:p w14:paraId="2FFD8CD3">
      <w:pPr>
        <w:widowControl/>
        <w:spacing w:line="560" w:lineRule="exact"/>
        <w:ind w:firstLine="640" w:firstLineChars="200"/>
        <w:outlineLvl w:val="0"/>
        <w:rPr>
          <w:rFonts w:ascii="宋体" w:hAnsi="宋体" w:eastAsia="黑体"/>
          <w:sz w:val="32"/>
          <w:szCs w:val="32"/>
        </w:rPr>
      </w:pPr>
      <w:bookmarkStart w:id="292" w:name="_Toc193982969"/>
      <w:bookmarkStart w:id="293" w:name="_Toc195881918"/>
      <w:bookmarkStart w:id="294" w:name="_Toc193878437"/>
      <w:r>
        <w:rPr>
          <w:rFonts w:hint="eastAsia" w:ascii="宋体" w:hAnsi="宋体" w:eastAsia="黑体"/>
          <w:sz w:val="32"/>
          <w:szCs w:val="32"/>
        </w:rPr>
        <w:t>七、重大分歧意见的处理过程及依据</w:t>
      </w:r>
      <w:bookmarkEnd w:id="292"/>
      <w:bookmarkEnd w:id="293"/>
      <w:bookmarkEnd w:id="294"/>
    </w:p>
    <w:p w14:paraId="0BF69584">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无。</w:t>
      </w:r>
    </w:p>
    <w:p w14:paraId="2B4DE63F">
      <w:pPr>
        <w:widowControl/>
        <w:spacing w:line="560" w:lineRule="exact"/>
        <w:ind w:firstLine="640" w:firstLineChars="200"/>
        <w:outlineLvl w:val="0"/>
        <w:rPr>
          <w:rFonts w:ascii="宋体" w:hAnsi="宋体" w:eastAsia="黑体"/>
          <w:sz w:val="32"/>
          <w:szCs w:val="32"/>
        </w:rPr>
      </w:pPr>
      <w:bookmarkStart w:id="295" w:name="_Toc193878438"/>
      <w:bookmarkStart w:id="296" w:name="_Toc195881919"/>
      <w:bookmarkStart w:id="297" w:name="_Toc193982970"/>
      <w:r>
        <w:rPr>
          <w:rFonts w:hint="eastAsia" w:ascii="宋体" w:hAnsi="宋体" w:eastAsia="黑体"/>
          <w:sz w:val="32"/>
          <w:szCs w:val="32"/>
        </w:rPr>
        <w:t>八、作为强制性标准或推荐性标准的建议及理由</w:t>
      </w:r>
      <w:bookmarkEnd w:id="295"/>
      <w:bookmarkEnd w:id="296"/>
      <w:bookmarkEnd w:id="297"/>
    </w:p>
    <w:p w14:paraId="0389737B">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建议本标准为强制性标准。</w:t>
      </w:r>
    </w:p>
    <w:p w14:paraId="05BA76AB">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安全设施设计属于我国行政管理的职责范畴。《中华人民共和国安全生产法》</w:t>
      </w:r>
      <w:r>
        <w:rPr>
          <w:rFonts w:hint="eastAsia" w:ascii="宋体" w:hAnsi="宋体" w:eastAsia="仿宋_GB2312"/>
          <w:color w:val="000000" w:themeColor="text1"/>
          <w:sz w:val="32"/>
          <w:szCs w:val="32"/>
          <w:shd w:val="clear" w:color="auto" w:fill="FFFFFF"/>
          <w14:textFill>
            <w14:solidFill>
              <w14:schemeClr w14:val="tx1"/>
            </w14:solidFill>
          </w14:textFill>
        </w:rPr>
        <w:t>第三十一条、三十三条、九十八条要求，生产经营单位新建、改建、扩建工程项目的安全设施，必须与主体工程同时设计、同时施工、同时投入生产和使用；建设项目的安全设施设计应当按照国家有关规定报经有关部门审查。建设项目没有安全设施设计或者安全设施设计未按照规定报经有关部门审查同意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r>
        <w:rPr>
          <w:rFonts w:hint="eastAsia" w:ascii="宋体" w:hAnsi="宋体" w:eastAsia="仿宋_GB2312"/>
          <w:sz w:val="32"/>
          <w:szCs w:val="32"/>
          <w:shd w:val="clear" w:color="auto" w:fill="FFFFFF"/>
        </w:rPr>
        <w:t>此外，应急管理部制定了《建设项目安全设施“三同时”监督管理办法》，</w:t>
      </w:r>
      <w:r>
        <w:rPr>
          <w:rFonts w:ascii="宋体" w:hAnsi="宋体" w:eastAsia="仿宋_GB2312"/>
          <w:sz w:val="32"/>
          <w:szCs w:val="32"/>
          <w:shd w:val="clear" w:color="auto" w:fill="FFFFFF"/>
        </w:rPr>
        <w:t>第十二条规定建设项目安全设施设计完成后，生产经营单位应向安全生产监督管理部门提出审查申请</w:t>
      </w:r>
      <w:r>
        <w:rPr>
          <w:rFonts w:hint="eastAsia" w:ascii="宋体" w:hAnsi="宋体" w:eastAsia="仿宋_GB2312"/>
          <w:sz w:val="32"/>
          <w:szCs w:val="32"/>
          <w:shd w:val="clear" w:color="auto" w:fill="FFFFFF"/>
        </w:rPr>
        <w:t>；</w:t>
      </w:r>
      <w:r>
        <w:rPr>
          <w:rFonts w:ascii="宋体" w:hAnsi="宋体" w:eastAsia="仿宋_GB2312"/>
          <w:sz w:val="32"/>
          <w:szCs w:val="32"/>
          <w:shd w:val="clear" w:color="auto" w:fill="FFFFFF"/>
        </w:rPr>
        <w:t>第十四条规定建设项目安全设施设计未委托具有相应资质的设计单位进行设计的、设计内容不符合有关安全生产的法律、法规、规章和国家标准或者行业标准、技术规范的规定的，不予批准，并不得开工建设</w:t>
      </w:r>
      <w:r>
        <w:rPr>
          <w:rFonts w:hint="eastAsia" w:ascii="宋体" w:hAnsi="宋体" w:eastAsia="仿宋_GB2312"/>
          <w:sz w:val="32"/>
          <w:szCs w:val="32"/>
          <w:shd w:val="clear" w:color="auto" w:fill="FFFFFF"/>
        </w:rPr>
        <w:t>；第二十八条规定无安全设施设计擅自开工的将停产停业整顿，限期改正；逾期未改正的，处50万元以上100万元以下的罚款，对其直接负责的主管人员和其他直接责任人员处2万元以上5万元以下的罚款；构成犯罪的，依照刑法有关规定追究刑事责任。</w:t>
      </w:r>
    </w:p>
    <w:p w14:paraId="5DBA95CA">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储气库建设项目的安全设施设计属于保障人民生命财产安全基本需要的技术要求。截至2024年，我国已建成投运33座储气库群。储气库具有“大吞大吐、多周期注采、高低压交替、长周期运行”的生产特点，其地质气藏面临盖层不严、气水界面侵入、储层出砂的风险，井筒面临高压、交变应力、腐蚀和环空带压的风险，地面系统面临高压、腐蚀-冲刷和其他泄漏的风险，安全管控难度大。国外232起储气库事故案例表明，储气库失效将会造成泄漏、火灾和爆炸，产生严重的人员伤亡、经济损失并危及社会公共安全。安全设施设计可从源头及本质上保障储气库项目的建设和运行安全，预防生产安全事故的发生，保障人民生命财产安全。</w:t>
      </w:r>
    </w:p>
    <w:p w14:paraId="769E83CC">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color w:val="000000" w:themeColor="text1"/>
          <w:sz w:val="32"/>
          <w:szCs w:val="32"/>
          <w:shd w:val="clear" w:color="auto" w:fill="FFFFFF"/>
          <w14:textFill>
            <w14:solidFill>
              <w14:schemeClr w14:val="tx1"/>
            </w14:solidFill>
          </w14:textFill>
        </w:rPr>
        <w:t>通过本标准的实施可进一步规范陆上石油天然气开采建设项目（地下储气库）安全设计的内容、要求和深度，明确安全设施设计的推荐标准，提升主管部门对地下储气库安全设施设计专篇的审查质量和工作效率，保障地下储气库安全平稳运行。</w:t>
      </w:r>
    </w:p>
    <w:p w14:paraId="19743A6B">
      <w:pPr>
        <w:widowControl/>
        <w:spacing w:line="560" w:lineRule="exact"/>
        <w:ind w:firstLine="640" w:firstLineChars="200"/>
        <w:outlineLvl w:val="0"/>
        <w:rPr>
          <w:rFonts w:ascii="宋体" w:hAnsi="宋体" w:eastAsia="黑体"/>
          <w:sz w:val="32"/>
          <w:szCs w:val="32"/>
        </w:rPr>
      </w:pPr>
      <w:bookmarkStart w:id="298" w:name="_Toc195881920"/>
      <w:bookmarkStart w:id="299" w:name="_Toc193878439"/>
      <w:bookmarkStart w:id="300" w:name="_Toc193982971"/>
      <w:r>
        <w:rPr>
          <w:rFonts w:hint="eastAsia" w:ascii="宋体" w:hAnsi="宋体" w:eastAsia="黑体"/>
          <w:sz w:val="32"/>
          <w:szCs w:val="32"/>
        </w:rPr>
        <w:t>九、标准自发布日期至实施日期的过渡期建议及理由</w:t>
      </w:r>
      <w:bookmarkEnd w:id="298"/>
      <w:bookmarkEnd w:id="299"/>
      <w:bookmarkEnd w:id="300"/>
    </w:p>
    <w:p w14:paraId="3E4E528A">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建议实施过渡期为6个月，以保证建设单位和设计单位能够充分消化理解标准，确保该文件的落地实施。</w:t>
      </w:r>
    </w:p>
    <w:p w14:paraId="6EAC7683">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标准发布后，标委会或标准起草单位应及时组织标准宣贯，建议对建设单位、设计单位等相关单位进行宣贯，以便相关人员能够更好理解标准技术内容。积极推进企业主体责任的落实，督导相关企业积极落实本标准要求。通过设置过渡期，可以确保标准在实施之前得到广泛地宣传和推广，使建设单位和设计单位有足够的时间来适应和遵守标准的要求，从而确保标准的顺利实施。</w:t>
      </w:r>
    </w:p>
    <w:p w14:paraId="399261DB">
      <w:pPr>
        <w:spacing w:line="560" w:lineRule="exact"/>
        <w:ind w:firstLine="640" w:firstLineChars="200"/>
        <w:rPr>
          <w:rFonts w:ascii="宋体" w:hAnsi="宋体" w:cs="Arial"/>
          <w:color w:val="333333"/>
          <w:sz w:val="14"/>
          <w:szCs w:val="14"/>
        </w:rPr>
      </w:pPr>
      <w:r>
        <w:rPr>
          <w:rFonts w:hint="eastAsia" w:ascii="宋体" w:hAnsi="宋体" w:eastAsia="仿宋_GB2312"/>
          <w:sz w:val="32"/>
          <w:szCs w:val="32"/>
          <w:shd w:val="clear" w:color="auto" w:fill="FFFFFF"/>
        </w:rPr>
        <w:t>综上所述，建议的</w:t>
      </w:r>
      <w:r>
        <w:rPr>
          <w:rFonts w:hint="eastAsia" w:ascii="宋体" w:hAnsi="宋体"/>
          <w:sz w:val="32"/>
          <w:szCs w:val="32"/>
          <w:shd w:val="clear" w:color="auto" w:fill="FFFFFF"/>
        </w:rPr>
        <w:t>6</w:t>
      </w:r>
      <w:r>
        <w:rPr>
          <w:rFonts w:hint="eastAsia" w:ascii="宋体" w:hAnsi="宋体" w:eastAsia="仿宋_GB2312"/>
          <w:sz w:val="32"/>
          <w:szCs w:val="32"/>
          <w:shd w:val="clear" w:color="auto" w:fill="FFFFFF"/>
        </w:rPr>
        <w:t>个月过渡期旨在平衡标准的推广实施与建设单位和设计单位对标准的理解和吸收，确保标准的有效执行，同时减少不必要的工作消耗。</w:t>
      </w:r>
      <w:r>
        <w:rPr>
          <w:rFonts w:ascii="宋体" w:hAnsi="宋体" w:cs="Arial"/>
          <w:color w:val="333333"/>
          <w:sz w:val="14"/>
          <w:szCs w:val="14"/>
          <w:shd w:val="clear" w:color="auto" w:fill="FFFFFF"/>
        </w:rPr>
        <w:t>‌</w:t>
      </w:r>
    </w:p>
    <w:p w14:paraId="6C8EFADA">
      <w:pPr>
        <w:widowControl/>
        <w:spacing w:line="560" w:lineRule="exact"/>
        <w:ind w:firstLine="640" w:firstLineChars="200"/>
        <w:outlineLvl w:val="0"/>
        <w:rPr>
          <w:rFonts w:ascii="宋体" w:hAnsi="宋体" w:eastAsia="黑体"/>
          <w:sz w:val="32"/>
          <w:szCs w:val="32"/>
        </w:rPr>
      </w:pPr>
      <w:bookmarkStart w:id="301" w:name="_Toc193878440"/>
      <w:bookmarkStart w:id="302" w:name="_Toc195881921"/>
      <w:bookmarkStart w:id="303" w:name="_Toc193982972"/>
      <w:r>
        <w:rPr>
          <w:rFonts w:hint="eastAsia" w:ascii="宋体" w:hAnsi="宋体" w:eastAsia="黑体"/>
          <w:sz w:val="32"/>
          <w:szCs w:val="32"/>
        </w:rPr>
        <w:t>十、与实施标准有关的政策措施</w:t>
      </w:r>
      <w:bookmarkEnd w:id="301"/>
      <w:bookmarkEnd w:id="302"/>
      <w:bookmarkEnd w:id="303"/>
    </w:p>
    <w:p w14:paraId="31AAB26B">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本标准符合国家现行法律、法规、规章的要求，对于规范国内设计企业提高本质安全设计水平，预防避免发生重大安全事故的发生有重要作用。</w:t>
      </w:r>
    </w:p>
    <w:p w14:paraId="07F1E8B6">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本标准制定以《中华人民共和国安全生产法》《非煤矿矿山建设项目安全设施设计审查与竣工验收办法》</w:t>
      </w:r>
      <w:r>
        <w:rPr>
          <w:rFonts w:hint="eastAsia" w:ascii="宋体" w:hAnsi="宋体" w:eastAsia="仿宋_GB2312"/>
          <w:sz w:val="32"/>
          <w:szCs w:val="32"/>
          <w:shd w:val="clear" w:color="auto" w:fill="FFFFFF"/>
        </w:rPr>
        <w:t>《建设项目安全设施“三同时”监督管理办法》</w:t>
      </w:r>
      <w:r>
        <w:rPr>
          <w:rFonts w:hint="eastAsia" w:ascii="宋体" w:hAnsi="宋体" w:eastAsia="仿宋_GB2312"/>
          <w:kern w:val="0"/>
          <w:sz w:val="32"/>
          <w:szCs w:val="32"/>
        </w:rPr>
        <w:t>等作为违反标准行为进行处理的法律法规规章依据。具体条款如下：</w:t>
      </w:r>
    </w:p>
    <w:p w14:paraId="23755A2B">
      <w:pPr>
        <w:spacing w:line="560" w:lineRule="exact"/>
        <w:ind w:firstLine="640" w:firstLineChars="200"/>
        <w:rPr>
          <w:rFonts w:ascii="宋体" w:hAnsi="宋体" w:eastAsia="楷体"/>
          <w:kern w:val="0"/>
          <w:sz w:val="32"/>
          <w:szCs w:val="32"/>
        </w:rPr>
      </w:pPr>
      <w:r>
        <w:rPr>
          <w:rFonts w:hint="eastAsia" w:ascii="宋体" w:hAnsi="宋体" w:eastAsia="楷体"/>
          <w:kern w:val="0"/>
          <w:sz w:val="32"/>
          <w:szCs w:val="32"/>
        </w:rPr>
        <w:t>（一）《中华人民共和国安全生产法》</w:t>
      </w:r>
    </w:p>
    <w:p w14:paraId="519FD559">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第三十一条 生产经营单位新建、改建、扩建工程项目（以下统称建设项目）的安全设施，必须与主体工程同时设计、同时施工、同时投入生产和使用。安全设施投资应当纳入建设项目概算。</w:t>
      </w:r>
    </w:p>
    <w:p w14:paraId="4A6322A6">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三十三条 建设项目安全设施的设计人、设计单位应当对安全设施设计负责。矿山、金属冶炼建设项目和用于生产、储存、装卸危险物品的建设项目的安全设施设计应当按照国家有关规定报经有关部门审查，审查部门及其负责审查的人员对审查结果负责。 </w:t>
      </w:r>
    </w:p>
    <w:p w14:paraId="279FF678">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0C0E2F10">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1.未按照规定对矿山、金属冶炼建设项目或者用于生产、储存、装卸危险物品的建设项目进行安全评价的；</w:t>
      </w:r>
    </w:p>
    <w:p w14:paraId="7D0FB3E3">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2.矿山、金属冶炼建设项目或者用于生产、储存、装卸危险物品的建设项目没有安全设施设计或者安全设施设计未按照规定报经有关部门审查同意的；</w:t>
      </w:r>
    </w:p>
    <w:p w14:paraId="0728F60F">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3.矿山、金属冶炼建设项目或者用于生产、储存、装卸危险物品的建设项目的施工单位未按照批准的安全设施设计施工的；</w:t>
      </w:r>
    </w:p>
    <w:p w14:paraId="039FA4B6">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4.矿山、金属冶炼建设项目或者用于生产、储存、装卸危险物品的建设项目竣工投入生产或者使用前，安全设施未经验收合格的。</w:t>
      </w:r>
    </w:p>
    <w:p w14:paraId="34D748BA">
      <w:pPr>
        <w:spacing w:line="560" w:lineRule="exact"/>
        <w:ind w:firstLine="640" w:firstLineChars="200"/>
        <w:rPr>
          <w:rFonts w:ascii="宋体" w:hAnsi="宋体" w:eastAsia="楷体"/>
          <w:kern w:val="0"/>
          <w:sz w:val="32"/>
          <w:szCs w:val="32"/>
        </w:rPr>
      </w:pPr>
      <w:r>
        <w:rPr>
          <w:rFonts w:hint="eastAsia" w:ascii="宋体" w:hAnsi="宋体" w:eastAsia="楷体"/>
          <w:kern w:val="0"/>
          <w:sz w:val="32"/>
          <w:szCs w:val="32"/>
        </w:rPr>
        <w:t>（二）《非煤矿矿山建设项目安全设施设计审查与竣工验收办法》（原国家安全生产监督管理总局令第</w:t>
      </w:r>
      <w:r>
        <w:rPr>
          <w:rFonts w:hint="eastAsia" w:ascii="宋体" w:hAnsi="宋体" w:cs="宋体"/>
          <w:kern w:val="0"/>
          <w:sz w:val="32"/>
          <w:szCs w:val="32"/>
        </w:rPr>
        <w:t>18</w:t>
      </w:r>
      <w:r>
        <w:rPr>
          <w:rFonts w:hint="eastAsia" w:ascii="宋体" w:hAnsi="宋体" w:eastAsia="楷体"/>
          <w:kern w:val="0"/>
          <w:sz w:val="32"/>
          <w:szCs w:val="32"/>
        </w:rPr>
        <w:t>号）</w:t>
      </w:r>
    </w:p>
    <w:p w14:paraId="3044A5F3">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第十四条 建设项目安全设施设计，应当由具有相应资质的设计单位承担。设计单位对其安全设施设计负责。</w:t>
      </w:r>
    </w:p>
    <w:p w14:paraId="672AFCB9">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第十六条 建设项目的安全设施设计应当包括主要灾害的防治措施，所确定的设施、设备、器材等应当符合国家标准和行业标准。</w:t>
      </w:r>
    </w:p>
    <w:p w14:paraId="7135CA1C">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第十七条 建设项目初步设计完成后，建设单位应当按照本办法第六条的规定，向相应的安全生产监督管理部门提出建设项目安全设施设计审查申请。</w:t>
      </w:r>
    </w:p>
    <w:p w14:paraId="662D9A03">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第十八条 建设单位提出建设项目安全设施设计审查申请时，应当提交下列资料：</w:t>
      </w:r>
    </w:p>
    <w:p w14:paraId="734A928F">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1.</w:t>
      </w:r>
      <w:r>
        <w:rPr>
          <w:rFonts w:hint="eastAsia" w:ascii="宋体" w:hAnsi="宋体" w:eastAsia="仿宋_GB2312"/>
          <w:kern w:val="0"/>
          <w:sz w:val="32"/>
          <w:szCs w:val="32"/>
        </w:rPr>
        <w:t>安全设施设计审查申请报告及申请表；</w:t>
      </w:r>
    </w:p>
    <w:p w14:paraId="47497857">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2.</w:t>
      </w:r>
      <w:r>
        <w:rPr>
          <w:rFonts w:hint="eastAsia" w:ascii="宋体" w:hAnsi="宋体" w:eastAsia="仿宋_GB2312"/>
          <w:kern w:val="0"/>
          <w:sz w:val="32"/>
          <w:szCs w:val="32"/>
        </w:rPr>
        <w:t>立项和可行性研究报告批准文件；</w:t>
      </w:r>
    </w:p>
    <w:p w14:paraId="429F4328">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3.</w:t>
      </w:r>
      <w:r>
        <w:rPr>
          <w:rFonts w:hint="eastAsia" w:ascii="宋体" w:hAnsi="宋体" w:eastAsia="仿宋_GB2312"/>
          <w:kern w:val="0"/>
          <w:sz w:val="32"/>
          <w:szCs w:val="32"/>
        </w:rPr>
        <w:t>安全预评价报告书；</w:t>
      </w:r>
    </w:p>
    <w:p w14:paraId="48CCE218">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4.</w:t>
      </w:r>
      <w:r>
        <w:rPr>
          <w:rFonts w:hint="eastAsia" w:ascii="宋体" w:hAnsi="宋体" w:eastAsia="仿宋_GB2312"/>
          <w:kern w:val="0"/>
          <w:sz w:val="32"/>
          <w:szCs w:val="32"/>
        </w:rPr>
        <w:t>初步设计及安全专篇；</w:t>
      </w:r>
    </w:p>
    <w:p w14:paraId="2F49C4F1">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5.</w:t>
      </w:r>
      <w:r>
        <w:rPr>
          <w:rFonts w:hint="eastAsia" w:ascii="宋体" w:hAnsi="宋体" w:eastAsia="仿宋_GB2312"/>
          <w:kern w:val="0"/>
          <w:sz w:val="32"/>
          <w:szCs w:val="32"/>
        </w:rPr>
        <w:t>其他需要提交的材料。</w:t>
      </w:r>
    </w:p>
    <w:p w14:paraId="489F0EA1">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第三十一条 建设单位有下列行为之一的，责令限期改正；逾期未改正的，责令停止建设或者停产停业整顿，可以并处</w:t>
      </w:r>
      <w:r>
        <w:rPr>
          <w:rFonts w:hint="eastAsia" w:ascii="宋体" w:hAnsi="宋体"/>
          <w:kern w:val="0"/>
          <w:sz w:val="32"/>
          <w:szCs w:val="32"/>
        </w:rPr>
        <w:t>50000</w:t>
      </w:r>
      <w:r>
        <w:rPr>
          <w:rFonts w:hint="eastAsia" w:ascii="宋体" w:hAnsi="宋体" w:eastAsia="仿宋_GB2312"/>
          <w:kern w:val="0"/>
          <w:sz w:val="32"/>
          <w:szCs w:val="32"/>
        </w:rPr>
        <w:t>元以下的罚款；造成严重后果，构成犯罪的，依法追究刑事责任：</w:t>
      </w:r>
    </w:p>
    <w:p w14:paraId="67C847DA">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1.</w:t>
      </w:r>
      <w:r>
        <w:rPr>
          <w:rFonts w:hint="eastAsia" w:ascii="宋体" w:hAnsi="宋体" w:eastAsia="仿宋_GB2312"/>
          <w:kern w:val="0"/>
          <w:sz w:val="32"/>
          <w:szCs w:val="32"/>
        </w:rPr>
        <w:t>建设项目没有安全设施设计的；</w:t>
      </w:r>
    </w:p>
    <w:p w14:paraId="4A7DCDA9">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2.</w:t>
      </w:r>
      <w:r>
        <w:rPr>
          <w:rFonts w:hint="eastAsia" w:ascii="宋体" w:hAnsi="宋体" w:eastAsia="仿宋_GB2312"/>
          <w:kern w:val="0"/>
          <w:sz w:val="32"/>
          <w:szCs w:val="32"/>
        </w:rPr>
        <w:t>建设项目安全设施设计未按照规定报经有关部门审查同意的；</w:t>
      </w:r>
    </w:p>
    <w:p w14:paraId="241BFC2B">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3.</w:t>
      </w:r>
      <w:r>
        <w:rPr>
          <w:rFonts w:hint="eastAsia" w:ascii="宋体" w:hAnsi="宋体" w:eastAsia="仿宋_GB2312"/>
          <w:kern w:val="0"/>
          <w:sz w:val="32"/>
          <w:szCs w:val="32"/>
        </w:rPr>
        <w:t>建设项目安全设施未按照批准的设计施工的；</w:t>
      </w:r>
    </w:p>
    <w:p w14:paraId="4C328170">
      <w:pPr>
        <w:spacing w:line="560" w:lineRule="exact"/>
        <w:ind w:firstLine="640" w:firstLineChars="200"/>
        <w:rPr>
          <w:rFonts w:ascii="宋体" w:hAnsi="宋体" w:eastAsia="仿宋_GB2312"/>
          <w:kern w:val="0"/>
          <w:sz w:val="32"/>
          <w:szCs w:val="32"/>
        </w:rPr>
      </w:pPr>
      <w:r>
        <w:rPr>
          <w:rFonts w:hint="eastAsia" w:ascii="宋体" w:hAnsi="宋体"/>
          <w:kern w:val="0"/>
          <w:sz w:val="32"/>
          <w:szCs w:val="32"/>
        </w:rPr>
        <w:t>4.</w:t>
      </w:r>
      <w:r>
        <w:rPr>
          <w:rFonts w:hint="eastAsia" w:ascii="宋体" w:hAnsi="宋体" w:eastAsia="仿宋_GB2312"/>
          <w:kern w:val="0"/>
          <w:sz w:val="32"/>
          <w:szCs w:val="32"/>
        </w:rPr>
        <w:t>建设项目竣工投入生产或者使用前，安全设施未经验收合格的。</w:t>
      </w:r>
    </w:p>
    <w:p w14:paraId="4E95AFDE">
      <w:pPr>
        <w:spacing w:line="560" w:lineRule="exact"/>
        <w:ind w:firstLine="640" w:firstLineChars="200"/>
        <w:rPr>
          <w:rFonts w:ascii="宋体" w:hAnsi="宋体" w:eastAsia="楷体"/>
          <w:kern w:val="0"/>
          <w:sz w:val="32"/>
          <w:szCs w:val="32"/>
        </w:rPr>
      </w:pPr>
      <w:r>
        <w:rPr>
          <w:rFonts w:hint="eastAsia" w:ascii="宋体" w:hAnsi="宋体" w:eastAsia="楷体"/>
          <w:kern w:val="0"/>
          <w:sz w:val="32"/>
          <w:szCs w:val="32"/>
        </w:rPr>
        <w:t>（三）《建设项目安全设施“三同时”监督管理办法》（原国家安全生产监督管理总局令第36号）</w:t>
      </w:r>
    </w:p>
    <w:p w14:paraId="1488DC1D">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第十条 生产经营单位在建设项目初步设计时，应当委托有相应资质的设计单位对建设项目安全设施同时进行设计，编制安全设施设计。</w:t>
      </w:r>
    </w:p>
    <w:p w14:paraId="28770BF5">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0015B9E0">
      <w:pPr>
        <w:spacing w:line="560" w:lineRule="exact"/>
        <w:ind w:firstLine="640" w:firstLineChars="200"/>
        <w:rPr>
          <w:rFonts w:ascii="宋体" w:hAnsi="宋体" w:eastAsia="仿宋_GB2312"/>
          <w:kern w:val="0"/>
          <w:sz w:val="32"/>
          <w:szCs w:val="32"/>
        </w:rPr>
      </w:pPr>
      <w:r>
        <w:rPr>
          <w:rFonts w:hint="eastAsia" w:ascii="宋体" w:hAnsi="宋体" w:eastAsia="仿宋_GB2312"/>
          <w:kern w:val="0"/>
          <w:sz w:val="32"/>
          <w:szCs w:val="32"/>
        </w:rPr>
        <w:t>安全设施设计单位、设计人应当对其编制的设计文件负责。</w:t>
      </w:r>
    </w:p>
    <w:p w14:paraId="469E631E">
      <w:pPr>
        <w:widowControl/>
        <w:spacing w:line="560" w:lineRule="exact"/>
        <w:ind w:firstLine="640" w:firstLineChars="200"/>
        <w:outlineLvl w:val="0"/>
        <w:rPr>
          <w:rFonts w:ascii="宋体" w:hAnsi="宋体" w:eastAsia="黑体"/>
          <w:sz w:val="32"/>
          <w:szCs w:val="32"/>
        </w:rPr>
      </w:pPr>
      <w:bookmarkStart w:id="304" w:name="_Toc195881922"/>
      <w:bookmarkStart w:id="305" w:name="_Toc193878441"/>
      <w:bookmarkStart w:id="306" w:name="_Toc193982973"/>
      <w:r>
        <w:rPr>
          <w:rFonts w:hint="eastAsia" w:ascii="宋体" w:hAnsi="宋体" w:eastAsia="黑体"/>
          <w:sz w:val="32"/>
          <w:szCs w:val="32"/>
        </w:rPr>
        <w:t>十一、是否需要对外通报的建议及理由。</w:t>
      </w:r>
      <w:bookmarkEnd w:id="304"/>
      <w:bookmarkEnd w:id="305"/>
      <w:bookmarkEnd w:id="306"/>
    </w:p>
    <w:p w14:paraId="46ACD264">
      <w:pPr>
        <w:autoSpaceDE w:val="0"/>
        <w:spacing w:line="560" w:lineRule="exact"/>
        <w:ind w:firstLine="640" w:firstLineChars="200"/>
        <w:rPr>
          <w:rFonts w:ascii="宋体" w:hAnsi="宋体" w:eastAsia="仿宋_GB2312"/>
          <w:sz w:val="32"/>
          <w:szCs w:val="32"/>
        </w:rPr>
      </w:pPr>
      <w:r>
        <w:rPr>
          <w:rFonts w:hint="eastAsia" w:ascii="宋体" w:hAnsi="宋体" w:eastAsia="仿宋_GB2312"/>
          <w:color w:val="000000" w:themeColor="text1"/>
          <w:sz w:val="32"/>
          <w:szCs w:val="32"/>
          <w14:textFill>
            <w14:solidFill>
              <w14:schemeClr w14:val="tx1"/>
            </w14:solidFill>
          </w14:textFill>
        </w:rPr>
        <w:t>不对外通报。</w:t>
      </w:r>
    </w:p>
    <w:p w14:paraId="6B99DD18">
      <w:pPr>
        <w:widowControl/>
        <w:spacing w:line="560" w:lineRule="exact"/>
        <w:ind w:firstLine="640" w:firstLineChars="200"/>
        <w:outlineLvl w:val="0"/>
        <w:rPr>
          <w:rFonts w:ascii="宋体" w:hAnsi="宋体" w:eastAsia="黑体"/>
          <w:sz w:val="32"/>
          <w:szCs w:val="32"/>
        </w:rPr>
      </w:pPr>
      <w:bookmarkStart w:id="307" w:name="_Toc193878442"/>
      <w:bookmarkStart w:id="308" w:name="_Toc195881923"/>
      <w:bookmarkStart w:id="309" w:name="_Toc193982974"/>
      <w:r>
        <w:rPr>
          <w:rFonts w:hint="eastAsia" w:ascii="宋体" w:hAnsi="宋体" w:eastAsia="黑体"/>
          <w:sz w:val="32"/>
          <w:szCs w:val="32"/>
        </w:rPr>
        <w:t>十二、废止现行有关标准的建议</w:t>
      </w:r>
      <w:bookmarkEnd w:id="307"/>
      <w:bookmarkEnd w:id="308"/>
      <w:bookmarkEnd w:id="309"/>
    </w:p>
    <w:p w14:paraId="42539AF8">
      <w:pPr>
        <w:autoSpaceDE w:val="0"/>
        <w:spacing w:line="560" w:lineRule="exact"/>
        <w:ind w:firstLine="640" w:firstLineChars="200"/>
        <w:rPr>
          <w:rFonts w:ascii="宋体" w:hAnsi="宋体" w:eastAsia="仿宋_GB2312"/>
          <w:i/>
          <w:iCs/>
          <w:color w:val="FF0000"/>
          <w:sz w:val="32"/>
          <w:szCs w:val="32"/>
        </w:rPr>
      </w:pPr>
      <w:r>
        <w:rPr>
          <w:rFonts w:hint="eastAsia" w:ascii="宋体" w:hAnsi="宋体" w:eastAsia="仿宋_GB2312"/>
          <w:sz w:val="32"/>
          <w:szCs w:val="32"/>
        </w:rPr>
        <w:t>无。</w:t>
      </w:r>
    </w:p>
    <w:p w14:paraId="7F316C40">
      <w:pPr>
        <w:widowControl/>
        <w:spacing w:line="560" w:lineRule="exact"/>
        <w:ind w:firstLine="640" w:firstLineChars="200"/>
        <w:outlineLvl w:val="0"/>
        <w:rPr>
          <w:rFonts w:ascii="宋体" w:hAnsi="宋体" w:eastAsia="黑体"/>
          <w:sz w:val="32"/>
          <w:szCs w:val="32"/>
        </w:rPr>
      </w:pPr>
      <w:bookmarkStart w:id="310" w:name="_Toc195881924"/>
      <w:bookmarkStart w:id="311" w:name="_Toc193982975"/>
      <w:bookmarkStart w:id="312" w:name="_Toc193878443"/>
      <w:r>
        <w:rPr>
          <w:rFonts w:hint="eastAsia" w:ascii="宋体" w:hAnsi="宋体" w:eastAsia="黑体"/>
          <w:sz w:val="32"/>
          <w:szCs w:val="32"/>
        </w:rPr>
        <w:t>十三、涉及专利的有关说明</w:t>
      </w:r>
      <w:bookmarkEnd w:id="310"/>
      <w:bookmarkEnd w:id="311"/>
      <w:bookmarkEnd w:id="312"/>
    </w:p>
    <w:p w14:paraId="5C1F71E6">
      <w:pPr>
        <w:autoSpaceDE w:val="0"/>
        <w:spacing w:line="560" w:lineRule="exact"/>
        <w:ind w:firstLine="640" w:firstLineChars="200"/>
        <w:rPr>
          <w:rFonts w:ascii="宋体" w:hAnsi="宋体" w:eastAsia="仿宋_GB2312"/>
          <w:sz w:val="32"/>
          <w:szCs w:val="32"/>
        </w:rPr>
      </w:pPr>
      <w:r>
        <w:rPr>
          <w:rFonts w:hint="eastAsia" w:ascii="宋体" w:hAnsi="宋体" w:eastAsia="仿宋_GB2312"/>
          <w:sz w:val="32"/>
          <w:szCs w:val="32"/>
        </w:rPr>
        <w:t>本标准未涉及相关专利。</w:t>
      </w:r>
    </w:p>
    <w:p w14:paraId="094D9D99">
      <w:pPr>
        <w:widowControl/>
        <w:spacing w:line="560" w:lineRule="exact"/>
        <w:ind w:firstLine="640" w:firstLineChars="200"/>
        <w:outlineLvl w:val="0"/>
        <w:rPr>
          <w:rFonts w:ascii="宋体" w:hAnsi="宋体" w:eastAsia="黑体"/>
          <w:sz w:val="32"/>
          <w:szCs w:val="32"/>
        </w:rPr>
      </w:pPr>
      <w:bookmarkStart w:id="313" w:name="_Toc195881925"/>
      <w:bookmarkStart w:id="314" w:name="_Toc193982976"/>
      <w:bookmarkStart w:id="315" w:name="_Toc193878444"/>
      <w:r>
        <w:rPr>
          <w:rFonts w:hint="eastAsia" w:ascii="宋体" w:hAnsi="宋体" w:eastAsia="黑体"/>
          <w:sz w:val="32"/>
          <w:szCs w:val="32"/>
        </w:rPr>
        <w:t>十四、标准所涉及的产品、过程或者服务目录</w:t>
      </w:r>
      <w:bookmarkEnd w:id="313"/>
      <w:bookmarkEnd w:id="314"/>
      <w:bookmarkEnd w:id="315"/>
    </w:p>
    <w:p w14:paraId="07604BB0">
      <w:pPr>
        <w:autoSpaceDE w:val="0"/>
        <w:spacing w:line="560" w:lineRule="exact"/>
        <w:ind w:firstLine="640" w:firstLineChars="200"/>
        <w:rPr>
          <w:rFonts w:ascii="宋体" w:hAnsi="宋体" w:eastAsia="仿宋_GB2312"/>
          <w:sz w:val="32"/>
          <w:szCs w:val="32"/>
        </w:rPr>
      </w:pPr>
      <w:r>
        <w:rPr>
          <w:rFonts w:ascii="宋体" w:hAnsi="宋体" w:eastAsia="仿宋_GB2312" w:cs="Times New Roman"/>
          <w:sz w:val="32"/>
          <w:szCs w:val="32"/>
          <w:shd w:val="clear" w:color="auto" w:fill="FFFFFF"/>
        </w:rPr>
        <w:t>标准所涉及的产品、过程或者服务目录主要有：陆上石油天然气开采建设项目（</w:t>
      </w:r>
      <w:r>
        <w:rPr>
          <w:rFonts w:hint="eastAsia" w:ascii="宋体" w:hAnsi="宋体" w:eastAsia="仿宋_GB2312" w:cs="Times New Roman"/>
          <w:sz w:val="32"/>
          <w:szCs w:val="32"/>
          <w:shd w:val="clear" w:color="auto" w:fill="FFFFFF"/>
        </w:rPr>
        <w:t>地下储气库</w:t>
      </w:r>
      <w:r>
        <w:rPr>
          <w:rFonts w:ascii="宋体" w:hAnsi="宋体" w:eastAsia="仿宋_GB2312" w:cs="Times New Roman"/>
          <w:sz w:val="32"/>
          <w:szCs w:val="32"/>
          <w:shd w:val="clear" w:color="auto" w:fill="FFFFFF"/>
        </w:rPr>
        <w:t>）安全设施设计的编制内容</w:t>
      </w:r>
      <w:r>
        <w:rPr>
          <w:rFonts w:hint="eastAsia" w:ascii="宋体" w:hAnsi="宋体" w:eastAsia="仿宋_GB2312"/>
          <w:sz w:val="32"/>
          <w:szCs w:val="32"/>
        </w:rPr>
        <w:t>。</w:t>
      </w:r>
    </w:p>
    <w:p w14:paraId="74FCFA7A">
      <w:pPr>
        <w:widowControl/>
        <w:spacing w:line="560" w:lineRule="exact"/>
        <w:ind w:firstLine="640" w:firstLineChars="200"/>
        <w:outlineLvl w:val="0"/>
        <w:rPr>
          <w:rFonts w:ascii="宋体" w:hAnsi="宋体" w:eastAsia="黑体"/>
          <w:sz w:val="32"/>
          <w:szCs w:val="32"/>
        </w:rPr>
      </w:pPr>
      <w:bookmarkStart w:id="316" w:name="_Toc195881926"/>
      <w:bookmarkStart w:id="317" w:name="_Toc193982977"/>
      <w:bookmarkStart w:id="318" w:name="_Toc193878445"/>
      <w:r>
        <w:rPr>
          <w:rFonts w:hint="eastAsia" w:ascii="宋体" w:hAnsi="宋体" w:eastAsia="黑体"/>
          <w:sz w:val="32"/>
          <w:szCs w:val="32"/>
        </w:rPr>
        <w:t>十五、其他应予以说明的事项</w:t>
      </w:r>
      <w:bookmarkEnd w:id="316"/>
      <w:bookmarkEnd w:id="317"/>
      <w:bookmarkEnd w:id="318"/>
    </w:p>
    <w:p w14:paraId="69EF16FF">
      <w:pPr>
        <w:autoSpaceDE w:val="0"/>
        <w:spacing w:line="560" w:lineRule="exact"/>
        <w:ind w:firstLine="640" w:firstLineChars="200"/>
        <w:rPr>
          <w:rFonts w:ascii="宋体" w:hAnsi="宋体" w:eastAsia="仿宋_GB2312"/>
          <w:sz w:val="32"/>
          <w:szCs w:val="32"/>
        </w:rPr>
      </w:pPr>
      <w:r>
        <w:rPr>
          <w:rFonts w:hint="eastAsia" w:ascii="宋体" w:hAnsi="宋体" w:eastAsia="仿宋_GB2312"/>
          <w:sz w:val="32"/>
          <w:szCs w:val="32"/>
        </w:rPr>
        <w:t>无。</w:t>
      </w:r>
    </w:p>
    <w:p w14:paraId="33487077">
      <w:pPr>
        <w:rPr>
          <w:rFonts w:ascii="Calibri" w:hAnsi="Calibri" w:eastAsia="宋体"/>
          <w:szCs w:val="21"/>
        </w:rPr>
      </w:pPr>
    </w:p>
    <w:p w14:paraId="39B67D7C">
      <w:pPr>
        <w:widowControl/>
        <w:spacing w:line="240" w:lineRule="auto"/>
        <w:jc w:val="left"/>
        <w:rPr>
          <w:rFonts w:ascii="Times New Roman" w:hAnsi="Times New Roman" w:eastAsia="宋体" w:cs="Times New Roman"/>
        </w:rPr>
      </w:pPr>
    </w:p>
    <w:p w14:paraId="6E3F561A">
      <w:pPr>
        <w:pStyle w:val="3"/>
        <w:jc w:val="center"/>
        <w:rPr>
          <w:rFonts w:ascii="Times New Roman"/>
        </w:rPr>
      </w:pPr>
    </w:p>
    <w:sectPr>
      <w:footerReference r:id="rId13" w:type="default"/>
      <w:pgSz w:w="11906" w:h="16838"/>
      <w:pgMar w:top="1701" w:right="1474" w:bottom="1474" w:left="1587"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82016" w:usb3="00000000" w:csb0="00040001" w:csb1="00000000"/>
  </w:font>
  <w:font w:name="华文宋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C334F">
    <w:pPr>
      <w:pStyle w:val="1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C00B0">
                          <w:pPr>
                            <w:pStyle w:val="1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ACC00B0">
                    <w:pPr>
                      <w:pStyle w:val="1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6E00">
    <w:pPr>
      <w:pStyle w:val="17"/>
      <w:jc w:val="center"/>
      <w:rPr>
        <w:rFonts w:ascii="Times New Roman" w:hAnsi="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5304D">
                          <w:pPr>
                            <w:pStyle w:val="17"/>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60D5304D">
                    <w:pPr>
                      <w:pStyle w:val="17"/>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txbxContent>
              </v:textbox>
            </v:shape>
          </w:pict>
        </mc:Fallback>
      </mc:AlternateContent>
    </w:r>
  </w:p>
  <w:p w14:paraId="6C7CE4A0">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81F0F">
    <w:pPr>
      <w:pStyle w:val="17"/>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739D2">
                          <w:pPr>
                            <w:pStyle w:val="1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9C739D2">
                    <w:pPr>
                      <w:pStyle w:val="1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1FA01">
    <w:pPr>
      <w:pStyle w:val="17"/>
      <w:jc w:val="center"/>
      <w:rPr>
        <w:rFonts w:ascii="Times New Roman" w:hAnsi="Times New Roman"/>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75C97">
                          <w:pPr>
                            <w:pStyle w:val="17"/>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5875C97">
                    <w:pPr>
                      <w:pStyle w:val="17"/>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txbxContent>
              </v:textbox>
            </v:shape>
          </w:pict>
        </mc:Fallback>
      </mc:AlternateContent>
    </w:r>
  </w:p>
  <w:p w14:paraId="39A6E78F">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5E3D1">
    <w:pPr>
      <w:pStyle w:val="17"/>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08789">
                          <w:pPr>
                            <w:pStyle w:val="1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EC08789">
                    <w:pPr>
                      <w:pStyle w:val="1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F76C3">
    <w:pPr>
      <w:pStyle w:val="17"/>
      <w:jc w:val="center"/>
      <w:rPr>
        <w:rFonts w:ascii="Times New Roman" w:hAnsi="Times New Roman"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2396"/>
                          </w:sdtPr>
                          <w:sdtEndPr>
                            <w:rPr>
                              <w:rFonts w:ascii="Times New Roman" w:hAnsi="Times New Roman" w:cs="Times New Roman"/>
                            </w:rPr>
                          </w:sdtEndPr>
                          <w:sdtContent>
                            <w:p w14:paraId="430CBBF9">
                              <w:pPr>
                                <w:pStyle w:val="1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59</w:t>
                              </w:r>
                              <w:r>
                                <w:rPr>
                                  <w:rFonts w:ascii="Times New Roman" w:hAnsi="Times New Roman" w:cs="Times New Roman"/>
                                </w:rPr>
                                <w:fldChar w:fldCharType="end"/>
                              </w:r>
                            </w:p>
                          </w:sdtContent>
                        </w:sdt>
                        <w:p w14:paraId="3133F415">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sdt>
                    <w:sdtPr>
                      <w:id w:val="147452396"/>
                    </w:sdtPr>
                    <w:sdtEndPr>
                      <w:rPr>
                        <w:rFonts w:ascii="Times New Roman" w:hAnsi="Times New Roman" w:cs="Times New Roman"/>
                      </w:rPr>
                    </w:sdtEndPr>
                    <w:sdtContent>
                      <w:p w14:paraId="430CBBF9">
                        <w:pPr>
                          <w:pStyle w:val="1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59</w:t>
                        </w:r>
                        <w:r>
                          <w:rPr>
                            <w:rFonts w:ascii="Times New Roman" w:hAnsi="Times New Roman" w:cs="Times New Roman"/>
                          </w:rPr>
                          <w:fldChar w:fldCharType="end"/>
                        </w:r>
                      </w:p>
                    </w:sdtContent>
                  </w:sdt>
                  <w:p w14:paraId="3133F415">
                    <w:pPr>
                      <w:pStyle w:val="2"/>
                    </w:pPr>
                  </w:p>
                </w:txbxContent>
              </v:textbox>
            </v:shape>
          </w:pict>
        </mc:Fallback>
      </mc:AlternateContent>
    </w:r>
  </w:p>
  <w:p w14:paraId="69507B30">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BC00D">
    <w:pPr>
      <w:pStyle w:val="55"/>
    </w:pPr>
    <w:r>
      <w:t>AQ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FAFCB">
    <w:pPr>
      <w:pStyle w:val="18"/>
      <w:pBdr>
        <w:bottom w:val="none" w:color="auto" w:sz="0" w:space="1"/>
      </w:pBdr>
      <w:spacing w:line="240" w:lineRule="auto"/>
      <w:jc w:val="right"/>
    </w:pPr>
    <w:r>
      <w:t>AQ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BA312">
    <w:pPr>
      <w:pStyle w:val="6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1A1BB"/>
    <w:multiLevelType w:val="multilevel"/>
    <w:tmpl w:val="AAA1A1BB"/>
    <w:lvl w:ilvl="0" w:tentative="0">
      <w:start w:val="1"/>
      <w:numFmt w:val="lowerLetter"/>
      <w:suff w:val="nothing"/>
      <w:lvlText w:val="%1）"/>
      <w:lvlJc w:val="left"/>
      <w:pPr>
        <w:ind w:left="5747" w:hanging="360"/>
      </w:pPr>
      <w:rPr>
        <w:rFonts w:hint="default"/>
      </w:rPr>
    </w:lvl>
    <w:lvl w:ilvl="1" w:tentative="0">
      <w:start w:val="1"/>
      <w:numFmt w:val="lowerLetter"/>
      <w:lvlText w:val="%2)"/>
      <w:lvlJc w:val="left"/>
      <w:pPr>
        <w:ind w:left="6267" w:hanging="440"/>
      </w:pPr>
    </w:lvl>
    <w:lvl w:ilvl="2" w:tentative="0">
      <w:start w:val="1"/>
      <w:numFmt w:val="lowerRoman"/>
      <w:lvlText w:val="%3."/>
      <w:lvlJc w:val="right"/>
      <w:pPr>
        <w:ind w:left="6707" w:hanging="440"/>
      </w:pPr>
    </w:lvl>
    <w:lvl w:ilvl="3" w:tentative="0">
      <w:start w:val="1"/>
      <w:numFmt w:val="decimal"/>
      <w:lvlText w:val="%4."/>
      <w:lvlJc w:val="left"/>
      <w:pPr>
        <w:ind w:left="7147" w:hanging="440"/>
      </w:pPr>
    </w:lvl>
    <w:lvl w:ilvl="4" w:tentative="0">
      <w:start w:val="1"/>
      <w:numFmt w:val="lowerLetter"/>
      <w:lvlText w:val="%5)"/>
      <w:lvlJc w:val="left"/>
      <w:pPr>
        <w:ind w:left="7587" w:hanging="440"/>
      </w:pPr>
    </w:lvl>
    <w:lvl w:ilvl="5" w:tentative="0">
      <w:start w:val="1"/>
      <w:numFmt w:val="lowerRoman"/>
      <w:lvlText w:val="%6."/>
      <w:lvlJc w:val="right"/>
      <w:pPr>
        <w:ind w:left="8027" w:hanging="440"/>
      </w:pPr>
    </w:lvl>
    <w:lvl w:ilvl="6" w:tentative="0">
      <w:start w:val="1"/>
      <w:numFmt w:val="decimal"/>
      <w:lvlText w:val="%7."/>
      <w:lvlJc w:val="left"/>
      <w:pPr>
        <w:ind w:left="8467" w:hanging="440"/>
      </w:pPr>
    </w:lvl>
    <w:lvl w:ilvl="7" w:tentative="0">
      <w:start w:val="1"/>
      <w:numFmt w:val="lowerLetter"/>
      <w:lvlText w:val="%8)"/>
      <w:lvlJc w:val="left"/>
      <w:pPr>
        <w:ind w:left="8907" w:hanging="440"/>
      </w:pPr>
    </w:lvl>
    <w:lvl w:ilvl="8" w:tentative="0">
      <w:start w:val="1"/>
      <w:numFmt w:val="lowerRoman"/>
      <w:lvlText w:val="%9."/>
      <w:lvlJc w:val="right"/>
      <w:pPr>
        <w:ind w:left="9347" w:hanging="440"/>
      </w:pPr>
    </w:lvl>
  </w:abstractNum>
  <w:abstractNum w:abstractNumId="1">
    <w:nsid w:val="DF37E214"/>
    <w:multiLevelType w:val="multilevel"/>
    <w:tmpl w:val="DF37E214"/>
    <w:lvl w:ilvl="0" w:tentative="0">
      <w:start w:val="1"/>
      <w:numFmt w:val="lowerLetter"/>
      <w:suff w:val="nothing"/>
      <w:lvlText w:val="%1）"/>
      <w:lvlJc w:val="left"/>
      <w:pPr>
        <w:ind w:left="785"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
    <w:nsid w:val="F083BEFE"/>
    <w:multiLevelType w:val="multilevel"/>
    <w:tmpl w:val="F083BEFE"/>
    <w:lvl w:ilvl="0" w:tentative="0">
      <w:start w:val="1"/>
      <w:numFmt w:val="lowerLetter"/>
      <w:suff w:val="nothing"/>
      <w:lvlText w:val="%1）"/>
      <w:lvlJc w:val="left"/>
      <w:pPr>
        <w:ind w:left="3904"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
    <w:nsid w:val="06208C26"/>
    <w:multiLevelType w:val="singleLevel"/>
    <w:tmpl w:val="06208C26"/>
    <w:lvl w:ilvl="0" w:tentative="0">
      <w:start w:val="1"/>
      <w:numFmt w:val="lowerLetter"/>
      <w:pStyle w:val="63"/>
      <w:lvlText w:val="%1)"/>
      <w:lvlJc w:val="left"/>
      <w:pPr>
        <w:tabs>
          <w:tab w:val="left" w:pos="312"/>
        </w:tabs>
      </w:pPr>
    </w:lvl>
  </w:abstractNum>
  <w:abstractNum w:abstractNumId="4">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pStyle w:val="92"/>
      <w:suff w:val="nothing"/>
      <w:lvlText w:val="%10.%2.%3.%4.%5 "/>
      <w:lvlJc w:val="left"/>
      <w:pPr>
        <w:ind w:left="0" w:firstLine="0"/>
      </w:pPr>
      <w:rPr>
        <w:rFonts w:hint="eastAsia" w:ascii="黑体" w:eastAsia="黑体" w:hAnsiTheme="minorHAnsi"/>
        <w:b w:val="0"/>
        <w:i w:val="0"/>
        <w:sz w:val="21"/>
      </w:rPr>
    </w:lvl>
    <w:lvl w:ilvl="5" w:tentative="0">
      <w:start w:val="1"/>
      <w:numFmt w:val="decimal"/>
      <w:pStyle w:val="93"/>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058339F"/>
    <w:multiLevelType w:val="multilevel"/>
    <w:tmpl w:val="1058339F"/>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6">
    <w:nsid w:val="14844769"/>
    <w:multiLevelType w:val="multilevel"/>
    <w:tmpl w:val="14844769"/>
    <w:lvl w:ilvl="0" w:tentative="0">
      <w:start w:val="1"/>
      <w:numFmt w:val="decimal"/>
      <w:suff w:val="nothing"/>
      <w:lvlText w:val="（%1）"/>
      <w:lvlJc w:val="left"/>
      <w:pPr>
        <w:tabs>
          <w:tab w:val="left" w:pos="0"/>
        </w:tabs>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16241A0C"/>
    <w:multiLevelType w:val="multilevel"/>
    <w:tmpl w:val="16241A0C"/>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
    <w:nsid w:val="1A2816B5"/>
    <w:multiLevelType w:val="multilevel"/>
    <w:tmpl w:val="1A2816B5"/>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9">
    <w:nsid w:val="270E0862"/>
    <w:multiLevelType w:val="multilevel"/>
    <w:tmpl w:val="270E0862"/>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0">
    <w:nsid w:val="2D47DE8F"/>
    <w:multiLevelType w:val="multilevel"/>
    <w:tmpl w:val="2D47DE8F"/>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1">
    <w:nsid w:val="39CAAC36"/>
    <w:multiLevelType w:val="multilevel"/>
    <w:tmpl w:val="39CAAC36"/>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2">
    <w:nsid w:val="3D977C12"/>
    <w:multiLevelType w:val="multilevel"/>
    <w:tmpl w:val="3D977C12"/>
    <w:lvl w:ilvl="0" w:tentative="0">
      <w:start w:val="1"/>
      <w:numFmt w:val="lowerLetter"/>
      <w:suff w:val="nothing"/>
      <w:lvlText w:val="%1）"/>
      <w:lvlJc w:val="left"/>
      <w:pPr>
        <w:tabs>
          <w:tab w:val="left" w:pos="420"/>
        </w:tabs>
        <w:ind w:left="560" w:hanging="360"/>
      </w:pPr>
      <w:rPr>
        <w:rFonts w:hint="default"/>
      </w:rPr>
    </w:lvl>
    <w:lvl w:ilvl="1" w:tentative="0">
      <w:start w:val="1"/>
      <w:numFmt w:val="low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low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lowerLetter"/>
      <w:lvlText w:val="%8)"/>
      <w:lvlJc w:val="left"/>
      <w:pPr>
        <w:ind w:left="3720" w:hanging="440"/>
      </w:pPr>
    </w:lvl>
    <w:lvl w:ilvl="8" w:tentative="0">
      <w:start w:val="1"/>
      <w:numFmt w:val="lowerRoman"/>
      <w:lvlText w:val="%9."/>
      <w:lvlJc w:val="right"/>
      <w:pPr>
        <w:ind w:left="4160" w:hanging="440"/>
      </w:pPr>
    </w:lvl>
  </w:abstractNum>
  <w:abstractNum w:abstractNumId="13">
    <w:nsid w:val="4A154EBC"/>
    <w:multiLevelType w:val="multilevel"/>
    <w:tmpl w:val="4A154EBC"/>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4BA1207B"/>
    <w:multiLevelType w:val="multilevel"/>
    <w:tmpl w:val="4BA1207B"/>
    <w:lvl w:ilvl="0" w:tentative="0">
      <w:start w:val="1"/>
      <w:numFmt w:val="lowerLetter"/>
      <w:suff w:val="nothing"/>
      <w:lvlText w:val="%1）"/>
      <w:lvlJc w:val="left"/>
      <w:pPr>
        <w:ind w:left="927" w:hanging="360"/>
      </w:pPr>
      <w:rPr>
        <w:rFonts w:hint="default"/>
      </w:rPr>
    </w:lvl>
    <w:lvl w:ilvl="1" w:tentative="0">
      <w:start w:val="1"/>
      <w:numFmt w:val="lowerLetter"/>
      <w:pStyle w:val="94"/>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15">
    <w:nsid w:val="5A160F3E"/>
    <w:multiLevelType w:val="singleLevel"/>
    <w:tmpl w:val="5A160F3E"/>
    <w:lvl w:ilvl="0" w:tentative="0">
      <w:start w:val="1"/>
      <w:numFmt w:val="decimal"/>
      <w:suff w:val="nothing"/>
      <w:lvlText w:val="%1、"/>
      <w:lvlJc w:val="left"/>
    </w:lvl>
  </w:abstractNum>
  <w:num w:numId="1">
    <w:abstractNumId w:val="3"/>
  </w:num>
  <w:num w:numId="2">
    <w:abstractNumId w:val="15"/>
  </w:num>
  <w:num w:numId="3">
    <w:abstractNumId w:val="4"/>
  </w:num>
  <w:num w:numId="4">
    <w:abstractNumId w:val="14"/>
  </w:num>
  <w:num w:numId="5">
    <w:abstractNumId w:val="1"/>
  </w:num>
  <w:num w:numId="6">
    <w:abstractNumId w:val="2"/>
  </w:num>
  <w:num w:numId="7">
    <w:abstractNumId w:val="0"/>
  </w:num>
  <w:num w:numId="8">
    <w:abstractNumId w:val="10"/>
  </w:num>
  <w:num w:numId="9">
    <w:abstractNumId w:val="11"/>
  </w:num>
  <w:num w:numId="10">
    <w:abstractNumId w:val="12"/>
  </w:num>
  <w:num w:numId="11">
    <w:abstractNumId w:val="7"/>
  </w:num>
  <w:num w:numId="12">
    <w:abstractNumId w:val="8"/>
  </w:num>
  <w:num w:numId="13">
    <w:abstractNumId w:val="9"/>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2NWRiZjgzZGZiN2Q4Y2E1MzQ0ZjVlZmQyZWIwNDUifQ=="/>
  </w:docVars>
  <w:rsids>
    <w:rsidRoot w:val="00F313B0"/>
    <w:rsid w:val="00002D7A"/>
    <w:rsid w:val="000071D8"/>
    <w:rsid w:val="000109BD"/>
    <w:rsid w:val="000126A9"/>
    <w:rsid w:val="000136F4"/>
    <w:rsid w:val="000148BB"/>
    <w:rsid w:val="00015D04"/>
    <w:rsid w:val="000177D6"/>
    <w:rsid w:val="00022E83"/>
    <w:rsid w:val="0002540C"/>
    <w:rsid w:val="00025668"/>
    <w:rsid w:val="000261E8"/>
    <w:rsid w:val="0002647E"/>
    <w:rsid w:val="00030365"/>
    <w:rsid w:val="00031276"/>
    <w:rsid w:val="000341FF"/>
    <w:rsid w:val="00034360"/>
    <w:rsid w:val="0004023B"/>
    <w:rsid w:val="0004342E"/>
    <w:rsid w:val="0005391B"/>
    <w:rsid w:val="000567C8"/>
    <w:rsid w:val="00061701"/>
    <w:rsid w:val="00062EF9"/>
    <w:rsid w:val="000637D9"/>
    <w:rsid w:val="00063DB6"/>
    <w:rsid w:val="000653E3"/>
    <w:rsid w:val="000679F7"/>
    <w:rsid w:val="00075ECE"/>
    <w:rsid w:val="00076DC1"/>
    <w:rsid w:val="00082613"/>
    <w:rsid w:val="000859C0"/>
    <w:rsid w:val="00086B87"/>
    <w:rsid w:val="00086D78"/>
    <w:rsid w:val="000878C5"/>
    <w:rsid w:val="00091D8B"/>
    <w:rsid w:val="000930BF"/>
    <w:rsid w:val="00097103"/>
    <w:rsid w:val="0009787E"/>
    <w:rsid w:val="00097B46"/>
    <w:rsid w:val="000A0CA4"/>
    <w:rsid w:val="000A2212"/>
    <w:rsid w:val="000A2230"/>
    <w:rsid w:val="000A23D2"/>
    <w:rsid w:val="000A2814"/>
    <w:rsid w:val="000A4891"/>
    <w:rsid w:val="000A5F71"/>
    <w:rsid w:val="000A6163"/>
    <w:rsid w:val="000B003C"/>
    <w:rsid w:val="000B041B"/>
    <w:rsid w:val="000B064F"/>
    <w:rsid w:val="000B09C4"/>
    <w:rsid w:val="000B1443"/>
    <w:rsid w:val="000B177B"/>
    <w:rsid w:val="000B201E"/>
    <w:rsid w:val="000B3E38"/>
    <w:rsid w:val="000B5A9A"/>
    <w:rsid w:val="000B63DB"/>
    <w:rsid w:val="000B7C04"/>
    <w:rsid w:val="000B7D7B"/>
    <w:rsid w:val="000C51BF"/>
    <w:rsid w:val="000C68A0"/>
    <w:rsid w:val="000D0EB7"/>
    <w:rsid w:val="000D44CA"/>
    <w:rsid w:val="000D4A74"/>
    <w:rsid w:val="000E0BED"/>
    <w:rsid w:val="000E23A5"/>
    <w:rsid w:val="000E2F2D"/>
    <w:rsid w:val="000E5EA7"/>
    <w:rsid w:val="000E66C1"/>
    <w:rsid w:val="000F2A1D"/>
    <w:rsid w:val="000F3EB6"/>
    <w:rsid w:val="000F6102"/>
    <w:rsid w:val="00107D14"/>
    <w:rsid w:val="00111658"/>
    <w:rsid w:val="0011264F"/>
    <w:rsid w:val="001131BC"/>
    <w:rsid w:val="001140AC"/>
    <w:rsid w:val="001156DC"/>
    <w:rsid w:val="00120321"/>
    <w:rsid w:val="00120979"/>
    <w:rsid w:val="00120FE2"/>
    <w:rsid w:val="001245D5"/>
    <w:rsid w:val="00126096"/>
    <w:rsid w:val="0012715C"/>
    <w:rsid w:val="00127312"/>
    <w:rsid w:val="00127A78"/>
    <w:rsid w:val="00131D5A"/>
    <w:rsid w:val="00133A7B"/>
    <w:rsid w:val="00134DF9"/>
    <w:rsid w:val="00134ED7"/>
    <w:rsid w:val="001400EF"/>
    <w:rsid w:val="00146483"/>
    <w:rsid w:val="00151E68"/>
    <w:rsid w:val="00153F0A"/>
    <w:rsid w:val="001541AD"/>
    <w:rsid w:val="0016011D"/>
    <w:rsid w:val="00160C1D"/>
    <w:rsid w:val="00166048"/>
    <w:rsid w:val="001713D9"/>
    <w:rsid w:val="0017226B"/>
    <w:rsid w:val="00180A9E"/>
    <w:rsid w:val="00182A13"/>
    <w:rsid w:val="0018577D"/>
    <w:rsid w:val="00196F76"/>
    <w:rsid w:val="00197F8F"/>
    <w:rsid w:val="001A55F5"/>
    <w:rsid w:val="001A566E"/>
    <w:rsid w:val="001B225A"/>
    <w:rsid w:val="001B2A9B"/>
    <w:rsid w:val="001B330F"/>
    <w:rsid w:val="001B4C9D"/>
    <w:rsid w:val="001B4EDA"/>
    <w:rsid w:val="001B713D"/>
    <w:rsid w:val="001C2BC1"/>
    <w:rsid w:val="001C4881"/>
    <w:rsid w:val="001C73EE"/>
    <w:rsid w:val="001C7F6F"/>
    <w:rsid w:val="001D12B0"/>
    <w:rsid w:val="001D1A57"/>
    <w:rsid w:val="001D23B2"/>
    <w:rsid w:val="001D55BE"/>
    <w:rsid w:val="001D6D63"/>
    <w:rsid w:val="001E27C4"/>
    <w:rsid w:val="001E2AE5"/>
    <w:rsid w:val="001E3AC6"/>
    <w:rsid w:val="001E5A2D"/>
    <w:rsid w:val="001E79C6"/>
    <w:rsid w:val="001F0F88"/>
    <w:rsid w:val="001F1B65"/>
    <w:rsid w:val="001F6E2A"/>
    <w:rsid w:val="00201670"/>
    <w:rsid w:val="002018B6"/>
    <w:rsid w:val="002053BB"/>
    <w:rsid w:val="00206340"/>
    <w:rsid w:val="00206463"/>
    <w:rsid w:val="0021064E"/>
    <w:rsid w:val="0021195C"/>
    <w:rsid w:val="00212074"/>
    <w:rsid w:val="00212906"/>
    <w:rsid w:val="00216760"/>
    <w:rsid w:val="00222425"/>
    <w:rsid w:val="002314E0"/>
    <w:rsid w:val="0023363B"/>
    <w:rsid w:val="002357CC"/>
    <w:rsid w:val="002375A1"/>
    <w:rsid w:val="00242194"/>
    <w:rsid w:val="002422F4"/>
    <w:rsid w:val="00242517"/>
    <w:rsid w:val="0024393F"/>
    <w:rsid w:val="00246479"/>
    <w:rsid w:val="00247BB5"/>
    <w:rsid w:val="0025365C"/>
    <w:rsid w:val="00253816"/>
    <w:rsid w:val="002560A3"/>
    <w:rsid w:val="00257117"/>
    <w:rsid w:val="0025776C"/>
    <w:rsid w:val="0026150D"/>
    <w:rsid w:val="00261F1A"/>
    <w:rsid w:val="0026211D"/>
    <w:rsid w:val="00263488"/>
    <w:rsid w:val="002668D6"/>
    <w:rsid w:val="00266B46"/>
    <w:rsid w:val="00270C44"/>
    <w:rsid w:val="00270D4A"/>
    <w:rsid w:val="00270F46"/>
    <w:rsid w:val="0027251F"/>
    <w:rsid w:val="00274B26"/>
    <w:rsid w:val="0027635B"/>
    <w:rsid w:val="00281062"/>
    <w:rsid w:val="002815D0"/>
    <w:rsid w:val="00281919"/>
    <w:rsid w:val="002819F0"/>
    <w:rsid w:val="002859B5"/>
    <w:rsid w:val="00287418"/>
    <w:rsid w:val="002922AC"/>
    <w:rsid w:val="0029634A"/>
    <w:rsid w:val="00296F54"/>
    <w:rsid w:val="002A10AD"/>
    <w:rsid w:val="002A2A48"/>
    <w:rsid w:val="002A2C34"/>
    <w:rsid w:val="002A4EB1"/>
    <w:rsid w:val="002A61A4"/>
    <w:rsid w:val="002B4884"/>
    <w:rsid w:val="002B57E6"/>
    <w:rsid w:val="002B72D5"/>
    <w:rsid w:val="002B79CD"/>
    <w:rsid w:val="002B7C1F"/>
    <w:rsid w:val="002C339A"/>
    <w:rsid w:val="002C72FD"/>
    <w:rsid w:val="002C776A"/>
    <w:rsid w:val="002D0278"/>
    <w:rsid w:val="002D0C94"/>
    <w:rsid w:val="002D3E72"/>
    <w:rsid w:val="002E0645"/>
    <w:rsid w:val="002E1D0D"/>
    <w:rsid w:val="002E2BF0"/>
    <w:rsid w:val="002E328F"/>
    <w:rsid w:val="002E408A"/>
    <w:rsid w:val="002E4A7B"/>
    <w:rsid w:val="002E510A"/>
    <w:rsid w:val="002E57E6"/>
    <w:rsid w:val="002F30B5"/>
    <w:rsid w:val="002F51DF"/>
    <w:rsid w:val="002F5C01"/>
    <w:rsid w:val="002F5DF9"/>
    <w:rsid w:val="002F76B8"/>
    <w:rsid w:val="00304958"/>
    <w:rsid w:val="00307FA4"/>
    <w:rsid w:val="00310988"/>
    <w:rsid w:val="003113C3"/>
    <w:rsid w:val="003116DA"/>
    <w:rsid w:val="00312F7F"/>
    <w:rsid w:val="0031758F"/>
    <w:rsid w:val="00322FA8"/>
    <w:rsid w:val="003249C7"/>
    <w:rsid w:val="00325067"/>
    <w:rsid w:val="0032605C"/>
    <w:rsid w:val="00332F8B"/>
    <w:rsid w:val="00333B04"/>
    <w:rsid w:val="003344BA"/>
    <w:rsid w:val="00335068"/>
    <w:rsid w:val="00335A59"/>
    <w:rsid w:val="00335A95"/>
    <w:rsid w:val="00350C8D"/>
    <w:rsid w:val="00356482"/>
    <w:rsid w:val="003569E6"/>
    <w:rsid w:val="00357022"/>
    <w:rsid w:val="00357C31"/>
    <w:rsid w:val="00357F87"/>
    <w:rsid w:val="00366BEF"/>
    <w:rsid w:val="00372472"/>
    <w:rsid w:val="00372E9D"/>
    <w:rsid w:val="0037560A"/>
    <w:rsid w:val="003778E9"/>
    <w:rsid w:val="0038551C"/>
    <w:rsid w:val="00393951"/>
    <w:rsid w:val="00393EF5"/>
    <w:rsid w:val="00396D32"/>
    <w:rsid w:val="003A0FB4"/>
    <w:rsid w:val="003A274D"/>
    <w:rsid w:val="003A4A19"/>
    <w:rsid w:val="003B0903"/>
    <w:rsid w:val="003B0A1F"/>
    <w:rsid w:val="003B5074"/>
    <w:rsid w:val="003B529B"/>
    <w:rsid w:val="003B5EAB"/>
    <w:rsid w:val="003C01C1"/>
    <w:rsid w:val="003C1E66"/>
    <w:rsid w:val="003C22CB"/>
    <w:rsid w:val="003C2C23"/>
    <w:rsid w:val="003C6495"/>
    <w:rsid w:val="003C68D8"/>
    <w:rsid w:val="003D0EFE"/>
    <w:rsid w:val="003D190E"/>
    <w:rsid w:val="003D5BF3"/>
    <w:rsid w:val="003D6E4F"/>
    <w:rsid w:val="003D7870"/>
    <w:rsid w:val="003E2A46"/>
    <w:rsid w:val="003F2E24"/>
    <w:rsid w:val="003F379B"/>
    <w:rsid w:val="003F53B0"/>
    <w:rsid w:val="003F7B90"/>
    <w:rsid w:val="00400B9D"/>
    <w:rsid w:val="0040380F"/>
    <w:rsid w:val="004072B6"/>
    <w:rsid w:val="00415C55"/>
    <w:rsid w:val="00417DF0"/>
    <w:rsid w:val="00420952"/>
    <w:rsid w:val="004209D6"/>
    <w:rsid w:val="00421F56"/>
    <w:rsid w:val="00424784"/>
    <w:rsid w:val="004248E6"/>
    <w:rsid w:val="004252C9"/>
    <w:rsid w:val="0042652F"/>
    <w:rsid w:val="004274E9"/>
    <w:rsid w:val="00427999"/>
    <w:rsid w:val="0043564C"/>
    <w:rsid w:val="00436880"/>
    <w:rsid w:val="00437DE1"/>
    <w:rsid w:val="00437EEC"/>
    <w:rsid w:val="004468CE"/>
    <w:rsid w:val="00450DC4"/>
    <w:rsid w:val="00450FFE"/>
    <w:rsid w:val="004556C8"/>
    <w:rsid w:val="00461B75"/>
    <w:rsid w:val="00462C1F"/>
    <w:rsid w:val="004705D3"/>
    <w:rsid w:val="0047068A"/>
    <w:rsid w:val="00471A04"/>
    <w:rsid w:val="0047210D"/>
    <w:rsid w:val="004724DC"/>
    <w:rsid w:val="00475A14"/>
    <w:rsid w:val="00491DED"/>
    <w:rsid w:val="0049396A"/>
    <w:rsid w:val="00494C09"/>
    <w:rsid w:val="00494C66"/>
    <w:rsid w:val="0049686D"/>
    <w:rsid w:val="004A6555"/>
    <w:rsid w:val="004B4790"/>
    <w:rsid w:val="004B4BEF"/>
    <w:rsid w:val="004B56C8"/>
    <w:rsid w:val="004B71FA"/>
    <w:rsid w:val="004C2C26"/>
    <w:rsid w:val="004C4B5E"/>
    <w:rsid w:val="004C6AD5"/>
    <w:rsid w:val="004D41E2"/>
    <w:rsid w:val="004D4AC8"/>
    <w:rsid w:val="004D5483"/>
    <w:rsid w:val="004D57B7"/>
    <w:rsid w:val="004E10C6"/>
    <w:rsid w:val="004E148F"/>
    <w:rsid w:val="004E4AA2"/>
    <w:rsid w:val="004E6AEB"/>
    <w:rsid w:val="004E6CBF"/>
    <w:rsid w:val="004F0F04"/>
    <w:rsid w:val="004F29D3"/>
    <w:rsid w:val="004F3221"/>
    <w:rsid w:val="005010B6"/>
    <w:rsid w:val="0050774F"/>
    <w:rsid w:val="00507F33"/>
    <w:rsid w:val="00511847"/>
    <w:rsid w:val="0051213C"/>
    <w:rsid w:val="00513409"/>
    <w:rsid w:val="00515436"/>
    <w:rsid w:val="0051637C"/>
    <w:rsid w:val="00522B1C"/>
    <w:rsid w:val="00524F0E"/>
    <w:rsid w:val="005265D3"/>
    <w:rsid w:val="00531459"/>
    <w:rsid w:val="005329B3"/>
    <w:rsid w:val="00533ABE"/>
    <w:rsid w:val="00536F5A"/>
    <w:rsid w:val="005374C6"/>
    <w:rsid w:val="0054113C"/>
    <w:rsid w:val="00544CB9"/>
    <w:rsid w:val="005453B8"/>
    <w:rsid w:val="00546F7F"/>
    <w:rsid w:val="005503FC"/>
    <w:rsid w:val="00553B90"/>
    <w:rsid w:val="00554024"/>
    <w:rsid w:val="00556455"/>
    <w:rsid w:val="005565B1"/>
    <w:rsid w:val="005567D0"/>
    <w:rsid w:val="00557988"/>
    <w:rsid w:val="005646D4"/>
    <w:rsid w:val="00564A11"/>
    <w:rsid w:val="00570821"/>
    <w:rsid w:val="00577B51"/>
    <w:rsid w:val="00577CF0"/>
    <w:rsid w:val="0058052F"/>
    <w:rsid w:val="00583423"/>
    <w:rsid w:val="00583CA8"/>
    <w:rsid w:val="00584CF8"/>
    <w:rsid w:val="00587F9C"/>
    <w:rsid w:val="00591470"/>
    <w:rsid w:val="005928B7"/>
    <w:rsid w:val="0059492D"/>
    <w:rsid w:val="00595816"/>
    <w:rsid w:val="005A36C3"/>
    <w:rsid w:val="005A3EFD"/>
    <w:rsid w:val="005A5341"/>
    <w:rsid w:val="005A643F"/>
    <w:rsid w:val="005A7B47"/>
    <w:rsid w:val="005B11D2"/>
    <w:rsid w:val="005B216C"/>
    <w:rsid w:val="005B65A0"/>
    <w:rsid w:val="005B7231"/>
    <w:rsid w:val="005C10CC"/>
    <w:rsid w:val="005C2B7A"/>
    <w:rsid w:val="005C2B83"/>
    <w:rsid w:val="005C2B8D"/>
    <w:rsid w:val="005C3DF5"/>
    <w:rsid w:val="005C43FF"/>
    <w:rsid w:val="005C57FA"/>
    <w:rsid w:val="005C6553"/>
    <w:rsid w:val="005C716D"/>
    <w:rsid w:val="005D0395"/>
    <w:rsid w:val="005D1643"/>
    <w:rsid w:val="005D30E6"/>
    <w:rsid w:val="005D725D"/>
    <w:rsid w:val="005E1988"/>
    <w:rsid w:val="005E5916"/>
    <w:rsid w:val="005F042E"/>
    <w:rsid w:val="005F0879"/>
    <w:rsid w:val="005F1293"/>
    <w:rsid w:val="005F1F7F"/>
    <w:rsid w:val="005F7301"/>
    <w:rsid w:val="005F776E"/>
    <w:rsid w:val="0060272E"/>
    <w:rsid w:val="00605D0A"/>
    <w:rsid w:val="00617657"/>
    <w:rsid w:val="006177D7"/>
    <w:rsid w:val="00617836"/>
    <w:rsid w:val="00620D19"/>
    <w:rsid w:val="006221DD"/>
    <w:rsid w:val="00623594"/>
    <w:rsid w:val="006277A0"/>
    <w:rsid w:val="00631C83"/>
    <w:rsid w:val="00631FAC"/>
    <w:rsid w:val="00634161"/>
    <w:rsid w:val="00634CED"/>
    <w:rsid w:val="00635955"/>
    <w:rsid w:val="00635E3B"/>
    <w:rsid w:val="00636FD1"/>
    <w:rsid w:val="00641DA1"/>
    <w:rsid w:val="0065325D"/>
    <w:rsid w:val="0065412E"/>
    <w:rsid w:val="00654978"/>
    <w:rsid w:val="00660C09"/>
    <w:rsid w:val="00664B77"/>
    <w:rsid w:val="00664E0C"/>
    <w:rsid w:val="00665CD7"/>
    <w:rsid w:val="006675B1"/>
    <w:rsid w:val="00671C4A"/>
    <w:rsid w:val="00674A3E"/>
    <w:rsid w:val="00674E55"/>
    <w:rsid w:val="00675FE3"/>
    <w:rsid w:val="00681977"/>
    <w:rsid w:val="00682731"/>
    <w:rsid w:val="006838C3"/>
    <w:rsid w:val="00684D27"/>
    <w:rsid w:val="00687FD1"/>
    <w:rsid w:val="00690AF6"/>
    <w:rsid w:val="006938A9"/>
    <w:rsid w:val="006A3F51"/>
    <w:rsid w:val="006A6ED9"/>
    <w:rsid w:val="006B1C9C"/>
    <w:rsid w:val="006B47B3"/>
    <w:rsid w:val="006B502C"/>
    <w:rsid w:val="006B612B"/>
    <w:rsid w:val="006B74F0"/>
    <w:rsid w:val="006B7C49"/>
    <w:rsid w:val="006C0BDF"/>
    <w:rsid w:val="006C14BF"/>
    <w:rsid w:val="006C2294"/>
    <w:rsid w:val="006C436C"/>
    <w:rsid w:val="006C63CA"/>
    <w:rsid w:val="006D295C"/>
    <w:rsid w:val="006D7552"/>
    <w:rsid w:val="006E4E21"/>
    <w:rsid w:val="006E6368"/>
    <w:rsid w:val="006E7F22"/>
    <w:rsid w:val="006F6258"/>
    <w:rsid w:val="006F66FB"/>
    <w:rsid w:val="00700D75"/>
    <w:rsid w:val="00702230"/>
    <w:rsid w:val="007075D6"/>
    <w:rsid w:val="00710AFF"/>
    <w:rsid w:val="007119F6"/>
    <w:rsid w:val="0072003D"/>
    <w:rsid w:val="00725BB3"/>
    <w:rsid w:val="00727EED"/>
    <w:rsid w:val="007309F2"/>
    <w:rsid w:val="007321E0"/>
    <w:rsid w:val="00732BEB"/>
    <w:rsid w:val="00734161"/>
    <w:rsid w:val="00737017"/>
    <w:rsid w:val="0073732A"/>
    <w:rsid w:val="00737EC5"/>
    <w:rsid w:val="007403A5"/>
    <w:rsid w:val="0074050C"/>
    <w:rsid w:val="0074088B"/>
    <w:rsid w:val="00740D94"/>
    <w:rsid w:val="00742C2C"/>
    <w:rsid w:val="0074682B"/>
    <w:rsid w:val="007527AA"/>
    <w:rsid w:val="00752A7A"/>
    <w:rsid w:val="00753EA6"/>
    <w:rsid w:val="007647FD"/>
    <w:rsid w:val="00764CF4"/>
    <w:rsid w:val="00767D12"/>
    <w:rsid w:val="007716A6"/>
    <w:rsid w:val="007719B6"/>
    <w:rsid w:val="007721B7"/>
    <w:rsid w:val="00773BFA"/>
    <w:rsid w:val="0078056E"/>
    <w:rsid w:val="0078183E"/>
    <w:rsid w:val="007824E0"/>
    <w:rsid w:val="007850C8"/>
    <w:rsid w:val="0079057D"/>
    <w:rsid w:val="0079095F"/>
    <w:rsid w:val="00794042"/>
    <w:rsid w:val="00795D0C"/>
    <w:rsid w:val="0079619D"/>
    <w:rsid w:val="00796615"/>
    <w:rsid w:val="007A3E57"/>
    <w:rsid w:val="007A5920"/>
    <w:rsid w:val="007B000B"/>
    <w:rsid w:val="007B2F57"/>
    <w:rsid w:val="007B330E"/>
    <w:rsid w:val="007B35A8"/>
    <w:rsid w:val="007B3618"/>
    <w:rsid w:val="007B3AF6"/>
    <w:rsid w:val="007B46B3"/>
    <w:rsid w:val="007B5A94"/>
    <w:rsid w:val="007B6A34"/>
    <w:rsid w:val="007C24D4"/>
    <w:rsid w:val="007C38D4"/>
    <w:rsid w:val="007C3AF7"/>
    <w:rsid w:val="007C591D"/>
    <w:rsid w:val="007C7C48"/>
    <w:rsid w:val="007D0E24"/>
    <w:rsid w:val="007D20E1"/>
    <w:rsid w:val="007D2B0C"/>
    <w:rsid w:val="007E5979"/>
    <w:rsid w:val="007E5D40"/>
    <w:rsid w:val="007E6065"/>
    <w:rsid w:val="007F31CD"/>
    <w:rsid w:val="007F474E"/>
    <w:rsid w:val="007F4DB9"/>
    <w:rsid w:val="007F6BAB"/>
    <w:rsid w:val="00804BC7"/>
    <w:rsid w:val="00805991"/>
    <w:rsid w:val="00806554"/>
    <w:rsid w:val="00810005"/>
    <w:rsid w:val="008111BD"/>
    <w:rsid w:val="0081175B"/>
    <w:rsid w:val="00811A20"/>
    <w:rsid w:val="00811B25"/>
    <w:rsid w:val="00814E01"/>
    <w:rsid w:val="0082077D"/>
    <w:rsid w:val="00822DDD"/>
    <w:rsid w:val="00827420"/>
    <w:rsid w:val="008301C9"/>
    <w:rsid w:val="0083090F"/>
    <w:rsid w:val="008322AF"/>
    <w:rsid w:val="008329EC"/>
    <w:rsid w:val="0083435F"/>
    <w:rsid w:val="00836D96"/>
    <w:rsid w:val="0083760F"/>
    <w:rsid w:val="00841A33"/>
    <w:rsid w:val="00842324"/>
    <w:rsid w:val="008447B8"/>
    <w:rsid w:val="008459E2"/>
    <w:rsid w:val="008507B9"/>
    <w:rsid w:val="00850BFC"/>
    <w:rsid w:val="008556DF"/>
    <w:rsid w:val="00857C82"/>
    <w:rsid w:val="0086165C"/>
    <w:rsid w:val="0086371C"/>
    <w:rsid w:val="00863739"/>
    <w:rsid w:val="00865F56"/>
    <w:rsid w:val="00871962"/>
    <w:rsid w:val="00871DC8"/>
    <w:rsid w:val="00882CC7"/>
    <w:rsid w:val="0088406B"/>
    <w:rsid w:val="00887073"/>
    <w:rsid w:val="00890679"/>
    <w:rsid w:val="008912AB"/>
    <w:rsid w:val="00893AA3"/>
    <w:rsid w:val="008A0E63"/>
    <w:rsid w:val="008A5102"/>
    <w:rsid w:val="008B6889"/>
    <w:rsid w:val="008C66D8"/>
    <w:rsid w:val="008C7C39"/>
    <w:rsid w:val="008C7F70"/>
    <w:rsid w:val="008D3EFA"/>
    <w:rsid w:val="008D524B"/>
    <w:rsid w:val="008D58BF"/>
    <w:rsid w:val="008D61CE"/>
    <w:rsid w:val="008E0B68"/>
    <w:rsid w:val="008E194A"/>
    <w:rsid w:val="008E4496"/>
    <w:rsid w:val="008F283A"/>
    <w:rsid w:val="008F31CB"/>
    <w:rsid w:val="008F4A3D"/>
    <w:rsid w:val="00900950"/>
    <w:rsid w:val="009014E8"/>
    <w:rsid w:val="0090293C"/>
    <w:rsid w:val="0090508F"/>
    <w:rsid w:val="009050F0"/>
    <w:rsid w:val="009152A2"/>
    <w:rsid w:val="009161DA"/>
    <w:rsid w:val="00920A87"/>
    <w:rsid w:val="0092199A"/>
    <w:rsid w:val="00923A97"/>
    <w:rsid w:val="00923B27"/>
    <w:rsid w:val="009253E6"/>
    <w:rsid w:val="009258FA"/>
    <w:rsid w:val="009274BE"/>
    <w:rsid w:val="009307FA"/>
    <w:rsid w:val="00931CE0"/>
    <w:rsid w:val="0093342D"/>
    <w:rsid w:val="00933B89"/>
    <w:rsid w:val="00937592"/>
    <w:rsid w:val="009467B4"/>
    <w:rsid w:val="009478AC"/>
    <w:rsid w:val="0095104C"/>
    <w:rsid w:val="009522B0"/>
    <w:rsid w:val="009550FC"/>
    <w:rsid w:val="00957145"/>
    <w:rsid w:val="00960316"/>
    <w:rsid w:val="00962060"/>
    <w:rsid w:val="009759FC"/>
    <w:rsid w:val="00977D15"/>
    <w:rsid w:val="0098681A"/>
    <w:rsid w:val="00993195"/>
    <w:rsid w:val="00993B99"/>
    <w:rsid w:val="00993E22"/>
    <w:rsid w:val="00995116"/>
    <w:rsid w:val="009A105C"/>
    <w:rsid w:val="009A7790"/>
    <w:rsid w:val="009B03AD"/>
    <w:rsid w:val="009B1C1E"/>
    <w:rsid w:val="009B2D62"/>
    <w:rsid w:val="009B3807"/>
    <w:rsid w:val="009B4F8D"/>
    <w:rsid w:val="009B5C05"/>
    <w:rsid w:val="009B5C6F"/>
    <w:rsid w:val="009C3225"/>
    <w:rsid w:val="009C4134"/>
    <w:rsid w:val="009C598F"/>
    <w:rsid w:val="009C694E"/>
    <w:rsid w:val="009C71C4"/>
    <w:rsid w:val="009C72A1"/>
    <w:rsid w:val="009D0277"/>
    <w:rsid w:val="009D3379"/>
    <w:rsid w:val="009D541A"/>
    <w:rsid w:val="009D5A60"/>
    <w:rsid w:val="009E0B3C"/>
    <w:rsid w:val="009E0C32"/>
    <w:rsid w:val="009E0D80"/>
    <w:rsid w:val="009E201D"/>
    <w:rsid w:val="009E32AA"/>
    <w:rsid w:val="009E60CA"/>
    <w:rsid w:val="009F0921"/>
    <w:rsid w:val="009F1BEB"/>
    <w:rsid w:val="009F3CB0"/>
    <w:rsid w:val="009F664A"/>
    <w:rsid w:val="00A01668"/>
    <w:rsid w:val="00A017FA"/>
    <w:rsid w:val="00A0296C"/>
    <w:rsid w:val="00A05351"/>
    <w:rsid w:val="00A061EF"/>
    <w:rsid w:val="00A06FF5"/>
    <w:rsid w:val="00A1022B"/>
    <w:rsid w:val="00A10A7B"/>
    <w:rsid w:val="00A10C7C"/>
    <w:rsid w:val="00A14621"/>
    <w:rsid w:val="00A15A04"/>
    <w:rsid w:val="00A17453"/>
    <w:rsid w:val="00A246EE"/>
    <w:rsid w:val="00A30EB7"/>
    <w:rsid w:val="00A30F31"/>
    <w:rsid w:val="00A31B47"/>
    <w:rsid w:val="00A325C0"/>
    <w:rsid w:val="00A3533A"/>
    <w:rsid w:val="00A35423"/>
    <w:rsid w:val="00A3654C"/>
    <w:rsid w:val="00A40156"/>
    <w:rsid w:val="00A460D4"/>
    <w:rsid w:val="00A47490"/>
    <w:rsid w:val="00A501FD"/>
    <w:rsid w:val="00A51CB1"/>
    <w:rsid w:val="00A52F83"/>
    <w:rsid w:val="00A532F5"/>
    <w:rsid w:val="00A53667"/>
    <w:rsid w:val="00A617F6"/>
    <w:rsid w:val="00A65699"/>
    <w:rsid w:val="00A711CB"/>
    <w:rsid w:val="00A71DDA"/>
    <w:rsid w:val="00A77C01"/>
    <w:rsid w:val="00A808B9"/>
    <w:rsid w:val="00A82EB3"/>
    <w:rsid w:val="00A83269"/>
    <w:rsid w:val="00A85694"/>
    <w:rsid w:val="00A85CFE"/>
    <w:rsid w:val="00A92106"/>
    <w:rsid w:val="00A9289B"/>
    <w:rsid w:val="00A94554"/>
    <w:rsid w:val="00AA0C78"/>
    <w:rsid w:val="00AA5066"/>
    <w:rsid w:val="00AA66C8"/>
    <w:rsid w:val="00AB0E79"/>
    <w:rsid w:val="00AB16D9"/>
    <w:rsid w:val="00AC1BA1"/>
    <w:rsid w:val="00AC3635"/>
    <w:rsid w:val="00AD01B4"/>
    <w:rsid w:val="00AD0F2C"/>
    <w:rsid w:val="00AD0F4B"/>
    <w:rsid w:val="00AD1592"/>
    <w:rsid w:val="00AD205F"/>
    <w:rsid w:val="00AD2D8B"/>
    <w:rsid w:val="00AD613E"/>
    <w:rsid w:val="00AD7F69"/>
    <w:rsid w:val="00AE2C32"/>
    <w:rsid w:val="00AE41B9"/>
    <w:rsid w:val="00AE4C80"/>
    <w:rsid w:val="00AE71C9"/>
    <w:rsid w:val="00AF0CC3"/>
    <w:rsid w:val="00AF22F2"/>
    <w:rsid w:val="00AF52CF"/>
    <w:rsid w:val="00AF56CD"/>
    <w:rsid w:val="00AF5F88"/>
    <w:rsid w:val="00B01A63"/>
    <w:rsid w:val="00B039CC"/>
    <w:rsid w:val="00B06FC3"/>
    <w:rsid w:val="00B0777E"/>
    <w:rsid w:val="00B12250"/>
    <w:rsid w:val="00B13598"/>
    <w:rsid w:val="00B2309E"/>
    <w:rsid w:val="00B23787"/>
    <w:rsid w:val="00B304AD"/>
    <w:rsid w:val="00B310E7"/>
    <w:rsid w:val="00B33291"/>
    <w:rsid w:val="00B340EC"/>
    <w:rsid w:val="00B34944"/>
    <w:rsid w:val="00B34DE2"/>
    <w:rsid w:val="00B37396"/>
    <w:rsid w:val="00B37EE6"/>
    <w:rsid w:val="00B43190"/>
    <w:rsid w:val="00B47470"/>
    <w:rsid w:val="00B517E0"/>
    <w:rsid w:val="00B51DD6"/>
    <w:rsid w:val="00B53209"/>
    <w:rsid w:val="00B5326B"/>
    <w:rsid w:val="00B53456"/>
    <w:rsid w:val="00B55510"/>
    <w:rsid w:val="00B561B1"/>
    <w:rsid w:val="00B64BE5"/>
    <w:rsid w:val="00B64EAD"/>
    <w:rsid w:val="00B70A1E"/>
    <w:rsid w:val="00B74717"/>
    <w:rsid w:val="00B76AF2"/>
    <w:rsid w:val="00B83EBB"/>
    <w:rsid w:val="00B8467F"/>
    <w:rsid w:val="00B847BB"/>
    <w:rsid w:val="00B853C2"/>
    <w:rsid w:val="00B86015"/>
    <w:rsid w:val="00B8715D"/>
    <w:rsid w:val="00B90108"/>
    <w:rsid w:val="00B933F8"/>
    <w:rsid w:val="00B93655"/>
    <w:rsid w:val="00B937DD"/>
    <w:rsid w:val="00B95B1D"/>
    <w:rsid w:val="00B95C3D"/>
    <w:rsid w:val="00B972CD"/>
    <w:rsid w:val="00BA0D8C"/>
    <w:rsid w:val="00BA1D14"/>
    <w:rsid w:val="00BA1E20"/>
    <w:rsid w:val="00BA5B87"/>
    <w:rsid w:val="00BB466D"/>
    <w:rsid w:val="00BB6C8F"/>
    <w:rsid w:val="00BC3A20"/>
    <w:rsid w:val="00BC3F34"/>
    <w:rsid w:val="00BC44DD"/>
    <w:rsid w:val="00BC4565"/>
    <w:rsid w:val="00BC5628"/>
    <w:rsid w:val="00BD0D4B"/>
    <w:rsid w:val="00BD1A94"/>
    <w:rsid w:val="00BD6D3B"/>
    <w:rsid w:val="00BD789D"/>
    <w:rsid w:val="00BE36F6"/>
    <w:rsid w:val="00BE491C"/>
    <w:rsid w:val="00BE576C"/>
    <w:rsid w:val="00BF3C4D"/>
    <w:rsid w:val="00BF5034"/>
    <w:rsid w:val="00BF59BD"/>
    <w:rsid w:val="00BF7A54"/>
    <w:rsid w:val="00C01635"/>
    <w:rsid w:val="00C01835"/>
    <w:rsid w:val="00C05C49"/>
    <w:rsid w:val="00C06763"/>
    <w:rsid w:val="00C07BE2"/>
    <w:rsid w:val="00C101A6"/>
    <w:rsid w:val="00C11FA9"/>
    <w:rsid w:val="00C12907"/>
    <w:rsid w:val="00C136FF"/>
    <w:rsid w:val="00C20E51"/>
    <w:rsid w:val="00C22C90"/>
    <w:rsid w:val="00C24308"/>
    <w:rsid w:val="00C253BB"/>
    <w:rsid w:val="00C274E1"/>
    <w:rsid w:val="00C27D27"/>
    <w:rsid w:val="00C307A5"/>
    <w:rsid w:val="00C32B5F"/>
    <w:rsid w:val="00C34086"/>
    <w:rsid w:val="00C34AD6"/>
    <w:rsid w:val="00C3612E"/>
    <w:rsid w:val="00C40A5B"/>
    <w:rsid w:val="00C41256"/>
    <w:rsid w:val="00C45CC5"/>
    <w:rsid w:val="00C45F5D"/>
    <w:rsid w:val="00C478E1"/>
    <w:rsid w:val="00C50E29"/>
    <w:rsid w:val="00C51E45"/>
    <w:rsid w:val="00C532C0"/>
    <w:rsid w:val="00C62606"/>
    <w:rsid w:val="00C634F4"/>
    <w:rsid w:val="00C650F5"/>
    <w:rsid w:val="00C65E2A"/>
    <w:rsid w:val="00C702A7"/>
    <w:rsid w:val="00C737E4"/>
    <w:rsid w:val="00C74C19"/>
    <w:rsid w:val="00C75E40"/>
    <w:rsid w:val="00C777E5"/>
    <w:rsid w:val="00C81C8E"/>
    <w:rsid w:val="00C81E1F"/>
    <w:rsid w:val="00C820BA"/>
    <w:rsid w:val="00C836C3"/>
    <w:rsid w:val="00C83EDE"/>
    <w:rsid w:val="00C86C71"/>
    <w:rsid w:val="00C87FE9"/>
    <w:rsid w:val="00C9183F"/>
    <w:rsid w:val="00C91DD5"/>
    <w:rsid w:val="00C93F8B"/>
    <w:rsid w:val="00C94A1D"/>
    <w:rsid w:val="00C96BC3"/>
    <w:rsid w:val="00C974B3"/>
    <w:rsid w:val="00CA08DB"/>
    <w:rsid w:val="00CA174F"/>
    <w:rsid w:val="00CA37FE"/>
    <w:rsid w:val="00CA47A2"/>
    <w:rsid w:val="00CB105B"/>
    <w:rsid w:val="00CB120D"/>
    <w:rsid w:val="00CB3439"/>
    <w:rsid w:val="00CB5D9C"/>
    <w:rsid w:val="00CB62BB"/>
    <w:rsid w:val="00CB719C"/>
    <w:rsid w:val="00CB7AC8"/>
    <w:rsid w:val="00CC1799"/>
    <w:rsid w:val="00CC1C04"/>
    <w:rsid w:val="00CC3567"/>
    <w:rsid w:val="00CC4775"/>
    <w:rsid w:val="00CD3293"/>
    <w:rsid w:val="00CE211F"/>
    <w:rsid w:val="00CE2536"/>
    <w:rsid w:val="00CE2B83"/>
    <w:rsid w:val="00CE416D"/>
    <w:rsid w:val="00CE47C7"/>
    <w:rsid w:val="00CE53C3"/>
    <w:rsid w:val="00CE58C9"/>
    <w:rsid w:val="00CE5B16"/>
    <w:rsid w:val="00CE61AC"/>
    <w:rsid w:val="00CE65D8"/>
    <w:rsid w:val="00CE7410"/>
    <w:rsid w:val="00CF1600"/>
    <w:rsid w:val="00CF5631"/>
    <w:rsid w:val="00CF5AF6"/>
    <w:rsid w:val="00D003A5"/>
    <w:rsid w:val="00D01B5E"/>
    <w:rsid w:val="00D03546"/>
    <w:rsid w:val="00D10E6A"/>
    <w:rsid w:val="00D129AE"/>
    <w:rsid w:val="00D13DE0"/>
    <w:rsid w:val="00D16AF3"/>
    <w:rsid w:val="00D23623"/>
    <w:rsid w:val="00D25DB6"/>
    <w:rsid w:val="00D27D93"/>
    <w:rsid w:val="00D304DC"/>
    <w:rsid w:val="00D305CC"/>
    <w:rsid w:val="00D30773"/>
    <w:rsid w:val="00D31417"/>
    <w:rsid w:val="00D31580"/>
    <w:rsid w:val="00D318FF"/>
    <w:rsid w:val="00D34741"/>
    <w:rsid w:val="00D35A01"/>
    <w:rsid w:val="00D40500"/>
    <w:rsid w:val="00D466F4"/>
    <w:rsid w:val="00D50801"/>
    <w:rsid w:val="00D5093B"/>
    <w:rsid w:val="00D5490B"/>
    <w:rsid w:val="00D573A5"/>
    <w:rsid w:val="00D602C1"/>
    <w:rsid w:val="00D60EBE"/>
    <w:rsid w:val="00D6512C"/>
    <w:rsid w:val="00D676E2"/>
    <w:rsid w:val="00D74943"/>
    <w:rsid w:val="00D74C0A"/>
    <w:rsid w:val="00D816F8"/>
    <w:rsid w:val="00D85816"/>
    <w:rsid w:val="00D9769E"/>
    <w:rsid w:val="00DA2276"/>
    <w:rsid w:val="00DA6CCA"/>
    <w:rsid w:val="00DB02EA"/>
    <w:rsid w:val="00DB4526"/>
    <w:rsid w:val="00DB53FA"/>
    <w:rsid w:val="00DB7172"/>
    <w:rsid w:val="00DC3372"/>
    <w:rsid w:val="00DC551B"/>
    <w:rsid w:val="00DC6E4D"/>
    <w:rsid w:val="00DD01CF"/>
    <w:rsid w:val="00DD3325"/>
    <w:rsid w:val="00DD63E9"/>
    <w:rsid w:val="00DE1D9E"/>
    <w:rsid w:val="00DE6202"/>
    <w:rsid w:val="00DE77DA"/>
    <w:rsid w:val="00DF093E"/>
    <w:rsid w:val="00DF2756"/>
    <w:rsid w:val="00DF2B63"/>
    <w:rsid w:val="00E02DC2"/>
    <w:rsid w:val="00E0526F"/>
    <w:rsid w:val="00E10FE7"/>
    <w:rsid w:val="00E11484"/>
    <w:rsid w:val="00E13085"/>
    <w:rsid w:val="00E1387C"/>
    <w:rsid w:val="00E1626B"/>
    <w:rsid w:val="00E21441"/>
    <w:rsid w:val="00E2363F"/>
    <w:rsid w:val="00E23658"/>
    <w:rsid w:val="00E27896"/>
    <w:rsid w:val="00E31660"/>
    <w:rsid w:val="00E32FB9"/>
    <w:rsid w:val="00E35D7F"/>
    <w:rsid w:val="00E35F59"/>
    <w:rsid w:val="00E3690D"/>
    <w:rsid w:val="00E42559"/>
    <w:rsid w:val="00E43671"/>
    <w:rsid w:val="00E445D8"/>
    <w:rsid w:val="00E45D39"/>
    <w:rsid w:val="00E4746E"/>
    <w:rsid w:val="00E47639"/>
    <w:rsid w:val="00E50432"/>
    <w:rsid w:val="00E561A5"/>
    <w:rsid w:val="00E57A4D"/>
    <w:rsid w:val="00E61F7F"/>
    <w:rsid w:val="00E66DE1"/>
    <w:rsid w:val="00E72BB3"/>
    <w:rsid w:val="00E74822"/>
    <w:rsid w:val="00E74DCD"/>
    <w:rsid w:val="00E81C94"/>
    <w:rsid w:val="00E91F86"/>
    <w:rsid w:val="00E920B9"/>
    <w:rsid w:val="00E92D8C"/>
    <w:rsid w:val="00E9312B"/>
    <w:rsid w:val="00E93397"/>
    <w:rsid w:val="00E9569F"/>
    <w:rsid w:val="00E9576D"/>
    <w:rsid w:val="00E97954"/>
    <w:rsid w:val="00EA0FCD"/>
    <w:rsid w:val="00EA174F"/>
    <w:rsid w:val="00EA2721"/>
    <w:rsid w:val="00EA7A54"/>
    <w:rsid w:val="00EB072C"/>
    <w:rsid w:val="00EB46A6"/>
    <w:rsid w:val="00EB4AB7"/>
    <w:rsid w:val="00EB5587"/>
    <w:rsid w:val="00EC0A8F"/>
    <w:rsid w:val="00EC1450"/>
    <w:rsid w:val="00EC1B76"/>
    <w:rsid w:val="00EC1E76"/>
    <w:rsid w:val="00EC3EEC"/>
    <w:rsid w:val="00ED230A"/>
    <w:rsid w:val="00ED3235"/>
    <w:rsid w:val="00ED563A"/>
    <w:rsid w:val="00ED5F6C"/>
    <w:rsid w:val="00EE1829"/>
    <w:rsid w:val="00EE3A32"/>
    <w:rsid w:val="00EE67DA"/>
    <w:rsid w:val="00EF07B4"/>
    <w:rsid w:val="00EF1C18"/>
    <w:rsid w:val="00EF5E02"/>
    <w:rsid w:val="00F013F9"/>
    <w:rsid w:val="00F0275D"/>
    <w:rsid w:val="00F02946"/>
    <w:rsid w:val="00F1058A"/>
    <w:rsid w:val="00F11670"/>
    <w:rsid w:val="00F15195"/>
    <w:rsid w:val="00F155B4"/>
    <w:rsid w:val="00F16258"/>
    <w:rsid w:val="00F208B8"/>
    <w:rsid w:val="00F235CA"/>
    <w:rsid w:val="00F243EE"/>
    <w:rsid w:val="00F24461"/>
    <w:rsid w:val="00F2614D"/>
    <w:rsid w:val="00F313B0"/>
    <w:rsid w:val="00F317AE"/>
    <w:rsid w:val="00F322B1"/>
    <w:rsid w:val="00F349EF"/>
    <w:rsid w:val="00F35F56"/>
    <w:rsid w:val="00F374A8"/>
    <w:rsid w:val="00F40036"/>
    <w:rsid w:val="00F43211"/>
    <w:rsid w:val="00F43455"/>
    <w:rsid w:val="00F54A41"/>
    <w:rsid w:val="00F55ADE"/>
    <w:rsid w:val="00F56717"/>
    <w:rsid w:val="00F56C44"/>
    <w:rsid w:val="00F573C3"/>
    <w:rsid w:val="00F63A97"/>
    <w:rsid w:val="00F6498B"/>
    <w:rsid w:val="00F65B02"/>
    <w:rsid w:val="00F66CF7"/>
    <w:rsid w:val="00F71988"/>
    <w:rsid w:val="00F7439F"/>
    <w:rsid w:val="00F76647"/>
    <w:rsid w:val="00F775F1"/>
    <w:rsid w:val="00F80250"/>
    <w:rsid w:val="00F80259"/>
    <w:rsid w:val="00F81EFD"/>
    <w:rsid w:val="00F84DA7"/>
    <w:rsid w:val="00F86CFA"/>
    <w:rsid w:val="00F90D34"/>
    <w:rsid w:val="00F91830"/>
    <w:rsid w:val="00F937B3"/>
    <w:rsid w:val="00F96860"/>
    <w:rsid w:val="00FA119D"/>
    <w:rsid w:val="00FA2D5C"/>
    <w:rsid w:val="00FB050C"/>
    <w:rsid w:val="00FB1EE9"/>
    <w:rsid w:val="00FB4440"/>
    <w:rsid w:val="00FB537A"/>
    <w:rsid w:val="00FB579F"/>
    <w:rsid w:val="00FB7AF1"/>
    <w:rsid w:val="00FC0395"/>
    <w:rsid w:val="00FD6540"/>
    <w:rsid w:val="00FE1A50"/>
    <w:rsid w:val="00FF0161"/>
    <w:rsid w:val="00FF0671"/>
    <w:rsid w:val="00FF0B1C"/>
    <w:rsid w:val="00FF0CC6"/>
    <w:rsid w:val="00FF1A31"/>
    <w:rsid w:val="00FF77F9"/>
    <w:rsid w:val="03152A2F"/>
    <w:rsid w:val="037B6CD5"/>
    <w:rsid w:val="056B3645"/>
    <w:rsid w:val="069E7308"/>
    <w:rsid w:val="092A0FFA"/>
    <w:rsid w:val="09AB3A48"/>
    <w:rsid w:val="0B3F14D4"/>
    <w:rsid w:val="0B7B1583"/>
    <w:rsid w:val="0DA25D4B"/>
    <w:rsid w:val="132A1B1C"/>
    <w:rsid w:val="13AC1438"/>
    <w:rsid w:val="13AC5867"/>
    <w:rsid w:val="15502FF2"/>
    <w:rsid w:val="157A0C6B"/>
    <w:rsid w:val="1A7A42D7"/>
    <w:rsid w:val="1E5C1D6D"/>
    <w:rsid w:val="20513DBD"/>
    <w:rsid w:val="25DA3E7C"/>
    <w:rsid w:val="260D4A1E"/>
    <w:rsid w:val="26B51F3D"/>
    <w:rsid w:val="26F53F20"/>
    <w:rsid w:val="29352A17"/>
    <w:rsid w:val="2A5623E2"/>
    <w:rsid w:val="2A607D60"/>
    <w:rsid w:val="2BAA4238"/>
    <w:rsid w:val="2C9E6925"/>
    <w:rsid w:val="2CF03873"/>
    <w:rsid w:val="2D320A41"/>
    <w:rsid w:val="2E8B665B"/>
    <w:rsid w:val="2EB02888"/>
    <w:rsid w:val="2EBD400E"/>
    <w:rsid w:val="2F8F5871"/>
    <w:rsid w:val="2FC35981"/>
    <w:rsid w:val="300845FB"/>
    <w:rsid w:val="325139CA"/>
    <w:rsid w:val="33C85976"/>
    <w:rsid w:val="342A541D"/>
    <w:rsid w:val="3488365B"/>
    <w:rsid w:val="37262E96"/>
    <w:rsid w:val="3BC66CDF"/>
    <w:rsid w:val="3F4059A5"/>
    <w:rsid w:val="40E34A27"/>
    <w:rsid w:val="44287CA1"/>
    <w:rsid w:val="4C067046"/>
    <w:rsid w:val="4EA11E73"/>
    <w:rsid w:val="504904B6"/>
    <w:rsid w:val="50AF3B8F"/>
    <w:rsid w:val="52FC5427"/>
    <w:rsid w:val="53B61B86"/>
    <w:rsid w:val="56243C43"/>
    <w:rsid w:val="56680EAC"/>
    <w:rsid w:val="5681476F"/>
    <w:rsid w:val="576202C2"/>
    <w:rsid w:val="59307D93"/>
    <w:rsid w:val="598E5607"/>
    <w:rsid w:val="59965457"/>
    <w:rsid w:val="5C0F1DCA"/>
    <w:rsid w:val="5E1741D9"/>
    <w:rsid w:val="5E7123A2"/>
    <w:rsid w:val="6391074D"/>
    <w:rsid w:val="67FD51CC"/>
    <w:rsid w:val="6A194F36"/>
    <w:rsid w:val="6F5231AD"/>
    <w:rsid w:val="796B01E8"/>
    <w:rsid w:val="7AE77D42"/>
    <w:rsid w:val="7D360E8F"/>
    <w:rsid w:val="7F347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eastAsia="Times New Roman" w:asciiTheme="minorHAnsi" w:hAnsiTheme="minorHAnsi" w:cstheme="minorBidi"/>
      <w:kern w:val="2"/>
      <w:sz w:val="21"/>
      <w:szCs w:val="22"/>
      <w:lang w:val="en-US" w:eastAsia="zh-CN" w:bidi="ar-SA"/>
      <w14:ligatures w14:val="standardContextual"/>
    </w:rPr>
  </w:style>
  <w:style w:type="paragraph" w:styleId="3">
    <w:name w:val="heading 1"/>
    <w:basedOn w:val="1"/>
    <w:next w:val="1"/>
    <w:link w:val="32"/>
    <w:qFormat/>
    <w:uiPriority w:val="9"/>
    <w:pPr>
      <w:keepNext/>
      <w:keepLines/>
      <w:spacing w:before="240" w:line="300" w:lineRule="auto"/>
      <w:outlineLvl w:val="0"/>
    </w:pPr>
    <w:rPr>
      <w:rFonts w:ascii="Arial Unicode MS" w:hAnsi="Arial Unicode MS" w:eastAsia="宋体"/>
      <w:b/>
      <w:bCs/>
      <w:kern w:val="44"/>
      <w:sz w:val="24"/>
      <w:szCs w:val="44"/>
      <w14:ligatures w14:val="none"/>
    </w:rPr>
  </w:style>
  <w:style w:type="paragraph" w:styleId="4">
    <w:name w:val="heading 2"/>
    <w:basedOn w:val="1"/>
    <w:next w:val="1"/>
    <w:link w:val="33"/>
    <w:unhideWhenUsed/>
    <w:qFormat/>
    <w:uiPriority w:val="9"/>
    <w:pPr>
      <w:keepNext/>
      <w:keepLines/>
      <w:spacing w:before="50" w:beforeLines="50" w:after="120" w:line="300" w:lineRule="auto"/>
      <w:outlineLvl w:val="1"/>
    </w:pPr>
    <w:rPr>
      <w:rFonts w:eastAsia="宋体" w:asciiTheme="majorHAnsi" w:hAnsiTheme="majorHAnsi" w:cstheme="majorBidi"/>
      <w:b/>
      <w:bCs/>
      <w:sz w:val="24"/>
      <w:szCs w:val="32"/>
      <w14:ligatures w14:val="none"/>
    </w:rPr>
  </w:style>
  <w:style w:type="paragraph" w:styleId="5">
    <w:name w:val="heading 3"/>
    <w:basedOn w:val="1"/>
    <w:next w:val="1"/>
    <w:link w:val="34"/>
    <w:unhideWhenUsed/>
    <w:qFormat/>
    <w:uiPriority w:val="9"/>
    <w:pPr>
      <w:keepNext/>
      <w:keepLines/>
      <w:spacing w:line="360" w:lineRule="auto"/>
      <w:outlineLvl w:val="2"/>
    </w:pPr>
    <w:rPr>
      <w:b/>
      <w:bCs/>
      <w:szCs w:val="32"/>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2">
    <w:name w:val="toc 2"/>
    <w:basedOn w:val="1"/>
    <w:next w:val="1"/>
    <w:unhideWhenUsed/>
    <w:qFormat/>
    <w:uiPriority w:val="39"/>
    <w:pPr>
      <w:ind w:left="420" w:leftChars="200"/>
    </w:pPr>
    <w:rPr>
      <w14:ligatures w14:val="none"/>
    </w:rPr>
  </w:style>
  <w:style w:type="paragraph" w:styleId="6">
    <w:name w:val="toc 7"/>
    <w:basedOn w:val="1"/>
    <w:next w:val="1"/>
    <w:unhideWhenUsed/>
    <w:qFormat/>
    <w:uiPriority w:val="39"/>
    <w:pPr>
      <w:spacing w:line="240" w:lineRule="auto"/>
      <w:ind w:left="2520" w:leftChars="1200"/>
    </w:pPr>
    <w:rPr>
      <w:rFonts w:eastAsiaTheme="minorEastAsia"/>
      <w14:ligatures w14:val="none"/>
    </w:rPr>
  </w:style>
  <w:style w:type="paragraph" w:styleId="7">
    <w:name w:val="Normal Indent"/>
    <w:basedOn w:val="1"/>
    <w:qFormat/>
    <w:uiPriority w:val="0"/>
    <w:pPr>
      <w:spacing w:line="240" w:lineRule="auto"/>
      <w:ind w:firstLine="420" w:firstLineChars="200"/>
    </w:pPr>
    <w:rPr>
      <w:rFonts w:ascii="Calibri" w:hAnsi="Calibri" w:eastAsia="宋体" w:cs="Times New Roman"/>
      <w:szCs w:val="24"/>
      <w14:ligatures w14:val="none"/>
    </w:rPr>
  </w:style>
  <w:style w:type="paragraph" w:styleId="8">
    <w:name w:val="annotation text"/>
    <w:basedOn w:val="1"/>
    <w:link w:val="72"/>
    <w:unhideWhenUsed/>
    <w:qFormat/>
    <w:uiPriority w:val="0"/>
    <w:pPr>
      <w:jc w:val="left"/>
    </w:pPr>
  </w:style>
  <w:style w:type="paragraph" w:styleId="9">
    <w:name w:val="Body Text 3"/>
    <w:basedOn w:val="1"/>
    <w:link w:val="78"/>
    <w:semiHidden/>
    <w:unhideWhenUsed/>
    <w:qFormat/>
    <w:uiPriority w:val="99"/>
    <w:pPr>
      <w:spacing w:after="120"/>
    </w:pPr>
    <w:rPr>
      <w:sz w:val="16"/>
      <w:szCs w:val="16"/>
    </w:rPr>
  </w:style>
  <w:style w:type="paragraph" w:styleId="10">
    <w:name w:val="Body Text"/>
    <w:basedOn w:val="1"/>
    <w:link w:val="77"/>
    <w:semiHidden/>
    <w:unhideWhenUsed/>
    <w:qFormat/>
    <w:uiPriority w:val="99"/>
    <w:pPr>
      <w:spacing w:after="120"/>
    </w:pPr>
  </w:style>
  <w:style w:type="paragraph" w:styleId="11">
    <w:name w:val="Body Text Indent"/>
    <w:link w:val="42"/>
    <w:qFormat/>
    <w:uiPriority w:val="0"/>
    <w:pPr>
      <w:widowControl w:val="0"/>
      <w:ind w:firstLine="420"/>
      <w:jc w:val="both"/>
    </w:pPr>
    <w:rPr>
      <w:rFonts w:ascii="宋体" w:hAnsi="Times New Roman" w:eastAsia="宋体" w:cs="Times New Roman"/>
      <w:kern w:val="2"/>
      <w:sz w:val="24"/>
      <w:lang w:val="en-US" w:eastAsia="zh-CN" w:bidi="ar-SA"/>
    </w:rPr>
  </w:style>
  <w:style w:type="paragraph" w:styleId="12">
    <w:name w:val="toc 5"/>
    <w:basedOn w:val="1"/>
    <w:next w:val="1"/>
    <w:unhideWhenUsed/>
    <w:qFormat/>
    <w:uiPriority w:val="39"/>
    <w:pPr>
      <w:spacing w:line="240" w:lineRule="auto"/>
      <w:ind w:left="1680" w:leftChars="800"/>
    </w:pPr>
    <w:rPr>
      <w:rFonts w:eastAsiaTheme="minorEastAsia"/>
      <w14:ligatures w14:val="none"/>
    </w:rPr>
  </w:style>
  <w:style w:type="paragraph" w:styleId="13">
    <w:name w:val="toc 3"/>
    <w:basedOn w:val="1"/>
    <w:next w:val="1"/>
    <w:unhideWhenUsed/>
    <w:qFormat/>
    <w:uiPriority w:val="39"/>
    <w:pPr>
      <w:ind w:left="840" w:leftChars="400"/>
    </w:pPr>
  </w:style>
  <w:style w:type="paragraph" w:styleId="14">
    <w:name w:val="toc 8"/>
    <w:basedOn w:val="1"/>
    <w:next w:val="1"/>
    <w:unhideWhenUsed/>
    <w:qFormat/>
    <w:uiPriority w:val="39"/>
    <w:pPr>
      <w:spacing w:line="240" w:lineRule="auto"/>
      <w:ind w:left="2940" w:leftChars="1400"/>
    </w:pPr>
    <w:rPr>
      <w:rFonts w:eastAsiaTheme="minorEastAsia"/>
      <w14:ligatures w14:val="none"/>
    </w:rPr>
  </w:style>
  <w:style w:type="paragraph" w:styleId="15">
    <w:name w:val="Date"/>
    <w:basedOn w:val="1"/>
    <w:next w:val="1"/>
    <w:link w:val="39"/>
    <w:unhideWhenUsed/>
    <w:qFormat/>
    <w:uiPriority w:val="99"/>
    <w:pPr>
      <w:ind w:left="100" w:leftChars="2500"/>
    </w:pPr>
  </w:style>
  <w:style w:type="paragraph" w:styleId="16">
    <w:name w:val="Balloon Text"/>
    <w:basedOn w:val="1"/>
    <w:link w:val="46"/>
    <w:qFormat/>
    <w:uiPriority w:val="0"/>
    <w:pPr>
      <w:spacing w:line="240" w:lineRule="auto"/>
    </w:pPr>
    <w:rPr>
      <w:rFonts w:ascii="Calibri" w:hAnsi="Calibri" w:eastAsia="宋体" w:cs="Times New Roman"/>
      <w:sz w:val="18"/>
      <w:szCs w:val="18"/>
      <w14:ligatures w14:val="none"/>
    </w:rPr>
  </w:style>
  <w:style w:type="paragraph" w:styleId="17">
    <w:name w:val="footer"/>
    <w:basedOn w:val="1"/>
    <w:link w:val="35"/>
    <w:unhideWhenUsed/>
    <w:qFormat/>
    <w:uiPriority w:val="99"/>
    <w:pPr>
      <w:tabs>
        <w:tab w:val="center" w:pos="4153"/>
        <w:tab w:val="right" w:pos="8306"/>
      </w:tabs>
      <w:snapToGrid w:val="0"/>
      <w:jc w:val="left"/>
    </w:pPr>
    <w:rPr>
      <w:sz w:val="18"/>
      <w:szCs w:val="18"/>
    </w:rPr>
  </w:style>
  <w:style w:type="paragraph" w:styleId="18">
    <w:name w:val="header"/>
    <w:basedOn w:val="1"/>
    <w:link w:val="36"/>
    <w:unhideWhenUsed/>
    <w:qFormat/>
    <w:uiPriority w:val="99"/>
    <w:pPr>
      <w:tabs>
        <w:tab w:val="center" w:pos="4153"/>
        <w:tab w:val="right" w:pos="8306"/>
      </w:tabs>
      <w:snapToGrid w:val="0"/>
      <w:jc w:val="center"/>
    </w:pPr>
    <w:rPr>
      <w:sz w:val="18"/>
      <w:szCs w:val="18"/>
    </w:rPr>
  </w:style>
  <w:style w:type="paragraph" w:styleId="19">
    <w:name w:val="toc 1"/>
    <w:basedOn w:val="1"/>
    <w:next w:val="1"/>
    <w:unhideWhenUsed/>
    <w:qFormat/>
    <w:uiPriority w:val="39"/>
    <w:rPr>
      <w14:ligatures w14:val="none"/>
    </w:rPr>
  </w:style>
  <w:style w:type="paragraph" w:styleId="20">
    <w:name w:val="toc 4"/>
    <w:basedOn w:val="1"/>
    <w:next w:val="1"/>
    <w:unhideWhenUsed/>
    <w:qFormat/>
    <w:uiPriority w:val="39"/>
    <w:pPr>
      <w:spacing w:line="240" w:lineRule="auto"/>
      <w:ind w:left="1260" w:leftChars="600"/>
    </w:pPr>
    <w:rPr>
      <w:rFonts w:eastAsiaTheme="minorEastAsia"/>
      <w14:ligatures w14:val="none"/>
    </w:rPr>
  </w:style>
  <w:style w:type="paragraph" w:styleId="21">
    <w:name w:val="footnote text"/>
    <w:basedOn w:val="1"/>
    <w:link w:val="43"/>
    <w:qFormat/>
    <w:uiPriority w:val="0"/>
    <w:pPr>
      <w:snapToGrid w:val="0"/>
      <w:spacing w:line="240" w:lineRule="auto"/>
      <w:jc w:val="left"/>
    </w:pPr>
    <w:rPr>
      <w:rFonts w:ascii="Calibri" w:hAnsi="Calibri" w:eastAsia="宋体" w:cs="Times New Roman"/>
      <w:sz w:val="18"/>
      <w:szCs w:val="24"/>
      <w14:ligatures w14:val="none"/>
    </w:rPr>
  </w:style>
  <w:style w:type="paragraph" w:styleId="22">
    <w:name w:val="toc 6"/>
    <w:basedOn w:val="1"/>
    <w:next w:val="1"/>
    <w:unhideWhenUsed/>
    <w:qFormat/>
    <w:uiPriority w:val="39"/>
    <w:pPr>
      <w:spacing w:line="240" w:lineRule="auto"/>
      <w:ind w:left="2100" w:leftChars="1000"/>
    </w:pPr>
    <w:rPr>
      <w:rFonts w:eastAsiaTheme="minorEastAsia"/>
      <w14:ligatures w14:val="none"/>
    </w:rPr>
  </w:style>
  <w:style w:type="paragraph" w:styleId="23">
    <w:name w:val="toc 9"/>
    <w:basedOn w:val="1"/>
    <w:next w:val="1"/>
    <w:unhideWhenUsed/>
    <w:qFormat/>
    <w:uiPriority w:val="39"/>
    <w:pPr>
      <w:spacing w:line="240" w:lineRule="auto"/>
      <w:ind w:left="3360" w:leftChars="1600"/>
    </w:pPr>
    <w:rPr>
      <w:rFonts w:eastAsiaTheme="minorEastAsia"/>
      <w14:ligatures w14:val="none"/>
    </w:rPr>
  </w:style>
  <w:style w:type="paragraph" w:styleId="24">
    <w:name w:val="annotation subject"/>
    <w:basedOn w:val="8"/>
    <w:next w:val="8"/>
    <w:link w:val="73"/>
    <w:semiHidden/>
    <w:unhideWhenUsed/>
    <w:qFormat/>
    <w:uiPriority w:val="99"/>
    <w:rPr>
      <w:b/>
      <w:bCs/>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Hyperlink"/>
    <w:basedOn w:val="27"/>
    <w:unhideWhenUsed/>
    <w:qFormat/>
    <w:uiPriority w:val="99"/>
    <w:rPr>
      <w:color w:val="0563C1" w:themeColor="hyperlink"/>
      <w:u w:val="single"/>
      <w14:textFill>
        <w14:solidFill>
          <w14:schemeClr w14:val="hlink"/>
        </w14:solidFill>
      </w14:textFill>
    </w:rPr>
  </w:style>
  <w:style w:type="character" w:styleId="30">
    <w:name w:val="annotation reference"/>
    <w:basedOn w:val="27"/>
    <w:semiHidden/>
    <w:unhideWhenUsed/>
    <w:qFormat/>
    <w:uiPriority w:val="99"/>
    <w:rPr>
      <w:sz w:val="21"/>
      <w:szCs w:val="21"/>
    </w:rPr>
  </w:style>
  <w:style w:type="character" w:styleId="31">
    <w:name w:val="footnote reference"/>
    <w:qFormat/>
    <w:uiPriority w:val="0"/>
    <w:rPr>
      <w:vertAlign w:val="superscript"/>
    </w:rPr>
  </w:style>
  <w:style w:type="character" w:customStyle="1" w:styleId="32">
    <w:name w:val="标题 1 Char"/>
    <w:basedOn w:val="27"/>
    <w:link w:val="3"/>
    <w:qFormat/>
    <w:uiPriority w:val="9"/>
    <w:rPr>
      <w:rFonts w:ascii="Arial Unicode MS" w:hAnsi="Arial Unicode MS" w:eastAsia="宋体"/>
      <w:b/>
      <w:bCs/>
      <w:kern w:val="44"/>
      <w:sz w:val="24"/>
      <w:szCs w:val="44"/>
    </w:rPr>
  </w:style>
  <w:style w:type="character" w:customStyle="1" w:styleId="33">
    <w:name w:val="标题 2 Char"/>
    <w:basedOn w:val="27"/>
    <w:link w:val="4"/>
    <w:qFormat/>
    <w:uiPriority w:val="9"/>
    <w:rPr>
      <w:rFonts w:eastAsia="宋体" w:asciiTheme="majorHAnsi" w:hAnsiTheme="majorHAnsi" w:cstheme="majorBidi"/>
      <w:b/>
      <w:bCs/>
      <w:kern w:val="2"/>
      <w:sz w:val="24"/>
      <w:szCs w:val="32"/>
    </w:rPr>
  </w:style>
  <w:style w:type="character" w:customStyle="1" w:styleId="34">
    <w:name w:val="标题 3 Char"/>
    <w:basedOn w:val="27"/>
    <w:link w:val="5"/>
    <w:qFormat/>
    <w:uiPriority w:val="9"/>
    <w:rPr>
      <w:rFonts w:eastAsia="Times New Roman"/>
      <w:b/>
      <w:bCs/>
      <w:kern w:val="2"/>
      <w:sz w:val="21"/>
      <w:szCs w:val="32"/>
      <w14:ligatures w14:val="standardContextual"/>
    </w:rPr>
  </w:style>
  <w:style w:type="character" w:customStyle="1" w:styleId="35">
    <w:name w:val="页脚 Char"/>
    <w:basedOn w:val="27"/>
    <w:link w:val="17"/>
    <w:qFormat/>
    <w:uiPriority w:val="99"/>
    <w:rPr>
      <w:sz w:val="18"/>
      <w:szCs w:val="18"/>
    </w:rPr>
  </w:style>
  <w:style w:type="character" w:customStyle="1" w:styleId="36">
    <w:name w:val="页眉 Char"/>
    <w:basedOn w:val="27"/>
    <w:link w:val="18"/>
    <w:qFormat/>
    <w:uiPriority w:val="99"/>
    <w:rPr>
      <w:sz w:val="18"/>
      <w:szCs w:val="18"/>
    </w:rPr>
  </w:style>
  <w:style w:type="paragraph" w:styleId="37">
    <w:name w:val="List Paragraph"/>
    <w:basedOn w:val="1"/>
    <w:qFormat/>
    <w:uiPriority w:val="34"/>
    <w:pPr>
      <w:ind w:firstLine="420" w:firstLineChars="200"/>
    </w:pPr>
  </w:style>
  <w:style w:type="paragraph" w:customStyle="1" w:styleId="38">
    <w:name w:val="TOC 标题1"/>
    <w:basedOn w:val="3"/>
    <w:next w:val="1"/>
    <w:unhideWhenUsed/>
    <w:qFormat/>
    <w:uiPriority w:val="39"/>
    <w:pPr>
      <w:widowControl/>
      <w:spacing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9">
    <w:name w:val="日期 Char"/>
    <w:basedOn w:val="27"/>
    <w:link w:val="15"/>
    <w:qFormat/>
    <w:uiPriority w:val="99"/>
    <w:rPr>
      <w:kern w:val="2"/>
      <w:sz w:val="21"/>
      <w:szCs w:val="22"/>
      <w14:ligatures w14:val="standardContextual"/>
    </w:rPr>
  </w:style>
  <w:style w:type="paragraph" w:customStyle="1" w:styleId="40">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paragraph" w:customStyle="1" w:styleId="41">
    <w:name w:val="段"/>
    <w:link w:val="6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2">
    <w:name w:val="正文文本缩进 Char"/>
    <w:basedOn w:val="27"/>
    <w:link w:val="11"/>
    <w:qFormat/>
    <w:uiPriority w:val="0"/>
    <w:rPr>
      <w:rFonts w:ascii="宋体" w:hAnsi="Times New Roman" w:eastAsia="宋体" w:cs="Times New Roman"/>
      <w:kern w:val="2"/>
      <w:sz w:val="24"/>
    </w:rPr>
  </w:style>
  <w:style w:type="character" w:customStyle="1" w:styleId="43">
    <w:name w:val="脚注文本 Char"/>
    <w:basedOn w:val="27"/>
    <w:link w:val="21"/>
    <w:qFormat/>
    <w:uiPriority w:val="0"/>
    <w:rPr>
      <w:rFonts w:ascii="Calibri" w:hAnsi="Calibri" w:eastAsia="宋体" w:cs="Times New Roman"/>
      <w:kern w:val="2"/>
      <w:sz w:val="18"/>
      <w:szCs w:val="24"/>
    </w:rPr>
  </w:style>
  <w:style w:type="character" w:customStyle="1" w:styleId="44">
    <w:name w:val="font11"/>
    <w:qFormat/>
    <w:uiPriority w:val="0"/>
    <w:rPr>
      <w:rFonts w:hint="eastAsia" w:ascii="宋体" w:hAnsi="宋体" w:eastAsia="宋体" w:cs="宋体"/>
      <w:b/>
      <w:color w:val="000000"/>
      <w:sz w:val="24"/>
      <w:szCs w:val="24"/>
      <w:u w:val="none"/>
    </w:rPr>
  </w:style>
  <w:style w:type="character" w:customStyle="1" w:styleId="45">
    <w:name w:val="font21"/>
    <w:qFormat/>
    <w:uiPriority w:val="0"/>
    <w:rPr>
      <w:rFonts w:hint="eastAsia" w:ascii="宋体" w:hAnsi="宋体" w:eastAsia="宋体" w:cs="宋体"/>
      <w:color w:val="000000"/>
      <w:sz w:val="24"/>
      <w:szCs w:val="24"/>
      <w:u w:val="none"/>
    </w:rPr>
  </w:style>
  <w:style w:type="character" w:customStyle="1" w:styleId="46">
    <w:name w:val="批注框文本 Char"/>
    <w:basedOn w:val="27"/>
    <w:link w:val="16"/>
    <w:qFormat/>
    <w:uiPriority w:val="0"/>
    <w:rPr>
      <w:rFonts w:ascii="Calibri" w:hAnsi="Calibri" w:eastAsia="宋体" w:cs="Times New Roman"/>
      <w:kern w:val="2"/>
      <w:sz w:val="18"/>
      <w:szCs w:val="18"/>
    </w:rPr>
  </w:style>
  <w:style w:type="character" w:customStyle="1" w:styleId="47">
    <w:name w:val="发布"/>
    <w:qFormat/>
    <w:uiPriority w:val="0"/>
    <w:rPr>
      <w:rFonts w:ascii="黑体" w:eastAsia="黑体"/>
      <w:spacing w:val="22"/>
      <w:w w:val="100"/>
      <w:position w:val="3"/>
      <w:sz w:val="28"/>
    </w:rPr>
  </w:style>
  <w:style w:type="paragraph" w:customStyle="1" w:styleId="48">
    <w:name w:val="封面标准文稿类别"/>
    <w:qFormat/>
    <w:uiPriority w:val="0"/>
    <w:pPr>
      <w:spacing w:before="440" w:line="400" w:lineRule="exact"/>
      <w:jc w:val="center"/>
    </w:pPr>
    <w:rPr>
      <w:rFonts w:ascii="宋体" w:hAnsi="Calibri" w:eastAsia="宋体" w:cs="Times New Roman"/>
      <w:sz w:val="24"/>
      <w:lang w:val="en-US" w:eastAsia="zh-CN" w:bidi="ar-SA"/>
    </w:rPr>
  </w:style>
  <w:style w:type="paragraph" w:customStyle="1" w:styleId="49">
    <w:name w:val="封面正文"/>
    <w:qFormat/>
    <w:uiPriority w:val="0"/>
    <w:pPr>
      <w:jc w:val="both"/>
    </w:pPr>
    <w:rPr>
      <w:rFonts w:ascii="Calibri" w:hAnsi="Calibri" w:eastAsia="宋体" w:cs="Times New Roman"/>
      <w:lang w:val="en-US" w:eastAsia="zh-CN" w:bidi="ar-SA"/>
    </w:rPr>
  </w:style>
  <w:style w:type="paragraph" w:customStyle="1" w:styleId="5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51">
    <w:name w:val="发布日期"/>
    <w:qFormat/>
    <w:uiPriority w:val="0"/>
    <w:pPr>
      <w:framePr w:w="4000" w:h="473" w:hRule="exact" w:hSpace="180" w:vSpace="180" w:wrap="around" w:vAnchor="margin" w:hAnchor="margin" w:y="13511" w:anchorLock="1"/>
    </w:pPr>
    <w:rPr>
      <w:rFonts w:ascii="Calibri" w:hAnsi="Calibri" w:eastAsia="黑体" w:cs="Times New Roman"/>
      <w:sz w:val="28"/>
      <w:lang w:val="en-US" w:eastAsia="zh-CN" w:bidi="ar-SA"/>
    </w:rPr>
  </w:style>
  <w:style w:type="paragraph" w:customStyle="1" w:styleId="52">
    <w:name w:val="封面标准号1"/>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Calibri" w:hAnsi="Calibri" w:eastAsia="宋体" w:cs="Times New Roman"/>
      <w:b/>
      <w:w w:val="130"/>
      <w:sz w:val="96"/>
      <w:lang w:val="en-US" w:eastAsia="zh-CN" w:bidi="ar-SA"/>
    </w:rPr>
  </w:style>
  <w:style w:type="paragraph" w:customStyle="1" w:styleId="54">
    <w:name w:val="封面标准英文名称"/>
    <w:qFormat/>
    <w:uiPriority w:val="0"/>
    <w:pPr>
      <w:widowControl w:val="0"/>
      <w:spacing w:before="370" w:line="400" w:lineRule="exact"/>
      <w:jc w:val="center"/>
    </w:pPr>
    <w:rPr>
      <w:rFonts w:ascii="Calibri" w:hAnsi="Calibri" w:eastAsia="宋体" w:cs="Times New Roman"/>
      <w:sz w:val="28"/>
      <w:lang w:val="en-US" w:eastAsia="zh-CN" w:bidi="ar-SA"/>
    </w:rPr>
  </w:style>
  <w:style w:type="paragraph" w:customStyle="1" w:styleId="55">
    <w:name w:val="标准书眉_奇数页"/>
    <w:next w:val="1"/>
    <w:qFormat/>
    <w:uiPriority w:val="0"/>
    <w:pPr>
      <w:tabs>
        <w:tab w:val="center" w:pos="4154"/>
        <w:tab w:val="right" w:pos="8306"/>
      </w:tabs>
      <w:spacing w:after="120"/>
      <w:jc w:val="right"/>
    </w:pPr>
    <w:rPr>
      <w:rFonts w:ascii="Calibri" w:hAnsi="Calibri" w:eastAsia="宋体" w:cs="Times New Roman"/>
      <w:sz w:val="21"/>
      <w:lang w:val="en-US" w:eastAsia="zh-CN" w:bidi="ar-SA"/>
    </w:rPr>
  </w:style>
  <w:style w:type="paragraph" w:customStyle="1" w:styleId="56">
    <w:name w:val="其他发布部门"/>
    <w:basedOn w:val="1"/>
    <w:qFormat/>
    <w:uiPriority w:val="0"/>
    <w:pPr>
      <w:framePr w:w="7433" w:h="585" w:hRule="exact" w:hSpace="180" w:vSpace="180" w:wrap="around" w:vAnchor="margin" w:hAnchor="margin" w:xAlign="center" w:y="14401" w:anchorLock="1"/>
      <w:widowControl/>
      <w:spacing w:line="0" w:lineRule="atLeast"/>
      <w:jc w:val="center"/>
    </w:pPr>
    <w:rPr>
      <w:rFonts w:ascii="黑体" w:hAnsi="Calibri" w:eastAsia="黑体" w:cs="Times New Roman"/>
      <w:spacing w:val="20"/>
      <w:w w:val="135"/>
      <w:kern w:val="0"/>
      <w:sz w:val="36"/>
      <w:szCs w:val="20"/>
      <w14:ligatures w14:val="none"/>
    </w:rPr>
  </w:style>
  <w:style w:type="paragraph" w:customStyle="1" w:styleId="57">
    <w:name w:val="实施日期"/>
    <w:basedOn w:val="51"/>
    <w:qFormat/>
    <w:uiPriority w:val="0"/>
    <w:pPr>
      <w:framePr w:hSpace="0" w:wrap="around" w:xAlign="right"/>
      <w:jc w:val="right"/>
    </w:pPr>
  </w:style>
  <w:style w:type="paragraph" w:customStyle="1" w:styleId="5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59">
    <w:name w:val="文献分类号"/>
    <w:qFormat/>
    <w:uiPriority w:val="0"/>
    <w:pPr>
      <w:framePr w:hSpace="180" w:vSpace="180" w:wrap="around" w:vAnchor="margin" w:hAnchor="margin" w:y="1" w:anchorLock="1"/>
      <w:widowControl w:val="0"/>
      <w:textAlignment w:val="center"/>
    </w:pPr>
    <w:rPr>
      <w:rFonts w:ascii="Calibri" w:hAnsi="Calibri" w:eastAsia="黑体" w:cs="Times New Roman"/>
      <w:sz w:val="21"/>
      <w:lang w:val="en-US" w:eastAsia="zh-CN" w:bidi="ar-SA"/>
    </w:rPr>
  </w:style>
  <w:style w:type="paragraph" w:customStyle="1" w:styleId="60">
    <w:name w:val="标准书眉_偶数页"/>
    <w:basedOn w:val="55"/>
    <w:next w:val="1"/>
    <w:qFormat/>
    <w:uiPriority w:val="0"/>
    <w:pPr>
      <w:jc w:val="left"/>
    </w:pPr>
  </w:style>
  <w:style w:type="paragraph" w:customStyle="1" w:styleId="61">
    <w:name w:val="标准书眉一"/>
    <w:qFormat/>
    <w:uiPriority w:val="0"/>
    <w:pPr>
      <w:jc w:val="both"/>
    </w:pPr>
    <w:rPr>
      <w:rFonts w:ascii="Calibri" w:hAnsi="Calibri" w:eastAsia="宋体" w:cs="Times New Roman"/>
      <w:lang w:val="en-US" w:eastAsia="zh-CN" w:bidi="ar-SA"/>
    </w:rPr>
  </w:style>
  <w:style w:type="paragraph" w:customStyle="1" w:styleId="62">
    <w:name w:val="目次、标准名称标题"/>
    <w:basedOn w:val="1"/>
    <w:next w:val="41"/>
    <w:qFormat/>
    <w:uiPriority w:val="0"/>
    <w:pPr>
      <w:widowControl/>
      <w:shd w:val="clear" w:color="FFFFFF" w:fill="FFFFFF"/>
      <w:spacing w:before="640" w:after="560" w:line="460" w:lineRule="exact"/>
      <w:jc w:val="center"/>
      <w:outlineLvl w:val="0"/>
    </w:pPr>
    <w:rPr>
      <w:rFonts w:ascii="黑体" w:hAnsi="Calibri" w:eastAsia="黑体" w:cs="Times New Roman"/>
      <w:kern w:val="0"/>
      <w:sz w:val="32"/>
      <w:szCs w:val="20"/>
      <w14:ligatures w14:val="none"/>
    </w:rPr>
  </w:style>
  <w:style w:type="paragraph" w:customStyle="1" w:styleId="63">
    <w:name w:val="附录标识"/>
    <w:basedOn w:val="1"/>
    <w:qFormat/>
    <w:uiPriority w:val="0"/>
    <w:pPr>
      <w:widowControl/>
      <w:numPr>
        <w:ilvl w:val="0"/>
        <w:numId w:val="1"/>
      </w:numPr>
      <w:shd w:val="clear" w:color="FFFFFF" w:fill="FFFFFF"/>
      <w:tabs>
        <w:tab w:val="left" w:pos="6405"/>
      </w:tabs>
      <w:spacing w:before="640" w:after="200" w:line="240" w:lineRule="auto"/>
      <w:jc w:val="center"/>
      <w:outlineLvl w:val="0"/>
    </w:pPr>
    <w:rPr>
      <w:rFonts w:ascii="黑体" w:hAnsi="Calibri" w:eastAsia="黑体" w:cs="Times New Roman"/>
      <w:kern w:val="0"/>
      <w:szCs w:val="20"/>
      <w14:ligatures w14:val="none"/>
    </w:rPr>
  </w:style>
  <w:style w:type="character" w:customStyle="1" w:styleId="64">
    <w:name w:val="段 Char"/>
    <w:link w:val="41"/>
    <w:qFormat/>
    <w:uiPriority w:val="0"/>
    <w:rPr>
      <w:rFonts w:ascii="宋体" w:hAnsi="Times New Roman" w:eastAsia="宋体" w:cs="Times New Roman"/>
      <w:sz w:val="21"/>
    </w:rPr>
  </w:style>
  <w:style w:type="paragraph" w:customStyle="1" w:styleId="65">
    <w:name w:val="表格内部"/>
    <w:basedOn w:val="1"/>
    <w:semiHidden/>
    <w:qFormat/>
    <w:uiPriority w:val="0"/>
    <w:pPr>
      <w:adjustRightInd w:val="0"/>
      <w:snapToGrid w:val="0"/>
      <w:spacing w:line="240" w:lineRule="atLeast"/>
      <w:ind w:firstLine="200" w:firstLineChars="200"/>
      <w:jc w:val="center"/>
      <w:textAlignment w:val="baseline"/>
    </w:pPr>
    <w:rPr>
      <w:rFonts w:ascii="Arial" w:hAnsi="Arial" w:eastAsia="宋体" w:cs="Arial"/>
      <w:kern w:val="0"/>
      <w:sz w:val="28"/>
      <w:szCs w:val="20"/>
      <w14:ligatures w14:val="none"/>
    </w:rPr>
  </w:style>
  <w:style w:type="paragraph" w:customStyle="1" w:styleId="66">
    <w:name w:val="一级条标题"/>
    <w:basedOn w:val="1"/>
    <w:next w:val="41"/>
    <w:qFormat/>
    <w:uiPriority w:val="0"/>
    <w:pPr>
      <w:widowControl/>
      <w:numPr>
        <w:ilvl w:val="2"/>
        <w:numId w:val="2"/>
      </w:numPr>
      <w:spacing w:line="240" w:lineRule="auto"/>
      <w:outlineLvl w:val="2"/>
    </w:pPr>
    <w:rPr>
      <w:rFonts w:ascii="黑体" w:hAnsi="Calibri" w:eastAsia="黑体" w:cs="Times New Roman"/>
      <w:kern w:val="0"/>
      <w:szCs w:val="20"/>
      <w14:ligatures w14:val="none"/>
    </w:rPr>
  </w:style>
  <w:style w:type="paragraph" w:customStyle="1" w:styleId="67">
    <w:name w:val="正文1"/>
    <w:basedOn w:val="1"/>
    <w:next w:val="7"/>
    <w:qFormat/>
    <w:uiPriority w:val="0"/>
    <w:pPr>
      <w:spacing w:line="240" w:lineRule="auto"/>
      <w:jc w:val="center"/>
    </w:pPr>
    <w:rPr>
      <w:rFonts w:ascii="Times New Roman" w:hAnsi="Times New Roman" w:eastAsia="宋体" w:cs="Times New Roman"/>
      <w:szCs w:val="20"/>
      <w14:ligatures w14:val="none"/>
    </w:rPr>
  </w:style>
  <w:style w:type="paragraph" w:customStyle="1" w:styleId="68">
    <w:name w:val="标准文件_一级无标题"/>
    <w:basedOn w:val="1"/>
    <w:qFormat/>
    <w:uiPriority w:val="0"/>
    <w:pPr>
      <w:widowControl/>
      <w:spacing w:before="50" w:after="50" w:line="240" w:lineRule="auto"/>
    </w:pPr>
    <w:rPr>
      <w:rFonts w:ascii="宋体" w:hAnsi="黑体" w:eastAsia="宋体" w:cs="Times New Roman"/>
      <w:kern w:val="0"/>
      <w:szCs w:val="20"/>
      <w14:ligatures w14:val="none"/>
    </w:rPr>
  </w:style>
  <w:style w:type="paragraph" w:customStyle="1" w:styleId="69">
    <w:name w:val="标准文件_章标题"/>
    <w:next w:val="1"/>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70">
    <w:name w:val="_二级条标题"/>
    <w:basedOn w:val="69"/>
    <w:next w:val="1"/>
    <w:qFormat/>
    <w:uiPriority w:val="0"/>
    <w:pPr>
      <w:spacing w:before="50" w:beforeLines="50" w:after="50" w:afterLines="50"/>
      <w:outlineLvl w:val="1"/>
    </w:pPr>
    <w:rPr>
      <w:rFonts w:hAnsi="黑体"/>
    </w:rPr>
  </w:style>
  <w:style w:type="paragraph" w:customStyle="1" w:styleId="71">
    <w:name w:val="标准文件_二级条标题"/>
    <w:next w:val="1"/>
    <w:qFormat/>
    <w:uiPriority w:val="0"/>
    <w:pPr>
      <w:widowControl w:val="0"/>
      <w:spacing w:beforeLines="50" w:afterLines="50"/>
      <w:ind w:left="1134"/>
      <w:jc w:val="both"/>
      <w:outlineLvl w:val="2"/>
    </w:pPr>
    <w:rPr>
      <w:rFonts w:ascii="黑体" w:hAnsi="Times New Roman" w:eastAsia="黑体" w:cs="Times New Roman"/>
      <w:sz w:val="21"/>
      <w:lang w:val="en-US" w:eastAsia="zh-CN" w:bidi="ar-SA"/>
    </w:rPr>
  </w:style>
  <w:style w:type="character" w:customStyle="1" w:styleId="72">
    <w:name w:val="批注文字 Char"/>
    <w:basedOn w:val="27"/>
    <w:link w:val="8"/>
    <w:qFormat/>
    <w:uiPriority w:val="99"/>
    <w:rPr>
      <w:rFonts w:eastAsia="Times New Roman"/>
      <w:kern w:val="2"/>
      <w:sz w:val="21"/>
      <w:szCs w:val="22"/>
      <w14:ligatures w14:val="standardContextual"/>
    </w:rPr>
  </w:style>
  <w:style w:type="character" w:customStyle="1" w:styleId="73">
    <w:name w:val="批注主题 Char"/>
    <w:basedOn w:val="72"/>
    <w:link w:val="24"/>
    <w:semiHidden/>
    <w:qFormat/>
    <w:uiPriority w:val="99"/>
    <w:rPr>
      <w:rFonts w:eastAsia="Times New Roman"/>
      <w:b/>
      <w:bCs/>
      <w:kern w:val="2"/>
      <w:sz w:val="21"/>
      <w:szCs w:val="22"/>
      <w14:ligatures w14:val="standardContextual"/>
    </w:rPr>
  </w:style>
  <w:style w:type="paragraph" w:customStyle="1" w:styleId="74">
    <w:name w:val="Char Char Char Char"/>
    <w:basedOn w:val="3"/>
    <w:next w:val="3"/>
    <w:qFormat/>
    <w:uiPriority w:val="0"/>
    <w:pPr>
      <w:keepNext w:val="0"/>
      <w:keepLines w:val="0"/>
      <w:tabs>
        <w:tab w:val="left" w:pos="700"/>
      </w:tabs>
      <w:snapToGrid w:val="0"/>
      <w:spacing w:before="0"/>
      <w:jc w:val="left"/>
    </w:pPr>
    <w:rPr>
      <w:rFonts w:ascii="仿宋_GB2312" w:hAnsi="Verdana" w:eastAsia="仿宋_GB2312" w:cs="Times New Roman"/>
      <w:kern w:val="0"/>
      <w:sz w:val="28"/>
      <w:szCs w:val="28"/>
      <w:lang w:eastAsia="en-US"/>
    </w:rPr>
  </w:style>
  <w:style w:type="paragraph" w:customStyle="1" w:styleId="75">
    <w:name w:val="表内容xxq"/>
    <w:basedOn w:val="1"/>
    <w:qFormat/>
    <w:uiPriority w:val="0"/>
    <w:pPr>
      <w:adjustRightInd w:val="0"/>
      <w:snapToGrid w:val="0"/>
      <w:spacing w:line="240" w:lineRule="auto"/>
      <w:jc w:val="center"/>
    </w:pPr>
    <w:rPr>
      <w:rFonts w:ascii="Times New Roman" w:hAnsi="宋体" w:eastAsia="宋体" w:cs="Times New Roman"/>
      <w:snapToGrid w:val="0"/>
      <w:color w:val="000000"/>
      <w:kern w:val="0"/>
      <w:szCs w:val="21"/>
      <w14:ligatures w14:val="none"/>
    </w:rPr>
  </w:style>
  <w:style w:type="paragraph" w:customStyle="1" w:styleId="76">
    <w:name w:val="表头胡"/>
    <w:basedOn w:val="1"/>
    <w:qFormat/>
    <w:uiPriority w:val="0"/>
    <w:pPr>
      <w:spacing w:line="240" w:lineRule="auto"/>
      <w:jc w:val="center"/>
    </w:pPr>
    <w:rPr>
      <w:rFonts w:ascii="宋体" w:hAnsi="Times New Roman" w:eastAsia="宋体" w:cs="宋体"/>
      <w:b/>
      <w:bCs/>
      <w:szCs w:val="20"/>
      <w14:ligatures w14:val="none"/>
    </w:rPr>
  </w:style>
  <w:style w:type="character" w:customStyle="1" w:styleId="77">
    <w:name w:val="正文文本 Char"/>
    <w:basedOn w:val="27"/>
    <w:link w:val="10"/>
    <w:semiHidden/>
    <w:qFormat/>
    <w:uiPriority w:val="99"/>
    <w:rPr>
      <w:rFonts w:eastAsia="Times New Roman"/>
      <w:kern w:val="2"/>
      <w:sz w:val="21"/>
      <w:szCs w:val="22"/>
      <w14:ligatures w14:val="standardContextual"/>
    </w:rPr>
  </w:style>
  <w:style w:type="character" w:customStyle="1" w:styleId="78">
    <w:name w:val="正文文本 3 Char"/>
    <w:basedOn w:val="27"/>
    <w:link w:val="9"/>
    <w:semiHidden/>
    <w:qFormat/>
    <w:uiPriority w:val="99"/>
    <w:rPr>
      <w:rFonts w:eastAsia="Times New Roman"/>
      <w:kern w:val="2"/>
      <w:sz w:val="16"/>
      <w:szCs w:val="16"/>
      <w14:ligatures w14:val="standardContextual"/>
    </w:rPr>
  </w:style>
  <w:style w:type="character" w:customStyle="1" w:styleId="79">
    <w:name w:val="批注框文本 Char3"/>
    <w:qFormat/>
    <w:uiPriority w:val="0"/>
    <w:rPr>
      <w:b/>
      <w:snapToGrid w:val="0"/>
      <w:sz w:val="18"/>
      <w:szCs w:val="18"/>
    </w:rPr>
  </w:style>
  <w:style w:type="paragraph" w:customStyle="1" w:styleId="80">
    <w:name w:val="表格五号"/>
    <w:qFormat/>
    <w:uiPriority w:val="0"/>
    <w:pPr>
      <w:adjustRightInd w:val="0"/>
      <w:snapToGrid w:val="0"/>
      <w:jc w:val="center"/>
    </w:pPr>
    <w:rPr>
      <w:rFonts w:ascii="Times New Roman" w:hAnsi="Times New Roman" w:eastAsia="宋体" w:cs="Times New Roman"/>
      <w:kern w:val="2"/>
      <w:sz w:val="21"/>
      <w:szCs w:val="21"/>
      <w:lang w:val="en-US" w:eastAsia="zh-CN" w:bidi="ar-SA"/>
    </w:rPr>
  </w:style>
  <w:style w:type="paragraph" w:customStyle="1" w:styleId="81">
    <w:name w:val="A表-表内一般字"/>
    <w:qFormat/>
    <w:uiPriority w:val="0"/>
    <w:pPr>
      <w:widowControl w:val="0"/>
      <w:jc w:val="center"/>
    </w:pPr>
    <w:rPr>
      <w:rFonts w:ascii="Times New Roman" w:hAnsi="Times New Roman" w:eastAsia="宋体" w:cs="Times New Roman"/>
      <w:kern w:val="2"/>
      <w:sz w:val="21"/>
      <w:szCs w:val="24"/>
      <w:lang w:val="en-US" w:eastAsia="zh-CN" w:bidi="ar-SA"/>
    </w:rPr>
  </w:style>
  <w:style w:type="character" w:customStyle="1" w:styleId="82">
    <w:name w:val="批注文字 Char1"/>
    <w:basedOn w:val="27"/>
    <w:qFormat/>
    <w:uiPriority w:val="0"/>
    <w:rPr>
      <w:kern w:val="2"/>
      <w:sz w:val="21"/>
    </w:rPr>
  </w:style>
  <w:style w:type="paragraph" w:customStyle="1" w:styleId="83">
    <w:name w:val="表格文字居中"/>
    <w:basedOn w:val="1"/>
    <w:qFormat/>
    <w:uiPriority w:val="0"/>
    <w:pPr>
      <w:spacing w:line="240" w:lineRule="auto"/>
      <w:jc w:val="center"/>
    </w:pPr>
    <w:rPr>
      <w:rFonts w:ascii="ˎ̥" w:hAnsi="Times New Roman" w:eastAsia="Courier New" w:cs="Times New Roman"/>
      <w:snapToGrid w:val="0"/>
      <w:spacing w:val="-20"/>
      <w:szCs w:val="21"/>
      <w14:ligatures w14:val="none"/>
    </w:rPr>
  </w:style>
  <w:style w:type="paragraph" w:customStyle="1" w:styleId="84">
    <w:name w:val="章标题"/>
    <w:next w:val="41"/>
    <w:qFormat/>
    <w:uiPriority w:val="0"/>
    <w:pPr>
      <w:numPr>
        <w:ilvl w:val="1"/>
        <w:numId w:val="2"/>
      </w:numPr>
      <w:spacing w:before="50" w:beforeLines="50" w:after="50" w:afterLines="50"/>
      <w:jc w:val="both"/>
      <w:outlineLvl w:val="1"/>
    </w:pPr>
    <w:rPr>
      <w:rFonts w:ascii="黑体" w:hAnsi="Calibri" w:eastAsia="黑体" w:cs="Times New Roman"/>
      <w:sz w:val="21"/>
      <w:lang w:val="en-US" w:eastAsia="zh-CN" w:bidi="ar-SA"/>
    </w:rPr>
  </w:style>
  <w:style w:type="paragraph" w:customStyle="1" w:styleId="85">
    <w:name w:val="标准文件_段"/>
    <w:link w:val="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86">
    <w:name w:val="标准文件_段 Char"/>
    <w:link w:val="85"/>
    <w:qFormat/>
    <w:uiPriority w:val="0"/>
    <w:rPr>
      <w:rFonts w:ascii="宋体" w:hAnsi="Times New Roman" w:eastAsia="宋体" w:cs="Times New Roman"/>
      <w:sz w:val="21"/>
    </w:rPr>
  </w:style>
  <w:style w:type="character" w:customStyle="1" w:styleId="87">
    <w:name w:val="15"/>
    <w:basedOn w:val="27"/>
    <w:qFormat/>
    <w:uiPriority w:val="0"/>
    <w:rPr>
      <w:rFonts w:hint="eastAsia" w:ascii="等线" w:hAnsi="等线" w:eastAsia="等线"/>
    </w:rPr>
  </w:style>
  <w:style w:type="paragraph" w:customStyle="1" w:styleId="8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89">
    <w:name w:val="标准文件_附录标识"/>
    <w:next w:val="85"/>
    <w:qFormat/>
    <w:uiPriority w:val="0"/>
    <w:p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90">
    <w:name w:val="标准文件_目录标题"/>
    <w:basedOn w:val="1"/>
    <w:qFormat/>
    <w:uiPriority w:val="0"/>
    <w:pPr>
      <w:adjustRightInd w:val="0"/>
      <w:spacing w:before="480" w:afterLines="150" w:line="240" w:lineRule="auto"/>
      <w:jc w:val="center"/>
    </w:pPr>
    <w:rPr>
      <w:rFonts w:ascii="黑体" w:hAnsi="Calibri" w:eastAsia="黑体" w:cs="Times New Roman"/>
      <w:sz w:val="32"/>
      <w:szCs w:val="21"/>
      <w14:ligatures w14:val="none"/>
    </w:rPr>
  </w:style>
  <w:style w:type="paragraph" w:customStyle="1" w:styleId="91">
    <w:name w:val="标准文件_前言、引言标题"/>
    <w:next w:val="1"/>
    <w:qFormat/>
    <w:uiPriority w:val="0"/>
    <w:pPr>
      <w:numPr>
        <w:ilvl w:val="0"/>
        <w:numId w:val="3"/>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2">
    <w:name w:val="标准文件_引言四级条标题"/>
    <w:basedOn w:val="85"/>
    <w:next w:val="85"/>
    <w:qFormat/>
    <w:uiPriority w:val="0"/>
    <w:pPr>
      <w:numPr>
        <w:ilvl w:val="4"/>
        <w:numId w:val="3"/>
      </w:numPr>
      <w:spacing w:beforeLines="50" w:afterLines="50"/>
      <w:ind w:firstLineChars="0"/>
    </w:pPr>
    <w:rPr>
      <w:rFonts w:ascii="黑体" w:eastAsia="黑体"/>
    </w:rPr>
  </w:style>
  <w:style w:type="paragraph" w:customStyle="1" w:styleId="93">
    <w:name w:val="标准文件_引言五级条标题"/>
    <w:basedOn w:val="85"/>
    <w:next w:val="85"/>
    <w:qFormat/>
    <w:uiPriority w:val="0"/>
    <w:pPr>
      <w:numPr>
        <w:ilvl w:val="5"/>
        <w:numId w:val="3"/>
      </w:numPr>
      <w:spacing w:beforeLines="50" w:afterLines="50"/>
      <w:ind w:firstLineChars="0"/>
    </w:pPr>
    <w:rPr>
      <w:rFonts w:ascii="黑体" w:eastAsia="黑体"/>
    </w:rPr>
  </w:style>
  <w:style w:type="paragraph" w:customStyle="1" w:styleId="94">
    <w:name w:val="标准文件_附录一级条标题"/>
    <w:next w:val="85"/>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B28A60-2886-4F49-A5FC-6E8AD60C42AB}">
  <ds:schemaRefs/>
</ds:datastoreItem>
</file>

<file path=docProps/app.xml><?xml version="1.0" encoding="utf-8"?>
<Properties xmlns="http://schemas.openxmlformats.org/officeDocument/2006/extended-properties" xmlns:vt="http://schemas.openxmlformats.org/officeDocument/2006/docPropsVTypes">
  <Template>Normal</Template>
  <Pages>60</Pages>
  <Words>30854</Words>
  <Characters>35256</Characters>
  <Lines>307</Lines>
  <Paragraphs>86</Paragraphs>
  <TotalTime>13</TotalTime>
  <ScaleCrop>false</ScaleCrop>
  <LinksUpToDate>false</LinksUpToDate>
  <CharactersWithSpaces>39149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2025-04-27T14:00:00Z</dcterms:created>
  <dc:creator>xiaodong hao</dc:creator>
  <cp:lastModifiedBy>一开心月</cp:lastModifiedBy>
  <cp:lastPrinted>2025-04-27T07:11:00Z</cp:lastPrinted>
  <dcterms:modified xsi:type="dcterms:W3CDTF">2025-04-28T02:24:35Z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A57B6180E57648CDB79E50BF0B52CD8C</vt:lpwstr>
  </property>
  <property fmtid="{D5CDD505-2E9C-101B-9397-08002B2CF9AE}" pid="4" name="KSOTemplateDocerSaveRecord">
    <vt:lpwstr>eyJoZGlkIjoiMjQ4NDg2MmY5ZTMwMzJiYTFmODk5NDNiMWJkNzIyNzkiLCJ1c2VySWQiOiIxMDYyMjU4NjU1In0=</vt:lpwstr>
  </property>
</Properties>
</file>