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5"/>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1CFB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B9037A7">
            <w:pPr>
              <w:snapToGrid w:val="0"/>
              <w:jc w:val="left"/>
              <w:rPr>
                <w:rFonts w:hint="eastAsia" w:ascii="黑体" w:hAnsi="黑体" w:eastAsia="黑体" w:cs="Times New Roman"/>
                <w:szCs w:val="21"/>
              </w:rPr>
            </w:pPr>
            <w:r>
              <w:rPr>
                <w:rFonts w:ascii="Times New Roman" w:hAnsi="Times New Roman" w:eastAsia="黑体" w:cs="Times New Roman"/>
                <w:szCs w:val="21"/>
              </w:rPr>
              <w:t>ICS</w:t>
            </w:r>
            <w:r>
              <w:rPr>
                <w:rFonts w:ascii="黑体" w:hAnsi="黑体" w:eastAsia="黑体" w:cs="Times New Roman"/>
                <w:szCs w:val="21"/>
              </w:rPr>
              <w:t xml:space="preserve">  </w:t>
            </w:r>
          </w:p>
        </w:tc>
        <w:tc>
          <w:tcPr>
            <w:tcW w:w="8855" w:type="dxa"/>
          </w:tcPr>
          <w:p w14:paraId="62EC3A19">
            <w:pPr>
              <w:snapToGrid w:val="0"/>
              <w:ind w:left="3"/>
              <w:rPr>
                <w:rFonts w:hint="eastAsia" w:ascii="黑体" w:hAnsi="黑体" w:eastAsia="黑体" w:cs="Times New Roman"/>
                <w:szCs w:val="21"/>
              </w:rPr>
            </w:pPr>
            <w:r>
              <w:rPr>
                <w:rFonts w:ascii="黑体" w:hAnsi="黑体" w:eastAsia="黑体" w:cs="Times New Roman"/>
                <w:szCs w:val="21"/>
              </w:rPr>
              <w:t>75.200</w:t>
            </w:r>
          </w:p>
        </w:tc>
      </w:tr>
      <w:tr w14:paraId="130BE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4F1165A">
            <w:pPr>
              <w:snapToGrid w:val="0"/>
              <w:spacing w:before="40"/>
              <w:jc w:val="left"/>
              <w:rPr>
                <w:rFonts w:hint="eastAsia" w:ascii="黑体" w:hAnsi="黑体" w:eastAsia="黑体" w:cs="Times New Roman"/>
                <w:szCs w:val="21"/>
              </w:rPr>
            </w:pPr>
            <w:r>
              <w:rPr>
                <w:rFonts w:ascii="Times New Roman" w:hAnsi="Times New Roman" w:eastAsia="黑体" w:cs="Times New Roman"/>
                <w:szCs w:val="21"/>
              </w:rPr>
              <w:t xml:space="preserve">CCS </w:t>
            </w:r>
            <w:r>
              <w:rPr>
                <w:rFonts w:ascii="黑体" w:hAnsi="黑体" w:eastAsia="黑体" w:cs="Times New Roman"/>
                <w:szCs w:val="21"/>
              </w:rPr>
              <w:t xml:space="preserve"> </w:t>
            </w:r>
          </w:p>
        </w:tc>
        <w:tc>
          <w:tcPr>
            <w:tcW w:w="8855" w:type="dxa"/>
          </w:tcPr>
          <w:p w14:paraId="2A84B8E0">
            <w:pPr>
              <w:snapToGrid w:val="0"/>
              <w:spacing w:before="40"/>
              <w:jc w:val="left"/>
              <w:rPr>
                <w:rFonts w:hint="eastAsia" w:ascii="黑体" w:hAnsi="黑体" w:eastAsia="黑体" w:cs="Times New Roman"/>
                <w:szCs w:val="21"/>
              </w:rPr>
            </w:pPr>
            <w:r>
              <w:rPr>
                <w:rFonts w:ascii="黑体" w:hAnsi="黑体" w:eastAsia="黑体" w:cs="Times New Roman"/>
                <w:szCs w:val="21"/>
              </w:rPr>
              <w:t>E16</w:t>
            </w:r>
          </w:p>
        </w:tc>
      </w:tr>
    </w:tbl>
    <w:p w14:paraId="5D417CA4">
      <w:pPr>
        <w:pStyle w:val="34"/>
        <w:rPr>
          <w:rFonts w:hint="eastAsia" w:ascii="宋体" w:hAnsi="宋体" w:cs="宋体"/>
          <w:sz w:val="21"/>
          <w:szCs w:val="21"/>
        </w:rPr>
        <w:sectPr>
          <w:headerReference r:id="rId5" w:type="first"/>
          <w:footerReference r:id="rId7" w:type="first"/>
          <w:headerReference r:id="rId3" w:type="default"/>
          <w:footerReference r:id="rId6" w:type="default"/>
          <w:headerReference r:id="rId4" w:type="even"/>
          <w:type w:val="evenPage"/>
          <w:pgSz w:w="11907" w:h="16839"/>
          <w:pgMar w:top="567" w:right="851" w:bottom="1361" w:left="1418" w:header="0" w:footer="0" w:gutter="0"/>
          <w:pgNumType w:fmt="upperRoman" w:start="1"/>
          <w:cols w:space="0" w:num="1"/>
          <w:rtlGutter w:val="0"/>
          <w:docGrid w:type="lines" w:linePitch="312" w:charSpace="0"/>
        </w:sectPr>
      </w:pPr>
      <w:r>
        <w:rPr>
          <w:rFonts w:hint="eastAsia" w:ascii="宋体" w:hAnsi="宋体" w:cs="宋体"/>
          <w:sz w:val="21"/>
          <w:szCs w:val="21"/>
        </w:rPr>
        <w:br w:type="page"/>
      </w:r>
      <w:bookmarkStart w:id="0" w:name="SectionMark0"/>
      <w:r>
        <w:rPr>
          <w:rFonts w:hint="eastAsia" w:ascii="宋体" w:hAnsi="宋体"/>
          <w:sz w:val="28"/>
          <w:szCs w:val="28"/>
        </w:rPr>
        <mc:AlternateContent>
          <mc:Choice Requires="wps">
            <w:drawing>
              <wp:anchor distT="0" distB="0" distL="114300" distR="114300" simplePos="0" relativeHeight="251675648" behindDoc="0" locked="1" layoutInCell="1" allowOverlap="1">
                <wp:simplePos x="0" y="0"/>
                <wp:positionH relativeFrom="page">
                  <wp:posOffset>899795</wp:posOffset>
                </wp:positionH>
                <wp:positionV relativeFrom="page">
                  <wp:posOffset>9252585</wp:posOffset>
                </wp:positionV>
                <wp:extent cx="6120130" cy="0"/>
                <wp:effectExtent l="0" t="0" r="0" b="0"/>
                <wp:wrapNone/>
                <wp:docPr id="1" name="直接连接符 3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34" o:spid="_x0000_s1026" o:spt="20" style="position:absolute;left:0pt;margin-left:70.85pt;margin-top:728.55pt;height:0pt;width:481.9pt;mso-position-horizontal-relative:page;mso-position-vertical-relative:page;z-index:251675648;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nRi9cAAAAO&#10;AQAADwAAAAAAAAABACAAAAAiAAAAZHJzL2Rvd25yZXYueG1sUEsBAhQAFAAAAAgAh07iQJEzTLDk&#10;AQAAqwMAAA4AAAAAAAAAAQAgAAAAJgEAAGRycy9lMm9Eb2MueG1sUEsFBgAAAAAGAAYAWQEAAHwF&#10;AAAAAA==&#10;">
                <v:fill on="f" focussize="0,0"/>
                <v:stroke color="#000000" joinstyle="round"/>
                <v:imagedata o:title=""/>
                <o:lock v:ext="edit" aspectratio="f"/>
                <w10:anchorlock/>
              </v:line>
            </w:pict>
          </mc:Fallback>
        </mc:AlternateContent>
      </w:r>
      <w:r>
        <mc:AlternateContent>
          <mc:Choice Requires="wps">
            <w:drawing>
              <wp:anchor distT="0" distB="0" distL="114300" distR="114300" simplePos="0" relativeHeight="251674624" behindDoc="0" locked="1" layoutInCell="1" allowOverlap="1">
                <wp:simplePos x="0" y="0"/>
                <wp:positionH relativeFrom="margin">
                  <wp:posOffset>11430</wp:posOffset>
                </wp:positionH>
                <wp:positionV relativeFrom="margin">
                  <wp:posOffset>9156065</wp:posOffset>
                </wp:positionV>
                <wp:extent cx="6120130" cy="264160"/>
                <wp:effectExtent l="0" t="0" r="6350" b="10160"/>
                <wp:wrapNone/>
                <wp:docPr id="8" name="文本框 8"/>
                <wp:cNvGraphicFramePr/>
                <a:graphic xmlns:a="http://schemas.openxmlformats.org/drawingml/2006/main">
                  <a:graphicData uri="http://schemas.microsoft.com/office/word/2010/wordprocessingShape">
                    <wps:wsp>
                      <wps:cNvSpPr txBox="1"/>
                      <wps:spPr>
                        <a:xfrm>
                          <a:off x="0" y="0"/>
                          <a:ext cx="6120130" cy="264160"/>
                        </a:xfrm>
                        <a:prstGeom prst="rect">
                          <a:avLst/>
                        </a:prstGeom>
                        <a:solidFill>
                          <a:srgbClr val="FFFFFF"/>
                        </a:solidFill>
                        <a:ln>
                          <a:noFill/>
                        </a:ln>
                        <a:effectLst/>
                      </wps:spPr>
                      <wps:txbx>
                        <w:txbxContent>
                          <w:p w14:paraId="1E54828B">
                            <w:pPr>
                              <w:pStyle w:val="80"/>
                              <w:rPr>
                                <w:spacing w:val="0"/>
                                <w:w w:val="100"/>
                                <w:sz w:val="28"/>
                                <w:szCs w:val="28"/>
                              </w:rPr>
                            </w:pPr>
                            <w:r>
                              <w:rPr>
                                <w:rFonts w:hint="eastAsia"/>
                                <w:spacing w:val="0"/>
                                <w:w w:val="100"/>
                                <w:sz w:val="28"/>
                                <w:szCs w:val="28"/>
                              </w:rPr>
                              <w:t xml:space="preserve">中华人民共和国应急管理部   </w:t>
                            </w:r>
                            <w:r>
                              <w:rPr>
                                <w:rStyle w:val="43"/>
                                <w:rFonts w:hint="eastAsia"/>
                                <w:spacing w:val="0"/>
                                <w:position w:val="0"/>
                                <w:szCs w:val="28"/>
                              </w:rPr>
                              <w:t>发 布</w:t>
                            </w:r>
                          </w:p>
                        </w:txbxContent>
                      </wps:txbx>
                      <wps:bodyPr wrap="square" lIns="0" tIns="0" rIns="0" bIns="0" upright="1"/>
                    </wps:wsp>
                  </a:graphicData>
                </a:graphic>
              </wp:anchor>
            </w:drawing>
          </mc:Choice>
          <mc:Fallback>
            <w:pict>
              <v:shape id="_x0000_s1026" o:spid="_x0000_s1026" o:spt="202" type="#_x0000_t202" style="position:absolute;left:0pt;margin-left:0.9pt;margin-top:720.95pt;height:20.8pt;width:481.9pt;mso-position-horizontal-relative:margin;mso-position-vertical-relative:margin;z-index:251674624;mso-width-relative:page;mso-height-relative:page;" fillcolor="#FFFFFF" filled="t" stroked="f" coordsize="21600,21600" o:gfxdata="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Fz4QjaAAAACwEAAA8A&#10;AAAAAAAAAQAgAAAAIgAAAGRycy9kb3ducmV2LnhtbFBLAQIUABQAAAAIAIdO4kDxTvW93AEAALcD&#10;AAAOAAAAAAAAAAEAIAAAACkBAABkcnMvZTJvRG9jLnhtbFBLBQYAAAAABgAGAFkBAAB3BQAAAAA=&#10;">
                <v:fill on="t" focussize="0,0"/>
                <v:stroke on="f"/>
                <v:imagedata o:title=""/>
                <o:lock v:ext="edit" aspectratio="f"/>
                <v:textbox inset="0mm,0mm,0mm,0mm">
                  <w:txbxContent>
                    <w:p w14:paraId="1E54828B">
                      <w:pPr>
                        <w:pStyle w:val="80"/>
                        <w:rPr>
                          <w:spacing w:val="0"/>
                          <w:w w:val="100"/>
                          <w:sz w:val="28"/>
                          <w:szCs w:val="28"/>
                        </w:rPr>
                      </w:pPr>
                      <w:r>
                        <w:rPr>
                          <w:rFonts w:hint="eastAsia"/>
                          <w:spacing w:val="0"/>
                          <w:w w:val="100"/>
                          <w:sz w:val="28"/>
                          <w:szCs w:val="28"/>
                        </w:rPr>
                        <w:t xml:space="preserve">中华人民共和国应急管理部   </w:t>
                      </w:r>
                      <w:r>
                        <w:rPr>
                          <w:rStyle w:val="43"/>
                          <w:rFonts w:hint="eastAsia"/>
                          <w:spacing w:val="0"/>
                          <w:position w:val="0"/>
                          <w:szCs w:val="28"/>
                        </w:rPr>
                        <w:t>发 布</w:t>
                      </w: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73600" behindDoc="0" locked="1" layoutInCell="1" allowOverlap="1">
                <wp:simplePos x="0" y="0"/>
                <wp:positionH relativeFrom="margin">
                  <wp:posOffset>0</wp:posOffset>
                </wp:positionH>
                <wp:positionV relativeFrom="margin">
                  <wp:posOffset>1401445</wp:posOffset>
                </wp:positionV>
                <wp:extent cx="5934075" cy="860425"/>
                <wp:effectExtent l="0" t="0" r="9525" b="15875"/>
                <wp:wrapNone/>
                <wp:docPr id="12" name="文本框 12"/>
                <wp:cNvGraphicFramePr/>
                <a:graphic xmlns:a="http://schemas.openxmlformats.org/drawingml/2006/main">
                  <a:graphicData uri="http://schemas.microsoft.com/office/word/2010/wordprocessingShape">
                    <wps:wsp>
                      <wps:cNvSpPr txBox="1"/>
                      <wps:spPr>
                        <a:xfrm>
                          <a:off x="0" y="0"/>
                          <a:ext cx="5934075" cy="860425"/>
                        </a:xfrm>
                        <a:prstGeom prst="rect">
                          <a:avLst/>
                        </a:prstGeom>
                        <a:solidFill>
                          <a:srgbClr val="FFFFFF"/>
                        </a:solidFill>
                        <a:ln>
                          <a:noFill/>
                        </a:ln>
                      </wps:spPr>
                      <wps:txbx>
                        <w:txbxContent>
                          <w:p w14:paraId="1E467D20">
                            <w:pPr>
                              <w:pStyle w:val="35"/>
                              <w:rPr>
                                <w:b/>
                              </w:rPr>
                            </w:pPr>
                            <w:r>
                              <w:rPr>
                                <w:rFonts w:hint="eastAsia" w:ascii="黑体" w:eastAsia="黑体"/>
                              </w:rPr>
                              <w:t>AQ XXXX-202X</w:t>
                            </w:r>
                          </w:p>
                          <w:p w14:paraId="58236D48">
                            <w:pPr>
                              <w:pStyle w:val="37"/>
                              <w:spacing w:before="57"/>
                              <w:rPr>
                                <w:rFonts w:hint="eastAsia" w:ascii="宋体" w:hAnsi="宋体"/>
                                <w:sz w:val="21"/>
                                <w:szCs w:val="21"/>
                              </w:rPr>
                            </w:pPr>
                          </w:p>
                        </w:txbxContent>
                      </wps:txbx>
                      <wps:bodyPr lIns="0" tIns="0" rIns="0" bIns="0" upright="1"/>
                    </wps:wsp>
                  </a:graphicData>
                </a:graphic>
              </wp:anchor>
            </w:drawing>
          </mc:Choice>
          <mc:Fallback>
            <w:pict>
              <v:shape id="_x0000_s1026" o:spid="_x0000_s1026" o:spt="202" type="#_x0000_t202" style="position:absolute;left:0pt;margin-left:0pt;margin-top:110.35pt;height:67.75pt;width:467.25pt;mso-position-horizontal-relative:margin;mso-position-vertical-relative:margin;z-index:251673600;mso-width-relative:page;mso-height-relative:page;" fillcolor="#FFFFFF" filled="t" stroked="f" coordsize="21600,21600" o:gfxdata="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pL8572AAAAAgBAAAPAAAAAAAAAAEAIAAAACIA&#10;AABkcnMvZG93bnJldi54bWxQSwECFAAUAAAACACHTuJA6lNOrdABAACdAwAADgAAAAAAAAABACAA&#10;AAAnAQAAZHJzL2Uyb0RvYy54bWxQSwUGAAAAAAYABgBZAQAAaQUAAAAA&#10;">
                <v:fill on="t" focussize="0,0"/>
                <v:stroke on="f"/>
                <v:imagedata o:title=""/>
                <o:lock v:ext="edit" aspectratio="f"/>
                <v:textbox inset="0mm,0mm,0mm,0mm">
                  <w:txbxContent>
                    <w:p w14:paraId="1E467D20">
                      <w:pPr>
                        <w:pStyle w:val="35"/>
                        <w:rPr>
                          <w:b/>
                        </w:rPr>
                      </w:pPr>
                      <w:r>
                        <w:rPr>
                          <w:rFonts w:hint="eastAsia" w:ascii="黑体" w:eastAsia="黑体"/>
                        </w:rPr>
                        <w:t>AQ XXXX-202X</w:t>
                      </w:r>
                    </w:p>
                    <w:p w14:paraId="58236D48">
                      <w:pPr>
                        <w:pStyle w:val="37"/>
                        <w:spacing w:before="57"/>
                        <w:rPr>
                          <w:rFonts w:hint="eastAsia" w:ascii="宋体" w:hAnsi="宋体"/>
                          <w:sz w:val="21"/>
                          <w:szCs w:val="21"/>
                        </w:rPr>
                      </w:pP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72576" behindDoc="0" locked="1" layoutInCell="1" allowOverlap="1">
                <wp:simplePos x="0" y="0"/>
                <wp:positionH relativeFrom="margin">
                  <wp:posOffset>4067175</wp:posOffset>
                </wp:positionH>
                <wp:positionV relativeFrom="margin">
                  <wp:posOffset>8521700</wp:posOffset>
                </wp:positionV>
                <wp:extent cx="2019300" cy="312420"/>
                <wp:effectExtent l="0" t="0" r="0" b="11430"/>
                <wp:wrapNone/>
                <wp:docPr id="15" name="文本框 1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07673118">
                            <w:pPr>
                              <w:pStyle w:val="38"/>
                              <w:ind w:left="0" w:right="46"/>
                            </w:pPr>
                            <w:r>
                              <w:rPr>
                                <w:rFonts w:hint="eastAsia"/>
                              </w:rPr>
                              <w:t>××××-××-××实施</w:t>
                            </w:r>
                          </w:p>
                          <w:p w14:paraId="579A673A">
                            <w:pPr>
                              <w:pStyle w:val="38"/>
                              <w:ind w:right="560"/>
                              <w:jc w:val="both"/>
                            </w:pPr>
                            <w:r>
                              <w:rPr>
                                <w:rFonts w:hint="eastAsia"/>
                              </w:rPr>
                              <w:t>×-××-××实施</w:t>
                            </w:r>
                          </w:p>
                        </w:txbxContent>
                      </wps:txbx>
                      <wps:bodyPr lIns="0" tIns="0" rIns="0" bIns="0" upright="1"/>
                    </wps:wsp>
                  </a:graphicData>
                </a:graphic>
              </wp:anchor>
            </w:drawing>
          </mc:Choice>
          <mc:Fallback>
            <w:pict>
              <v:shape id="_x0000_s1026" o:spid="_x0000_s1026" o:spt="202" type="#_x0000_t202" style="position:absolute;left:0pt;margin-left:320.25pt;margin-top:671pt;height:24.6pt;width:159pt;mso-position-horizontal-relative:margin;mso-position-vertical-relative:margin;z-index:251672576;mso-width-relative:page;mso-height-relative:page;" fillcolor="#FFFFFF" filled="t" stroked="f" coordsize="21600,21600" o:gfxdata="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OHs5toAAAANAQAADwAAAAAAAAABACAAAAAi&#10;AAAAZHJzL2Rvd25yZXYueG1sUEsBAhQAFAAAAAgAh07iQK+rbv7PAQAAnQMAAA4AAAAAAAAAAQAg&#10;AAAAKQEAAGRycy9lMm9Eb2MueG1sUEsFBgAAAAAGAAYAWQEAAGoFAAAAAA==&#10;">
                <v:fill on="t" focussize="0,0"/>
                <v:stroke on="f"/>
                <v:imagedata o:title=""/>
                <o:lock v:ext="edit" aspectratio="f"/>
                <v:textbox inset="0mm,0mm,0mm,0mm">
                  <w:txbxContent>
                    <w:p w14:paraId="07673118">
                      <w:pPr>
                        <w:pStyle w:val="38"/>
                        <w:ind w:left="0" w:right="46"/>
                      </w:pPr>
                      <w:r>
                        <w:rPr>
                          <w:rFonts w:hint="eastAsia"/>
                        </w:rPr>
                        <w:t>××××-××-××实施</w:t>
                      </w:r>
                    </w:p>
                    <w:p w14:paraId="579A673A">
                      <w:pPr>
                        <w:pStyle w:val="38"/>
                        <w:ind w:right="560"/>
                        <w:jc w:val="both"/>
                      </w:pPr>
                      <w:r>
                        <w:rPr>
                          <w:rFonts w:hint="eastAsia"/>
                        </w:rPr>
                        <w:t>×-××-××实施</w:t>
                      </w: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71552" behindDoc="0" locked="1" layoutInCell="1" allowOverlap="1">
                <wp:simplePos x="0" y="0"/>
                <wp:positionH relativeFrom="margin">
                  <wp:posOffset>0</wp:posOffset>
                </wp:positionH>
                <wp:positionV relativeFrom="margin">
                  <wp:posOffset>8521700</wp:posOffset>
                </wp:positionV>
                <wp:extent cx="2019300" cy="312420"/>
                <wp:effectExtent l="0" t="0" r="0" b="11430"/>
                <wp:wrapNone/>
                <wp:docPr id="11" name="文本框 11"/>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581624F0">
                            <w:pPr>
                              <w:pStyle w:val="39"/>
                            </w:pPr>
                            <w:r>
                              <w:rPr>
                                <w:rFonts w:hint="eastAsia"/>
                              </w:rPr>
                              <w:t>××××-××-××发布</w:t>
                            </w:r>
                          </w:p>
                        </w:txbxContent>
                      </wps:txbx>
                      <wps:bodyPr lIns="0" tIns="0" rIns="0" bIns="0" upright="1"/>
                    </wps:wsp>
                  </a:graphicData>
                </a:graphic>
              </wp:anchor>
            </w:drawing>
          </mc:Choice>
          <mc:Fallback>
            <w:pict>
              <v:shape id="_x0000_s1026" o:spid="_x0000_s1026" o:spt="202" type="#_x0000_t202" style="position:absolute;left:0pt;margin-left:0pt;margin-top:671pt;height:24.6pt;width:159pt;mso-position-horizontal-relative:margin;mso-position-vertical-relative:margin;z-index:251671552;mso-width-relative:page;mso-height-relative:page;" fillcolor="#FFFFFF" filled="t" stroked="f" coordsize="21600,21600" o:gfxdata="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Onw5W7WAAAACgEAAA8AAAAAAAAAAQAgAAAAIgAAAGRy&#10;cy9kb3ducmV2LnhtbFBLAQIUABQAAAAIAIdO4kB0/mpazgEAAJ0DAAAOAAAAAAAAAAEAIAAAACUB&#10;AABkcnMvZTJvRG9jLnhtbFBLBQYAAAAABgAGAFkBAABlBQAAAAA=&#10;">
                <v:fill on="t" focussize="0,0"/>
                <v:stroke on="f"/>
                <v:imagedata o:title=""/>
                <o:lock v:ext="edit" aspectratio="f"/>
                <v:textbox inset="0mm,0mm,0mm,0mm">
                  <w:txbxContent>
                    <w:p w14:paraId="581624F0">
                      <w:pPr>
                        <w:pStyle w:val="39"/>
                      </w:pPr>
                      <w:r>
                        <w:rPr>
                          <w:rFonts w:hint="eastAsia"/>
                        </w:rPr>
                        <w:t>××××-××-××发布</w:t>
                      </w: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8890000</wp:posOffset>
                </wp:positionV>
                <wp:extent cx="61214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700pt;height:0pt;width:482pt;z-index:251670528;mso-width-relative:page;mso-height-relative:page;" filled="f" stroked="t" coordsize="21600,21600" o:gfxdata="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sN+&#10;/tUAAAAKAQAADwAAAAAAAAABACAAAAAiAAAAZHJzL2Rvd25yZXYueG1sUEsBAhQAFAAAAAgAh07i&#10;QFN8Q7zsAQAA2QMAAA4AAAAAAAAAAQAgAAAAJAEAAGRycy9lMm9Eb2MueG1sUEsFBgAAAAAGAAYA&#10;WQEAAIIFAAAAAA==&#10;">
                <v:fill on="f" focussize="0,0"/>
                <v:stroke weight="1pt" color="#000000" joinstyle="round"/>
                <v:imagedata o:title=""/>
                <o:lock v:ext="edit" aspectratio="f"/>
              </v:line>
            </w:pict>
          </mc:Fallback>
        </mc:AlternateContent>
      </w:r>
      <w:r>
        <w:rPr>
          <w:rFonts w:hint="eastAsia" w:ascii="宋体" w:hAnsi="宋体" w:cs="宋体"/>
          <w:sz w:val="21"/>
          <w:szCs w:val="21"/>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2273300</wp:posOffset>
                </wp:positionV>
                <wp:extent cx="6121400"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79pt;height:0pt;width:482pt;z-index:251669504;mso-width-relative:page;mso-height-relative:page;" filled="f" stroked="t" coordsize="21600,21600" o:gfxdata="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p&#10;qFbWAAAACAEAAA8AAAAAAAAAAQAgAAAAIgAAAGRycy9kb3ducmV2LnhtbFBLAQIUABQAAAAIAIdO&#10;4kCq/Wlf7AEAANsDAAAOAAAAAAAAAAEAIAAAACUBAABkcnMvZTJvRG9jLnhtbFBLBQYAAAAABgAG&#10;AFkBAACDBQAAAAA=&#10;">
                <v:fill on="f" focussize="0,0"/>
                <v:stroke weight="1pt" color="#000000" joinstyle="round"/>
                <v:imagedata o:title=""/>
                <o:lock v:ext="edit" aspectratio="f"/>
              </v:line>
            </w:pict>
          </mc:Fallback>
        </mc:AlternateContent>
      </w:r>
      <w:r>
        <w:rPr>
          <w:rFonts w:hint="eastAsia" w:ascii="宋体" w:hAnsi="宋体" w:cs="宋体"/>
          <w:sz w:val="21"/>
          <w:szCs w:val="21"/>
        </w:rPr>
        <mc:AlternateContent>
          <mc:Choice Requires="wps">
            <w:drawing>
              <wp:anchor distT="0" distB="0" distL="114300" distR="114300" simplePos="0" relativeHeight="251668480"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6" name="文本框 6"/>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3D14F9EE">
                            <w:pPr>
                              <w:pStyle w:val="44"/>
                              <w:spacing w:line="700" w:lineRule="exact"/>
                              <w:rPr>
                                <w:rFonts w:hAnsi="Calibri"/>
                              </w:rPr>
                            </w:pPr>
                            <w:r>
                              <w:rPr>
                                <w:rFonts w:hint="eastAsia" w:hAnsi="Calibri"/>
                              </w:rPr>
                              <w:t>陆上石油天然气开采建设项目（天然气处理厂）安全设施设计导则</w:t>
                            </w:r>
                          </w:p>
                          <w:p w14:paraId="523AAA7C">
                            <w:pPr>
                              <w:pStyle w:val="45"/>
                              <w:spacing w:before="0" w:line="360" w:lineRule="exact"/>
                              <w:rPr>
                                <w:rFonts w:ascii="Times New Roman" w:eastAsia="黑体"/>
                                <w:sz w:val="28"/>
                              </w:rPr>
                            </w:pPr>
                          </w:p>
                          <w:p w14:paraId="6AE83A6D">
                            <w:pPr>
                              <w:pStyle w:val="45"/>
                              <w:spacing w:before="0" w:line="360" w:lineRule="exact"/>
                              <w:rPr>
                                <w:rFonts w:ascii="Times New Roman" w:eastAsia="黑体"/>
                                <w:sz w:val="28"/>
                              </w:rPr>
                            </w:pPr>
                            <w:r>
                              <w:rPr>
                                <w:rFonts w:hint="eastAsia" w:ascii="Times New Roman" w:eastAsia="黑体"/>
                                <w:sz w:val="28"/>
                              </w:rPr>
                              <w:t>Guidelines for safety facilities design of onshore oil and gas exploration construction projects（natural gas processing plant）</w:t>
                            </w:r>
                          </w:p>
                          <w:p w14:paraId="36BD90D7">
                            <w:pPr>
                              <w:pStyle w:val="45"/>
                            </w:pPr>
                            <w:r>
                              <w:rPr>
                                <w:rFonts w:hint="eastAsia"/>
                              </w:rPr>
                              <w:t>（征求意见稿）</w:t>
                            </w:r>
                          </w:p>
                          <w:p w14:paraId="1B41EE70">
                            <w:pPr>
                              <w:pStyle w:val="45"/>
                              <w:spacing w:before="0" w:line="240" w:lineRule="atLeast"/>
                              <w:rPr>
                                <w:rFonts w:ascii="Times New Roman" w:eastAsia="黑体"/>
                                <w:sz w:val="28"/>
                              </w:rPr>
                            </w:pPr>
                          </w:p>
                          <w:p w14:paraId="3D55D7E0">
                            <w:pPr>
                              <w:pStyle w:val="46"/>
                              <w:spacing w:before="0" w:line="240" w:lineRule="atLeast"/>
                              <w:rPr>
                                <w:rFonts w:ascii="黑体" w:eastAsia="黑体"/>
                                <w:sz w:val="28"/>
                                <w:szCs w:val="28"/>
                              </w:rPr>
                            </w:pPr>
                          </w:p>
                        </w:txbxContent>
                      </wps:txbx>
                      <wps:bodyPr lIns="0" tIns="0" rIns="0" bIns="0" upright="1"/>
                    </wps:wsp>
                  </a:graphicData>
                </a:graphic>
              </wp:anchor>
            </w:drawing>
          </mc:Choice>
          <mc:Fallback>
            <w:pict>
              <v:shape id="_x0000_s1026" o:spid="_x0000_s1026" o:spt="202" type="#_x0000_t202" style="position:absolute;left:0pt;margin-left:0pt;margin-top:286.25pt;height:368.6pt;width:470pt;mso-position-horizontal-relative:margin;mso-position-vertical-relative:margin;z-index:251668480;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FefcdgAAAAJAQAADwAAAAAAAAABACAAAAAi&#10;AAAAZHJzL2Rvd25yZXYueG1sUEsBAhQAFAAAAAgAh07iQExNEOrRAQAAnAMAAA4AAAAAAAAAAQAg&#10;AAAAJwEAAGRycy9lMm9Eb2MueG1sUEsFBgAAAAAGAAYAWQEAAGoFAAAAAA==&#10;">
                <v:fill on="t" focussize="0,0"/>
                <v:stroke on="f"/>
                <v:imagedata o:title=""/>
                <o:lock v:ext="edit" aspectratio="f"/>
                <v:textbox inset="0mm,0mm,0mm,0mm">
                  <w:txbxContent>
                    <w:p w14:paraId="3D14F9EE">
                      <w:pPr>
                        <w:pStyle w:val="44"/>
                        <w:spacing w:line="700" w:lineRule="exact"/>
                        <w:rPr>
                          <w:rFonts w:hAnsi="Calibri"/>
                        </w:rPr>
                      </w:pPr>
                      <w:r>
                        <w:rPr>
                          <w:rFonts w:hint="eastAsia" w:hAnsi="Calibri"/>
                        </w:rPr>
                        <w:t>陆上石油天然气开采建设项目（天然气处理厂）安全设施设计导则</w:t>
                      </w:r>
                    </w:p>
                    <w:p w14:paraId="523AAA7C">
                      <w:pPr>
                        <w:pStyle w:val="45"/>
                        <w:spacing w:before="0" w:line="360" w:lineRule="exact"/>
                        <w:rPr>
                          <w:rFonts w:ascii="Times New Roman" w:eastAsia="黑体"/>
                          <w:sz w:val="28"/>
                        </w:rPr>
                      </w:pPr>
                    </w:p>
                    <w:p w14:paraId="6AE83A6D">
                      <w:pPr>
                        <w:pStyle w:val="45"/>
                        <w:spacing w:before="0" w:line="360" w:lineRule="exact"/>
                        <w:rPr>
                          <w:rFonts w:ascii="Times New Roman" w:eastAsia="黑体"/>
                          <w:sz w:val="28"/>
                        </w:rPr>
                      </w:pPr>
                      <w:r>
                        <w:rPr>
                          <w:rFonts w:hint="eastAsia" w:ascii="Times New Roman" w:eastAsia="黑体"/>
                          <w:sz w:val="28"/>
                        </w:rPr>
                        <w:t>Guidelines for safety facilities design of onshore oil and gas exploration construction projects（natural gas processing plant）</w:t>
                      </w:r>
                    </w:p>
                    <w:p w14:paraId="36BD90D7">
                      <w:pPr>
                        <w:pStyle w:val="45"/>
                      </w:pPr>
                      <w:r>
                        <w:rPr>
                          <w:rFonts w:hint="eastAsia"/>
                        </w:rPr>
                        <w:t>（征求意见稿）</w:t>
                      </w:r>
                    </w:p>
                    <w:p w14:paraId="1B41EE70">
                      <w:pPr>
                        <w:pStyle w:val="45"/>
                        <w:spacing w:before="0" w:line="240" w:lineRule="atLeast"/>
                        <w:rPr>
                          <w:rFonts w:ascii="Times New Roman" w:eastAsia="黑体"/>
                          <w:sz w:val="28"/>
                        </w:rPr>
                      </w:pPr>
                    </w:p>
                    <w:p w14:paraId="3D55D7E0">
                      <w:pPr>
                        <w:pStyle w:val="46"/>
                        <w:spacing w:before="0" w:line="240" w:lineRule="atLeast"/>
                        <w:rPr>
                          <w:rFonts w:ascii="黑体" w:eastAsia="黑体"/>
                          <w:sz w:val="28"/>
                          <w:szCs w:val="28"/>
                        </w:rPr>
                      </w:pP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67456" behindDoc="0" locked="1" layoutInCell="1" allowOverlap="1">
                <wp:simplePos x="0" y="0"/>
                <wp:positionH relativeFrom="margin">
                  <wp:posOffset>2549525</wp:posOffset>
                </wp:positionH>
                <wp:positionV relativeFrom="margin">
                  <wp:posOffset>107315</wp:posOffset>
                </wp:positionV>
                <wp:extent cx="3175000" cy="720090"/>
                <wp:effectExtent l="0" t="0" r="6350" b="3810"/>
                <wp:wrapNone/>
                <wp:docPr id="14" name="文本框 14"/>
                <wp:cNvGraphicFramePr/>
                <a:graphic xmlns:a="http://schemas.openxmlformats.org/drawingml/2006/main">
                  <a:graphicData uri="http://schemas.microsoft.com/office/word/2010/wordprocessingShape">
                    <wps:wsp>
                      <wps:cNvSpPr txBox="1"/>
                      <wps:spPr>
                        <a:xfrm>
                          <a:off x="0" y="0"/>
                          <a:ext cx="3175000" cy="720090"/>
                        </a:xfrm>
                        <a:prstGeom prst="rect">
                          <a:avLst/>
                        </a:prstGeom>
                        <a:solidFill>
                          <a:srgbClr val="FFFFFF"/>
                        </a:solidFill>
                        <a:ln>
                          <a:noFill/>
                        </a:ln>
                      </wps:spPr>
                      <wps:txbx>
                        <w:txbxContent>
                          <w:p w14:paraId="6A07F1B7">
                            <w:pPr>
                              <w:pStyle w:val="47"/>
                            </w:pPr>
                            <w:r>
                              <w:rPr>
                                <w:rFonts w:hint="eastAsia"/>
                              </w:rPr>
                              <w:t>AQ</w:t>
                            </w:r>
                          </w:p>
                        </w:txbxContent>
                      </wps:txbx>
                      <wps:bodyPr lIns="0" tIns="0" rIns="0" bIns="0" upright="1"/>
                    </wps:wsp>
                  </a:graphicData>
                </a:graphic>
              </wp:anchor>
            </w:drawing>
          </mc:Choice>
          <mc:Fallback>
            <w:pict>
              <v:shape id="_x0000_s1026" o:spid="_x0000_s1026" o:spt="202" type="#_x0000_t202" style="position:absolute;left:0pt;margin-left:200.75pt;margin-top:8.45pt;height:56.7pt;width:250pt;mso-position-horizontal-relative:margin;mso-position-vertical-relative:margin;z-index:251667456;mso-width-relative:page;mso-height-relative:page;" fillcolor="#FFFFFF" filled="t" stroked="f" coordsize="21600,21600" o:gfxdata="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JWTs82AAAAAoBAAAPAAAAAAAAAAEAIAAAACIA&#10;AABkcnMvZG93bnJldi54bWxQSwECFAAUAAAACACHTuJA8OpO+tABAACdAwAADgAAAAAAAAABACAA&#10;AAAnAQAAZHJzL2Uyb0RvYy54bWxQSwUGAAAAAAYABgBZAQAAaQUAAAAA&#10;">
                <v:fill on="t" focussize="0,0"/>
                <v:stroke on="f"/>
                <v:imagedata o:title=""/>
                <o:lock v:ext="edit" aspectratio="f"/>
                <v:textbox inset="0mm,0mm,0mm,0mm">
                  <w:txbxContent>
                    <w:p w14:paraId="6A07F1B7">
                      <w:pPr>
                        <w:pStyle w:val="47"/>
                      </w:pPr>
                      <w:r>
                        <w:rPr>
                          <w:rFonts w:hint="eastAsia"/>
                        </w:rPr>
                        <w:t>AQ</w:t>
                      </w:r>
                    </w:p>
                  </w:txbxContent>
                </v:textbox>
                <w10:anchorlock/>
              </v:shape>
            </w:pict>
          </mc:Fallback>
        </mc:AlternateContent>
      </w:r>
      <w:r>
        <w:rPr>
          <w:rFonts w:hint="eastAsia" w:ascii="宋体" w:hAnsi="宋体" w:cs="宋体"/>
          <w:sz w:val="21"/>
          <w:szCs w:val="21"/>
        </w:rPr>
        <mc:AlternateContent>
          <mc:Choice Requires="wps">
            <w:drawing>
              <wp:anchor distT="0" distB="0" distL="114300" distR="114300" simplePos="0" relativeHeight="251666432" behindDoc="0" locked="1" layoutInCell="1" allowOverlap="1">
                <wp:simplePos x="0" y="0"/>
                <wp:positionH relativeFrom="margin">
                  <wp:posOffset>0</wp:posOffset>
                </wp:positionH>
                <wp:positionV relativeFrom="margin">
                  <wp:posOffset>1010920</wp:posOffset>
                </wp:positionV>
                <wp:extent cx="6120130" cy="391160"/>
                <wp:effectExtent l="0" t="0" r="13970" b="8890"/>
                <wp:wrapNone/>
                <wp:docPr id="4" name="文本框 4"/>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506CB78C">
                            <w:pPr>
                              <w:pStyle w:val="48"/>
                              <w:rPr>
                                <w:rFonts w:hint="eastAsia"/>
                              </w:rPr>
                            </w:pPr>
                            <w:r>
                              <w:rPr>
                                <w:rFonts w:hint="eastAsia"/>
                              </w:rPr>
                              <w:t>中华人民共和国安全生产行业标准</w:t>
                            </w:r>
                          </w:p>
                        </w:txbxContent>
                      </wps:txbx>
                      <wps:bodyPr lIns="0" tIns="0" rIns="0" bIns="0" upright="1"/>
                    </wps:wsp>
                  </a:graphicData>
                </a:graphic>
              </wp:anchor>
            </w:drawing>
          </mc:Choice>
          <mc:Fallback>
            <w:pict>
              <v:shape id="_x0000_s1026" o:spid="_x0000_s1026" o:spt="202" type="#_x0000_t202" style="position:absolute;left:0pt;margin-left:0pt;margin-top:79.6pt;height:30.8pt;width:481.9pt;mso-position-horizontal-relative:margin;mso-position-vertical-relative:margin;z-index:251666432;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g5HBdcAAAAIAQAADwAAAAAAAAABACAAAAAiAAAA&#10;ZHJzL2Rvd25yZXYueG1sUEsBAhQAFAAAAAgAh07iQKzNRlHPAQAAmwMAAA4AAAAAAAAAAQAgAAAA&#10;JgEAAGRycy9lMm9Eb2MueG1sUEsFBgAAAAAGAAYAWQEAAGcFAAAAAA==&#10;">
                <v:fill on="t" focussize="0,0"/>
                <v:stroke on="f"/>
                <v:imagedata o:title=""/>
                <o:lock v:ext="edit" aspectratio="f"/>
                <v:textbox inset="0mm,0mm,0mm,0mm">
                  <w:txbxContent>
                    <w:p w14:paraId="506CB78C">
                      <w:pPr>
                        <w:pStyle w:val="48"/>
                        <w:rPr>
                          <w:rFonts w:hint="eastAsia"/>
                        </w:rPr>
                      </w:pPr>
                      <w:r>
                        <w:rPr>
                          <w:rFonts w:hint="eastAsia"/>
                        </w:rPr>
                        <w:t>中华人民共和国安全生产行业标准</w:t>
                      </w:r>
                    </w:p>
                  </w:txbxContent>
                </v:textbox>
                <w10:anchorlock/>
              </v:shape>
            </w:pict>
          </mc:Fallback>
        </mc:AlternateContent>
      </w:r>
    </w:p>
    <w:bookmarkEnd w:id="0"/>
    <w:sdt>
      <w:sdtPr>
        <w:rPr>
          <w:rFonts w:ascii="宋体" w:hAnsi="宋体" w:eastAsia="宋体"/>
          <w:sz w:val="21"/>
        </w:rPr>
        <w:id w:val="147454481"/>
        <w15:color w:val="DBDBDB"/>
        <w:docPartObj>
          <w:docPartGallery w:val="Table of Contents"/>
          <w:docPartUnique/>
        </w:docPartObj>
      </w:sdtPr>
      <w:sdtEndPr>
        <w:rPr>
          <w:rFonts w:ascii="宋体" w:hAnsi="宋体" w:eastAsia="宋体"/>
          <w:b/>
          <w:sz w:val="21"/>
        </w:rPr>
      </w:sdtEndPr>
      <w:sdtContent>
        <w:p w14:paraId="02654436">
          <w:pPr>
            <w:pStyle w:val="84"/>
            <w:adjustRightInd w:val="0"/>
            <w:spacing w:after="468"/>
            <w:rPr>
              <w:rFonts w:eastAsia="宋体"/>
            </w:rPr>
          </w:pPr>
          <w:r>
            <w:rPr>
              <w:rFonts w:hint="eastAsia" w:hAnsi="Calibri" w:cs="Times New Roman"/>
              <w:spacing w:val="320"/>
              <w:szCs w:val="21"/>
            </w:rPr>
            <w:t>目次</w:t>
          </w:r>
        </w:p>
        <w:p w14:paraId="28F237A4">
          <w:pPr>
            <w:pStyle w:val="21"/>
            <w:tabs>
              <w:tab w:val="right" w:leader="dot" w:pos="8845"/>
            </w:tabs>
            <w:spacing w:line="400" w:lineRule="exact"/>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TOC \o "1-2" \h \u </w:instrText>
          </w:r>
          <w:r>
            <w:rPr>
              <w:rFonts w:hint="eastAsia" w:ascii="宋体" w:hAnsi="宋体" w:eastAsia="宋体" w:cs="宋体"/>
              <w:szCs w:val="21"/>
            </w:rPr>
            <w:fldChar w:fldCharType="separate"/>
          </w:r>
          <w:r>
            <w:fldChar w:fldCharType="begin"/>
          </w:r>
          <w:r>
            <w:instrText xml:space="preserve"> HYPERLINK \l "_Toc9324" </w:instrText>
          </w:r>
          <w:r>
            <w:fldChar w:fldCharType="separate"/>
          </w:r>
          <w:r>
            <w:rPr>
              <w:rFonts w:hint="eastAsia" w:ascii="宋体" w:hAnsi="宋体" w:eastAsia="宋体" w:cs="宋体"/>
              <w:szCs w:val="21"/>
            </w:rPr>
            <w:t>前  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_Toc9324 \h </w:instrText>
          </w:r>
          <w:r>
            <w:rPr>
              <w:rFonts w:hint="eastAsia" w:ascii="宋体" w:hAnsi="宋体" w:eastAsia="宋体" w:cs="宋体"/>
            </w:rPr>
            <w:fldChar w:fldCharType="separate"/>
          </w:r>
          <w:r>
            <w:rPr>
              <w:rFonts w:hint="eastAsia" w:ascii="宋体" w:hAnsi="宋体" w:eastAsia="宋体" w:cs="宋体"/>
            </w:rPr>
            <w:t>IV</w:t>
          </w:r>
          <w:r>
            <w:rPr>
              <w:rFonts w:hint="eastAsia" w:ascii="宋体" w:hAnsi="宋体" w:eastAsia="宋体" w:cs="宋体"/>
            </w:rPr>
            <w:fldChar w:fldCharType="end"/>
          </w:r>
          <w:r>
            <w:rPr>
              <w:rFonts w:hint="eastAsia" w:ascii="宋体" w:hAnsi="宋体" w:eastAsia="宋体" w:cs="宋体"/>
            </w:rPr>
            <w:fldChar w:fldCharType="end"/>
          </w:r>
        </w:p>
        <w:p w14:paraId="291C982C">
          <w:pPr>
            <w:pStyle w:val="21"/>
            <w:tabs>
              <w:tab w:val="right" w:leader="dot" w:pos="8845"/>
            </w:tabs>
            <w:spacing w:line="400" w:lineRule="exact"/>
            <w:rPr>
              <w:rFonts w:hint="eastAsia" w:ascii="宋体" w:hAnsi="宋体" w:eastAsia="宋体" w:cs="宋体"/>
            </w:rPr>
          </w:pPr>
          <w:r>
            <w:fldChar w:fldCharType="begin"/>
          </w:r>
          <w:r>
            <w:instrText xml:space="preserve"> HYPERLINK \l "_Toc14953" </w:instrText>
          </w:r>
          <w:r>
            <w:fldChar w:fldCharType="separate"/>
          </w:r>
          <w:r>
            <w:rPr>
              <w:rFonts w:hint="eastAsia" w:ascii="宋体" w:hAnsi="宋体" w:eastAsia="宋体" w:cs="宋体"/>
            </w:rPr>
            <w:t xml:space="preserve">1 </w:t>
          </w:r>
          <w:r>
            <w:rPr>
              <w:rFonts w:hint="eastAsia" w:ascii="宋体" w:hAnsi="宋体" w:eastAsia="宋体" w:cs="宋体"/>
              <w:szCs w:val="22"/>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_Toc14953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436307C7">
          <w:pPr>
            <w:pStyle w:val="21"/>
            <w:tabs>
              <w:tab w:val="right" w:leader="dot" w:pos="8845"/>
            </w:tabs>
            <w:spacing w:line="400" w:lineRule="exact"/>
            <w:rPr>
              <w:rFonts w:hint="eastAsia" w:ascii="宋体" w:hAnsi="宋体" w:eastAsia="宋体" w:cs="宋体"/>
            </w:rPr>
          </w:pPr>
          <w:r>
            <w:fldChar w:fldCharType="begin"/>
          </w:r>
          <w:r>
            <w:instrText xml:space="preserve"> HYPERLINK \l "_Toc28542" </w:instrText>
          </w:r>
          <w:r>
            <w:fldChar w:fldCharType="separate"/>
          </w:r>
          <w:r>
            <w:rPr>
              <w:rFonts w:hint="eastAsia" w:ascii="宋体" w:hAnsi="宋体" w:eastAsia="宋体" w:cs="宋体"/>
              <w:szCs w:val="22"/>
            </w:rPr>
            <w:t>2 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_Toc28542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792760A1">
          <w:pPr>
            <w:pStyle w:val="21"/>
            <w:tabs>
              <w:tab w:val="right" w:leader="dot" w:pos="8845"/>
            </w:tabs>
            <w:spacing w:line="400" w:lineRule="exact"/>
            <w:rPr>
              <w:rFonts w:hint="eastAsia" w:ascii="宋体" w:hAnsi="宋体" w:eastAsia="宋体" w:cs="宋体"/>
            </w:rPr>
          </w:pPr>
          <w:r>
            <w:fldChar w:fldCharType="begin"/>
          </w:r>
          <w:r>
            <w:instrText xml:space="preserve"> HYPERLINK \l "_Toc4816" </w:instrText>
          </w:r>
          <w:r>
            <w:fldChar w:fldCharType="separate"/>
          </w:r>
          <w:r>
            <w:rPr>
              <w:rFonts w:hint="eastAsia" w:ascii="宋体" w:hAnsi="宋体" w:eastAsia="宋体" w:cs="宋体"/>
              <w:szCs w:val="22"/>
            </w:rPr>
            <w:t>3 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_Toc4816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17508AEC">
          <w:pPr>
            <w:pStyle w:val="21"/>
            <w:tabs>
              <w:tab w:val="right" w:leader="dot" w:pos="8845"/>
            </w:tabs>
            <w:spacing w:line="400" w:lineRule="exact"/>
            <w:rPr>
              <w:rFonts w:hint="eastAsia" w:ascii="宋体" w:hAnsi="宋体" w:eastAsia="宋体" w:cs="宋体"/>
            </w:rPr>
          </w:pPr>
          <w:r>
            <w:fldChar w:fldCharType="begin"/>
          </w:r>
          <w:r>
            <w:instrText xml:space="preserve"> HYPERLINK \l "_Toc4504" </w:instrText>
          </w:r>
          <w:r>
            <w:fldChar w:fldCharType="separate"/>
          </w:r>
          <w:r>
            <w:rPr>
              <w:rFonts w:hint="eastAsia" w:ascii="宋体" w:hAnsi="宋体" w:eastAsia="宋体" w:cs="宋体"/>
              <w:szCs w:val="22"/>
            </w:rPr>
            <w:t>4 缩略语</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_Toc4504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6B113BE">
          <w:pPr>
            <w:pStyle w:val="21"/>
            <w:tabs>
              <w:tab w:val="right" w:leader="dot" w:pos="8845"/>
            </w:tabs>
            <w:spacing w:line="400" w:lineRule="exact"/>
            <w:rPr>
              <w:rFonts w:hint="eastAsia" w:ascii="宋体" w:hAnsi="宋体" w:eastAsia="宋体" w:cs="宋体"/>
            </w:rPr>
          </w:pPr>
          <w:r>
            <w:fldChar w:fldCharType="begin"/>
          </w:r>
          <w:r>
            <w:instrText xml:space="preserve"> HYPERLINK \l "_Toc2492" </w:instrText>
          </w:r>
          <w:r>
            <w:fldChar w:fldCharType="separate"/>
          </w:r>
          <w:r>
            <w:rPr>
              <w:rFonts w:hint="eastAsia" w:ascii="宋体" w:hAnsi="宋体" w:eastAsia="宋体" w:cs="宋体"/>
              <w:szCs w:val="22"/>
            </w:rPr>
            <w:t>5 总体要求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_Toc2492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CBDBE77">
          <w:pPr>
            <w:pStyle w:val="21"/>
            <w:tabs>
              <w:tab w:val="right" w:leader="dot" w:pos="8845"/>
            </w:tabs>
            <w:spacing w:line="400" w:lineRule="exact"/>
            <w:rPr>
              <w:rFonts w:hint="eastAsia" w:ascii="宋体" w:hAnsi="宋体" w:eastAsia="宋体" w:cs="宋体"/>
            </w:rPr>
          </w:pPr>
          <w:r>
            <w:fldChar w:fldCharType="begin"/>
          </w:r>
          <w:r>
            <w:instrText xml:space="preserve"> HYPERLINK \l "_Toc30667" </w:instrText>
          </w:r>
          <w:r>
            <w:fldChar w:fldCharType="separate"/>
          </w:r>
          <w:r>
            <w:rPr>
              <w:rFonts w:hint="eastAsia" w:ascii="宋体" w:hAnsi="宋体" w:eastAsia="宋体" w:cs="宋体"/>
              <w:szCs w:val="22"/>
            </w:rPr>
            <w:t>6 设计依据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_Toc30667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4F5A560D">
          <w:pPr>
            <w:pStyle w:val="2"/>
            <w:tabs>
              <w:tab w:val="right" w:leader="dot" w:pos="8845"/>
            </w:tabs>
            <w:spacing w:line="400" w:lineRule="exact"/>
            <w:rPr>
              <w:rFonts w:hint="eastAsia" w:ascii="宋体" w:hAnsi="宋体" w:eastAsia="宋体" w:cs="宋体"/>
            </w:rPr>
          </w:pPr>
          <w:r>
            <w:fldChar w:fldCharType="begin"/>
          </w:r>
          <w:r>
            <w:instrText xml:space="preserve"> HYPERLINK \l "_Toc20059" </w:instrText>
          </w:r>
          <w:r>
            <w:fldChar w:fldCharType="separate"/>
          </w:r>
          <w:r>
            <w:rPr>
              <w:rFonts w:hint="eastAsia" w:ascii="宋体" w:hAnsi="宋体" w:eastAsia="宋体" w:cs="宋体"/>
            </w:rPr>
            <w:t>6.1 依据的批复文件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_Toc20059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7EE4FE68">
          <w:pPr>
            <w:pStyle w:val="2"/>
            <w:tabs>
              <w:tab w:val="right" w:leader="dot" w:pos="8845"/>
            </w:tabs>
            <w:spacing w:line="400" w:lineRule="exact"/>
            <w:rPr>
              <w:rFonts w:hint="eastAsia" w:ascii="宋体" w:hAnsi="宋体" w:eastAsia="宋体" w:cs="宋体"/>
            </w:rPr>
          </w:pPr>
          <w:r>
            <w:fldChar w:fldCharType="begin"/>
          </w:r>
          <w:r>
            <w:instrText xml:space="preserve"> HYPERLINK \l "_Toc15330" </w:instrText>
          </w:r>
          <w:r>
            <w:fldChar w:fldCharType="separate"/>
          </w:r>
          <w:r>
            <w:rPr>
              <w:rFonts w:hint="eastAsia" w:ascii="宋体" w:hAnsi="宋体" w:eastAsia="宋体" w:cs="宋体"/>
            </w:rPr>
            <w:t>6.2 遵循的主要法律法规</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_Toc15330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3D4E2D64">
          <w:pPr>
            <w:pStyle w:val="2"/>
            <w:tabs>
              <w:tab w:val="right" w:leader="dot" w:pos="8845"/>
            </w:tabs>
            <w:spacing w:line="400" w:lineRule="exact"/>
            <w:rPr>
              <w:rFonts w:hint="eastAsia" w:ascii="宋体" w:hAnsi="宋体" w:eastAsia="宋体" w:cs="宋体"/>
            </w:rPr>
          </w:pPr>
          <w:r>
            <w:fldChar w:fldCharType="begin"/>
          </w:r>
          <w:r>
            <w:instrText xml:space="preserve"> HYPERLINK \l "_Toc25948" </w:instrText>
          </w:r>
          <w:r>
            <w:fldChar w:fldCharType="separate"/>
          </w:r>
          <w:r>
            <w:rPr>
              <w:rFonts w:hint="eastAsia" w:ascii="宋体" w:hAnsi="宋体" w:eastAsia="宋体" w:cs="宋体"/>
            </w:rPr>
            <w:t>6.3 执行的主要标准规范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_Toc25948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56B1E8D4">
          <w:pPr>
            <w:pStyle w:val="2"/>
            <w:tabs>
              <w:tab w:val="right" w:leader="dot" w:pos="8845"/>
            </w:tabs>
            <w:spacing w:line="400" w:lineRule="exact"/>
            <w:rPr>
              <w:rFonts w:hint="eastAsia" w:ascii="宋体" w:hAnsi="宋体" w:eastAsia="宋体" w:cs="宋体"/>
            </w:rPr>
          </w:pPr>
          <w:r>
            <w:fldChar w:fldCharType="begin"/>
          </w:r>
          <w:r>
            <w:instrText xml:space="preserve"> HYPERLINK \l "_Toc432" </w:instrText>
          </w:r>
          <w:r>
            <w:fldChar w:fldCharType="separate"/>
          </w:r>
          <w:r>
            <w:rPr>
              <w:rFonts w:hint="eastAsia" w:ascii="宋体" w:hAnsi="宋体" w:eastAsia="宋体" w:cs="宋体"/>
            </w:rPr>
            <w:t>6.4 其他文件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_Toc432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4D1ADCAE">
          <w:pPr>
            <w:pStyle w:val="21"/>
            <w:tabs>
              <w:tab w:val="right" w:leader="dot" w:pos="8845"/>
            </w:tabs>
            <w:spacing w:line="400" w:lineRule="exact"/>
            <w:rPr>
              <w:rFonts w:hint="eastAsia" w:ascii="宋体" w:hAnsi="宋体" w:eastAsia="宋体" w:cs="宋体"/>
            </w:rPr>
          </w:pPr>
          <w:r>
            <w:fldChar w:fldCharType="begin"/>
          </w:r>
          <w:r>
            <w:instrText xml:space="preserve"> HYPERLINK \l "_Toc21915" </w:instrText>
          </w:r>
          <w:r>
            <w:fldChar w:fldCharType="separate"/>
          </w:r>
          <w:r>
            <w:rPr>
              <w:rFonts w:hint="eastAsia" w:ascii="宋体" w:hAnsi="宋体" w:eastAsia="宋体" w:cs="宋体"/>
              <w:szCs w:val="22"/>
            </w:rPr>
            <w:t>7 建设项目概述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_Toc21915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51C9BBD8">
          <w:pPr>
            <w:pStyle w:val="2"/>
            <w:tabs>
              <w:tab w:val="right" w:leader="dot" w:pos="8845"/>
            </w:tabs>
            <w:spacing w:line="400" w:lineRule="exact"/>
            <w:rPr>
              <w:rFonts w:hint="eastAsia" w:ascii="宋体" w:hAnsi="宋体" w:eastAsia="宋体" w:cs="宋体"/>
            </w:rPr>
          </w:pPr>
          <w:r>
            <w:fldChar w:fldCharType="begin"/>
          </w:r>
          <w:r>
            <w:instrText xml:space="preserve"> HYPERLINK \l "_Toc17813" </w:instrText>
          </w:r>
          <w:r>
            <w:fldChar w:fldCharType="separate"/>
          </w:r>
          <w:r>
            <w:rPr>
              <w:rFonts w:hint="eastAsia" w:ascii="宋体" w:hAnsi="宋体" w:eastAsia="宋体" w:cs="宋体"/>
            </w:rPr>
            <w:t>7.1 项目概况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_Toc17813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69B74A59">
          <w:pPr>
            <w:pStyle w:val="2"/>
            <w:tabs>
              <w:tab w:val="right" w:leader="dot" w:pos="8845"/>
            </w:tabs>
            <w:spacing w:line="400" w:lineRule="exact"/>
            <w:rPr>
              <w:rFonts w:hint="eastAsia" w:ascii="宋体" w:hAnsi="宋体" w:eastAsia="宋体" w:cs="宋体"/>
            </w:rPr>
          </w:pPr>
          <w:r>
            <w:fldChar w:fldCharType="begin"/>
          </w:r>
          <w:r>
            <w:instrText xml:space="preserve"> HYPERLINK \l "_Toc16164" </w:instrText>
          </w:r>
          <w:r>
            <w:fldChar w:fldCharType="separate"/>
          </w:r>
          <w:r>
            <w:rPr>
              <w:rFonts w:hint="eastAsia" w:ascii="宋体" w:hAnsi="宋体" w:eastAsia="宋体" w:cs="宋体"/>
              <w:kern w:val="0"/>
              <w:szCs w:val="20"/>
            </w:rPr>
            <w:t>7.2 工艺方案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_Toc16164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79ADEB9D">
          <w:pPr>
            <w:pStyle w:val="2"/>
            <w:tabs>
              <w:tab w:val="right" w:leader="dot" w:pos="8845"/>
            </w:tabs>
            <w:spacing w:line="400" w:lineRule="exact"/>
            <w:rPr>
              <w:rFonts w:hint="eastAsia" w:ascii="宋体" w:hAnsi="宋体" w:eastAsia="宋体" w:cs="宋体"/>
            </w:rPr>
          </w:pPr>
          <w:r>
            <w:fldChar w:fldCharType="begin"/>
          </w:r>
          <w:r>
            <w:instrText xml:space="preserve"> HYPERLINK \l "_Toc4079" </w:instrText>
          </w:r>
          <w:r>
            <w:fldChar w:fldCharType="separate"/>
          </w:r>
          <w:r>
            <w:rPr>
              <w:rFonts w:hint="eastAsia" w:ascii="宋体" w:hAnsi="宋体" w:eastAsia="宋体" w:cs="宋体"/>
              <w:kern w:val="0"/>
              <w:szCs w:val="20"/>
            </w:rPr>
            <w:t>7.3 辅助生产系统和公用工程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_Toc4079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1CE48526">
          <w:pPr>
            <w:pStyle w:val="2"/>
            <w:tabs>
              <w:tab w:val="right" w:leader="dot" w:pos="8845"/>
            </w:tabs>
            <w:spacing w:line="400" w:lineRule="exact"/>
            <w:rPr>
              <w:rFonts w:hint="eastAsia" w:ascii="宋体" w:hAnsi="宋体" w:eastAsia="宋体" w:cs="宋体"/>
            </w:rPr>
          </w:pPr>
          <w:r>
            <w:fldChar w:fldCharType="begin"/>
          </w:r>
          <w:r>
            <w:instrText xml:space="preserve"> HYPERLINK \l "_Toc22361" </w:instrText>
          </w:r>
          <w:r>
            <w:fldChar w:fldCharType="separate"/>
          </w:r>
          <w:r>
            <w:rPr>
              <w:rFonts w:hint="eastAsia" w:ascii="宋体" w:hAnsi="宋体" w:eastAsia="宋体" w:cs="宋体"/>
              <w:kern w:val="0"/>
              <w:szCs w:val="20"/>
            </w:rPr>
            <w:t>7.4 主要工程量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_Toc22361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512DB0CF">
          <w:pPr>
            <w:pStyle w:val="21"/>
            <w:tabs>
              <w:tab w:val="right" w:leader="dot" w:pos="8845"/>
            </w:tabs>
            <w:spacing w:line="400" w:lineRule="exact"/>
            <w:rPr>
              <w:rFonts w:hint="eastAsia" w:ascii="宋体" w:hAnsi="宋体" w:eastAsia="宋体" w:cs="宋体"/>
            </w:rPr>
          </w:pPr>
          <w:r>
            <w:fldChar w:fldCharType="begin"/>
          </w:r>
          <w:r>
            <w:instrText xml:space="preserve"> HYPERLINK \l "_Toc15658" </w:instrText>
          </w:r>
          <w:r>
            <w:fldChar w:fldCharType="separate"/>
          </w:r>
          <w:r>
            <w:rPr>
              <w:rFonts w:hint="eastAsia" w:ascii="宋体" w:hAnsi="宋体" w:eastAsia="宋体" w:cs="宋体"/>
              <w:szCs w:val="22"/>
            </w:rPr>
            <w:t>8 危险有害因素分析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_Toc15658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27EEAC95">
          <w:pPr>
            <w:pStyle w:val="21"/>
            <w:tabs>
              <w:tab w:val="right" w:leader="dot" w:pos="8845"/>
            </w:tabs>
            <w:spacing w:line="400" w:lineRule="exact"/>
            <w:rPr>
              <w:rFonts w:hint="eastAsia" w:ascii="宋体" w:hAnsi="宋体" w:eastAsia="宋体" w:cs="宋体"/>
            </w:rPr>
          </w:pPr>
          <w:r>
            <w:fldChar w:fldCharType="begin"/>
          </w:r>
          <w:r>
            <w:instrText xml:space="preserve"> HYPERLINK \l "_Toc23359" </w:instrText>
          </w:r>
          <w:r>
            <w:fldChar w:fldCharType="separate"/>
          </w:r>
          <w:r>
            <w:rPr>
              <w:rFonts w:hint="eastAsia" w:ascii="宋体" w:hAnsi="宋体" w:eastAsia="宋体" w:cs="宋体"/>
              <w:szCs w:val="22"/>
            </w:rPr>
            <w:t>9 安全预评价响应</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_Toc23359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223FBF0F">
          <w:pPr>
            <w:pStyle w:val="21"/>
            <w:tabs>
              <w:tab w:val="right" w:leader="dot" w:pos="8845"/>
            </w:tabs>
            <w:spacing w:line="400" w:lineRule="exact"/>
            <w:rPr>
              <w:rFonts w:hint="eastAsia" w:ascii="宋体" w:hAnsi="宋体" w:eastAsia="宋体" w:cs="宋体"/>
            </w:rPr>
          </w:pPr>
          <w:r>
            <w:fldChar w:fldCharType="begin"/>
          </w:r>
          <w:r>
            <w:instrText xml:space="preserve"> HYPERLINK \l "_Toc18261" </w:instrText>
          </w:r>
          <w:r>
            <w:fldChar w:fldCharType="separate"/>
          </w:r>
          <w:r>
            <w:rPr>
              <w:rFonts w:hint="eastAsia" w:ascii="宋体" w:hAnsi="宋体" w:eastAsia="宋体" w:cs="宋体"/>
              <w:szCs w:val="22"/>
            </w:rPr>
            <w:t>10 区域布置及总平面布置安全措施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_Toc18261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296994EA">
          <w:pPr>
            <w:pStyle w:val="2"/>
            <w:tabs>
              <w:tab w:val="right" w:leader="dot" w:pos="8845"/>
            </w:tabs>
            <w:spacing w:line="400" w:lineRule="exact"/>
            <w:rPr>
              <w:rFonts w:hint="eastAsia" w:ascii="宋体" w:hAnsi="宋体" w:eastAsia="宋体" w:cs="宋体"/>
            </w:rPr>
          </w:pPr>
          <w:r>
            <w:fldChar w:fldCharType="begin"/>
          </w:r>
          <w:r>
            <w:instrText xml:space="preserve"> HYPERLINK \l "_Toc20801" </w:instrText>
          </w:r>
          <w:r>
            <w:fldChar w:fldCharType="separate"/>
          </w:r>
          <w:r>
            <w:rPr>
              <w:rFonts w:hint="eastAsia" w:ascii="宋体" w:hAnsi="宋体" w:eastAsia="宋体" w:cs="宋体"/>
            </w:rPr>
            <w:t>10.1 区域布置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_Toc20801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64B7EC27">
          <w:pPr>
            <w:pStyle w:val="2"/>
            <w:tabs>
              <w:tab w:val="right" w:leader="dot" w:pos="8845"/>
            </w:tabs>
            <w:spacing w:line="400" w:lineRule="exact"/>
            <w:rPr>
              <w:rFonts w:hint="eastAsia" w:ascii="宋体" w:hAnsi="宋体" w:eastAsia="宋体" w:cs="宋体"/>
            </w:rPr>
          </w:pPr>
          <w:r>
            <w:fldChar w:fldCharType="begin"/>
          </w:r>
          <w:r>
            <w:instrText xml:space="preserve"> HYPERLINK \l "_Toc9576" </w:instrText>
          </w:r>
          <w:r>
            <w:fldChar w:fldCharType="separate"/>
          </w:r>
          <w:r>
            <w:rPr>
              <w:rFonts w:hint="eastAsia" w:ascii="宋体" w:hAnsi="宋体" w:eastAsia="宋体" w:cs="宋体"/>
              <w:kern w:val="0"/>
            </w:rPr>
            <w:t>10.2 总平面布置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_Toc9576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1554C9F1">
          <w:pPr>
            <w:pStyle w:val="21"/>
            <w:tabs>
              <w:tab w:val="right" w:leader="dot" w:pos="8845"/>
            </w:tabs>
            <w:spacing w:line="400" w:lineRule="exact"/>
            <w:rPr>
              <w:rFonts w:hint="eastAsia" w:ascii="宋体" w:hAnsi="宋体" w:eastAsia="宋体" w:cs="宋体"/>
            </w:rPr>
          </w:pPr>
          <w:r>
            <w:fldChar w:fldCharType="begin"/>
          </w:r>
          <w:r>
            <w:instrText xml:space="preserve"> HYPERLINK \l "_Toc32225" </w:instrText>
          </w:r>
          <w:r>
            <w:fldChar w:fldCharType="separate"/>
          </w:r>
          <w:r>
            <w:rPr>
              <w:rFonts w:hint="eastAsia" w:ascii="宋体" w:hAnsi="宋体" w:eastAsia="宋体" w:cs="宋体"/>
              <w:szCs w:val="22"/>
            </w:rPr>
            <w:t>11 工艺系统安全措施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_Toc32225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6CD32BDC">
          <w:pPr>
            <w:pStyle w:val="2"/>
            <w:tabs>
              <w:tab w:val="right" w:leader="dot" w:pos="8845"/>
            </w:tabs>
            <w:spacing w:line="400" w:lineRule="exact"/>
            <w:rPr>
              <w:rFonts w:hint="eastAsia" w:ascii="宋体" w:hAnsi="宋体" w:eastAsia="宋体" w:cs="宋体"/>
            </w:rPr>
          </w:pPr>
          <w:r>
            <w:fldChar w:fldCharType="begin"/>
          </w:r>
          <w:r>
            <w:instrText xml:space="preserve"> HYPERLINK \l "_Toc13722" </w:instrText>
          </w:r>
          <w:r>
            <w:fldChar w:fldCharType="separate"/>
          </w:r>
          <w:r>
            <w:rPr>
              <w:rFonts w:hint="eastAsia" w:ascii="宋体" w:hAnsi="宋体" w:eastAsia="宋体" w:cs="宋体"/>
            </w:rPr>
            <w:t>11.1 油气处理工艺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_Toc13722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0F2CD2F0">
          <w:pPr>
            <w:pStyle w:val="2"/>
            <w:tabs>
              <w:tab w:val="right" w:leader="dot" w:pos="8845"/>
            </w:tabs>
            <w:spacing w:line="400" w:lineRule="exact"/>
            <w:rPr>
              <w:rFonts w:hint="eastAsia" w:ascii="宋体" w:hAnsi="宋体" w:eastAsia="宋体" w:cs="宋体"/>
            </w:rPr>
          </w:pPr>
          <w:r>
            <w:fldChar w:fldCharType="begin"/>
          </w:r>
          <w:r>
            <w:instrText xml:space="preserve"> HYPERLINK \l "_Toc19256" </w:instrText>
          </w:r>
          <w:r>
            <w:fldChar w:fldCharType="separate"/>
          </w:r>
          <w:r>
            <w:rPr>
              <w:rFonts w:hint="eastAsia" w:ascii="宋体" w:hAnsi="宋体" w:eastAsia="宋体" w:cs="宋体"/>
            </w:rPr>
            <w:t>11.2 产品储运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_Toc19256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4F189A46">
          <w:pPr>
            <w:pStyle w:val="2"/>
            <w:tabs>
              <w:tab w:val="right" w:leader="dot" w:pos="8845"/>
            </w:tabs>
            <w:spacing w:line="400" w:lineRule="exact"/>
            <w:rPr>
              <w:rFonts w:hint="eastAsia" w:ascii="宋体" w:hAnsi="宋体" w:eastAsia="宋体" w:cs="宋体"/>
            </w:rPr>
          </w:pPr>
          <w:r>
            <w:fldChar w:fldCharType="begin"/>
          </w:r>
          <w:r>
            <w:instrText xml:space="preserve"> HYPERLINK \l "_Toc4978" </w:instrText>
          </w:r>
          <w:r>
            <w:fldChar w:fldCharType="separate"/>
          </w:r>
          <w:r>
            <w:rPr>
              <w:rFonts w:hint="eastAsia" w:ascii="宋体" w:hAnsi="宋体" w:eastAsia="宋体" w:cs="宋体"/>
            </w:rPr>
            <w:t>11.3 水处理工艺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_Toc4978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37E8E1DA">
          <w:pPr>
            <w:pStyle w:val="2"/>
            <w:tabs>
              <w:tab w:val="right" w:leader="dot" w:pos="8845"/>
            </w:tabs>
            <w:spacing w:line="400" w:lineRule="exact"/>
            <w:rPr>
              <w:rFonts w:hint="eastAsia" w:ascii="宋体" w:hAnsi="宋体" w:eastAsia="宋体" w:cs="宋体"/>
            </w:rPr>
          </w:pPr>
          <w:r>
            <w:fldChar w:fldCharType="begin"/>
          </w:r>
          <w:r>
            <w:instrText xml:space="preserve"> HYPERLINK \l "_Toc8500" </w:instrText>
          </w:r>
          <w:r>
            <w:fldChar w:fldCharType="separate"/>
          </w:r>
          <w:r>
            <w:rPr>
              <w:rFonts w:hint="eastAsia" w:ascii="宋体" w:hAnsi="宋体" w:eastAsia="宋体" w:cs="宋体"/>
            </w:rPr>
            <w:t>11.4 辅助生产设施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_Toc8500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7CE57B8E">
          <w:pPr>
            <w:pStyle w:val="2"/>
            <w:tabs>
              <w:tab w:val="right" w:leader="dot" w:pos="8845"/>
            </w:tabs>
            <w:spacing w:line="400" w:lineRule="exact"/>
            <w:rPr>
              <w:rFonts w:hint="eastAsia" w:ascii="宋体" w:hAnsi="宋体" w:eastAsia="宋体" w:cs="宋体"/>
            </w:rPr>
          </w:pPr>
          <w:r>
            <w:fldChar w:fldCharType="begin"/>
          </w:r>
          <w:r>
            <w:instrText xml:space="preserve"> HYPERLINK \l "_Toc32648" </w:instrText>
          </w:r>
          <w:r>
            <w:fldChar w:fldCharType="separate"/>
          </w:r>
          <w:r>
            <w:rPr>
              <w:rFonts w:hint="eastAsia" w:ascii="宋体" w:hAnsi="宋体" w:eastAsia="宋体" w:cs="宋体"/>
              <w:szCs w:val="21"/>
            </w:rPr>
            <w:t>11.5 材质选择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_Toc32648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3535769A">
          <w:pPr>
            <w:pStyle w:val="2"/>
            <w:tabs>
              <w:tab w:val="right" w:leader="dot" w:pos="8845"/>
            </w:tabs>
            <w:spacing w:line="400" w:lineRule="exact"/>
            <w:rPr>
              <w:rFonts w:hint="eastAsia" w:ascii="宋体" w:hAnsi="宋体" w:eastAsia="宋体" w:cs="宋体"/>
            </w:rPr>
          </w:pPr>
          <w:r>
            <w:fldChar w:fldCharType="begin"/>
          </w:r>
          <w:r>
            <w:instrText xml:space="preserve"> HYPERLINK \l "_Toc23791" </w:instrText>
          </w:r>
          <w:r>
            <w:fldChar w:fldCharType="separate"/>
          </w:r>
          <w:r>
            <w:rPr>
              <w:rFonts w:hint="eastAsia" w:ascii="宋体" w:hAnsi="宋体" w:eastAsia="宋体" w:cs="宋体"/>
              <w:szCs w:val="21"/>
            </w:rPr>
            <w:t>11.6 HAZOP落实情况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_Toc23791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330CEB0A">
          <w:pPr>
            <w:pStyle w:val="21"/>
            <w:tabs>
              <w:tab w:val="right" w:leader="dot" w:pos="8845"/>
            </w:tabs>
            <w:spacing w:line="400" w:lineRule="exact"/>
            <w:rPr>
              <w:rFonts w:hint="eastAsia" w:ascii="宋体" w:hAnsi="宋体" w:eastAsia="宋体" w:cs="宋体"/>
            </w:rPr>
          </w:pPr>
          <w:r>
            <w:fldChar w:fldCharType="begin"/>
          </w:r>
          <w:r>
            <w:instrText xml:space="preserve"> HYPERLINK \l "_Toc28164" </w:instrText>
          </w:r>
          <w:r>
            <w:fldChar w:fldCharType="separate"/>
          </w:r>
          <w:r>
            <w:rPr>
              <w:rFonts w:hint="eastAsia" w:ascii="宋体" w:hAnsi="宋体" w:eastAsia="宋体" w:cs="宋体"/>
            </w:rPr>
            <w:t>12 自控安全措施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_Toc28164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4549CF72">
          <w:pPr>
            <w:pStyle w:val="2"/>
            <w:tabs>
              <w:tab w:val="right" w:leader="dot" w:pos="8845"/>
            </w:tabs>
            <w:spacing w:line="400" w:lineRule="exact"/>
            <w:rPr>
              <w:rFonts w:hint="eastAsia" w:ascii="宋体" w:hAnsi="宋体" w:eastAsia="宋体" w:cs="宋体"/>
            </w:rPr>
          </w:pPr>
          <w:r>
            <w:fldChar w:fldCharType="begin"/>
          </w:r>
          <w:r>
            <w:instrText xml:space="preserve"> HYPERLINK \l "_Toc18326" </w:instrText>
          </w:r>
          <w:r>
            <w:fldChar w:fldCharType="separate"/>
          </w:r>
          <w:r>
            <w:rPr>
              <w:rFonts w:hint="eastAsia" w:ascii="宋体" w:hAnsi="宋体" w:eastAsia="宋体" w:cs="宋体"/>
            </w:rPr>
            <w:t>12.1 SCADA系统和基本</w:t>
          </w:r>
          <w:r>
            <w:rPr>
              <w:rFonts w:hint="eastAsia" w:ascii="宋体" w:hAnsi="宋体" w:eastAsia="宋体" w:cs="宋体"/>
              <w:szCs w:val="22"/>
            </w:rPr>
            <w:t>过程控制系统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_Toc18326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181B1C67">
          <w:pPr>
            <w:pStyle w:val="2"/>
            <w:tabs>
              <w:tab w:val="right" w:leader="dot" w:pos="8845"/>
            </w:tabs>
            <w:spacing w:line="400" w:lineRule="exact"/>
            <w:rPr>
              <w:rFonts w:hint="eastAsia" w:ascii="宋体" w:hAnsi="宋体" w:eastAsia="宋体" w:cs="宋体"/>
            </w:rPr>
          </w:pPr>
          <w:r>
            <w:fldChar w:fldCharType="begin"/>
          </w:r>
          <w:r>
            <w:instrText xml:space="preserve"> HYPERLINK \l "_Toc14943" </w:instrText>
          </w:r>
          <w:r>
            <w:fldChar w:fldCharType="separate"/>
          </w:r>
          <w:r>
            <w:rPr>
              <w:rFonts w:hint="eastAsia" w:ascii="宋体" w:hAnsi="宋体" w:eastAsia="宋体" w:cs="宋体"/>
            </w:rPr>
            <w:t>12.2 安全仪表系统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_Toc14943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668466C6">
          <w:pPr>
            <w:pStyle w:val="2"/>
            <w:tabs>
              <w:tab w:val="right" w:leader="dot" w:pos="8845"/>
            </w:tabs>
            <w:spacing w:line="400" w:lineRule="exact"/>
            <w:rPr>
              <w:rFonts w:hint="eastAsia" w:ascii="宋体" w:hAnsi="宋体" w:eastAsia="宋体" w:cs="宋体"/>
            </w:rPr>
          </w:pPr>
          <w:r>
            <w:fldChar w:fldCharType="begin"/>
          </w:r>
          <w:r>
            <w:instrText xml:space="preserve"> HYPERLINK \l "_Toc12728" </w:instrText>
          </w:r>
          <w:r>
            <w:fldChar w:fldCharType="separate"/>
          </w:r>
          <w:r>
            <w:rPr>
              <w:rFonts w:hint="eastAsia" w:ascii="宋体" w:hAnsi="宋体" w:eastAsia="宋体" w:cs="宋体"/>
            </w:rPr>
            <w:t>12.3 气体检测和报警系统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_Toc12728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14:paraId="6D623EF3">
          <w:pPr>
            <w:pStyle w:val="2"/>
            <w:tabs>
              <w:tab w:val="right" w:leader="dot" w:pos="8845"/>
            </w:tabs>
            <w:spacing w:line="400" w:lineRule="exact"/>
            <w:rPr>
              <w:rFonts w:hint="eastAsia" w:ascii="宋体" w:hAnsi="宋体" w:eastAsia="宋体" w:cs="宋体"/>
            </w:rPr>
          </w:pPr>
          <w:r>
            <w:fldChar w:fldCharType="begin"/>
          </w:r>
          <w:r>
            <w:instrText xml:space="preserve"> HYPERLINK \l "_Toc12794" </w:instrText>
          </w:r>
          <w:r>
            <w:fldChar w:fldCharType="separate"/>
          </w:r>
          <w:r>
            <w:rPr>
              <w:rFonts w:hint="eastAsia" w:ascii="宋体" w:hAnsi="宋体" w:eastAsia="宋体" w:cs="宋体"/>
            </w:rPr>
            <w:t>12.4 火灾报警系统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_Toc12794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14:paraId="0BE4AB00">
          <w:pPr>
            <w:pStyle w:val="2"/>
            <w:tabs>
              <w:tab w:val="right" w:leader="dot" w:pos="8845"/>
            </w:tabs>
            <w:spacing w:line="400" w:lineRule="exact"/>
            <w:rPr>
              <w:rFonts w:hint="eastAsia" w:ascii="宋体" w:hAnsi="宋体" w:eastAsia="宋体" w:cs="宋体"/>
            </w:rPr>
          </w:pPr>
          <w:r>
            <w:fldChar w:fldCharType="begin"/>
          </w:r>
          <w:r>
            <w:instrText xml:space="preserve"> HYPERLINK \l "_Toc15873" </w:instrText>
          </w:r>
          <w:r>
            <w:fldChar w:fldCharType="separate"/>
          </w:r>
          <w:r>
            <w:rPr>
              <w:rFonts w:hint="eastAsia" w:ascii="宋体" w:hAnsi="宋体" w:eastAsia="宋体" w:cs="宋体"/>
            </w:rPr>
            <w:t>12.5 站控制室的设置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_Toc15873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14:paraId="3A70158D">
          <w:pPr>
            <w:pStyle w:val="2"/>
            <w:tabs>
              <w:tab w:val="right" w:leader="dot" w:pos="8845"/>
            </w:tabs>
            <w:spacing w:line="400" w:lineRule="exact"/>
            <w:rPr>
              <w:rFonts w:hint="eastAsia" w:ascii="宋体" w:hAnsi="宋体" w:eastAsia="宋体" w:cs="宋体"/>
            </w:rPr>
          </w:pPr>
          <w:r>
            <w:fldChar w:fldCharType="begin"/>
          </w:r>
          <w:r>
            <w:instrText xml:space="preserve"> HYPERLINK \l "_Toc29817" </w:instrText>
          </w:r>
          <w:r>
            <w:fldChar w:fldCharType="separate"/>
          </w:r>
          <w:r>
            <w:rPr>
              <w:rFonts w:hint="eastAsia" w:ascii="宋体" w:hAnsi="宋体" w:eastAsia="宋体" w:cs="宋体"/>
            </w:rPr>
            <w:t>12.6 其他安全措施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_Toc29817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14:paraId="7AC305AB">
          <w:pPr>
            <w:pStyle w:val="21"/>
            <w:tabs>
              <w:tab w:val="right" w:leader="dot" w:pos="8845"/>
            </w:tabs>
            <w:spacing w:line="400" w:lineRule="exact"/>
            <w:rPr>
              <w:rFonts w:hint="eastAsia" w:ascii="宋体" w:hAnsi="宋体" w:eastAsia="宋体" w:cs="宋体"/>
            </w:rPr>
          </w:pPr>
          <w:r>
            <w:fldChar w:fldCharType="begin"/>
          </w:r>
          <w:r>
            <w:instrText xml:space="preserve"> HYPERLINK \l "_Toc32409" </w:instrText>
          </w:r>
          <w:r>
            <w:fldChar w:fldCharType="separate"/>
          </w:r>
          <w:r>
            <w:rPr>
              <w:rFonts w:hint="eastAsia" w:ascii="宋体" w:hAnsi="宋体" w:eastAsia="宋体" w:cs="宋体"/>
            </w:rPr>
            <w:t>13 公用工程安全措施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_Toc32409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14:paraId="5D3A7226">
          <w:pPr>
            <w:pStyle w:val="2"/>
            <w:tabs>
              <w:tab w:val="right" w:leader="dot" w:pos="8845"/>
            </w:tabs>
            <w:spacing w:line="400" w:lineRule="exact"/>
            <w:rPr>
              <w:rFonts w:hint="eastAsia" w:ascii="宋体" w:hAnsi="宋体" w:eastAsia="宋体" w:cs="宋体"/>
            </w:rPr>
          </w:pPr>
          <w:r>
            <w:fldChar w:fldCharType="begin"/>
          </w:r>
          <w:r>
            <w:instrText xml:space="preserve"> HYPERLINK \l "_Toc24594" </w:instrText>
          </w:r>
          <w:r>
            <w:fldChar w:fldCharType="separate"/>
          </w:r>
          <w:r>
            <w:rPr>
              <w:rFonts w:hint="eastAsia" w:ascii="宋体" w:hAnsi="宋体" w:eastAsia="宋体" w:cs="宋体"/>
            </w:rPr>
            <w:t>13.1 供配电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_Toc24594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14:paraId="60FCF9ED">
          <w:pPr>
            <w:pStyle w:val="2"/>
            <w:tabs>
              <w:tab w:val="right" w:leader="dot" w:pos="8845"/>
            </w:tabs>
            <w:spacing w:line="400" w:lineRule="exact"/>
            <w:rPr>
              <w:rFonts w:hint="eastAsia" w:ascii="宋体" w:hAnsi="宋体" w:eastAsia="宋体" w:cs="宋体"/>
            </w:rPr>
          </w:pPr>
          <w:r>
            <w:fldChar w:fldCharType="begin"/>
          </w:r>
          <w:r>
            <w:instrText xml:space="preserve"> HYPERLINK \l "_Toc25290" </w:instrText>
          </w:r>
          <w:r>
            <w:fldChar w:fldCharType="separate"/>
          </w:r>
          <w:r>
            <w:rPr>
              <w:rFonts w:hint="eastAsia" w:ascii="宋体" w:hAnsi="宋体" w:eastAsia="宋体" w:cs="宋体"/>
            </w:rPr>
            <w:t>13.2 通信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_Toc25290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rPr>
            <w:fldChar w:fldCharType="end"/>
          </w:r>
        </w:p>
        <w:p w14:paraId="4BA3A890">
          <w:pPr>
            <w:pStyle w:val="2"/>
            <w:tabs>
              <w:tab w:val="right" w:leader="dot" w:pos="8845"/>
            </w:tabs>
            <w:spacing w:line="400" w:lineRule="exact"/>
            <w:rPr>
              <w:rFonts w:hint="eastAsia" w:ascii="宋体" w:hAnsi="宋体" w:eastAsia="宋体" w:cs="宋体"/>
            </w:rPr>
          </w:pPr>
          <w:r>
            <w:fldChar w:fldCharType="begin"/>
          </w:r>
          <w:r>
            <w:instrText xml:space="preserve"> HYPERLINK \l "_Toc12586" </w:instrText>
          </w:r>
          <w:r>
            <w:fldChar w:fldCharType="separate"/>
          </w:r>
          <w:r>
            <w:rPr>
              <w:rFonts w:hint="eastAsia" w:ascii="宋体" w:hAnsi="宋体" w:eastAsia="宋体" w:cs="宋体"/>
            </w:rPr>
            <w:t>13.3 热工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_Toc12586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rPr>
            <w:fldChar w:fldCharType="end"/>
          </w:r>
        </w:p>
        <w:p w14:paraId="1B2C978E">
          <w:pPr>
            <w:pStyle w:val="2"/>
            <w:tabs>
              <w:tab w:val="right" w:leader="dot" w:pos="8845"/>
            </w:tabs>
            <w:spacing w:line="400" w:lineRule="exact"/>
            <w:rPr>
              <w:rFonts w:hint="eastAsia" w:ascii="宋体" w:hAnsi="宋体" w:eastAsia="宋体" w:cs="宋体"/>
            </w:rPr>
          </w:pPr>
          <w:r>
            <w:fldChar w:fldCharType="begin"/>
          </w:r>
          <w:r>
            <w:instrText xml:space="preserve"> HYPERLINK \l "_Toc7839" </w:instrText>
          </w:r>
          <w:r>
            <w:fldChar w:fldCharType="separate"/>
          </w:r>
          <w:r>
            <w:rPr>
              <w:rFonts w:hint="eastAsia" w:ascii="宋体" w:hAnsi="宋体" w:eastAsia="宋体" w:cs="宋体"/>
            </w:rPr>
            <w:t>13.4 暖通</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_Toc7839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rPr>
            <w:fldChar w:fldCharType="end"/>
          </w:r>
        </w:p>
        <w:p w14:paraId="1A9C9D6F">
          <w:pPr>
            <w:pStyle w:val="2"/>
            <w:tabs>
              <w:tab w:val="right" w:leader="dot" w:pos="8845"/>
            </w:tabs>
            <w:spacing w:line="400" w:lineRule="exact"/>
            <w:rPr>
              <w:rFonts w:hint="eastAsia" w:ascii="宋体" w:hAnsi="宋体" w:eastAsia="宋体" w:cs="宋体"/>
            </w:rPr>
          </w:pPr>
          <w:r>
            <w:fldChar w:fldCharType="begin"/>
          </w:r>
          <w:r>
            <w:instrText xml:space="preserve"> HYPERLINK \l "_Toc30706" </w:instrText>
          </w:r>
          <w:r>
            <w:fldChar w:fldCharType="separate"/>
          </w:r>
          <w:r>
            <w:rPr>
              <w:rFonts w:hint="eastAsia" w:ascii="宋体" w:hAnsi="宋体" w:eastAsia="宋体" w:cs="宋体"/>
            </w:rPr>
            <w:t>13.5 建筑与结构</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_Toc30706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rPr>
            <w:fldChar w:fldCharType="end"/>
          </w:r>
        </w:p>
        <w:p w14:paraId="34A7BC95">
          <w:pPr>
            <w:pStyle w:val="2"/>
            <w:tabs>
              <w:tab w:val="right" w:leader="dot" w:pos="8845"/>
            </w:tabs>
            <w:spacing w:line="400" w:lineRule="exact"/>
            <w:rPr>
              <w:rFonts w:hint="eastAsia" w:ascii="宋体" w:hAnsi="宋体" w:eastAsia="宋体" w:cs="宋体"/>
            </w:rPr>
          </w:pPr>
          <w:r>
            <w:fldChar w:fldCharType="begin"/>
          </w:r>
          <w:r>
            <w:instrText xml:space="preserve"> HYPERLINK \l "_Toc17551" </w:instrText>
          </w:r>
          <w:r>
            <w:fldChar w:fldCharType="separate"/>
          </w:r>
          <w:r>
            <w:rPr>
              <w:rFonts w:hint="eastAsia" w:ascii="宋体" w:hAnsi="宋体" w:eastAsia="宋体" w:cs="宋体"/>
            </w:rPr>
            <w:t>13.6 防腐及绝热</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_Toc17551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rPr>
            <w:fldChar w:fldCharType="end"/>
          </w:r>
        </w:p>
        <w:p w14:paraId="72799A0A">
          <w:pPr>
            <w:pStyle w:val="21"/>
            <w:tabs>
              <w:tab w:val="right" w:leader="dot" w:pos="8845"/>
            </w:tabs>
            <w:spacing w:line="400" w:lineRule="exact"/>
            <w:rPr>
              <w:rFonts w:hint="eastAsia" w:ascii="宋体" w:hAnsi="宋体" w:eastAsia="宋体" w:cs="宋体"/>
            </w:rPr>
          </w:pPr>
          <w:r>
            <w:fldChar w:fldCharType="begin"/>
          </w:r>
          <w:r>
            <w:instrText xml:space="preserve"> HYPERLINK \l "_Toc23530" </w:instrText>
          </w:r>
          <w:r>
            <w:fldChar w:fldCharType="separate"/>
          </w:r>
          <w:r>
            <w:rPr>
              <w:rFonts w:hint="eastAsia" w:ascii="宋体" w:hAnsi="宋体" w:eastAsia="宋体" w:cs="宋体"/>
            </w:rPr>
            <w:t>14 防范其他危险、危害因素的安全措施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_Toc23530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1F50EE22">
          <w:pPr>
            <w:pStyle w:val="21"/>
            <w:tabs>
              <w:tab w:val="right" w:leader="dot" w:pos="8845"/>
            </w:tabs>
            <w:spacing w:line="400" w:lineRule="exact"/>
            <w:rPr>
              <w:rFonts w:hint="eastAsia" w:ascii="宋体" w:hAnsi="宋体" w:eastAsia="宋体" w:cs="宋体"/>
            </w:rPr>
          </w:pPr>
          <w:r>
            <w:fldChar w:fldCharType="begin"/>
          </w:r>
          <w:r>
            <w:instrText xml:space="preserve"> HYPERLINK \l "_Toc18805" </w:instrText>
          </w:r>
          <w:r>
            <w:fldChar w:fldCharType="separate"/>
          </w:r>
          <w:r>
            <w:rPr>
              <w:rFonts w:hint="eastAsia" w:ascii="宋体" w:hAnsi="宋体" w:eastAsia="宋体" w:cs="宋体"/>
            </w:rPr>
            <w:t>15 逃生及救生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_Toc18805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12D49338">
          <w:pPr>
            <w:pStyle w:val="2"/>
            <w:tabs>
              <w:tab w:val="right" w:leader="dot" w:pos="8845"/>
            </w:tabs>
            <w:spacing w:line="400" w:lineRule="exact"/>
            <w:rPr>
              <w:rFonts w:hint="eastAsia" w:ascii="宋体" w:hAnsi="宋体" w:eastAsia="宋体" w:cs="宋体"/>
            </w:rPr>
          </w:pPr>
          <w:r>
            <w:fldChar w:fldCharType="begin"/>
          </w:r>
          <w:r>
            <w:instrText xml:space="preserve"> HYPERLINK \l "_Toc9325" </w:instrText>
          </w:r>
          <w:r>
            <w:fldChar w:fldCharType="separate"/>
          </w:r>
          <w:r>
            <w:rPr>
              <w:rFonts w:hint="eastAsia" w:ascii="宋体" w:hAnsi="宋体" w:eastAsia="宋体" w:cs="宋体"/>
            </w:rPr>
            <w:t>15.1 逃生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_Toc9325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709A3F8A">
          <w:pPr>
            <w:pStyle w:val="2"/>
            <w:tabs>
              <w:tab w:val="right" w:leader="dot" w:pos="8845"/>
            </w:tabs>
            <w:spacing w:line="400" w:lineRule="exact"/>
            <w:rPr>
              <w:rFonts w:hint="eastAsia" w:ascii="宋体" w:hAnsi="宋体" w:eastAsia="宋体" w:cs="宋体"/>
            </w:rPr>
          </w:pPr>
          <w:r>
            <w:fldChar w:fldCharType="begin"/>
          </w:r>
          <w:r>
            <w:instrText xml:space="preserve"> HYPERLINK \l "_Toc11627" </w:instrText>
          </w:r>
          <w:r>
            <w:fldChar w:fldCharType="separate"/>
          </w:r>
          <w:r>
            <w:rPr>
              <w:rFonts w:hint="eastAsia" w:ascii="宋体" w:hAnsi="宋体" w:eastAsia="宋体" w:cs="宋体"/>
            </w:rPr>
            <w:t>15.2 救生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_Toc11627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2681A522">
          <w:pPr>
            <w:pStyle w:val="21"/>
            <w:tabs>
              <w:tab w:val="right" w:leader="dot" w:pos="8845"/>
            </w:tabs>
            <w:spacing w:line="400" w:lineRule="exact"/>
            <w:rPr>
              <w:rFonts w:hint="eastAsia" w:ascii="宋体" w:hAnsi="宋体" w:eastAsia="宋体" w:cs="宋体"/>
            </w:rPr>
          </w:pPr>
          <w:r>
            <w:fldChar w:fldCharType="begin"/>
          </w:r>
          <w:r>
            <w:instrText xml:space="preserve"> HYPERLINK \l "_Toc30390" </w:instrText>
          </w:r>
          <w:r>
            <w:fldChar w:fldCharType="separate"/>
          </w:r>
          <w:r>
            <w:rPr>
              <w:rFonts w:hint="eastAsia" w:ascii="宋体" w:hAnsi="宋体" w:eastAsia="宋体" w:cs="宋体"/>
            </w:rPr>
            <w:t>16 安全管理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_Toc30390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0ECF2F94">
          <w:pPr>
            <w:pStyle w:val="2"/>
            <w:tabs>
              <w:tab w:val="right" w:leader="dot" w:pos="8845"/>
            </w:tabs>
            <w:spacing w:line="400" w:lineRule="exact"/>
            <w:rPr>
              <w:rFonts w:hint="eastAsia" w:ascii="宋体" w:hAnsi="宋体" w:eastAsia="宋体" w:cs="宋体"/>
            </w:rPr>
          </w:pPr>
          <w:r>
            <w:fldChar w:fldCharType="begin"/>
          </w:r>
          <w:r>
            <w:instrText xml:space="preserve"> HYPERLINK \l "_Toc6197" </w:instrText>
          </w:r>
          <w:r>
            <w:fldChar w:fldCharType="separate"/>
          </w:r>
          <w:r>
            <w:rPr>
              <w:rFonts w:hint="eastAsia" w:ascii="宋体" w:hAnsi="宋体" w:eastAsia="宋体" w:cs="宋体"/>
            </w:rPr>
            <w:t>16.1 安全管理机构设置及人员配备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_Toc6197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632E8340">
          <w:pPr>
            <w:pStyle w:val="2"/>
            <w:tabs>
              <w:tab w:val="right" w:leader="dot" w:pos="8845"/>
            </w:tabs>
            <w:spacing w:line="400" w:lineRule="exact"/>
            <w:rPr>
              <w:rFonts w:hint="eastAsia" w:ascii="宋体" w:hAnsi="宋体" w:eastAsia="宋体" w:cs="宋体"/>
            </w:rPr>
          </w:pPr>
          <w:r>
            <w:fldChar w:fldCharType="begin"/>
          </w:r>
          <w:r>
            <w:instrText xml:space="preserve"> HYPERLINK \l "_Toc32002" </w:instrText>
          </w:r>
          <w:r>
            <w:fldChar w:fldCharType="separate"/>
          </w:r>
          <w:r>
            <w:rPr>
              <w:rFonts w:hint="eastAsia" w:ascii="宋体" w:hAnsi="宋体" w:eastAsia="宋体" w:cs="宋体"/>
            </w:rPr>
            <w:t>16.2 安全教育和培训</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_Toc32002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3678EF20">
          <w:pPr>
            <w:pStyle w:val="2"/>
            <w:tabs>
              <w:tab w:val="right" w:leader="dot" w:pos="8845"/>
            </w:tabs>
            <w:spacing w:line="400" w:lineRule="exact"/>
            <w:rPr>
              <w:rFonts w:hint="eastAsia" w:ascii="宋体" w:hAnsi="宋体" w:eastAsia="宋体" w:cs="宋体"/>
            </w:rPr>
          </w:pPr>
          <w:r>
            <w:fldChar w:fldCharType="begin"/>
          </w:r>
          <w:r>
            <w:instrText xml:space="preserve"> HYPERLINK \l "_Toc28267" </w:instrText>
          </w:r>
          <w:r>
            <w:fldChar w:fldCharType="separate"/>
          </w:r>
          <w:r>
            <w:rPr>
              <w:rFonts w:hint="eastAsia" w:ascii="宋体" w:hAnsi="宋体" w:eastAsia="宋体" w:cs="宋体"/>
            </w:rPr>
            <w:t>16.3 劳动防护用品和装备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_Toc28267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67637C9D">
          <w:pPr>
            <w:pStyle w:val="2"/>
            <w:tabs>
              <w:tab w:val="right" w:leader="dot" w:pos="8845"/>
            </w:tabs>
            <w:spacing w:line="400" w:lineRule="exact"/>
            <w:rPr>
              <w:rFonts w:hint="eastAsia" w:ascii="宋体" w:hAnsi="宋体" w:eastAsia="宋体" w:cs="宋体"/>
            </w:rPr>
          </w:pPr>
          <w:r>
            <w:fldChar w:fldCharType="begin"/>
          </w:r>
          <w:r>
            <w:instrText xml:space="preserve"> HYPERLINK \l "_Toc1971" </w:instrText>
          </w:r>
          <w:r>
            <w:fldChar w:fldCharType="separate"/>
          </w:r>
          <w:r>
            <w:rPr>
              <w:rFonts w:hint="eastAsia" w:ascii="宋体" w:hAnsi="宋体" w:eastAsia="宋体" w:cs="宋体"/>
            </w:rPr>
            <w:t>16.4 抢（维）修设备配备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_Toc1971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5A48614F">
          <w:pPr>
            <w:pStyle w:val="2"/>
            <w:tabs>
              <w:tab w:val="right" w:leader="dot" w:pos="8845"/>
            </w:tabs>
            <w:spacing w:line="400" w:lineRule="exact"/>
            <w:rPr>
              <w:rFonts w:hint="eastAsia" w:ascii="宋体" w:hAnsi="宋体" w:eastAsia="宋体" w:cs="宋体"/>
            </w:rPr>
          </w:pPr>
          <w:r>
            <w:fldChar w:fldCharType="begin"/>
          </w:r>
          <w:r>
            <w:instrText xml:space="preserve"> HYPERLINK \l "_Toc19582" </w:instrText>
          </w:r>
          <w:r>
            <w:fldChar w:fldCharType="separate"/>
          </w:r>
          <w:r>
            <w:rPr>
              <w:rFonts w:hint="eastAsia" w:ascii="宋体" w:hAnsi="宋体" w:eastAsia="宋体" w:cs="宋体"/>
            </w:rPr>
            <w:t>16.5 应急机构及配置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_Toc19582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5238D81B">
          <w:pPr>
            <w:pStyle w:val="21"/>
            <w:tabs>
              <w:tab w:val="right" w:leader="dot" w:pos="8845"/>
            </w:tabs>
            <w:spacing w:line="400" w:lineRule="exact"/>
            <w:rPr>
              <w:rFonts w:hint="eastAsia" w:ascii="宋体" w:hAnsi="宋体" w:eastAsia="宋体" w:cs="宋体"/>
            </w:rPr>
          </w:pPr>
          <w:r>
            <w:fldChar w:fldCharType="begin"/>
          </w:r>
          <w:r>
            <w:instrText xml:space="preserve"> HYPERLINK \l "_Toc165" </w:instrText>
          </w:r>
          <w:r>
            <w:fldChar w:fldCharType="separate"/>
          </w:r>
          <w:r>
            <w:rPr>
              <w:rFonts w:hint="eastAsia" w:ascii="宋体" w:hAnsi="宋体" w:eastAsia="宋体" w:cs="宋体"/>
            </w:rPr>
            <w:t>17 专项投资概算</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_Toc165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rPr>
            <w:fldChar w:fldCharType="end"/>
          </w:r>
        </w:p>
        <w:p w14:paraId="46717F24">
          <w:pPr>
            <w:pStyle w:val="21"/>
            <w:tabs>
              <w:tab w:val="right" w:leader="dot" w:pos="8845"/>
            </w:tabs>
            <w:spacing w:line="400" w:lineRule="exact"/>
            <w:rPr>
              <w:rFonts w:hint="eastAsia" w:ascii="宋体" w:hAnsi="宋体" w:eastAsia="宋体" w:cs="宋体"/>
            </w:rPr>
          </w:pPr>
          <w:r>
            <w:fldChar w:fldCharType="begin"/>
          </w:r>
          <w:r>
            <w:instrText xml:space="preserve"> HYPERLINK \l "_Toc32582" </w:instrText>
          </w:r>
          <w:r>
            <w:fldChar w:fldCharType="separate"/>
          </w:r>
          <w:r>
            <w:rPr>
              <w:rFonts w:hint="eastAsia" w:ascii="宋体" w:hAnsi="宋体" w:eastAsia="宋体" w:cs="宋体"/>
            </w:rPr>
            <w:t>18 主要结论和建议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_Toc32582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rPr>
            <w:fldChar w:fldCharType="end"/>
          </w:r>
        </w:p>
        <w:p w14:paraId="5C981B81">
          <w:pPr>
            <w:pStyle w:val="2"/>
            <w:tabs>
              <w:tab w:val="right" w:leader="dot" w:pos="8845"/>
            </w:tabs>
            <w:spacing w:line="400" w:lineRule="exact"/>
            <w:rPr>
              <w:rFonts w:hint="eastAsia" w:ascii="宋体" w:hAnsi="宋体" w:eastAsia="宋体" w:cs="宋体"/>
            </w:rPr>
          </w:pPr>
          <w:r>
            <w:fldChar w:fldCharType="begin"/>
          </w:r>
          <w:r>
            <w:instrText xml:space="preserve"> HYPERLINK \l "_Toc2581" </w:instrText>
          </w:r>
          <w:r>
            <w:fldChar w:fldCharType="separate"/>
          </w:r>
          <w:r>
            <w:rPr>
              <w:rFonts w:hint="eastAsia" w:ascii="宋体" w:hAnsi="宋体" w:eastAsia="宋体" w:cs="宋体"/>
            </w:rPr>
            <w:t>18.1 主要结论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_Toc2581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rPr>
            <w:fldChar w:fldCharType="end"/>
          </w:r>
        </w:p>
        <w:p w14:paraId="60779E39">
          <w:pPr>
            <w:pStyle w:val="2"/>
            <w:tabs>
              <w:tab w:val="right" w:leader="dot" w:pos="8845"/>
            </w:tabs>
            <w:spacing w:line="400" w:lineRule="exact"/>
            <w:rPr>
              <w:rFonts w:hint="eastAsia" w:ascii="宋体" w:hAnsi="宋体" w:eastAsia="宋体" w:cs="宋体"/>
            </w:rPr>
          </w:pPr>
          <w:r>
            <w:fldChar w:fldCharType="begin"/>
          </w:r>
          <w:r>
            <w:instrText xml:space="preserve"> HYPERLINK \l "_Toc11715" </w:instrText>
          </w:r>
          <w:r>
            <w:fldChar w:fldCharType="separate"/>
          </w:r>
          <w:r>
            <w:rPr>
              <w:rFonts w:hint="eastAsia" w:ascii="宋体" w:hAnsi="宋体" w:eastAsia="宋体" w:cs="宋体"/>
            </w:rPr>
            <w:t xml:space="preserve">18.2 </w:t>
          </w:r>
          <w:r>
            <w:rPr>
              <w:rFonts w:hint="eastAsia" w:ascii="宋体" w:hAnsi="宋体" w:eastAsia="宋体" w:cs="宋体"/>
              <w:kern w:val="0"/>
              <w:szCs w:val="21"/>
            </w:rPr>
            <w:t>主要</w:t>
          </w:r>
          <w:r>
            <w:rPr>
              <w:rFonts w:hint="eastAsia" w:ascii="宋体" w:hAnsi="宋体" w:eastAsia="宋体" w:cs="宋体"/>
            </w:rPr>
            <w:t>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_Toc11715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rPr>
            <w:fldChar w:fldCharType="end"/>
          </w:r>
        </w:p>
        <w:p w14:paraId="3ED41CF5">
          <w:pPr>
            <w:pStyle w:val="21"/>
            <w:tabs>
              <w:tab w:val="right" w:leader="dot" w:pos="8845"/>
            </w:tabs>
            <w:spacing w:line="400" w:lineRule="exact"/>
            <w:rPr>
              <w:rFonts w:hint="eastAsia" w:ascii="宋体" w:hAnsi="宋体" w:eastAsia="宋体" w:cs="宋体"/>
            </w:rPr>
          </w:pPr>
          <w:r>
            <w:fldChar w:fldCharType="begin"/>
          </w:r>
          <w:r>
            <w:instrText xml:space="preserve"> HYPERLINK \l "_Toc17992" </w:instrText>
          </w:r>
          <w:r>
            <w:fldChar w:fldCharType="separate"/>
          </w:r>
          <w:r>
            <w:rPr>
              <w:rFonts w:hint="eastAsia" w:ascii="宋体" w:hAnsi="宋体" w:eastAsia="宋体" w:cs="宋体"/>
              <w:szCs w:val="22"/>
            </w:rPr>
            <w:t>19 安全设施设计格式要求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_Toc17992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rPr>
            <w:fldChar w:fldCharType="end"/>
          </w:r>
        </w:p>
        <w:p w14:paraId="4232B36C">
          <w:pPr>
            <w:pStyle w:val="2"/>
            <w:tabs>
              <w:tab w:val="right" w:leader="dot" w:pos="8845"/>
            </w:tabs>
            <w:spacing w:line="400" w:lineRule="exact"/>
            <w:rPr>
              <w:rFonts w:hint="eastAsia" w:ascii="宋体" w:hAnsi="宋体" w:eastAsia="宋体" w:cs="宋体"/>
            </w:rPr>
          </w:pPr>
          <w:r>
            <w:fldChar w:fldCharType="begin"/>
          </w:r>
          <w:r>
            <w:instrText xml:space="preserve"> HYPERLINK \l "_Toc26175" </w:instrText>
          </w:r>
          <w:r>
            <w:fldChar w:fldCharType="separate"/>
          </w:r>
          <w:r>
            <w:rPr>
              <w:rFonts w:hint="eastAsia" w:ascii="宋体" w:hAnsi="宋体" w:eastAsia="宋体" w:cs="宋体"/>
            </w:rPr>
            <w:t>19.1 结构</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_Toc26175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rPr>
            <w:fldChar w:fldCharType="end"/>
          </w:r>
        </w:p>
        <w:p w14:paraId="1ECD6EB7">
          <w:pPr>
            <w:pStyle w:val="2"/>
            <w:tabs>
              <w:tab w:val="right" w:leader="dot" w:pos="8845"/>
            </w:tabs>
            <w:spacing w:line="400" w:lineRule="exact"/>
            <w:rPr>
              <w:rFonts w:hint="eastAsia" w:ascii="宋体" w:hAnsi="宋体" w:eastAsia="宋体" w:cs="宋体"/>
            </w:rPr>
          </w:pPr>
          <w:r>
            <w:fldChar w:fldCharType="begin"/>
          </w:r>
          <w:r>
            <w:instrText xml:space="preserve"> HYPERLINK \l "_Toc4339" </w:instrText>
          </w:r>
          <w:r>
            <w:fldChar w:fldCharType="separate"/>
          </w:r>
          <w:r>
            <w:rPr>
              <w:rFonts w:hint="eastAsia" w:ascii="宋体" w:hAnsi="宋体" w:eastAsia="宋体" w:cs="宋体"/>
            </w:rPr>
            <w:t>19.2 纸张、排版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_Toc4339 \h </w:instrText>
          </w:r>
          <w:r>
            <w:rPr>
              <w:rFonts w:hint="eastAsia" w:ascii="宋体" w:hAnsi="宋体" w:eastAsia="宋体" w:cs="宋体"/>
            </w:rPr>
            <w:fldChar w:fldCharType="separate"/>
          </w:r>
          <w:r>
            <w:rPr>
              <w:rFonts w:hint="eastAsia" w:ascii="宋体" w:hAnsi="宋体" w:eastAsia="宋体" w:cs="宋体"/>
            </w:rPr>
            <w:t>16</w:t>
          </w:r>
          <w:r>
            <w:rPr>
              <w:rFonts w:hint="eastAsia" w:ascii="宋体" w:hAnsi="宋体" w:eastAsia="宋体" w:cs="宋体"/>
            </w:rPr>
            <w:fldChar w:fldCharType="end"/>
          </w:r>
          <w:r>
            <w:rPr>
              <w:rFonts w:hint="eastAsia" w:ascii="宋体" w:hAnsi="宋体" w:eastAsia="宋体" w:cs="宋体"/>
            </w:rPr>
            <w:fldChar w:fldCharType="end"/>
          </w:r>
        </w:p>
        <w:p w14:paraId="5B44492A">
          <w:pPr>
            <w:pStyle w:val="2"/>
            <w:tabs>
              <w:tab w:val="right" w:leader="dot" w:pos="8845"/>
            </w:tabs>
            <w:spacing w:line="400" w:lineRule="exact"/>
            <w:rPr>
              <w:rFonts w:hint="eastAsia" w:ascii="宋体" w:hAnsi="宋体" w:eastAsia="宋体" w:cs="宋体"/>
            </w:rPr>
          </w:pPr>
          <w:r>
            <w:fldChar w:fldCharType="begin"/>
          </w:r>
          <w:r>
            <w:instrText xml:space="preserve"> HYPERLINK \l "_Toc23424" </w:instrText>
          </w:r>
          <w:r>
            <w:fldChar w:fldCharType="separate"/>
          </w:r>
          <w:r>
            <w:rPr>
              <w:rFonts w:hint="eastAsia" w:ascii="宋体" w:hAnsi="宋体" w:eastAsia="宋体" w:cs="宋体"/>
            </w:rPr>
            <w:t>19.3 印刷</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_Toc23424 \h </w:instrText>
          </w:r>
          <w:r>
            <w:rPr>
              <w:rFonts w:hint="eastAsia" w:ascii="宋体" w:hAnsi="宋体" w:eastAsia="宋体" w:cs="宋体"/>
            </w:rPr>
            <w:fldChar w:fldCharType="separate"/>
          </w:r>
          <w:r>
            <w:rPr>
              <w:rFonts w:hint="eastAsia" w:ascii="宋体" w:hAnsi="宋体" w:eastAsia="宋体" w:cs="宋体"/>
            </w:rPr>
            <w:t>16</w:t>
          </w:r>
          <w:r>
            <w:rPr>
              <w:rFonts w:hint="eastAsia" w:ascii="宋体" w:hAnsi="宋体" w:eastAsia="宋体" w:cs="宋体"/>
            </w:rPr>
            <w:fldChar w:fldCharType="end"/>
          </w:r>
          <w:r>
            <w:rPr>
              <w:rFonts w:hint="eastAsia" w:ascii="宋体" w:hAnsi="宋体" w:eastAsia="宋体" w:cs="宋体"/>
            </w:rPr>
            <w:fldChar w:fldCharType="end"/>
          </w:r>
        </w:p>
        <w:p w14:paraId="50877F94">
          <w:pPr>
            <w:pStyle w:val="2"/>
            <w:tabs>
              <w:tab w:val="right" w:leader="dot" w:pos="8845"/>
            </w:tabs>
            <w:spacing w:line="400" w:lineRule="exact"/>
            <w:rPr>
              <w:rFonts w:hint="eastAsia" w:ascii="宋体" w:hAnsi="宋体" w:eastAsia="宋体" w:cs="宋体"/>
            </w:rPr>
          </w:pPr>
          <w:r>
            <w:fldChar w:fldCharType="begin"/>
          </w:r>
          <w:r>
            <w:instrText xml:space="preserve"> HYPERLINK \l "_Toc7312" </w:instrText>
          </w:r>
          <w:r>
            <w:fldChar w:fldCharType="separate"/>
          </w:r>
          <w:r>
            <w:rPr>
              <w:rFonts w:hint="eastAsia" w:ascii="宋体" w:hAnsi="宋体" w:eastAsia="宋体" w:cs="宋体"/>
            </w:rPr>
            <w:t>19.4 封装</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_Toc7312 \h </w:instrText>
          </w:r>
          <w:r>
            <w:rPr>
              <w:rFonts w:hint="eastAsia" w:ascii="宋体" w:hAnsi="宋体" w:eastAsia="宋体" w:cs="宋体"/>
            </w:rPr>
            <w:fldChar w:fldCharType="separate"/>
          </w:r>
          <w:r>
            <w:rPr>
              <w:rFonts w:hint="eastAsia" w:ascii="宋体" w:hAnsi="宋体" w:eastAsia="宋体" w:cs="宋体"/>
            </w:rPr>
            <w:t>16</w:t>
          </w:r>
          <w:r>
            <w:rPr>
              <w:rFonts w:hint="eastAsia" w:ascii="宋体" w:hAnsi="宋体" w:eastAsia="宋体" w:cs="宋体"/>
            </w:rPr>
            <w:fldChar w:fldCharType="end"/>
          </w:r>
          <w:r>
            <w:rPr>
              <w:rFonts w:hint="eastAsia" w:ascii="宋体" w:hAnsi="宋体" w:eastAsia="宋体" w:cs="宋体"/>
            </w:rPr>
            <w:fldChar w:fldCharType="end"/>
          </w:r>
        </w:p>
        <w:p w14:paraId="6EE3B142">
          <w:pPr>
            <w:pStyle w:val="21"/>
            <w:tabs>
              <w:tab w:val="right" w:leader="dot" w:pos="8845"/>
            </w:tabs>
            <w:spacing w:line="400" w:lineRule="exact"/>
            <w:rPr>
              <w:rFonts w:hint="eastAsia" w:ascii="宋体" w:hAnsi="宋体" w:eastAsia="宋体" w:cs="宋体"/>
            </w:rPr>
          </w:pPr>
          <w:r>
            <w:fldChar w:fldCharType="begin"/>
          </w:r>
          <w:r>
            <w:instrText xml:space="preserve"> HYPERLINK \l "_Toc13611" </w:instrText>
          </w:r>
          <w:r>
            <w:fldChar w:fldCharType="separate"/>
          </w:r>
          <w:r>
            <w:rPr>
              <w:rFonts w:hint="eastAsia" w:ascii="宋体" w:hAnsi="宋体" w:eastAsia="宋体" w:cs="宋体"/>
              <w:szCs w:val="21"/>
            </w:rPr>
            <w:t>附　录　A  （资料性）安全设施分类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_Toc13611 \h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rPr>
            <w:fldChar w:fldCharType="end"/>
          </w:r>
        </w:p>
        <w:p w14:paraId="5221BE4E">
          <w:pPr>
            <w:pStyle w:val="21"/>
            <w:tabs>
              <w:tab w:val="right" w:leader="dot" w:pos="8845"/>
            </w:tabs>
            <w:spacing w:line="400" w:lineRule="exact"/>
            <w:rPr>
              <w:rFonts w:hint="eastAsia" w:ascii="宋体" w:hAnsi="宋体" w:eastAsia="宋体" w:cs="宋体"/>
            </w:rPr>
          </w:pPr>
          <w:r>
            <w:fldChar w:fldCharType="begin"/>
          </w:r>
          <w:r>
            <w:instrText xml:space="preserve"> HYPERLINK \l "_Toc4468" </w:instrText>
          </w:r>
          <w:r>
            <w:fldChar w:fldCharType="separate"/>
          </w:r>
          <w:r>
            <w:rPr>
              <w:rFonts w:hint="eastAsia" w:ascii="宋体" w:hAnsi="宋体" w:eastAsia="宋体" w:cs="宋体"/>
              <w:szCs w:val="21"/>
            </w:rPr>
            <w:t>附　录　B  （规范性）附表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_Toc4468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rPr>
            <w:fldChar w:fldCharType="end"/>
          </w:r>
        </w:p>
        <w:p w14:paraId="0628506D">
          <w:pPr>
            <w:pStyle w:val="21"/>
            <w:tabs>
              <w:tab w:val="right" w:leader="dot" w:pos="8845"/>
            </w:tabs>
            <w:spacing w:line="400" w:lineRule="exact"/>
            <w:rPr>
              <w:rFonts w:hint="eastAsia" w:ascii="宋体" w:hAnsi="宋体" w:eastAsia="宋体" w:cs="宋体"/>
            </w:rPr>
          </w:pPr>
          <w:r>
            <w:fldChar w:fldCharType="begin"/>
          </w:r>
          <w:r>
            <w:instrText xml:space="preserve"> HYPERLINK \l "_Toc28196" </w:instrText>
          </w:r>
          <w:r>
            <w:fldChar w:fldCharType="separate"/>
          </w:r>
          <w:r>
            <w:rPr>
              <w:rFonts w:hint="eastAsia" w:ascii="宋体" w:hAnsi="宋体" w:eastAsia="宋体" w:cs="宋体"/>
              <w:szCs w:val="21"/>
            </w:rPr>
            <w:t xml:space="preserve">附　录　C </w:t>
          </w:r>
          <w:r>
            <w:rPr>
              <w:rFonts w:hint="eastAsia" w:ascii="宋体" w:hAnsi="宋体" w:eastAsia="宋体" w:cs="宋体"/>
            </w:rPr>
            <w:t xml:space="preserve"> （规范性）安全设施设计封面格式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_Toc28196 \h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r>
            <w:rPr>
              <w:rFonts w:hint="eastAsia" w:ascii="宋体" w:hAnsi="宋体" w:eastAsia="宋体" w:cs="宋体"/>
            </w:rPr>
            <w:fldChar w:fldCharType="end"/>
          </w:r>
        </w:p>
        <w:p w14:paraId="2F13ADAD">
          <w:pPr>
            <w:pStyle w:val="21"/>
            <w:tabs>
              <w:tab w:val="right" w:leader="dot" w:pos="8845"/>
            </w:tabs>
            <w:spacing w:line="400" w:lineRule="exact"/>
            <w:rPr>
              <w:rFonts w:hint="eastAsia" w:ascii="宋体" w:hAnsi="宋体" w:eastAsia="宋体" w:cs="宋体"/>
            </w:rPr>
          </w:pPr>
          <w:r>
            <w:fldChar w:fldCharType="begin"/>
          </w:r>
          <w:r>
            <w:instrText xml:space="preserve"> HYPERLINK \l "_Toc12158" </w:instrText>
          </w:r>
          <w:r>
            <w:fldChar w:fldCharType="separate"/>
          </w:r>
          <w:r>
            <w:rPr>
              <w:rFonts w:hint="eastAsia" w:ascii="宋体" w:hAnsi="宋体" w:eastAsia="宋体" w:cs="宋体"/>
              <w:szCs w:val="21"/>
            </w:rPr>
            <w:t xml:space="preserve">附　录　D </w:t>
          </w:r>
          <w:r>
            <w:rPr>
              <w:rFonts w:hint="eastAsia" w:ascii="宋体" w:hAnsi="宋体" w:eastAsia="宋体" w:cs="宋体"/>
            </w:rPr>
            <w:t xml:space="preserve"> （规范性）安全设施设计扉页(著录项）格式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_Toc12158 \h </w:instrText>
          </w:r>
          <w:r>
            <w:rPr>
              <w:rFonts w:hint="eastAsia" w:ascii="宋体" w:hAnsi="宋体" w:eastAsia="宋体" w:cs="宋体"/>
            </w:rPr>
            <w:fldChar w:fldCharType="separate"/>
          </w:r>
          <w:r>
            <w:rPr>
              <w:rFonts w:hint="eastAsia" w:ascii="宋体" w:hAnsi="宋体" w:eastAsia="宋体" w:cs="宋体"/>
            </w:rPr>
            <w:t>24</w:t>
          </w:r>
          <w:r>
            <w:rPr>
              <w:rFonts w:hint="eastAsia" w:ascii="宋体" w:hAnsi="宋体" w:eastAsia="宋体" w:cs="宋体"/>
            </w:rPr>
            <w:fldChar w:fldCharType="end"/>
          </w:r>
          <w:r>
            <w:rPr>
              <w:rFonts w:hint="eastAsia" w:ascii="宋体" w:hAnsi="宋体" w:eastAsia="宋体" w:cs="宋体"/>
            </w:rPr>
            <w:fldChar w:fldCharType="end"/>
          </w:r>
        </w:p>
        <w:p w14:paraId="19417F08">
          <w:pPr>
            <w:pStyle w:val="21"/>
            <w:tabs>
              <w:tab w:val="right" w:leader="dot" w:pos="8845"/>
            </w:tabs>
            <w:spacing w:line="400" w:lineRule="exact"/>
          </w:pPr>
          <w:r>
            <w:fldChar w:fldCharType="begin"/>
          </w:r>
          <w:r>
            <w:instrText xml:space="preserve"> HYPERLINK \l "_Toc6446" </w:instrText>
          </w:r>
          <w:r>
            <w:fldChar w:fldCharType="separate"/>
          </w:r>
          <w:r>
            <w:rPr>
              <w:rFonts w:hint="eastAsia" w:ascii="宋体" w:hAnsi="宋体" w:eastAsia="宋体" w:cs="宋体"/>
              <w:szCs w:val="21"/>
            </w:rPr>
            <w:t xml:space="preserve">附　录　E  </w:t>
          </w:r>
          <w:r>
            <w:rPr>
              <w:rFonts w:hint="eastAsia" w:ascii="宋体" w:hAnsi="宋体" w:eastAsia="宋体" w:cs="宋体"/>
            </w:rPr>
            <w:t>（规范性）安全设施设计校审人员名单格式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_Toc6446 \h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r>
            <w:rPr>
              <w:rFonts w:hint="eastAsia" w:ascii="宋体" w:hAnsi="宋体" w:eastAsia="宋体" w:cs="宋体"/>
            </w:rPr>
            <w:fldChar w:fldCharType="end"/>
          </w:r>
        </w:p>
        <w:p w14:paraId="3C741536">
          <w:pPr>
            <w:rPr>
              <w:b/>
            </w:rPr>
          </w:pPr>
          <w:r>
            <w:rPr>
              <w:rFonts w:hint="eastAsia" w:ascii="宋体" w:hAnsi="宋体" w:eastAsia="宋体" w:cs="宋体"/>
              <w:szCs w:val="21"/>
            </w:rPr>
            <w:fldChar w:fldCharType="end"/>
          </w:r>
        </w:p>
      </w:sdtContent>
    </w:sdt>
    <w:p w14:paraId="43A6717A">
      <w:pPr>
        <w:rPr>
          <w:b/>
        </w:rPr>
      </w:pPr>
    </w:p>
    <w:p w14:paraId="73982A33">
      <w:pPr>
        <w:rPr>
          <w:rFonts w:hint="eastAsia" w:ascii="宋体" w:hAnsi="宋体" w:eastAsia="宋体" w:cs="宋体"/>
        </w:rPr>
      </w:pPr>
      <w:r>
        <w:rPr>
          <w:rFonts w:hint="eastAsia" w:ascii="宋体" w:hAnsi="宋体" w:eastAsia="宋体" w:cs="宋体"/>
        </w:rPr>
        <w:br w:type="page"/>
      </w:r>
    </w:p>
    <w:p w14:paraId="7344EB00">
      <w:pPr>
        <w:pStyle w:val="85"/>
        <w:spacing w:before="560" w:after="468"/>
        <w:rPr>
          <w:spacing w:val="320"/>
        </w:rPr>
      </w:pPr>
      <w:bookmarkStart w:id="1" w:name="_Toc9324"/>
      <w:bookmarkStart w:id="2" w:name="_Toc18303"/>
      <w:r>
        <w:rPr>
          <w:spacing w:val="320"/>
        </w:rPr>
        <w:t>前言</w:t>
      </w:r>
      <w:bookmarkEnd w:id="1"/>
      <w:bookmarkEnd w:id="2"/>
    </w:p>
    <w:p w14:paraId="73F35EF4">
      <w:pPr>
        <w:pStyle w:val="41"/>
        <w:ind w:firstLine="420"/>
        <w:rPr>
          <w:rFonts w:hint="eastAsia" w:ascii="黑体" w:hAnsi="黑体" w:eastAsia="黑体" w:cs="黑体"/>
        </w:rPr>
      </w:pPr>
      <w:r>
        <w:rPr>
          <w:rFonts w:hint="eastAsia" w:ascii="黑体" w:hAnsi="黑体" w:eastAsia="黑体" w:cs="黑体"/>
        </w:rPr>
        <w:t>本文件的全部技术内容为强制性。</w:t>
      </w:r>
    </w:p>
    <w:p w14:paraId="4AA5F765">
      <w:pPr>
        <w:pStyle w:val="41"/>
        <w:ind w:firstLine="420"/>
        <w:rPr>
          <w:rFonts w:ascii="Times New Roman"/>
        </w:rPr>
      </w:pPr>
      <w:r>
        <w:rPr>
          <w:rFonts w:ascii="Times New Roman"/>
        </w:rPr>
        <w:t>本文件按照GB/T 1.1—2020《标准化工作导则  第1部分：标准化文件的结构和起草规则》的规定起草。</w:t>
      </w:r>
    </w:p>
    <w:p w14:paraId="52F44D30">
      <w:pPr>
        <w:pStyle w:val="41"/>
        <w:ind w:firstLine="420"/>
        <w:rPr>
          <w:rFonts w:ascii="Times New Roman"/>
        </w:rPr>
      </w:pPr>
      <w:r>
        <w:rPr>
          <w:rFonts w:ascii="Times New Roman"/>
        </w:rPr>
        <w:t>请注意本文件的某些内容可能涉及专利。本文件的发布机构不承担识别这些专利的责任。</w:t>
      </w:r>
    </w:p>
    <w:p w14:paraId="19386B02">
      <w:pPr>
        <w:pStyle w:val="41"/>
        <w:ind w:firstLine="420"/>
        <w:rPr>
          <w:rFonts w:ascii="Times New Roman"/>
        </w:rPr>
      </w:pPr>
      <w:r>
        <w:rPr>
          <w:rFonts w:ascii="Times New Roman"/>
        </w:rPr>
        <w:t>本文件由中华人民共和国应急管理部提出</w:t>
      </w:r>
      <w:r>
        <w:rPr>
          <w:rFonts w:hint="eastAsia" w:ascii="Times New Roman"/>
        </w:rPr>
        <w:t>，</w:t>
      </w:r>
      <w:r>
        <w:rPr>
          <w:rFonts w:ascii="Times New Roman"/>
        </w:rPr>
        <w:t>危险化学品安全监督管理二司业务管理、政策法规司统筹管理。</w:t>
      </w:r>
    </w:p>
    <w:p w14:paraId="42E0C124">
      <w:pPr>
        <w:pStyle w:val="41"/>
        <w:ind w:firstLine="420"/>
        <w:rPr>
          <w:rFonts w:ascii="Times New Roman"/>
        </w:rPr>
      </w:pPr>
      <w:r>
        <w:rPr>
          <w:rFonts w:ascii="Times New Roman"/>
        </w:rPr>
        <w:t>本文件由全国安全生产标准化技术委员会石油天然气开采安全分技术委员会(SAC/TC 288/SC 10)技术归口及咨询。</w:t>
      </w:r>
    </w:p>
    <w:p w14:paraId="04ADD82F">
      <w:pPr>
        <w:pStyle w:val="41"/>
        <w:ind w:firstLine="420"/>
        <w:rPr>
          <w:rFonts w:ascii="Times New Roman"/>
        </w:rPr>
      </w:pPr>
      <w:r>
        <w:rPr>
          <w:rFonts w:ascii="Times New Roman"/>
        </w:rPr>
        <w:t>本文件起草单位：XXX</w:t>
      </w:r>
      <w:bookmarkStart w:id="416" w:name="_GoBack"/>
      <w:bookmarkEnd w:id="416"/>
    </w:p>
    <w:p w14:paraId="18DFF517">
      <w:pPr>
        <w:pStyle w:val="41"/>
        <w:ind w:firstLine="420"/>
        <w:rPr>
          <w:rFonts w:ascii="Times New Roman"/>
        </w:rPr>
      </w:pPr>
      <w:r>
        <w:rPr>
          <w:rFonts w:ascii="Times New Roman"/>
        </w:rPr>
        <w:t>本文件主要起草人：XXX</w:t>
      </w:r>
    </w:p>
    <w:p w14:paraId="3181CCA0">
      <w:pPr>
        <w:pStyle w:val="41"/>
        <w:ind w:firstLine="420"/>
        <w:rPr>
          <w:rFonts w:ascii="Times New Roman"/>
        </w:rPr>
      </w:pPr>
      <w:r>
        <w:rPr>
          <w:rFonts w:ascii="Times New Roman"/>
        </w:rPr>
        <w:t>本文件为首次发布。</w:t>
      </w:r>
    </w:p>
    <w:p w14:paraId="326FCFFF">
      <w:pPr>
        <w:rPr>
          <w:rFonts w:hint="eastAsia"/>
        </w:rPr>
      </w:pPr>
      <w:bookmarkStart w:id="3" w:name="_Toc24790"/>
      <w:bookmarkStart w:id="4" w:name="_Toc23414"/>
      <w:bookmarkStart w:id="5" w:name="_Toc5525"/>
      <w:r>
        <w:rPr>
          <w:rFonts w:hint="eastAsia"/>
        </w:rPr>
        <w:br w:type="page"/>
      </w:r>
    </w:p>
    <w:p w14:paraId="37D7A620">
      <w:pPr>
        <w:pStyle w:val="86"/>
        <w:spacing w:before="312" w:beforeLines="100" w:after="3" w:afterLines="1"/>
        <w:rPr>
          <w:rFonts w:hint="eastAsia"/>
        </w:rPr>
        <w:sectPr>
          <w:headerReference r:id="rId8" w:type="default"/>
          <w:footerReference r:id="rId10" w:type="default"/>
          <w:headerReference r:id="rId9" w:type="even"/>
          <w:footerReference r:id="rId11" w:type="even"/>
          <w:pgSz w:w="11906" w:h="16838"/>
          <w:pgMar w:top="1701" w:right="1474" w:bottom="1474" w:left="1587" w:header="1417" w:footer="1134" w:gutter="0"/>
          <w:pgNumType w:fmt="upperRoman" w:start="1"/>
          <w:cols w:space="720" w:num="1"/>
          <w:docGrid w:type="lines" w:linePitch="312" w:charSpace="0"/>
        </w:sectPr>
      </w:pPr>
    </w:p>
    <w:p w14:paraId="7A1B2AD9">
      <w:pPr>
        <w:pStyle w:val="86"/>
        <w:spacing w:before="312" w:beforeLines="100" w:after="3" w:afterLines="1"/>
        <w:outlineLvl w:val="0"/>
        <w:rPr>
          <w:rFonts w:hint="eastAsia"/>
        </w:rPr>
      </w:pPr>
      <w:bookmarkStart w:id="6" w:name="_Toc24065"/>
      <w:bookmarkStart w:id="7" w:name="_Toc3913"/>
      <w:r>
        <w:rPr>
          <w:rFonts w:hint="eastAsia"/>
        </w:rPr>
        <w:t>陆上石油天然气开采建设项目（天然气处理厂）</w:t>
      </w:r>
      <w:bookmarkEnd w:id="3"/>
      <w:bookmarkEnd w:id="4"/>
      <w:bookmarkEnd w:id="5"/>
      <w:bookmarkEnd w:id="6"/>
      <w:bookmarkEnd w:id="7"/>
    </w:p>
    <w:p w14:paraId="7283113C">
      <w:pPr>
        <w:pStyle w:val="86"/>
        <w:spacing w:before="3" w:beforeLines="1" w:after="680"/>
        <w:outlineLvl w:val="0"/>
        <w:rPr>
          <w:rFonts w:hint="eastAsia"/>
        </w:rPr>
      </w:pPr>
      <w:bookmarkStart w:id="8" w:name="_Toc3024"/>
      <w:bookmarkStart w:id="9" w:name="_Toc22568"/>
      <w:bookmarkStart w:id="10" w:name="_Toc4499"/>
      <w:bookmarkStart w:id="11" w:name="_Toc8526"/>
      <w:bookmarkStart w:id="12" w:name="_Toc25645"/>
      <w:r>
        <w:rPr>
          <w:rFonts w:hint="eastAsia"/>
        </w:rPr>
        <w:t>安全设施设计导则</w:t>
      </w:r>
      <w:bookmarkEnd w:id="8"/>
      <w:bookmarkEnd w:id="9"/>
      <w:bookmarkEnd w:id="10"/>
      <w:bookmarkEnd w:id="11"/>
      <w:bookmarkEnd w:id="12"/>
    </w:p>
    <w:p w14:paraId="77A428FA">
      <w:pPr>
        <w:widowControl/>
        <w:numPr>
          <w:ilvl w:val="1"/>
          <w:numId w:val="2"/>
        </w:numPr>
        <w:spacing w:before="312" w:beforeLines="100" w:after="312" w:afterLines="100"/>
        <w:outlineLvl w:val="0"/>
      </w:pPr>
      <w:bookmarkStart w:id="13" w:name="_Toc14953"/>
      <w:r>
        <w:rPr>
          <w:rFonts w:hint="eastAsia" w:ascii="黑体" w:hAnsi="黑体" w:eastAsia="黑体" w:cs="黑体"/>
          <w:szCs w:val="22"/>
        </w:rPr>
        <w:t>范围</w:t>
      </w:r>
      <w:bookmarkEnd w:id="13"/>
    </w:p>
    <w:p w14:paraId="01EAA713">
      <w:pPr>
        <w:pStyle w:val="41"/>
        <w:ind w:firstLine="420"/>
      </w:pPr>
      <w:r>
        <w:rPr>
          <w:rFonts w:hint="eastAsia"/>
        </w:rPr>
        <w:t>本文件规定了陆上石油天然气天然气处理厂开采建设项目初步设计阶段安全设施设计的设计依据、项目概述、主要防护技术措施等内容及编制要求。</w:t>
      </w:r>
    </w:p>
    <w:p w14:paraId="71647BD6">
      <w:pPr>
        <w:pStyle w:val="41"/>
        <w:ind w:firstLine="420"/>
      </w:pPr>
      <w:r>
        <w:rPr>
          <w:rFonts w:hint="eastAsia"/>
        </w:rPr>
        <w:t>本文件适用于单独立项的陆上天然气处理厂新建、改建、扩建项目安全设施设计。</w:t>
      </w:r>
    </w:p>
    <w:p w14:paraId="454C52D1">
      <w:pPr>
        <w:widowControl/>
        <w:numPr>
          <w:ilvl w:val="1"/>
          <w:numId w:val="2"/>
        </w:numPr>
        <w:spacing w:before="312" w:beforeLines="100" w:after="312" w:afterLines="100"/>
        <w:outlineLvl w:val="0"/>
        <w:rPr>
          <w:rFonts w:hint="eastAsia" w:ascii="黑体" w:hAnsi="黑体" w:eastAsia="黑体" w:cs="黑体"/>
          <w:szCs w:val="22"/>
        </w:rPr>
      </w:pPr>
      <w:bookmarkStart w:id="14" w:name="_Toc28542"/>
      <w:r>
        <w:rPr>
          <w:rFonts w:hint="eastAsia" w:ascii="黑体" w:hAnsi="黑体" w:eastAsia="黑体" w:cs="黑体"/>
          <w:szCs w:val="22"/>
        </w:rPr>
        <w:t>规范性引用文件</w:t>
      </w:r>
      <w:bookmarkEnd w:id="14"/>
    </w:p>
    <w:p w14:paraId="37331132">
      <w:pPr>
        <w:pStyle w:val="42"/>
        <w:ind w:firstLine="420"/>
        <w:rPr>
          <w:rFonts w:hAnsi="Times New Roman"/>
          <w:kern w:val="0"/>
          <w:szCs w:val="20"/>
        </w:rPr>
      </w:pPr>
      <w:r>
        <w:rPr>
          <w:rFonts w:hint="eastAsia" w:hAnsi="Times New Roman"/>
          <w:kern w:val="0"/>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B4890AE">
      <w:pPr>
        <w:pStyle w:val="42"/>
        <w:ind w:firstLine="420"/>
        <w:rPr>
          <w:rFonts w:ascii="Times New Roman" w:hAnsi="Times New Roman"/>
          <w:kern w:val="0"/>
          <w:szCs w:val="20"/>
        </w:rPr>
      </w:pPr>
      <w:r>
        <w:rPr>
          <w:rFonts w:ascii="Times New Roman" w:hAnsi="Times New Roman"/>
          <w:kern w:val="0"/>
          <w:szCs w:val="20"/>
        </w:rPr>
        <w:t>GB/T 21109</w:t>
      </w:r>
      <w:r>
        <w:rPr>
          <w:rFonts w:hint="eastAsia" w:ascii="Times New Roman" w:hAnsi="Times New Roman"/>
          <w:kern w:val="0"/>
          <w:szCs w:val="20"/>
        </w:rPr>
        <w:t xml:space="preserve">  </w:t>
      </w:r>
      <w:r>
        <w:rPr>
          <w:rFonts w:ascii="Times New Roman" w:hAnsi="Times New Roman"/>
          <w:kern w:val="0"/>
          <w:szCs w:val="20"/>
        </w:rPr>
        <w:t>过程工业领域安全仪表系统的功能安全</w:t>
      </w:r>
    </w:p>
    <w:p w14:paraId="4024CBA8">
      <w:pPr>
        <w:pStyle w:val="42"/>
        <w:ind w:firstLine="420"/>
        <w:rPr>
          <w:rFonts w:ascii="Times New Roman" w:hAnsi="Times New Roman"/>
          <w:kern w:val="0"/>
          <w:szCs w:val="20"/>
        </w:rPr>
      </w:pPr>
      <w:r>
        <w:rPr>
          <w:rFonts w:ascii="Times New Roman" w:hAnsi="Times New Roman"/>
          <w:kern w:val="0"/>
          <w:szCs w:val="20"/>
        </w:rPr>
        <w:t>GB/T 21</w:t>
      </w:r>
      <w:r>
        <w:rPr>
          <w:rFonts w:hint="eastAsia" w:ascii="Times New Roman" w:hAnsi="Times New Roman"/>
          <w:kern w:val="0"/>
          <w:szCs w:val="20"/>
        </w:rPr>
        <w:t xml:space="preserve">447  </w:t>
      </w:r>
      <w:r>
        <w:rPr>
          <w:rFonts w:ascii="Times New Roman" w:hAnsi="Times New Roman"/>
          <w:kern w:val="0"/>
          <w:szCs w:val="20"/>
        </w:rPr>
        <w:t>钢质管道外腐蚀控制规范</w:t>
      </w:r>
    </w:p>
    <w:p w14:paraId="14EEF282">
      <w:pPr>
        <w:pStyle w:val="42"/>
        <w:ind w:firstLine="420"/>
        <w:rPr>
          <w:rFonts w:ascii="Times New Roman" w:hAnsi="Times New Roman"/>
          <w:kern w:val="0"/>
          <w:szCs w:val="20"/>
        </w:rPr>
      </w:pPr>
      <w:r>
        <w:rPr>
          <w:rFonts w:ascii="Times New Roman" w:hAnsi="Times New Roman"/>
          <w:kern w:val="0"/>
          <w:szCs w:val="20"/>
        </w:rPr>
        <w:t>GB/T 21</w:t>
      </w:r>
      <w:r>
        <w:rPr>
          <w:rFonts w:hint="eastAsia" w:ascii="Times New Roman" w:hAnsi="Times New Roman"/>
          <w:kern w:val="0"/>
          <w:szCs w:val="20"/>
        </w:rPr>
        <w:t xml:space="preserve">448  </w:t>
      </w:r>
      <w:r>
        <w:rPr>
          <w:rFonts w:ascii="Times New Roman" w:hAnsi="Times New Roman"/>
          <w:kern w:val="0"/>
          <w:szCs w:val="20"/>
        </w:rPr>
        <w:t>埋地钢质管道阴极保护技术规范</w:t>
      </w:r>
    </w:p>
    <w:p w14:paraId="686D759F">
      <w:pPr>
        <w:pStyle w:val="42"/>
        <w:ind w:firstLine="420"/>
        <w:rPr>
          <w:rFonts w:ascii="Times New Roman" w:hAnsi="Times New Roman"/>
          <w:kern w:val="0"/>
          <w:szCs w:val="20"/>
        </w:rPr>
      </w:pPr>
      <w:r>
        <w:rPr>
          <w:rFonts w:ascii="Times New Roman" w:hAnsi="Times New Roman"/>
          <w:kern w:val="0"/>
          <w:szCs w:val="20"/>
        </w:rPr>
        <w:t>GB/T 25295</w:t>
      </w:r>
      <w:r>
        <w:rPr>
          <w:rFonts w:hint="eastAsia" w:ascii="Times New Roman" w:hAnsi="Times New Roman"/>
          <w:kern w:val="0"/>
          <w:szCs w:val="20"/>
        </w:rPr>
        <w:t xml:space="preserve">  </w:t>
      </w:r>
      <w:r>
        <w:rPr>
          <w:rFonts w:ascii="Times New Roman" w:hAnsi="Times New Roman"/>
          <w:kern w:val="0"/>
          <w:szCs w:val="20"/>
        </w:rPr>
        <w:t>电气设备安全设计导则</w:t>
      </w:r>
    </w:p>
    <w:p w14:paraId="4519203A">
      <w:pPr>
        <w:pStyle w:val="42"/>
        <w:ind w:firstLine="420"/>
        <w:rPr>
          <w:rFonts w:ascii="Times New Roman" w:hAnsi="Times New Roman"/>
          <w:kern w:val="0"/>
          <w:szCs w:val="20"/>
        </w:rPr>
      </w:pPr>
      <w:r>
        <w:rPr>
          <w:rFonts w:ascii="Times New Roman" w:hAnsi="Times New Roman"/>
          <w:kern w:val="0"/>
          <w:szCs w:val="20"/>
        </w:rPr>
        <w:t>GB/T 38810</w:t>
      </w:r>
      <w:r>
        <w:rPr>
          <w:rFonts w:hint="eastAsia" w:ascii="Times New Roman" w:hAnsi="Times New Roman"/>
          <w:kern w:val="0"/>
          <w:szCs w:val="20"/>
        </w:rPr>
        <w:t xml:space="preserve">  </w:t>
      </w:r>
      <w:r>
        <w:rPr>
          <w:rFonts w:ascii="Times New Roman" w:hAnsi="Times New Roman"/>
          <w:kern w:val="0"/>
          <w:szCs w:val="20"/>
        </w:rPr>
        <w:t>液化天然气用不锈钢无缝钢管</w:t>
      </w:r>
    </w:p>
    <w:p w14:paraId="409407A2">
      <w:pPr>
        <w:pStyle w:val="42"/>
        <w:ind w:firstLine="420"/>
        <w:rPr>
          <w:rFonts w:ascii="Times New Roman" w:hAnsi="Times New Roman"/>
          <w:kern w:val="0"/>
          <w:szCs w:val="20"/>
        </w:rPr>
      </w:pPr>
      <w:r>
        <w:rPr>
          <w:rFonts w:ascii="Times New Roman" w:hAnsi="Times New Roman"/>
          <w:kern w:val="0"/>
          <w:szCs w:val="20"/>
        </w:rPr>
        <w:t>GB 50016</w:t>
      </w:r>
      <w:r>
        <w:rPr>
          <w:rFonts w:hint="eastAsia" w:ascii="Times New Roman" w:hAnsi="Times New Roman"/>
          <w:kern w:val="0"/>
          <w:szCs w:val="20"/>
        </w:rPr>
        <w:t xml:space="preserve">    </w:t>
      </w:r>
      <w:r>
        <w:rPr>
          <w:rFonts w:ascii="Times New Roman" w:hAnsi="Times New Roman"/>
          <w:kern w:val="0"/>
          <w:szCs w:val="20"/>
        </w:rPr>
        <w:t>建筑设计防火规范</w:t>
      </w:r>
    </w:p>
    <w:p w14:paraId="5D3968CD">
      <w:pPr>
        <w:pStyle w:val="42"/>
        <w:ind w:firstLine="420"/>
        <w:rPr>
          <w:rFonts w:ascii="Times New Roman" w:hAnsi="Times New Roman"/>
          <w:kern w:val="0"/>
          <w:szCs w:val="20"/>
        </w:rPr>
      </w:pPr>
      <w:r>
        <w:rPr>
          <w:rFonts w:ascii="Times New Roman" w:hAnsi="Times New Roman"/>
          <w:kern w:val="0"/>
          <w:szCs w:val="20"/>
        </w:rPr>
        <w:t>GB 50019</w:t>
      </w:r>
      <w:r>
        <w:rPr>
          <w:rFonts w:hint="eastAsia" w:ascii="Times New Roman" w:hAnsi="Times New Roman"/>
          <w:kern w:val="0"/>
          <w:szCs w:val="20"/>
        </w:rPr>
        <w:t xml:space="preserve">  </w:t>
      </w:r>
      <w:r>
        <w:rPr>
          <w:rFonts w:ascii="Times New Roman" w:hAnsi="Times New Roman"/>
          <w:kern w:val="0"/>
          <w:szCs w:val="20"/>
        </w:rPr>
        <w:t>工业建筑供暖通风与空气调节设计规范</w:t>
      </w:r>
    </w:p>
    <w:p w14:paraId="48096516">
      <w:pPr>
        <w:pStyle w:val="42"/>
        <w:ind w:firstLine="420"/>
        <w:rPr>
          <w:rFonts w:ascii="Times New Roman" w:hAnsi="Times New Roman"/>
          <w:kern w:val="0"/>
          <w:szCs w:val="20"/>
        </w:rPr>
      </w:pPr>
      <w:r>
        <w:rPr>
          <w:rFonts w:ascii="Times New Roman" w:hAnsi="Times New Roman"/>
          <w:kern w:val="0"/>
          <w:szCs w:val="20"/>
        </w:rPr>
        <w:t>GB 50025</w:t>
      </w:r>
      <w:r>
        <w:rPr>
          <w:rFonts w:hint="eastAsia" w:ascii="Times New Roman" w:hAnsi="Times New Roman"/>
          <w:kern w:val="0"/>
          <w:szCs w:val="20"/>
        </w:rPr>
        <w:t xml:space="preserve">  </w:t>
      </w:r>
      <w:r>
        <w:rPr>
          <w:rFonts w:ascii="Times New Roman" w:hAnsi="Times New Roman"/>
          <w:kern w:val="0"/>
          <w:szCs w:val="20"/>
        </w:rPr>
        <w:t>湿陷性黄土地区建筑标准</w:t>
      </w:r>
    </w:p>
    <w:p w14:paraId="2C048A48">
      <w:pPr>
        <w:pStyle w:val="42"/>
        <w:ind w:firstLine="420"/>
        <w:rPr>
          <w:rFonts w:ascii="Times New Roman" w:hAnsi="Times New Roman"/>
          <w:kern w:val="0"/>
          <w:szCs w:val="20"/>
        </w:rPr>
      </w:pPr>
      <w:r>
        <w:rPr>
          <w:rFonts w:ascii="Times New Roman" w:hAnsi="Times New Roman"/>
          <w:kern w:val="0"/>
          <w:szCs w:val="20"/>
        </w:rPr>
        <w:t>GB 50052</w:t>
      </w:r>
      <w:r>
        <w:rPr>
          <w:rFonts w:hint="eastAsia" w:ascii="Times New Roman" w:hAnsi="Times New Roman"/>
          <w:kern w:val="0"/>
          <w:szCs w:val="20"/>
        </w:rPr>
        <w:t xml:space="preserve">  </w:t>
      </w:r>
      <w:r>
        <w:rPr>
          <w:rFonts w:ascii="Times New Roman" w:hAnsi="Times New Roman"/>
          <w:kern w:val="0"/>
          <w:szCs w:val="20"/>
        </w:rPr>
        <w:t>供配电系统设计规范</w:t>
      </w:r>
    </w:p>
    <w:p w14:paraId="3B57A270">
      <w:pPr>
        <w:pStyle w:val="42"/>
        <w:ind w:firstLine="420"/>
        <w:rPr>
          <w:rFonts w:ascii="Times New Roman" w:hAnsi="Times New Roman"/>
          <w:kern w:val="0"/>
          <w:szCs w:val="20"/>
        </w:rPr>
      </w:pPr>
      <w:r>
        <w:rPr>
          <w:rFonts w:ascii="Times New Roman" w:hAnsi="Times New Roman"/>
          <w:kern w:val="0"/>
          <w:szCs w:val="20"/>
        </w:rPr>
        <w:t>GB 50054</w:t>
      </w:r>
      <w:r>
        <w:rPr>
          <w:rFonts w:hint="eastAsia" w:ascii="Times New Roman" w:hAnsi="Times New Roman"/>
          <w:kern w:val="0"/>
          <w:szCs w:val="20"/>
        </w:rPr>
        <w:t xml:space="preserve">  </w:t>
      </w:r>
      <w:r>
        <w:rPr>
          <w:rFonts w:ascii="Times New Roman" w:hAnsi="Times New Roman"/>
          <w:kern w:val="0"/>
          <w:szCs w:val="20"/>
        </w:rPr>
        <w:t>低压配电设计规范</w:t>
      </w:r>
    </w:p>
    <w:p w14:paraId="5A7D3FBB">
      <w:pPr>
        <w:pStyle w:val="42"/>
        <w:ind w:firstLine="420"/>
        <w:rPr>
          <w:rFonts w:ascii="Times New Roman" w:hAnsi="Times New Roman"/>
          <w:kern w:val="0"/>
          <w:szCs w:val="20"/>
        </w:rPr>
      </w:pPr>
      <w:r>
        <w:rPr>
          <w:rFonts w:ascii="Times New Roman" w:hAnsi="Times New Roman"/>
          <w:kern w:val="0"/>
          <w:szCs w:val="20"/>
        </w:rPr>
        <w:t>GB 50057</w:t>
      </w:r>
      <w:r>
        <w:rPr>
          <w:rFonts w:hint="eastAsia" w:ascii="Times New Roman" w:hAnsi="Times New Roman"/>
          <w:kern w:val="0"/>
          <w:szCs w:val="20"/>
        </w:rPr>
        <w:t xml:space="preserve">  </w:t>
      </w:r>
      <w:r>
        <w:rPr>
          <w:rFonts w:ascii="Times New Roman" w:hAnsi="Times New Roman"/>
          <w:kern w:val="0"/>
          <w:szCs w:val="20"/>
        </w:rPr>
        <w:t>建筑物防雷设计规范</w:t>
      </w:r>
    </w:p>
    <w:p w14:paraId="42BAEFB6">
      <w:pPr>
        <w:pStyle w:val="42"/>
        <w:ind w:firstLine="420"/>
        <w:rPr>
          <w:rFonts w:ascii="Times New Roman" w:hAnsi="Times New Roman"/>
          <w:kern w:val="0"/>
          <w:szCs w:val="20"/>
        </w:rPr>
      </w:pPr>
      <w:r>
        <w:rPr>
          <w:rFonts w:ascii="Times New Roman" w:hAnsi="Times New Roman"/>
          <w:kern w:val="0"/>
          <w:szCs w:val="20"/>
        </w:rPr>
        <w:t>GB 50058</w:t>
      </w:r>
      <w:r>
        <w:rPr>
          <w:rFonts w:hint="eastAsia" w:ascii="Times New Roman" w:hAnsi="Times New Roman"/>
          <w:kern w:val="0"/>
          <w:szCs w:val="20"/>
        </w:rPr>
        <w:t xml:space="preserve">  </w:t>
      </w:r>
      <w:r>
        <w:rPr>
          <w:rFonts w:ascii="Times New Roman" w:hAnsi="Times New Roman"/>
          <w:kern w:val="0"/>
          <w:szCs w:val="20"/>
        </w:rPr>
        <w:t>爆炸危险环境电力装置设计规范</w:t>
      </w:r>
    </w:p>
    <w:p w14:paraId="0CA6846F">
      <w:pPr>
        <w:pStyle w:val="42"/>
        <w:ind w:firstLine="420"/>
        <w:rPr>
          <w:rFonts w:ascii="Times New Roman" w:hAnsi="Times New Roman"/>
          <w:kern w:val="0"/>
          <w:szCs w:val="20"/>
        </w:rPr>
      </w:pPr>
      <w:r>
        <w:rPr>
          <w:rFonts w:ascii="Times New Roman" w:hAnsi="Times New Roman"/>
          <w:kern w:val="0"/>
          <w:szCs w:val="20"/>
        </w:rPr>
        <w:t>GB 50060</w:t>
      </w:r>
      <w:r>
        <w:rPr>
          <w:rFonts w:hint="eastAsia" w:ascii="Times New Roman" w:hAnsi="Times New Roman"/>
          <w:kern w:val="0"/>
          <w:szCs w:val="20"/>
        </w:rPr>
        <w:t xml:space="preserve">  </w:t>
      </w:r>
      <w:r>
        <w:rPr>
          <w:rFonts w:ascii="Times New Roman" w:hAnsi="Times New Roman"/>
          <w:kern w:val="0"/>
          <w:szCs w:val="20"/>
        </w:rPr>
        <w:t>高压配电装置设计规范</w:t>
      </w:r>
    </w:p>
    <w:p w14:paraId="3D28E5A7">
      <w:pPr>
        <w:pStyle w:val="42"/>
        <w:ind w:firstLine="420"/>
        <w:rPr>
          <w:rFonts w:ascii="Times New Roman" w:hAnsi="Times New Roman"/>
          <w:kern w:val="0"/>
          <w:szCs w:val="20"/>
        </w:rPr>
      </w:pPr>
      <w:r>
        <w:rPr>
          <w:rFonts w:ascii="Times New Roman" w:hAnsi="Times New Roman"/>
          <w:kern w:val="0"/>
          <w:szCs w:val="20"/>
        </w:rPr>
        <w:t>GB/T 50064</w:t>
      </w:r>
      <w:r>
        <w:rPr>
          <w:rFonts w:hint="eastAsia" w:ascii="Times New Roman" w:hAnsi="Times New Roman"/>
          <w:kern w:val="0"/>
          <w:szCs w:val="20"/>
        </w:rPr>
        <w:t xml:space="preserve">  </w:t>
      </w:r>
      <w:r>
        <w:rPr>
          <w:rFonts w:ascii="Times New Roman" w:hAnsi="Times New Roman"/>
          <w:kern w:val="0"/>
          <w:szCs w:val="20"/>
        </w:rPr>
        <w:t>交流电气装置的过电压保护和绝缘配合设计规范</w:t>
      </w:r>
    </w:p>
    <w:p w14:paraId="1CAA3012">
      <w:pPr>
        <w:pStyle w:val="42"/>
        <w:ind w:firstLine="420"/>
        <w:rPr>
          <w:rFonts w:ascii="Times New Roman" w:hAnsi="Times New Roman"/>
          <w:kern w:val="0"/>
          <w:szCs w:val="20"/>
        </w:rPr>
      </w:pPr>
      <w:r>
        <w:rPr>
          <w:rFonts w:ascii="Times New Roman" w:hAnsi="Times New Roman"/>
          <w:kern w:val="0"/>
          <w:szCs w:val="20"/>
        </w:rPr>
        <w:t>GB/T 50065</w:t>
      </w:r>
      <w:r>
        <w:rPr>
          <w:rFonts w:hint="eastAsia" w:ascii="Times New Roman" w:hAnsi="Times New Roman"/>
          <w:kern w:val="0"/>
          <w:szCs w:val="20"/>
        </w:rPr>
        <w:t xml:space="preserve">  </w:t>
      </w:r>
      <w:r>
        <w:rPr>
          <w:rFonts w:ascii="Times New Roman" w:hAnsi="Times New Roman"/>
          <w:kern w:val="0"/>
          <w:szCs w:val="20"/>
        </w:rPr>
        <w:t>交流电气装置的接地设计规范</w:t>
      </w:r>
    </w:p>
    <w:p w14:paraId="08128CA3">
      <w:pPr>
        <w:pStyle w:val="42"/>
        <w:ind w:firstLine="420"/>
        <w:rPr>
          <w:rFonts w:ascii="Times New Roman" w:hAnsi="Times New Roman"/>
          <w:kern w:val="0"/>
          <w:szCs w:val="20"/>
        </w:rPr>
      </w:pPr>
      <w:r>
        <w:rPr>
          <w:rFonts w:ascii="Times New Roman" w:hAnsi="Times New Roman"/>
          <w:kern w:val="0"/>
          <w:szCs w:val="20"/>
        </w:rPr>
        <w:t>GB/T 50011</w:t>
      </w:r>
      <w:r>
        <w:rPr>
          <w:rFonts w:hint="eastAsia" w:ascii="Times New Roman" w:hAnsi="Times New Roman"/>
          <w:kern w:val="0"/>
          <w:szCs w:val="20"/>
        </w:rPr>
        <w:t xml:space="preserve">  </w:t>
      </w:r>
      <w:r>
        <w:rPr>
          <w:rFonts w:ascii="Times New Roman" w:hAnsi="Times New Roman"/>
          <w:kern w:val="0"/>
          <w:szCs w:val="20"/>
        </w:rPr>
        <w:t>建筑抗震设计标准</w:t>
      </w:r>
    </w:p>
    <w:p w14:paraId="3853A17B">
      <w:pPr>
        <w:pStyle w:val="42"/>
        <w:ind w:firstLine="420"/>
        <w:rPr>
          <w:rFonts w:ascii="Times New Roman" w:hAnsi="Times New Roman"/>
          <w:kern w:val="0"/>
          <w:szCs w:val="20"/>
        </w:rPr>
      </w:pPr>
      <w:r>
        <w:rPr>
          <w:rFonts w:ascii="Times New Roman" w:hAnsi="Times New Roman"/>
          <w:kern w:val="0"/>
          <w:szCs w:val="20"/>
        </w:rPr>
        <w:t>GB 50112</w:t>
      </w:r>
      <w:r>
        <w:rPr>
          <w:rFonts w:hint="eastAsia" w:ascii="Times New Roman" w:hAnsi="Times New Roman"/>
          <w:kern w:val="0"/>
          <w:szCs w:val="20"/>
        </w:rPr>
        <w:t xml:space="preserve">  </w:t>
      </w:r>
      <w:r>
        <w:rPr>
          <w:rFonts w:ascii="Times New Roman" w:hAnsi="Times New Roman"/>
          <w:kern w:val="0"/>
          <w:szCs w:val="20"/>
        </w:rPr>
        <w:t>膨胀土地区建筑技术规范</w:t>
      </w:r>
    </w:p>
    <w:p w14:paraId="61B8CC54">
      <w:pPr>
        <w:pStyle w:val="42"/>
        <w:ind w:firstLine="420"/>
        <w:rPr>
          <w:rFonts w:ascii="Times New Roman" w:hAnsi="Times New Roman"/>
          <w:kern w:val="0"/>
          <w:szCs w:val="20"/>
        </w:rPr>
      </w:pPr>
      <w:r>
        <w:rPr>
          <w:rFonts w:ascii="Times New Roman" w:hAnsi="Times New Roman"/>
          <w:kern w:val="0"/>
          <w:szCs w:val="20"/>
        </w:rPr>
        <w:t>GB 50116</w:t>
      </w:r>
      <w:r>
        <w:rPr>
          <w:rFonts w:hint="eastAsia" w:ascii="Times New Roman" w:hAnsi="Times New Roman"/>
          <w:kern w:val="0"/>
          <w:szCs w:val="20"/>
        </w:rPr>
        <w:t xml:space="preserve">  </w:t>
      </w:r>
      <w:r>
        <w:rPr>
          <w:rFonts w:ascii="Times New Roman" w:hAnsi="Times New Roman"/>
          <w:kern w:val="0"/>
          <w:szCs w:val="20"/>
        </w:rPr>
        <w:t>火灾自动报警系统设计规范</w:t>
      </w:r>
    </w:p>
    <w:p w14:paraId="48B1E5A0">
      <w:pPr>
        <w:pStyle w:val="42"/>
        <w:ind w:firstLine="420"/>
        <w:rPr>
          <w:rFonts w:ascii="Times New Roman" w:hAnsi="Times New Roman"/>
          <w:kern w:val="0"/>
          <w:szCs w:val="20"/>
        </w:rPr>
      </w:pPr>
      <w:r>
        <w:rPr>
          <w:rFonts w:ascii="Times New Roman" w:hAnsi="Times New Roman"/>
          <w:kern w:val="0"/>
          <w:szCs w:val="20"/>
        </w:rPr>
        <w:t>GB 50183</w:t>
      </w:r>
      <w:r>
        <w:rPr>
          <w:rFonts w:hint="eastAsia" w:ascii="Times New Roman" w:hAnsi="Times New Roman"/>
          <w:kern w:val="0"/>
          <w:szCs w:val="20"/>
        </w:rPr>
        <w:t xml:space="preserve">  </w:t>
      </w:r>
      <w:r>
        <w:rPr>
          <w:rFonts w:ascii="Times New Roman" w:hAnsi="Times New Roman"/>
          <w:kern w:val="0"/>
          <w:szCs w:val="20"/>
        </w:rPr>
        <w:t>石油天然气工程设计防火规范</w:t>
      </w:r>
    </w:p>
    <w:p w14:paraId="09DA301B">
      <w:pPr>
        <w:pStyle w:val="42"/>
        <w:ind w:firstLine="420"/>
        <w:rPr>
          <w:rFonts w:ascii="Times New Roman" w:hAnsi="Times New Roman"/>
          <w:kern w:val="0"/>
          <w:szCs w:val="20"/>
        </w:rPr>
      </w:pPr>
      <w:r>
        <w:rPr>
          <w:rFonts w:ascii="Times New Roman" w:hAnsi="Times New Roman"/>
          <w:kern w:val="0"/>
          <w:szCs w:val="20"/>
        </w:rPr>
        <w:t>GB</w:t>
      </w:r>
      <w:r>
        <w:rPr>
          <w:rFonts w:hint="eastAsia" w:ascii="Times New Roman" w:hAnsi="Times New Roman"/>
          <w:kern w:val="0"/>
          <w:szCs w:val="20"/>
        </w:rPr>
        <w:t xml:space="preserve"> </w:t>
      </w:r>
      <w:r>
        <w:rPr>
          <w:rFonts w:ascii="Times New Roman" w:hAnsi="Times New Roman"/>
          <w:kern w:val="0"/>
          <w:szCs w:val="20"/>
        </w:rPr>
        <w:t>50190</w:t>
      </w:r>
      <w:r>
        <w:rPr>
          <w:rFonts w:hint="eastAsia" w:ascii="Times New Roman" w:hAnsi="Times New Roman"/>
          <w:kern w:val="0"/>
          <w:szCs w:val="20"/>
        </w:rPr>
        <w:t xml:space="preserve">  </w:t>
      </w:r>
      <w:r>
        <w:rPr>
          <w:rFonts w:ascii="Times New Roman" w:hAnsi="Times New Roman"/>
          <w:kern w:val="0"/>
          <w:szCs w:val="20"/>
        </w:rPr>
        <w:t>工业建筑振动控制设计标准</w:t>
      </w:r>
    </w:p>
    <w:p w14:paraId="4D4AE37C">
      <w:pPr>
        <w:pStyle w:val="42"/>
        <w:ind w:firstLine="420"/>
        <w:rPr>
          <w:rFonts w:ascii="Times New Roman" w:hAnsi="Times New Roman"/>
          <w:kern w:val="0"/>
          <w:szCs w:val="20"/>
        </w:rPr>
      </w:pPr>
      <w:r>
        <w:rPr>
          <w:rFonts w:ascii="Times New Roman" w:hAnsi="Times New Roman"/>
          <w:kern w:val="0"/>
          <w:szCs w:val="20"/>
        </w:rPr>
        <w:t>GB 50223</w:t>
      </w:r>
      <w:r>
        <w:rPr>
          <w:rFonts w:hint="eastAsia" w:ascii="Times New Roman" w:hAnsi="Times New Roman"/>
          <w:kern w:val="0"/>
          <w:szCs w:val="20"/>
        </w:rPr>
        <w:t xml:space="preserve">  </w:t>
      </w:r>
      <w:r>
        <w:rPr>
          <w:rFonts w:ascii="Times New Roman" w:hAnsi="Times New Roman"/>
          <w:kern w:val="0"/>
          <w:szCs w:val="20"/>
        </w:rPr>
        <w:t>建筑工程抗震设防分类标准</w:t>
      </w:r>
    </w:p>
    <w:p w14:paraId="7953B6EE">
      <w:pPr>
        <w:pStyle w:val="42"/>
        <w:ind w:firstLine="420"/>
        <w:rPr>
          <w:rFonts w:ascii="Times New Roman" w:hAnsi="Times New Roman"/>
          <w:kern w:val="0"/>
          <w:szCs w:val="20"/>
        </w:rPr>
      </w:pPr>
      <w:r>
        <w:rPr>
          <w:rFonts w:ascii="Times New Roman" w:hAnsi="Times New Roman"/>
          <w:kern w:val="0"/>
          <w:szCs w:val="20"/>
        </w:rPr>
        <w:t>GB 50229</w:t>
      </w:r>
      <w:r>
        <w:rPr>
          <w:rFonts w:hint="eastAsia" w:ascii="Times New Roman" w:hAnsi="Times New Roman"/>
          <w:kern w:val="0"/>
          <w:szCs w:val="20"/>
        </w:rPr>
        <w:t xml:space="preserve">  </w:t>
      </w:r>
      <w:r>
        <w:rPr>
          <w:rFonts w:ascii="Times New Roman" w:hAnsi="Times New Roman"/>
          <w:kern w:val="0"/>
          <w:szCs w:val="20"/>
        </w:rPr>
        <w:t>火力发电厂与变电站设计防火标准</w:t>
      </w:r>
    </w:p>
    <w:p w14:paraId="0A3D45C7">
      <w:pPr>
        <w:pStyle w:val="42"/>
        <w:ind w:firstLine="420"/>
        <w:rPr>
          <w:rFonts w:ascii="Times New Roman" w:hAnsi="Times New Roman"/>
          <w:kern w:val="0"/>
          <w:szCs w:val="20"/>
        </w:rPr>
      </w:pPr>
      <w:r>
        <w:rPr>
          <w:rFonts w:ascii="Times New Roman" w:hAnsi="Times New Roman"/>
          <w:kern w:val="0"/>
          <w:szCs w:val="20"/>
        </w:rPr>
        <w:t>GB 502</w:t>
      </w:r>
      <w:r>
        <w:rPr>
          <w:rFonts w:hint="eastAsia" w:ascii="Times New Roman" w:hAnsi="Times New Roman"/>
          <w:kern w:val="0"/>
          <w:szCs w:val="20"/>
        </w:rPr>
        <w:t>64  工业设备及管道绝热工程设计规范</w:t>
      </w:r>
    </w:p>
    <w:p w14:paraId="03D60A98">
      <w:pPr>
        <w:pStyle w:val="42"/>
        <w:ind w:firstLine="420"/>
        <w:rPr>
          <w:rFonts w:ascii="Times New Roman" w:hAnsi="Times New Roman"/>
          <w:kern w:val="0"/>
          <w:szCs w:val="20"/>
        </w:rPr>
      </w:pPr>
      <w:r>
        <w:rPr>
          <w:rFonts w:ascii="Times New Roman" w:hAnsi="Times New Roman"/>
          <w:kern w:val="0"/>
          <w:szCs w:val="20"/>
        </w:rPr>
        <w:t>GB 50343</w:t>
      </w:r>
      <w:r>
        <w:rPr>
          <w:rFonts w:hint="eastAsia" w:ascii="Times New Roman" w:hAnsi="Times New Roman"/>
          <w:kern w:val="0"/>
          <w:szCs w:val="20"/>
        </w:rPr>
        <w:t xml:space="preserve">  </w:t>
      </w:r>
      <w:r>
        <w:rPr>
          <w:rFonts w:ascii="Times New Roman" w:hAnsi="Times New Roman"/>
          <w:kern w:val="0"/>
          <w:szCs w:val="20"/>
        </w:rPr>
        <w:t>建筑物电子信息系统防雷技术规范</w:t>
      </w:r>
    </w:p>
    <w:p w14:paraId="3B8F184F">
      <w:pPr>
        <w:pStyle w:val="42"/>
        <w:ind w:firstLine="420"/>
        <w:rPr>
          <w:rFonts w:ascii="Times New Roman" w:hAnsi="Times New Roman"/>
          <w:kern w:val="0"/>
          <w:szCs w:val="20"/>
        </w:rPr>
      </w:pPr>
      <w:r>
        <w:rPr>
          <w:rFonts w:ascii="Times New Roman" w:hAnsi="Times New Roman"/>
          <w:kern w:val="0"/>
          <w:szCs w:val="20"/>
        </w:rPr>
        <w:t>GB 50348</w:t>
      </w:r>
      <w:r>
        <w:rPr>
          <w:rFonts w:hint="eastAsia" w:ascii="Times New Roman" w:hAnsi="Times New Roman"/>
          <w:kern w:val="0"/>
          <w:szCs w:val="20"/>
        </w:rPr>
        <w:t xml:space="preserve">  </w:t>
      </w:r>
      <w:r>
        <w:rPr>
          <w:rFonts w:ascii="Times New Roman" w:hAnsi="Times New Roman"/>
          <w:kern w:val="0"/>
          <w:szCs w:val="20"/>
        </w:rPr>
        <w:t>安全防范工程技术标准</w:t>
      </w:r>
    </w:p>
    <w:p w14:paraId="0DE9AA53">
      <w:pPr>
        <w:pStyle w:val="42"/>
        <w:ind w:firstLine="420"/>
        <w:rPr>
          <w:rFonts w:ascii="Times New Roman" w:hAnsi="Times New Roman"/>
          <w:kern w:val="0"/>
          <w:szCs w:val="20"/>
        </w:rPr>
      </w:pPr>
      <w:r>
        <w:rPr>
          <w:rFonts w:ascii="Times New Roman" w:hAnsi="Times New Roman"/>
          <w:kern w:val="0"/>
          <w:szCs w:val="20"/>
        </w:rPr>
        <w:t>GB 50349</w:t>
      </w:r>
      <w:r>
        <w:rPr>
          <w:rFonts w:hint="eastAsia" w:ascii="Times New Roman" w:hAnsi="Times New Roman"/>
          <w:kern w:val="0"/>
          <w:szCs w:val="20"/>
        </w:rPr>
        <w:t xml:space="preserve">  </w:t>
      </w:r>
      <w:r>
        <w:rPr>
          <w:rFonts w:ascii="Times New Roman" w:hAnsi="Times New Roman"/>
          <w:kern w:val="0"/>
          <w:szCs w:val="20"/>
        </w:rPr>
        <w:t>气田集输设计规范</w:t>
      </w:r>
    </w:p>
    <w:p w14:paraId="5ABB01AA">
      <w:pPr>
        <w:pStyle w:val="42"/>
        <w:ind w:firstLine="420"/>
        <w:rPr>
          <w:rFonts w:ascii="Times New Roman" w:hAnsi="Times New Roman"/>
          <w:kern w:val="0"/>
          <w:szCs w:val="20"/>
        </w:rPr>
      </w:pPr>
      <w:r>
        <w:rPr>
          <w:rFonts w:ascii="Times New Roman" w:hAnsi="Times New Roman"/>
          <w:kern w:val="0"/>
          <w:szCs w:val="20"/>
        </w:rPr>
        <w:t>GB 50350</w:t>
      </w:r>
      <w:r>
        <w:rPr>
          <w:rFonts w:hint="eastAsia" w:ascii="Times New Roman" w:hAnsi="Times New Roman"/>
          <w:kern w:val="0"/>
          <w:szCs w:val="20"/>
        </w:rPr>
        <w:t xml:space="preserve">  </w:t>
      </w:r>
      <w:r>
        <w:rPr>
          <w:rFonts w:ascii="Times New Roman" w:hAnsi="Times New Roman"/>
          <w:kern w:val="0"/>
          <w:szCs w:val="20"/>
        </w:rPr>
        <w:t>油田油气集输设计规范</w:t>
      </w:r>
    </w:p>
    <w:p w14:paraId="39907D4A">
      <w:pPr>
        <w:pStyle w:val="42"/>
        <w:ind w:firstLine="420"/>
        <w:rPr>
          <w:rFonts w:ascii="Times New Roman" w:hAnsi="Times New Roman"/>
          <w:kern w:val="0"/>
          <w:szCs w:val="20"/>
        </w:rPr>
      </w:pPr>
      <w:r>
        <w:rPr>
          <w:rFonts w:ascii="Times New Roman" w:hAnsi="Times New Roman"/>
          <w:kern w:val="0"/>
          <w:szCs w:val="20"/>
        </w:rPr>
        <w:t>GB/T 50393</w:t>
      </w:r>
      <w:r>
        <w:rPr>
          <w:rFonts w:hint="eastAsia" w:ascii="Times New Roman" w:hAnsi="Times New Roman"/>
          <w:kern w:val="0"/>
          <w:szCs w:val="20"/>
        </w:rPr>
        <w:t xml:space="preserve">  </w:t>
      </w:r>
      <w:r>
        <w:rPr>
          <w:rFonts w:ascii="Times New Roman" w:hAnsi="Times New Roman"/>
          <w:kern w:val="0"/>
          <w:szCs w:val="20"/>
        </w:rPr>
        <w:t>钢质石油储罐防腐蚀工程技术标准</w:t>
      </w:r>
    </w:p>
    <w:p w14:paraId="47A7479E">
      <w:pPr>
        <w:pStyle w:val="42"/>
        <w:ind w:firstLine="420"/>
        <w:rPr>
          <w:rFonts w:ascii="Times New Roman" w:hAnsi="Times New Roman"/>
          <w:kern w:val="0"/>
          <w:szCs w:val="20"/>
        </w:rPr>
      </w:pPr>
      <w:r>
        <w:rPr>
          <w:rFonts w:ascii="Times New Roman" w:hAnsi="Times New Roman"/>
          <w:kern w:val="0"/>
          <w:szCs w:val="20"/>
        </w:rPr>
        <w:t>GB</w:t>
      </w:r>
      <w:r>
        <w:rPr>
          <w:rFonts w:hint="eastAsia" w:ascii="Times New Roman" w:hAnsi="Times New Roman"/>
          <w:kern w:val="0"/>
          <w:szCs w:val="20"/>
        </w:rPr>
        <w:t xml:space="preserve"> </w:t>
      </w:r>
      <w:r>
        <w:rPr>
          <w:rFonts w:ascii="Times New Roman" w:hAnsi="Times New Roman"/>
          <w:kern w:val="0"/>
          <w:szCs w:val="20"/>
        </w:rPr>
        <w:t>50453</w:t>
      </w:r>
      <w:r>
        <w:rPr>
          <w:rFonts w:hint="eastAsia" w:ascii="Times New Roman" w:hAnsi="Times New Roman"/>
          <w:kern w:val="0"/>
          <w:szCs w:val="20"/>
        </w:rPr>
        <w:t xml:space="preserve">  </w:t>
      </w:r>
      <w:r>
        <w:rPr>
          <w:rFonts w:ascii="Times New Roman" w:hAnsi="Times New Roman"/>
          <w:kern w:val="0"/>
          <w:szCs w:val="20"/>
        </w:rPr>
        <w:t>石油化工建（构）筑物抗震设防分类标准</w:t>
      </w:r>
    </w:p>
    <w:p w14:paraId="7EDACF3A">
      <w:pPr>
        <w:pStyle w:val="42"/>
        <w:ind w:firstLine="420"/>
        <w:rPr>
          <w:rFonts w:ascii="Times New Roman" w:hAnsi="Times New Roman"/>
          <w:kern w:val="0"/>
          <w:szCs w:val="20"/>
        </w:rPr>
      </w:pPr>
      <w:r>
        <w:rPr>
          <w:rFonts w:ascii="Times New Roman" w:hAnsi="Times New Roman"/>
          <w:kern w:val="0"/>
          <w:szCs w:val="20"/>
        </w:rPr>
        <w:t>GB</w:t>
      </w:r>
      <w:r>
        <w:rPr>
          <w:rFonts w:hint="eastAsia" w:ascii="Times New Roman" w:hAnsi="Times New Roman"/>
          <w:kern w:val="0"/>
          <w:szCs w:val="20"/>
        </w:rPr>
        <w:t xml:space="preserve"> </w:t>
      </w:r>
      <w:r>
        <w:rPr>
          <w:rFonts w:ascii="Times New Roman" w:hAnsi="Times New Roman"/>
          <w:kern w:val="0"/>
          <w:szCs w:val="20"/>
        </w:rPr>
        <w:t>50463</w:t>
      </w:r>
      <w:r>
        <w:rPr>
          <w:rFonts w:hint="eastAsia" w:ascii="Times New Roman" w:hAnsi="Times New Roman"/>
          <w:kern w:val="0"/>
          <w:szCs w:val="20"/>
        </w:rPr>
        <w:t xml:space="preserve">  </w:t>
      </w:r>
      <w:r>
        <w:rPr>
          <w:rFonts w:ascii="Times New Roman" w:hAnsi="Times New Roman"/>
          <w:kern w:val="0"/>
          <w:szCs w:val="20"/>
        </w:rPr>
        <w:t>工程隔振设计标准</w:t>
      </w:r>
    </w:p>
    <w:p w14:paraId="032751FF">
      <w:pPr>
        <w:pStyle w:val="42"/>
        <w:ind w:firstLine="420"/>
        <w:rPr>
          <w:rFonts w:ascii="Times New Roman" w:hAnsi="Times New Roman"/>
          <w:kern w:val="0"/>
          <w:szCs w:val="20"/>
        </w:rPr>
      </w:pPr>
      <w:r>
        <w:rPr>
          <w:rFonts w:ascii="Times New Roman" w:hAnsi="Times New Roman"/>
          <w:kern w:val="0"/>
          <w:szCs w:val="20"/>
        </w:rPr>
        <w:t>GB</w:t>
      </w:r>
      <w:r>
        <w:rPr>
          <w:rFonts w:hint="eastAsia" w:ascii="Times New Roman" w:hAnsi="Times New Roman"/>
          <w:kern w:val="0"/>
          <w:szCs w:val="20"/>
        </w:rPr>
        <w:t>/T</w:t>
      </w:r>
      <w:r>
        <w:rPr>
          <w:rFonts w:ascii="Times New Roman" w:hAnsi="Times New Roman"/>
          <w:kern w:val="0"/>
          <w:szCs w:val="20"/>
        </w:rPr>
        <w:t xml:space="preserve"> 50493</w:t>
      </w:r>
      <w:r>
        <w:rPr>
          <w:rFonts w:hint="eastAsia" w:ascii="Times New Roman" w:hAnsi="Times New Roman"/>
          <w:kern w:val="0"/>
          <w:szCs w:val="20"/>
        </w:rPr>
        <w:t xml:space="preserve">  </w:t>
      </w:r>
      <w:r>
        <w:rPr>
          <w:rFonts w:ascii="Times New Roman" w:hAnsi="Times New Roman"/>
          <w:kern w:val="0"/>
          <w:szCs w:val="20"/>
        </w:rPr>
        <w:t>石油化工可燃气体和有毒气体检测报警设计标准</w:t>
      </w:r>
    </w:p>
    <w:p w14:paraId="5470CD1B">
      <w:pPr>
        <w:pStyle w:val="42"/>
        <w:ind w:firstLine="420"/>
        <w:rPr>
          <w:rFonts w:ascii="Times New Roman" w:hAnsi="Times New Roman"/>
          <w:kern w:val="0"/>
          <w:szCs w:val="20"/>
        </w:rPr>
      </w:pPr>
      <w:r>
        <w:rPr>
          <w:rFonts w:ascii="Times New Roman" w:hAnsi="Times New Roman"/>
          <w:kern w:val="0"/>
          <w:szCs w:val="20"/>
        </w:rPr>
        <w:t>GB</w:t>
      </w:r>
      <w:r>
        <w:rPr>
          <w:rFonts w:hint="eastAsia" w:ascii="Times New Roman" w:hAnsi="Times New Roman"/>
          <w:kern w:val="0"/>
          <w:szCs w:val="20"/>
        </w:rPr>
        <w:t>/T</w:t>
      </w:r>
      <w:r>
        <w:rPr>
          <w:rFonts w:ascii="Times New Roman" w:hAnsi="Times New Roman"/>
          <w:kern w:val="0"/>
          <w:szCs w:val="20"/>
        </w:rPr>
        <w:t xml:space="preserve"> 50</w:t>
      </w:r>
      <w:r>
        <w:rPr>
          <w:rFonts w:hint="eastAsia" w:ascii="Times New Roman" w:hAnsi="Times New Roman"/>
          <w:kern w:val="0"/>
          <w:szCs w:val="20"/>
        </w:rPr>
        <w:t xml:space="preserve">538  </w:t>
      </w:r>
      <w:r>
        <w:rPr>
          <w:rFonts w:ascii="Times New Roman" w:hAnsi="Times New Roman"/>
          <w:kern w:val="0"/>
          <w:szCs w:val="20"/>
        </w:rPr>
        <w:t>埋地钢质管道防腐保温层技术标准</w:t>
      </w:r>
    </w:p>
    <w:p w14:paraId="5AA29585">
      <w:pPr>
        <w:pStyle w:val="42"/>
        <w:ind w:firstLine="420"/>
        <w:rPr>
          <w:rFonts w:ascii="Times New Roman" w:hAnsi="Times New Roman"/>
          <w:kern w:val="0"/>
          <w:szCs w:val="20"/>
        </w:rPr>
      </w:pPr>
      <w:r>
        <w:rPr>
          <w:rFonts w:ascii="Times New Roman" w:hAnsi="Times New Roman"/>
          <w:kern w:val="0"/>
          <w:szCs w:val="20"/>
        </w:rPr>
        <w:t>GB/T 50779</w:t>
      </w:r>
      <w:r>
        <w:rPr>
          <w:rFonts w:hint="eastAsia" w:ascii="Times New Roman" w:hAnsi="Times New Roman"/>
          <w:kern w:val="0"/>
          <w:szCs w:val="20"/>
        </w:rPr>
        <w:t xml:space="preserve">  </w:t>
      </w:r>
      <w:r>
        <w:rPr>
          <w:rFonts w:ascii="Times New Roman" w:hAnsi="Times New Roman"/>
          <w:kern w:val="0"/>
          <w:szCs w:val="20"/>
        </w:rPr>
        <w:t>石油化工建筑物抗爆设计标准</w:t>
      </w:r>
    </w:p>
    <w:p w14:paraId="5FF02962">
      <w:pPr>
        <w:pStyle w:val="42"/>
        <w:ind w:firstLine="420"/>
        <w:rPr>
          <w:rFonts w:ascii="Times New Roman" w:hAnsi="Times New Roman"/>
          <w:kern w:val="0"/>
          <w:szCs w:val="20"/>
        </w:rPr>
      </w:pPr>
      <w:r>
        <w:rPr>
          <w:rFonts w:ascii="Times New Roman" w:hAnsi="Times New Roman"/>
          <w:kern w:val="0"/>
          <w:szCs w:val="20"/>
        </w:rPr>
        <w:t>GB/T 50934</w:t>
      </w:r>
      <w:r>
        <w:rPr>
          <w:rFonts w:hint="eastAsia" w:ascii="Times New Roman" w:hAnsi="Times New Roman"/>
          <w:kern w:val="0"/>
          <w:szCs w:val="20"/>
        </w:rPr>
        <w:t xml:space="preserve">  </w:t>
      </w:r>
      <w:r>
        <w:rPr>
          <w:rFonts w:ascii="Times New Roman" w:hAnsi="Times New Roman"/>
          <w:kern w:val="0"/>
          <w:szCs w:val="20"/>
        </w:rPr>
        <w:t>石油化工工程防渗技术规范</w:t>
      </w:r>
    </w:p>
    <w:p w14:paraId="04FDB86E">
      <w:pPr>
        <w:pStyle w:val="42"/>
        <w:ind w:firstLine="420"/>
        <w:rPr>
          <w:rFonts w:ascii="Times New Roman" w:hAnsi="Times New Roman"/>
          <w:kern w:val="0"/>
          <w:szCs w:val="20"/>
        </w:rPr>
      </w:pPr>
      <w:r>
        <w:rPr>
          <w:rFonts w:ascii="Times New Roman" w:hAnsi="Times New Roman"/>
          <w:kern w:val="0"/>
          <w:szCs w:val="20"/>
        </w:rPr>
        <w:t>GB/T 50942</w:t>
      </w:r>
      <w:r>
        <w:rPr>
          <w:rFonts w:hint="eastAsia" w:ascii="Times New Roman" w:hAnsi="Times New Roman"/>
          <w:kern w:val="0"/>
          <w:szCs w:val="20"/>
        </w:rPr>
        <w:t xml:space="preserve">  </w:t>
      </w:r>
      <w:r>
        <w:rPr>
          <w:rFonts w:ascii="Times New Roman" w:hAnsi="Times New Roman"/>
          <w:kern w:val="0"/>
          <w:szCs w:val="20"/>
        </w:rPr>
        <w:t>盐渍土地区建筑技术规范</w:t>
      </w:r>
    </w:p>
    <w:p w14:paraId="03B4D904">
      <w:pPr>
        <w:pStyle w:val="42"/>
        <w:ind w:firstLine="420"/>
        <w:rPr>
          <w:rFonts w:ascii="Times New Roman" w:hAnsi="Times New Roman"/>
          <w:kern w:val="0"/>
          <w:szCs w:val="20"/>
        </w:rPr>
      </w:pPr>
      <w:r>
        <w:rPr>
          <w:rFonts w:ascii="Times New Roman" w:hAnsi="Times New Roman"/>
          <w:kern w:val="0"/>
          <w:szCs w:val="20"/>
        </w:rPr>
        <w:t>GB/T 51248</w:t>
      </w:r>
      <w:r>
        <w:rPr>
          <w:rFonts w:hint="eastAsia" w:ascii="Times New Roman" w:hAnsi="Times New Roman"/>
          <w:kern w:val="0"/>
          <w:szCs w:val="20"/>
        </w:rPr>
        <w:t xml:space="preserve">  </w:t>
      </w:r>
      <w:r>
        <w:rPr>
          <w:rFonts w:ascii="Times New Roman" w:hAnsi="Times New Roman"/>
          <w:kern w:val="0"/>
          <w:szCs w:val="20"/>
        </w:rPr>
        <w:t>天然气净化厂设计规范</w:t>
      </w:r>
    </w:p>
    <w:p w14:paraId="1B2CD727">
      <w:pPr>
        <w:pStyle w:val="42"/>
        <w:ind w:firstLine="420"/>
        <w:rPr>
          <w:rFonts w:ascii="Times New Roman" w:hAnsi="Times New Roman"/>
          <w:kern w:val="0"/>
          <w:szCs w:val="20"/>
        </w:rPr>
      </w:pPr>
      <w:r>
        <w:rPr>
          <w:rFonts w:ascii="Times New Roman" w:hAnsi="Times New Roman"/>
          <w:kern w:val="0"/>
          <w:szCs w:val="20"/>
        </w:rPr>
        <w:t>GB 51251</w:t>
      </w:r>
      <w:r>
        <w:rPr>
          <w:rFonts w:hint="eastAsia" w:ascii="Times New Roman" w:hAnsi="Times New Roman"/>
          <w:kern w:val="0"/>
          <w:szCs w:val="20"/>
        </w:rPr>
        <w:t xml:space="preserve">  </w:t>
      </w:r>
      <w:r>
        <w:rPr>
          <w:rFonts w:ascii="Times New Roman" w:hAnsi="Times New Roman"/>
          <w:kern w:val="0"/>
          <w:szCs w:val="20"/>
        </w:rPr>
        <w:t>建筑防烟排烟系统技术标准</w:t>
      </w:r>
    </w:p>
    <w:p w14:paraId="03CAD067">
      <w:pPr>
        <w:pStyle w:val="42"/>
        <w:ind w:firstLine="420"/>
        <w:rPr>
          <w:rFonts w:ascii="Times New Roman" w:hAnsi="Times New Roman"/>
          <w:kern w:val="0"/>
          <w:szCs w:val="20"/>
        </w:rPr>
      </w:pPr>
      <w:r>
        <w:rPr>
          <w:rFonts w:ascii="Times New Roman" w:hAnsi="Times New Roman"/>
          <w:kern w:val="0"/>
          <w:szCs w:val="20"/>
        </w:rPr>
        <w:t>GB/T 51257</w:t>
      </w:r>
      <w:r>
        <w:rPr>
          <w:rFonts w:hint="eastAsia" w:ascii="Times New Roman" w:hAnsi="Times New Roman"/>
          <w:kern w:val="0"/>
          <w:szCs w:val="20"/>
        </w:rPr>
        <w:t xml:space="preserve">  </w:t>
      </w:r>
      <w:r>
        <w:rPr>
          <w:rFonts w:ascii="Times New Roman" w:hAnsi="Times New Roman"/>
          <w:kern w:val="0"/>
          <w:szCs w:val="20"/>
        </w:rPr>
        <w:t>液化天然气低温管道设计规范</w:t>
      </w:r>
    </w:p>
    <w:p w14:paraId="02199E88">
      <w:pPr>
        <w:pStyle w:val="42"/>
        <w:ind w:firstLine="420"/>
        <w:rPr>
          <w:rFonts w:ascii="Times New Roman" w:hAnsi="Times New Roman"/>
          <w:kern w:val="0"/>
          <w:szCs w:val="20"/>
        </w:rPr>
      </w:pPr>
      <w:r>
        <w:rPr>
          <w:rFonts w:ascii="Times New Roman" w:hAnsi="Times New Roman"/>
          <w:kern w:val="0"/>
          <w:szCs w:val="20"/>
        </w:rPr>
        <w:t>GB 51309</w:t>
      </w:r>
      <w:r>
        <w:rPr>
          <w:rFonts w:hint="eastAsia" w:ascii="Times New Roman" w:hAnsi="Times New Roman"/>
          <w:kern w:val="0"/>
          <w:szCs w:val="20"/>
        </w:rPr>
        <w:t xml:space="preserve">  </w:t>
      </w:r>
      <w:r>
        <w:rPr>
          <w:rFonts w:ascii="Times New Roman" w:hAnsi="Times New Roman"/>
          <w:kern w:val="0"/>
          <w:szCs w:val="20"/>
        </w:rPr>
        <w:t>消防应急照明和疏散指示系统技术标准</w:t>
      </w:r>
    </w:p>
    <w:p w14:paraId="384368C2">
      <w:pPr>
        <w:pStyle w:val="42"/>
        <w:ind w:firstLine="420"/>
        <w:rPr>
          <w:rFonts w:ascii="Times New Roman" w:hAnsi="Times New Roman"/>
          <w:kern w:val="0"/>
          <w:szCs w:val="20"/>
        </w:rPr>
      </w:pPr>
      <w:r>
        <w:rPr>
          <w:rFonts w:ascii="Times New Roman" w:hAnsi="Times New Roman"/>
          <w:kern w:val="0"/>
          <w:szCs w:val="20"/>
        </w:rPr>
        <w:t>GB 55002</w:t>
      </w:r>
      <w:r>
        <w:rPr>
          <w:rFonts w:hint="eastAsia" w:ascii="Times New Roman" w:hAnsi="Times New Roman"/>
          <w:kern w:val="0"/>
          <w:szCs w:val="20"/>
        </w:rPr>
        <w:t xml:space="preserve">  </w:t>
      </w:r>
      <w:r>
        <w:rPr>
          <w:rFonts w:ascii="Times New Roman" w:hAnsi="Times New Roman"/>
          <w:kern w:val="0"/>
          <w:szCs w:val="20"/>
        </w:rPr>
        <w:t>建筑与市政工程抗震通用规范</w:t>
      </w:r>
    </w:p>
    <w:p w14:paraId="65D3C765">
      <w:pPr>
        <w:pStyle w:val="42"/>
        <w:ind w:firstLine="420"/>
        <w:rPr>
          <w:rFonts w:ascii="Times New Roman" w:hAnsi="Times New Roman"/>
          <w:kern w:val="0"/>
          <w:szCs w:val="20"/>
        </w:rPr>
      </w:pPr>
      <w:r>
        <w:rPr>
          <w:rFonts w:ascii="Times New Roman" w:hAnsi="Times New Roman"/>
          <w:kern w:val="0"/>
          <w:szCs w:val="20"/>
        </w:rPr>
        <w:t>GB 55029</w:t>
      </w:r>
      <w:r>
        <w:rPr>
          <w:rFonts w:hint="eastAsia" w:ascii="Times New Roman" w:hAnsi="Times New Roman"/>
          <w:kern w:val="0"/>
          <w:szCs w:val="20"/>
        </w:rPr>
        <w:t xml:space="preserve">  </w:t>
      </w:r>
      <w:r>
        <w:rPr>
          <w:rFonts w:ascii="Times New Roman" w:hAnsi="Times New Roman"/>
          <w:kern w:val="0"/>
          <w:szCs w:val="20"/>
        </w:rPr>
        <w:t>安全防范工程通用规范</w:t>
      </w:r>
    </w:p>
    <w:p w14:paraId="492F909C">
      <w:pPr>
        <w:pStyle w:val="42"/>
        <w:ind w:firstLine="420"/>
        <w:rPr>
          <w:rFonts w:ascii="Times New Roman" w:hAnsi="Times New Roman"/>
          <w:kern w:val="0"/>
          <w:szCs w:val="20"/>
        </w:rPr>
      </w:pPr>
      <w:r>
        <w:rPr>
          <w:rFonts w:ascii="Times New Roman" w:hAnsi="Times New Roman"/>
          <w:kern w:val="0"/>
          <w:szCs w:val="20"/>
        </w:rPr>
        <w:t>GB 55036</w:t>
      </w:r>
      <w:r>
        <w:rPr>
          <w:rFonts w:hint="eastAsia" w:ascii="Times New Roman" w:hAnsi="Times New Roman"/>
          <w:kern w:val="0"/>
          <w:szCs w:val="20"/>
        </w:rPr>
        <w:t xml:space="preserve">  </w:t>
      </w:r>
      <w:r>
        <w:rPr>
          <w:rFonts w:ascii="Times New Roman" w:hAnsi="Times New Roman"/>
          <w:kern w:val="0"/>
          <w:szCs w:val="20"/>
        </w:rPr>
        <w:t>消防设施通用规范</w:t>
      </w:r>
    </w:p>
    <w:p w14:paraId="44865ECD">
      <w:pPr>
        <w:pStyle w:val="42"/>
        <w:ind w:firstLine="420"/>
        <w:rPr>
          <w:rFonts w:ascii="Times New Roman" w:hAnsi="Times New Roman"/>
          <w:kern w:val="0"/>
          <w:szCs w:val="20"/>
        </w:rPr>
      </w:pPr>
      <w:r>
        <w:rPr>
          <w:rFonts w:ascii="Times New Roman" w:hAnsi="Times New Roman"/>
          <w:kern w:val="0"/>
          <w:szCs w:val="20"/>
        </w:rPr>
        <w:t>GB 55037</w:t>
      </w:r>
      <w:r>
        <w:rPr>
          <w:rFonts w:hint="eastAsia" w:ascii="Times New Roman" w:hAnsi="Times New Roman"/>
          <w:kern w:val="0"/>
          <w:szCs w:val="20"/>
        </w:rPr>
        <w:t xml:space="preserve">  </w:t>
      </w:r>
      <w:r>
        <w:rPr>
          <w:rFonts w:ascii="Times New Roman" w:hAnsi="Times New Roman"/>
          <w:kern w:val="0"/>
          <w:szCs w:val="20"/>
        </w:rPr>
        <w:t>建筑防火通用规范</w:t>
      </w:r>
    </w:p>
    <w:p w14:paraId="5F628916">
      <w:pPr>
        <w:pStyle w:val="42"/>
        <w:ind w:firstLine="420"/>
        <w:rPr>
          <w:rFonts w:ascii="Times New Roman" w:hAnsi="Times New Roman"/>
          <w:kern w:val="0"/>
          <w:szCs w:val="20"/>
        </w:rPr>
      </w:pPr>
      <w:r>
        <w:rPr>
          <w:rFonts w:ascii="Times New Roman" w:hAnsi="Times New Roman"/>
          <w:kern w:val="0"/>
          <w:szCs w:val="20"/>
        </w:rPr>
        <w:t xml:space="preserve">JGJ </w:t>
      </w:r>
      <w:r>
        <w:rPr>
          <w:rFonts w:hint="eastAsia" w:ascii="Times New Roman" w:hAnsi="Times New Roman"/>
          <w:kern w:val="0"/>
          <w:szCs w:val="20"/>
        </w:rPr>
        <w:t xml:space="preserve">  </w:t>
      </w:r>
      <w:r>
        <w:rPr>
          <w:rFonts w:ascii="Times New Roman" w:hAnsi="Times New Roman"/>
          <w:kern w:val="0"/>
          <w:szCs w:val="20"/>
        </w:rPr>
        <w:t>79</w:t>
      </w:r>
      <w:r>
        <w:rPr>
          <w:rFonts w:hint="eastAsia" w:ascii="Times New Roman" w:hAnsi="Times New Roman"/>
          <w:kern w:val="0"/>
          <w:szCs w:val="20"/>
        </w:rPr>
        <w:t xml:space="preserve">  </w:t>
      </w:r>
      <w:r>
        <w:rPr>
          <w:rFonts w:ascii="Times New Roman" w:hAnsi="Times New Roman"/>
          <w:kern w:val="0"/>
          <w:szCs w:val="20"/>
        </w:rPr>
        <w:t>建筑地基处理技术规范</w:t>
      </w:r>
    </w:p>
    <w:p w14:paraId="1698A496">
      <w:pPr>
        <w:pStyle w:val="42"/>
        <w:ind w:firstLine="420"/>
        <w:rPr>
          <w:rFonts w:ascii="Times New Roman" w:hAnsi="Times New Roman"/>
        </w:rPr>
      </w:pPr>
      <w:r>
        <w:rPr>
          <w:rFonts w:ascii="Times New Roman" w:hAnsi="Times New Roman"/>
        </w:rPr>
        <w:t>SY/T 0033</w:t>
      </w:r>
      <w:r>
        <w:rPr>
          <w:rFonts w:hint="eastAsia" w:ascii="Times New Roman" w:hAnsi="Times New Roman"/>
        </w:rPr>
        <w:t xml:space="preserve">  </w:t>
      </w:r>
      <w:r>
        <w:rPr>
          <w:rFonts w:ascii="Times New Roman" w:hAnsi="Times New Roman"/>
        </w:rPr>
        <w:t>油气田变配电设计规范</w:t>
      </w:r>
    </w:p>
    <w:p w14:paraId="3B922E45">
      <w:pPr>
        <w:pStyle w:val="42"/>
        <w:ind w:firstLine="420"/>
        <w:rPr>
          <w:rFonts w:ascii="Times New Roman" w:hAnsi="Times New Roman"/>
        </w:rPr>
      </w:pPr>
      <w:r>
        <w:rPr>
          <w:rFonts w:ascii="Times New Roman" w:hAnsi="Times New Roman"/>
        </w:rPr>
        <w:t>SY/T 0048</w:t>
      </w:r>
      <w:r>
        <w:rPr>
          <w:rFonts w:hint="eastAsia" w:ascii="Times New Roman" w:hAnsi="Times New Roman"/>
        </w:rPr>
        <w:t xml:space="preserve">  </w:t>
      </w:r>
      <w:r>
        <w:rPr>
          <w:rFonts w:ascii="Times New Roman" w:hAnsi="Times New Roman"/>
        </w:rPr>
        <w:t>石油天然气工程总图设计规范</w:t>
      </w:r>
    </w:p>
    <w:p w14:paraId="3BB384F5">
      <w:pPr>
        <w:pStyle w:val="42"/>
        <w:ind w:firstLine="420"/>
        <w:rPr>
          <w:rFonts w:ascii="Times New Roman" w:hAnsi="Times New Roman"/>
        </w:rPr>
      </w:pPr>
      <w:r>
        <w:rPr>
          <w:rFonts w:ascii="Times New Roman" w:hAnsi="Times New Roman"/>
        </w:rPr>
        <w:t>SY/T 0060</w:t>
      </w:r>
      <w:r>
        <w:rPr>
          <w:rFonts w:hint="eastAsia" w:ascii="Times New Roman" w:hAnsi="Times New Roman"/>
        </w:rPr>
        <w:t xml:space="preserve">  </w:t>
      </w:r>
      <w:r>
        <w:rPr>
          <w:rFonts w:ascii="Times New Roman" w:hAnsi="Times New Roman"/>
        </w:rPr>
        <w:t>油气田防静电接地设计规范</w:t>
      </w:r>
    </w:p>
    <w:p w14:paraId="2A76E138">
      <w:pPr>
        <w:pStyle w:val="42"/>
        <w:ind w:firstLine="420"/>
        <w:rPr>
          <w:rFonts w:ascii="Times New Roman" w:hAnsi="Times New Roman"/>
        </w:rPr>
      </w:pPr>
      <w:r>
        <w:rPr>
          <w:rFonts w:ascii="Times New Roman" w:hAnsi="Times New Roman"/>
        </w:rPr>
        <w:t>SY/T 0319</w:t>
      </w:r>
      <w:r>
        <w:rPr>
          <w:rFonts w:hint="eastAsia" w:ascii="Times New Roman" w:hAnsi="Times New Roman"/>
        </w:rPr>
        <w:t xml:space="preserve">  </w:t>
      </w:r>
      <w:r>
        <w:rPr>
          <w:rFonts w:ascii="Times New Roman" w:hAnsi="Times New Roman"/>
        </w:rPr>
        <w:t>钢质储罐防腐层技术规范</w:t>
      </w:r>
    </w:p>
    <w:p w14:paraId="145A59C4">
      <w:pPr>
        <w:pStyle w:val="42"/>
        <w:ind w:firstLine="420"/>
        <w:rPr>
          <w:rFonts w:ascii="Times New Roman" w:hAnsi="Times New Roman"/>
        </w:rPr>
      </w:pPr>
      <w:r>
        <w:rPr>
          <w:rFonts w:ascii="Times New Roman" w:hAnsi="Times New Roman"/>
        </w:rPr>
        <w:t>SY/T 03</w:t>
      </w:r>
      <w:r>
        <w:rPr>
          <w:rFonts w:hint="eastAsia" w:ascii="Times New Roman" w:hAnsi="Times New Roman"/>
        </w:rPr>
        <w:t>26  钢质储罐内衬环氧玻璃钢技术标准</w:t>
      </w:r>
    </w:p>
    <w:p w14:paraId="56F7A252">
      <w:pPr>
        <w:pStyle w:val="42"/>
        <w:ind w:firstLine="420"/>
        <w:rPr>
          <w:rFonts w:ascii="Times New Roman" w:hAnsi="Times New Roman"/>
        </w:rPr>
      </w:pPr>
      <w:r>
        <w:rPr>
          <w:rFonts w:ascii="Times New Roman" w:hAnsi="Times New Roman"/>
        </w:rPr>
        <w:t>SY/T 0524</w:t>
      </w:r>
      <w:r>
        <w:rPr>
          <w:rFonts w:hint="eastAsia" w:ascii="Times New Roman" w:hAnsi="Times New Roman"/>
        </w:rPr>
        <w:t xml:space="preserve">  </w:t>
      </w:r>
      <w:r>
        <w:rPr>
          <w:rFonts w:ascii="Times New Roman" w:hAnsi="Times New Roman"/>
        </w:rPr>
        <w:t>导热油加热炉系统规范</w:t>
      </w:r>
    </w:p>
    <w:p w14:paraId="380E7FEE">
      <w:pPr>
        <w:pStyle w:val="42"/>
        <w:ind w:firstLine="420"/>
        <w:rPr>
          <w:rFonts w:ascii="Times New Roman" w:hAnsi="Times New Roman"/>
        </w:rPr>
      </w:pPr>
      <w:r>
        <w:rPr>
          <w:rFonts w:ascii="Times New Roman" w:hAnsi="Times New Roman"/>
        </w:rPr>
        <w:t>SY/T 0599</w:t>
      </w:r>
      <w:r>
        <w:rPr>
          <w:rFonts w:hint="eastAsia" w:ascii="Times New Roman" w:hAnsi="Times New Roman"/>
        </w:rPr>
        <w:t xml:space="preserve">  </w:t>
      </w:r>
      <w:r>
        <w:rPr>
          <w:rFonts w:ascii="Times New Roman" w:hAnsi="Times New Roman"/>
        </w:rPr>
        <w:t>天然气地面设施抗硫化物应力开裂和应力腐蚀开裂金属材料技术规范</w:t>
      </w:r>
    </w:p>
    <w:p w14:paraId="16573847">
      <w:pPr>
        <w:pStyle w:val="42"/>
        <w:ind w:firstLine="420"/>
        <w:rPr>
          <w:rFonts w:ascii="Times New Roman" w:hAnsi="Times New Roman"/>
        </w:rPr>
      </w:pPr>
      <w:r>
        <w:rPr>
          <w:rFonts w:ascii="Times New Roman" w:hAnsi="Times New Roman"/>
        </w:rPr>
        <w:t>SY</w:t>
      </w:r>
      <w:r>
        <w:rPr>
          <w:rFonts w:hint="eastAsia" w:ascii="Times New Roman" w:hAnsi="Times New Roman"/>
        </w:rPr>
        <w:t>/T</w:t>
      </w:r>
      <w:r>
        <w:rPr>
          <w:rFonts w:ascii="Times New Roman" w:hAnsi="Times New Roman"/>
        </w:rPr>
        <w:t xml:space="preserve"> 6503</w:t>
      </w:r>
      <w:r>
        <w:rPr>
          <w:rFonts w:hint="eastAsia" w:ascii="Times New Roman" w:hAnsi="Times New Roman"/>
        </w:rPr>
        <w:t xml:space="preserve">  </w:t>
      </w:r>
      <w:r>
        <w:rPr>
          <w:rFonts w:ascii="Times New Roman" w:hAnsi="Times New Roman"/>
        </w:rPr>
        <w:t>石油天然气工程可燃气体和有毒气体检测报警系统安全规范</w:t>
      </w:r>
    </w:p>
    <w:p w14:paraId="31F8ECB2">
      <w:pPr>
        <w:pStyle w:val="42"/>
        <w:ind w:firstLine="420"/>
        <w:rPr>
          <w:rFonts w:ascii="Times New Roman" w:hAnsi="Times New Roman"/>
        </w:rPr>
      </w:pPr>
      <w:r>
        <w:rPr>
          <w:rFonts w:ascii="Times New Roman" w:hAnsi="Times New Roman"/>
        </w:rPr>
        <w:t>SY/T 6536</w:t>
      </w:r>
      <w:r>
        <w:rPr>
          <w:rFonts w:hint="eastAsia" w:ascii="Times New Roman" w:hAnsi="Times New Roman"/>
        </w:rPr>
        <w:t xml:space="preserve">  </w:t>
      </w:r>
      <w:r>
        <w:rPr>
          <w:rFonts w:ascii="Times New Roman" w:hAnsi="Times New Roman"/>
        </w:rPr>
        <w:t>钢质储罐、容器内壁阴极保护技术规范</w:t>
      </w:r>
    </w:p>
    <w:p w14:paraId="3E1DE446">
      <w:pPr>
        <w:pStyle w:val="42"/>
        <w:ind w:firstLine="420"/>
        <w:rPr>
          <w:rFonts w:ascii="Times New Roman" w:hAnsi="Times New Roman"/>
        </w:rPr>
      </w:pPr>
      <w:r>
        <w:rPr>
          <w:rFonts w:ascii="Times New Roman" w:hAnsi="Times New Roman"/>
        </w:rPr>
        <w:t>SY/T 6671</w:t>
      </w:r>
      <w:r>
        <w:rPr>
          <w:rFonts w:hint="eastAsia" w:ascii="Times New Roman" w:hAnsi="Times New Roman"/>
        </w:rPr>
        <w:t xml:space="preserve">  </w:t>
      </w:r>
      <w:r>
        <w:rPr>
          <w:rFonts w:ascii="Times New Roman" w:hAnsi="Times New Roman"/>
        </w:rPr>
        <w:t>石油设施电气设备场所Ⅰ级0区、1区和2区的分类推荐作法</w:t>
      </w:r>
    </w:p>
    <w:p w14:paraId="0006098B">
      <w:pPr>
        <w:pStyle w:val="42"/>
        <w:ind w:firstLine="420"/>
        <w:rPr>
          <w:rFonts w:ascii="Times New Roman" w:hAnsi="Times New Roman"/>
        </w:rPr>
      </w:pPr>
      <w:r>
        <w:rPr>
          <w:rFonts w:ascii="Times New Roman" w:hAnsi="Times New Roman"/>
        </w:rPr>
        <w:t>SY/T 6</w:t>
      </w:r>
      <w:r>
        <w:rPr>
          <w:rFonts w:hint="eastAsia" w:ascii="Times New Roman" w:hAnsi="Times New Roman"/>
        </w:rPr>
        <w:t>784  钢质储罐腐蚀控制技术规范</w:t>
      </w:r>
    </w:p>
    <w:p w14:paraId="1862D336">
      <w:pPr>
        <w:pStyle w:val="42"/>
        <w:ind w:firstLine="420"/>
        <w:rPr>
          <w:rFonts w:ascii="Times New Roman" w:hAnsi="Times New Roman"/>
        </w:rPr>
      </w:pPr>
      <w:r>
        <w:rPr>
          <w:rFonts w:ascii="Times New Roman" w:hAnsi="Times New Roman"/>
        </w:rPr>
        <w:t>SY/T 6885</w:t>
      </w:r>
      <w:r>
        <w:rPr>
          <w:rFonts w:hint="eastAsia" w:ascii="Times New Roman" w:hAnsi="Times New Roman"/>
        </w:rPr>
        <w:t xml:space="preserve">  </w:t>
      </w:r>
      <w:r>
        <w:rPr>
          <w:rFonts w:ascii="Times New Roman" w:hAnsi="Times New Roman"/>
        </w:rPr>
        <w:t>油气田及管道工程雷电防护设计规范</w:t>
      </w:r>
    </w:p>
    <w:p w14:paraId="759363B6">
      <w:pPr>
        <w:pStyle w:val="42"/>
        <w:ind w:firstLine="420"/>
        <w:rPr>
          <w:rFonts w:ascii="Times New Roman" w:hAnsi="Times New Roman"/>
        </w:rPr>
      </w:pPr>
      <w:r>
        <w:rPr>
          <w:rFonts w:ascii="Times New Roman" w:hAnsi="Times New Roman"/>
        </w:rPr>
        <w:t>SY/T 6</w:t>
      </w:r>
      <w:r>
        <w:rPr>
          <w:rFonts w:hint="eastAsia" w:ascii="Times New Roman" w:hAnsi="Times New Roman"/>
        </w:rPr>
        <w:t>964  石油天然气站场阴极保护技术规范</w:t>
      </w:r>
    </w:p>
    <w:p w14:paraId="5AAEC20A">
      <w:pPr>
        <w:pStyle w:val="42"/>
        <w:ind w:firstLine="420"/>
        <w:rPr>
          <w:rFonts w:ascii="Times New Roman" w:hAnsi="Times New Roman"/>
        </w:rPr>
      </w:pPr>
      <w:r>
        <w:rPr>
          <w:rFonts w:ascii="Times New Roman" w:hAnsi="Times New Roman"/>
        </w:rPr>
        <w:t>SY/T 7021</w:t>
      </w:r>
      <w:r>
        <w:rPr>
          <w:rFonts w:hint="eastAsia" w:ascii="Times New Roman" w:hAnsi="Times New Roman"/>
        </w:rPr>
        <w:t xml:space="preserve">  </w:t>
      </w:r>
      <w:r>
        <w:rPr>
          <w:rFonts w:ascii="Times New Roman" w:hAnsi="Times New Roman"/>
        </w:rPr>
        <w:t>石油天然气工程供暖通风与空气调节设计规范</w:t>
      </w:r>
    </w:p>
    <w:p w14:paraId="53BC09CF">
      <w:pPr>
        <w:pStyle w:val="42"/>
        <w:ind w:firstLine="420"/>
        <w:rPr>
          <w:rFonts w:ascii="Times New Roman" w:hAnsi="Times New Roman"/>
        </w:rPr>
      </w:pPr>
      <w:r>
        <w:rPr>
          <w:rFonts w:ascii="Times New Roman" w:hAnsi="Times New Roman"/>
        </w:rPr>
        <w:t>SY/T 7036</w:t>
      </w:r>
      <w:r>
        <w:rPr>
          <w:rFonts w:hint="eastAsia" w:ascii="Times New Roman" w:hAnsi="Times New Roman"/>
        </w:rPr>
        <w:t xml:space="preserve">  </w:t>
      </w:r>
      <w:r>
        <w:rPr>
          <w:rFonts w:ascii="Times New Roman" w:hAnsi="Times New Roman"/>
        </w:rPr>
        <w:t>石油天然气站场管道及设备外防腐层技术规范</w:t>
      </w:r>
    </w:p>
    <w:p w14:paraId="5B63BD62">
      <w:pPr>
        <w:pStyle w:val="42"/>
        <w:ind w:firstLine="420"/>
        <w:rPr>
          <w:rFonts w:ascii="Times New Roman" w:hAnsi="Times New Roman"/>
        </w:rPr>
      </w:pPr>
      <w:r>
        <w:rPr>
          <w:rFonts w:ascii="Times New Roman" w:hAnsi="Times New Roman"/>
        </w:rPr>
        <w:t>SY/T 735</w:t>
      </w:r>
      <w:r>
        <w:rPr>
          <w:rFonts w:hint="eastAsia" w:ascii="Times New Roman" w:hAnsi="Times New Roman"/>
        </w:rPr>
        <w:t>0  低温管道与设备防腐保冷技术规范</w:t>
      </w:r>
    </w:p>
    <w:p w14:paraId="6BC9D490">
      <w:pPr>
        <w:pStyle w:val="42"/>
        <w:ind w:firstLine="420"/>
        <w:rPr>
          <w:rFonts w:ascii="Times New Roman" w:hAnsi="Times New Roman"/>
        </w:rPr>
      </w:pPr>
      <w:r>
        <w:rPr>
          <w:rFonts w:ascii="Times New Roman" w:hAnsi="Times New Roman"/>
        </w:rPr>
        <w:t>SY/T 7351</w:t>
      </w:r>
      <w:r>
        <w:rPr>
          <w:rFonts w:hint="eastAsia" w:ascii="Times New Roman" w:hAnsi="Times New Roman"/>
        </w:rPr>
        <w:t xml:space="preserve">  </w:t>
      </w:r>
      <w:r>
        <w:rPr>
          <w:rFonts w:ascii="Times New Roman" w:hAnsi="Times New Roman"/>
        </w:rPr>
        <w:t>油气田工程安全仪表系统设计规范</w:t>
      </w:r>
    </w:p>
    <w:p w14:paraId="49CF426F">
      <w:pPr>
        <w:pStyle w:val="42"/>
        <w:ind w:firstLine="420"/>
        <w:rPr>
          <w:rFonts w:ascii="Times New Roman" w:hAnsi="Times New Roman"/>
        </w:rPr>
      </w:pPr>
      <w:r>
        <w:rPr>
          <w:rFonts w:ascii="Times New Roman" w:hAnsi="Times New Roman"/>
        </w:rPr>
        <w:t>SY/T 7405</w:t>
      </w:r>
      <w:r>
        <w:rPr>
          <w:rFonts w:hint="eastAsia" w:ascii="Times New Roman" w:hAnsi="Times New Roman"/>
        </w:rPr>
        <w:t xml:space="preserve">  </w:t>
      </w:r>
      <w:r>
        <w:rPr>
          <w:rFonts w:ascii="Times New Roman" w:hAnsi="Times New Roman"/>
        </w:rPr>
        <w:t>导热油供热站设计规范</w:t>
      </w:r>
    </w:p>
    <w:p w14:paraId="70B74EEF">
      <w:pPr>
        <w:pStyle w:val="42"/>
        <w:ind w:firstLine="420"/>
        <w:rPr>
          <w:rFonts w:ascii="Times New Roman" w:hAnsi="Times New Roman"/>
        </w:rPr>
      </w:pPr>
      <w:r>
        <w:rPr>
          <w:rFonts w:ascii="Times New Roman" w:hAnsi="Times New Roman"/>
        </w:rPr>
        <w:t>SY/T 7474</w:t>
      </w:r>
      <w:r>
        <w:rPr>
          <w:rFonts w:hint="eastAsia" w:ascii="Times New Roman" w:hAnsi="Times New Roman"/>
        </w:rPr>
        <w:t xml:space="preserve">  </w:t>
      </w:r>
      <w:r>
        <w:rPr>
          <w:rFonts w:ascii="Times New Roman" w:hAnsi="Times New Roman"/>
        </w:rPr>
        <w:t>油气田空氮站设计规范</w:t>
      </w:r>
    </w:p>
    <w:p w14:paraId="68FCB143">
      <w:pPr>
        <w:pStyle w:val="42"/>
        <w:ind w:firstLine="420"/>
        <w:rPr>
          <w:rFonts w:ascii="Times New Roman" w:hAnsi="Times New Roman"/>
        </w:rPr>
      </w:pPr>
      <w:r>
        <w:rPr>
          <w:rFonts w:ascii="Times New Roman" w:hAnsi="Times New Roman"/>
        </w:rPr>
        <w:t>SY/T 7628</w:t>
      </w:r>
      <w:r>
        <w:rPr>
          <w:rFonts w:hint="eastAsia" w:ascii="Times New Roman" w:hAnsi="Times New Roman"/>
        </w:rPr>
        <w:t xml:space="preserve">  </w:t>
      </w:r>
      <w:r>
        <w:rPr>
          <w:rFonts w:ascii="Times New Roman" w:hAnsi="Times New Roman"/>
        </w:rPr>
        <w:t>油气田及管道工程计算机控制系统设计规范</w:t>
      </w:r>
    </w:p>
    <w:p w14:paraId="158B1A69">
      <w:pPr>
        <w:pStyle w:val="42"/>
        <w:ind w:firstLine="420"/>
        <w:rPr>
          <w:rFonts w:ascii="Times New Roman" w:hAnsi="Times New Roman"/>
        </w:rPr>
      </w:pPr>
      <w:r>
        <w:rPr>
          <w:rFonts w:ascii="Times New Roman" w:hAnsi="Times New Roman"/>
        </w:rPr>
        <w:t>SY/T</w:t>
      </w:r>
      <w:r>
        <w:rPr>
          <w:rFonts w:hint="eastAsia" w:ascii="Times New Roman" w:hAnsi="Times New Roman"/>
        </w:rPr>
        <w:t xml:space="preserve"> </w:t>
      </w:r>
      <w:r>
        <w:rPr>
          <w:rFonts w:ascii="Times New Roman" w:hAnsi="Times New Roman"/>
        </w:rPr>
        <w:t>7700</w:t>
      </w:r>
      <w:r>
        <w:rPr>
          <w:rFonts w:hint="eastAsia" w:ascii="Times New Roman" w:hAnsi="Times New Roman"/>
        </w:rPr>
        <w:t xml:space="preserve">  </w:t>
      </w:r>
      <w:r>
        <w:rPr>
          <w:rFonts w:ascii="Times New Roman" w:hAnsi="Times New Roman"/>
        </w:rPr>
        <w:t>油气田及管道工程仪表控制系统设计规范</w:t>
      </w:r>
    </w:p>
    <w:p w14:paraId="756AFC0B">
      <w:pPr>
        <w:pStyle w:val="42"/>
        <w:ind w:firstLine="420"/>
        <w:rPr>
          <w:rFonts w:ascii="Times New Roman" w:hAnsi="Times New Roman"/>
        </w:rPr>
      </w:pPr>
      <w:r>
        <w:rPr>
          <w:rFonts w:hint="eastAsia" w:ascii="Times New Roman" w:hAnsi="Times New Roman"/>
        </w:rPr>
        <w:t>S</w:t>
      </w:r>
      <w:r>
        <w:rPr>
          <w:rFonts w:ascii="Times New Roman" w:hAnsi="Times New Roman"/>
        </w:rPr>
        <w:t>Y/T 10043</w:t>
      </w:r>
      <w:r>
        <w:rPr>
          <w:rFonts w:hint="eastAsia" w:ascii="Times New Roman" w:hAnsi="Times New Roman"/>
        </w:rPr>
        <w:t xml:space="preserve">  </w:t>
      </w:r>
      <w:r>
        <w:rPr>
          <w:rFonts w:ascii="Times New Roman" w:hAnsi="Times New Roman"/>
        </w:rPr>
        <w:t>泄压和减压系统指南</w:t>
      </w:r>
    </w:p>
    <w:p w14:paraId="664A54FB">
      <w:pPr>
        <w:pStyle w:val="42"/>
        <w:ind w:firstLine="420"/>
        <w:rPr>
          <w:rFonts w:ascii="Times New Roman" w:hAnsi="Times New Roman"/>
          <w:szCs w:val="21"/>
          <w:lang w:bidi="ar"/>
        </w:rPr>
      </w:pPr>
      <w:r>
        <w:rPr>
          <w:rFonts w:ascii="Times New Roman" w:hAnsi="Times New Roman"/>
          <w:szCs w:val="21"/>
          <w:lang w:bidi="ar"/>
        </w:rPr>
        <w:t>TSG</w:t>
      </w:r>
      <w:r>
        <w:rPr>
          <w:rFonts w:hint="eastAsia" w:ascii="Times New Roman" w:hAnsi="Times New Roman"/>
          <w:szCs w:val="21"/>
          <w:lang w:bidi="ar"/>
        </w:rPr>
        <w:t xml:space="preserve">    </w:t>
      </w:r>
      <w:r>
        <w:rPr>
          <w:rFonts w:ascii="Times New Roman" w:hAnsi="Times New Roman"/>
          <w:szCs w:val="21"/>
          <w:lang w:bidi="ar"/>
        </w:rPr>
        <w:t>21</w:t>
      </w:r>
      <w:r>
        <w:rPr>
          <w:rFonts w:hint="eastAsia" w:ascii="Times New Roman" w:hAnsi="Times New Roman"/>
          <w:szCs w:val="21"/>
          <w:lang w:bidi="ar"/>
        </w:rPr>
        <w:t xml:space="preserve">  </w:t>
      </w:r>
      <w:r>
        <w:rPr>
          <w:rFonts w:ascii="Times New Roman" w:hAnsi="Times New Roman"/>
          <w:szCs w:val="21"/>
          <w:lang w:bidi="ar"/>
        </w:rPr>
        <w:t>固定式压力容器安全技术监察规程</w:t>
      </w:r>
    </w:p>
    <w:p w14:paraId="550B444F">
      <w:pPr>
        <w:widowControl/>
        <w:numPr>
          <w:ilvl w:val="1"/>
          <w:numId w:val="2"/>
        </w:numPr>
        <w:spacing w:before="312" w:beforeLines="100" w:after="312" w:afterLines="100"/>
        <w:outlineLvl w:val="0"/>
        <w:rPr>
          <w:rFonts w:hint="eastAsia" w:ascii="黑体" w:hAnsi="黑体" w:eastAsia="黑体" w:cs="黑体"/>
          <w:szCs w:val="22"/>
        </w:rPr>
      </w:pPr>
      <w:bookmarkStart w:id="15" w:name="_Toc4816"/>
      <w:r>
        <w:rPr>
          <w:rFonts w:hint="eastAsia" w:ascii="黑体" w:hAnsi="黑体" w:eastAsia="黑体" w:cs="黑体"/>
          <w:szCs w:val="22"/>
        </w:rPr>
        <w:t>术语和定义</w:t>
      </w:r>
      <w:bookmarkEnd w:id="15"/>
    </w:p>
    <w:sdt>
      <w:sdtPr>
        <w:id w:val="-1909835108"/>
        <w:placeholder>
          <w:docPart w:val="{e5909198-8387-4796-8b82-84e5c42efdd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CF0CE9D">
          <w:pPr>
            <w:pStyle w:val="23"/>
            <w:ind w:firstLine="210"/>
          </w:pPr>
          <w:bookmarkStart w:id="16" w:name="OLE_LINK70"/>
          <w:bookmarkEnd w:id="16"/>
          <w:bookmarkStart w:id="17" w:name="OLE_LINK69"/>
          <w:bookmarkEnd w:id="17"/>
          <w:bookmarkStart w:id="18" w:name="OLE_LINK67"/>
          <w:bookmarkEnd w:id="18"/>
          <w:bookmarkStart w:id="19" w:name="OLE_LINK68"/>
          <w:bookmarkEnd w:id="19"/>
          <w:r>
            <w:t>下列术语和定义适用于本文件。</w:t>
          </w:r>
        </w:p>
      </w:sdtContent>
    </w:sdt>
    <w:p w14:paraId="028754C4">
      <w:pPr>
        <w:numPr>
          <w:ilvl w:val="2"/>
          <w:numId w:val="2"/>
        </w:numPr>
        <w:ind w:left="0"/>
        <w:rPr>
          <w:rFonts w:hint="eastAsia" w:ascii="黑体" w:hAnsi="黑体" w:eastAsia="黑体" w:cs="黑体"/>
          <w:kern w:val="0"/>
          <w:szCs w:val="20"/>
        </w:rPr>
      </w:pPr>
      <w:r>
        <w:rPr>
          <w:rFonts w:hint="eastAsia" w:ascii="黑体" w:hAnsi="黑体" w:eastAsia="黑体" w:cs="黑体"/>
          <w:kern w:val="0"/>
          <w:szCs w:val="20"/>
        </w:rPr>
        <w:t>天然气处理厂 natural gas processing plant</w:t>
      </w:r>
    </w:p>
    <w:p w14:paraId="37FCD1B8">
      <w:pPr>
        <w:pStyle w:val="42"/>
        <w:ind w:firstLine="420"/>
        <w:rPr>
          <w:rFonts w:ascii="Times New Roman" w:hAnsi="Times New Roman"/>
          <w:strike/>
          <w:kern w:val="0"/>
          <w:szCs w:val="20"/>
        </w:rPr>
      </w:pPr>
      <w:bookmarkStart w:id="20" w:name="_Toc18708"/>
      <w:bookmarkStart w:id="21" w:name="_Toc15078"/>
      <w:r>
        <w:rPr>
          <w:rFonts w:ascii="Times New Roman" w:hAnsi="Times New Roman"/>
          <w:kern w:val="0"/>
          <w:szCs w:val="20"/>
        </w:rPr>
        <w:t>对天然气进行一系列处理工艺以改善其品质使其符合商品质量指标或管道输送要求的工厂</w:t>
      </w:r>
      <w:bookmarkEnd w:id="20"/>
      <w:bookmarkEnd w:id="21"/>
      <w:r>
        <w:rPr>
          <w:rFonts w:ascii="Times New Roman" w:hAnsi="Times New Roman"/>
          <w:kern w:val="0"/>
          <w:szCs w:val="20"/>
        </w:rPr>
        <w:t>。</w:t>
      </w:r>
    </w:p>
    <w:p w14:paraId="36532E31">
      <w:pPr>
        <w:numPr>
          <w:ilvl w:val="2"/>
          <w:numId w:val="2"/>
        </w:numPr>
        <w:ind w:left="0"/>
        <w:rPr>
          <w:rFonts w:hint="eastAsia" w:ascii="黑体" w:hAnsi="黑体" w:eastAsia="黑体" w:cs="黑体"/>
          <w:kern w:val="0"/>
          <w:szCs w:val="20"/>
        </w:rPr>
      </w:pPr>
      <w:bookmarkStart w:id="22" w:name="_Toc26559"/>
      <w:bookmarkStart w:id="23" w:name="_Toc28323"/>
      <w:bookmarkStart w:id="24" w:name="_Toc26688"/>
      <w:bookmarkStart w:id="25" w:name="_Toc3242"/>
      <w:bookmarkStart w:id="26" w:name="_Toc20840"/>
      <w:bookmarkStart w:id="27" w:name="_Toc24908"/>
      <w:bookmarkStart w:id="28" w:name="_Toc12608"/>
      <w:bookmarkStart w:id="29" w:name="_Toc16617"/>
      <w:bookmarkStart w:id="30" w:name="_Toc23284"/>
      <w:r>
        <w:rPr>
          <w:rFonts w:ascii="黑体" w:hAnsi="黑体" w:eastAsia="黑体" w:cs="黑体"/>
          <w:kern w:val="0"/>
          <w:szCs w:val="20"/>
        </w:rPr>
        <w:t xml:space="preserve">安全设施 </w:t>
      </w:r>
      <w:r>
        <w:rPr>
          <w:rFonts w:hint="eastAsia" w:ascii="黑体" w:hAnsi="黑体" w:eastAsia="黑体" w:cs="黑体"/>
          <w:kern w:val="0"/>
          <w:szCs w:val="20"/>
        </w:rPr>
        <w:t>safety facilities</w:t>
      </w:r>
      <w:bookmarkEnd w:id="22"/>
      <w:bookmarkEnd w:id="23"/>
      <w:bookmarkEnd w:id="24"/>
      <w:bookmarkEnd w:id="25"/>
      <w:bookmarkEnd w:id="26"/>
      <w:bookmarkEnd w:id="27"/>
      <w:bookmarkEnd w:id="28"/>
      <w:bookmarkEnd w:id="29"/>
      <w:bookmarkEnd w:id="30"/>
    </w:p>
    <w:p w14:paraId="41F92BB4">
      <w:pPr>
        <w:pStyle w:val="42"/>
        <w:ind w:firstLine="420"/>
        <w:rPr>
          <w:rFonts w:ascii="Times New Roman" w:hAnsi="Times New Roman"/>
          <w:kern w:val="0"/>
          <w:szCs w:val="20"/>
        </w:rPr>
      </w:pPr>
      <w:bookmarkStart w:id="31" w:name="_Toc16075"/>
      <w:bookmarkStart w:id="32" w:name="_Toc7840"/>
      <w:r>
        <w:rPr>
          <w:rFonts w:ascii="Times New Roman" w:hAnsi="Times New Roman"/>
          <w:kern w:val="0"/>
          <w:szCs w:val="20"/>
        </w:rPr>
        <w:t>生产经营单位在生产经营活动中用于预防生产安全事故的设备、设施、装置、建（构）筑物和其他技术措施的总称。</w:t>
      </w:r>
    </w:p>
    <w:p w14:paraId="39FD5159">
      <w:pPr>
        <w:pStyle w:val="42"/>
        <w:ind w:firstLine="420"/>
        <w:rPr>
          <w:rFonts w:ascii="Times New Roman" w:hAnsi="Times New Roman"/>
          <w:kern w:val="0"/>
          <w:szCs w:val="20"/>
        </w:rPr>
      </w:pPr>
      <w:r>
        <w:rPr>
          <w:rFonts w:hint="eastAsia" w:ascii="Times New Roman" w:hAnsi="Times New Roman"/>
          <w:kern w:val="0"/>
          <w:szCs w:val="20"/>
        </w:rPr>
        <w:t>注：相关安全设施分类见附录A。</w:t>
      </w:r>
      <w:r>
        <w:rPr>
          <w:rFonts w:ascii="Times New Roman" w:hAnsi="Times New Roman"/>
          <w:kern w:val="0"/>
          <w:szCs w:val="20"/>
        </w:rPr>
        <w:t xml:space="preserve"> </w:t>
      </w:r>
    </w:p>
    <w:p w14:paraId="40405736">
      <w:pPr>
        <w:numPr>
          <w:ilvl w:val="2"/>
          <w:numId w:val="2"/>
        </w:numPr>
        <w:ind w:left="0"/>
        <w:rPr>
          <w:rFonts w:hint="eastAsia" w:ascii="黑体" w:hAnsi="黑体" w:eastAsia="黑体" w:cs="黑体"/>
          <w:kern w:val="0"/>
          <w:szCs w:val="20"/>
        </w:rPr>
      </w:pPr>
      <w:bookmarkStart w:id="33" w:name="_Toc15743"/>
      <w:r>
        <w:rPr>
          <w:rFonts w:ascii="黑体" w:hAnsi="黑体" w:eastAsia="黑体" w:cs="黑体"/>
          <w:kern w:val="0"/>
          <w:szCs w:val="20"/>
        </w:rPr>
        <w:t xml:space="preserve">重大变更  </w:t>
      </w:r>
      <w:r>
        <w:rPr>
          <w:rFonts w:hint="eastAsia" w:ascii="黑体" w:hAnsi="黑体" w:eastAsia="黑体" w:cs="黑体"/>
          <w:kern w:val="0"/>
          <w:szCs w:val="20"/>
        </w:rPr>
        <w:t>major change</w:t>
      </w:r>
      <w:bookmarkEnd w:id="33"/>
    </w:p>
    <w:p w14:paraId="551E0BD7">
      <w:pPr>
        <w:pStyle w:val="42"/>
        <w:ind w:firstLine="420"/>
        <w:rPr>
          <w:rFonts w:ascii="Times New Roman" w:hAnsi="Times New Roman"/>
          <w:kern w:val="0"/>
          <w:szCs w:val="20"/>
        </w:rPr>
      </w:pPr>
      <w:bookmarkStart w:id="34" w:name="_Toc1857"/>
      <w:bookmarkStart w:id="35" w:name="_Toc19313"/>
      <w:r>
        <w:rPr>
          <w:rFonts w:ascii="Times New Roman" w:hAnsi="Times New Roman"/>
          <w:kern w:val="0"/>
          <w:szCs w:val="20"/>
        </w:rPr>
        <w:t>对原有的设计、工艺、设备、材料、操作方式等进行大幅度改动，可能导致安全风险显著增加或者环境影响明显加重的情况。</w:t>
      </w:r>
      <w:bookmarkEnd w:id="34"/>
      <w:bookmarkEnd w:id="35"/>
    </w:p>
    <w:p w14:paraId="7A952531">
      <w:pPr>
        <w:widowControl/>
        <w:numPr>
          <w:ilvl w:val="1"/>
          <w:numId w:val="2"/>
        </w:numPr>
        <w:spacing w:before="312" w:beforeLines="100" w:after="312" w:afterLines="100"/>
        <w:outlineLvl w:val="0"/>
        <w:rPr>
          <w:rFonts w:hint="eastAsia" w:ascii="黑体" w:hAnsi="黑体" w:eastAsia="黑体" w:cs="黑体"/>
          <w:szCs w:val="22"/>
        </w:rPr>
      </w:pPr>
      <w:bookmarkStart w:id="36" w:name="_Toc4504"/>
      <w:r>
        <w:rPr>
          <w:rFonts w:hint="eastAsia" w:ascii="黑体" w:hAnsi="黑体" w:eastAsia="黑体" w:cs="黑体"/>
          <w:szCs w:val="22"/>
        </w:rPr>
        <w:t>缩略语</w:t>
      </w:r>
      <w:bookmarkEnd w:id="36"/>
    </w:p>
    <w:p w14:paraId="6F1314B1">
      <w:pPr>
        <w:ind w:firstLine="420"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下列缩略语适用于本文件。</w:t>
      </w:r>
    </w:p>
    <w:p w14:paraId="4C01E342">
      <w:pPr>
        <w:pStyle w:val="42"/>
        <w:ind w:firstLine="420"/>
        <w:rPr>
          <w:rFonts w:ascii="Times New Roman" w:hAnsi="Times New Roman"/>
        </w:rPr>
      </w:pPr>
      <w:r>
        <w:rPr>
          <w:rFonts w:hint="eastAsia" w:ascii="Times New Roman" w:hAnsi="Times New Roman"/>
        </w:rPr>
        <w:t>BDV：紧急泄放阀（Blow down valve）</w:t>
      </w:r>
    </w:p>
    <w:p w14:paraId="6E39D637">
      <w:pPr>
        <w:pStyle w:val="42"/>
        <w:ind w:firstLine="420"/>
        <w:rPr>
          <w:rFonts w:ascii="Times New Roman" w:hAnsi="Times New Roman"/>
        </w:rPr>
      </w:pPr>
      <w:r>
        <w:rPr>
          <w:rFonts w:ascii="Times New Roman" w:hAnsi="Times New Roman"/>
        </w:rPr>
        <w:t>EPS</w:t>
      </w:r>
      <w:r>
        <w:rPr>
          <w:rFonts w:hint="eastAsia" w:ascii="Times New Roman" w:hAnsi="Times New Roman"/>
        </w:rPr>
        <w:t>：</w:t>
      </w:r>
      <w:r>
        <w:rPr>
          <w:rFonts w:ascii="Times New Roman" w:hAnsi="Times New Roman"/>
        </w:rPr>
        <w:t xml:space="preserve">紧急电源（Emergency </w:t>
      </w:r>
      <w:r>
        <w:rPr>
          <w:rFonts w:hint="eastAsia" w:ascii="Times New Roman" w:hAnsi="Times New Roman"/>
        </w:rPr>
        <w:t>p</w:t>
      </w:r>
      <w:r>
        <w:rPr>
          <w:rFonts w:ascii="Times New Roman" w:hAnsi="Times New Roman"/>
        </w:rPr>
        <w:t xml:space="preserve">ower </w:t>
      </w:r>
      <w:r>
        <w:rPr>
          <w:rFonts w:hint="eastAsia" w:ascii="Times New Roman" w:hAnsi="Times New Roman"/>
        </w:rPr>
        <w:t>s</w:t>
      </w:r>
      <w:r>
        <w:rPr>
          <w:rFonts w:ascii="Times New Roman" w:hAnsi="Times New Roman"/>
        </w:rPr>
        <w:t>upply）</w:t>
      </w:r>
    </w:p>
    <w:p w14:paraId="6B013431">
      <w:pPr>
        <w:pStyle w:val="42"/>
        <w:ind w:firstLine="420"/>
        <w:rPr>
          <w:rFonts w:ascii="Times New Roman" w:hAnsi="Times New Roman"/>
        </w:rPr>
      </w:pPr>
      <w:r>
        <w:rPr>
          <w:rFonts w:ascii="Times New Roman" w:hAnsi="Times New Roman"/>
        </w:rPr>
        <w:t>HAZOP</w:t>
      </w:r>
      <w:r>
        <w:rPr>
          <w:rFonts w:hint="eastAsia" w:ascii="Times New Roman" w:hAnsi="Times New Roman"/>
        </w:rPr>
        <w:t>：</w:t>
      </w:r>
      <w:r>
        <w:rPr>
          <w:rFonts w:ascii="Times New Roman" w:hAnsi="Times New Roman"/>
        </w:rPr>
        <w:t xml:space="preserve">危险与可操作性分析（Hazard and </w:t>
      </w:r>
      <w:r>
        <w:rPr>
          <w:rFonts w:hint="eastAsia" w:ascii="Times New Roman" w:hAnsi="Times New Roman"/>
        </w:rPr>
        <w:t>o</w:t>
      </w:r>
      <w:r>
        <w:rPr>
          <w:rFonts w:ascii="Times New Roman" w:hAnsi="Times New Roman"/>
        </w:rPr>
        <w:t>perability</w:t>
      </w:r>
      <w:r>
        <w:rPr>
          <w:rFonts w:hint="eastAsia" w:ascii="Times New Roman" w:hAnsi="Times New Roman"/>
        </w:rPr>
        <w:t xml:space="preserve"> s</w:t>
      </w:r>
      <w:r>
        <w:rPr>
          <w:rFonts w:ascii="Times New Roman" w:hAnsi="Times New Roman"/>
        </w:rPr>
        <w:t>tud</w:t>
      </w:r>
      <w:r>
        <w:rPr>
          <w:rFonts w:hint="eastAsia" w:ascii="Times New Roman" w:hAnsi="Times New Roman"/>
        </w:rPr>
        <w:t>ies</w:t>
      </w:r>
      <w:r>
        <w:rPr>
          <w:rFonts w:ascii="Times New Roman" w:hAnsi="Times New Roman"/>
        </w:rPr>
        <w:t>）</w:t>
      </w:r>
    </w:p>
    <w:p w14:paraId="093E3EBC">
      <w:pPr>
        <w:pStyle w:val="42"/>
        <w:ind w:firstLine="420"/>
        <w:rPr>
          <w:rFonts w:ascii="Times New Roman" w:hAnsi="Times New Roman"/>
        </w:rPr>
      </w:pPr>
      <w:r>
        <w:rPr>
          <w:rFonts w:ascii="Times New Roman" w:hAnsi="Times New Roman"/>
        </w:rPr>
        <w:t>SIL</w:t>
      </w:r>
      <w:r>
        <w:rPr>
          <w:rFonts w:hint="eastAsia" w:ascii="Times New Roman" w:hAnsi="Times New Roman"/>
        </w:rPr>
        <w:t>：</w:t>
      </w:r>
      <w:r>
        <w:rPr>
          <w:rFonts w:ascii="Times New Roman" w:hAnsi="Times New Roman"/>
        </w:rPr>
        <w:t xml:space="preserve">安全完整性等级（Safety </w:t>
      </w:r>
      <w:r>
        <w:rPr>
          <w:rFonts w:hint="eastAsia" w:ascii="Times New Roman" w:hAnsi="Times New Roman"/>
        </w:rPr>
        <w:t>i</w:t>
      </w:r>
      <w:r>
        <w:rPr>
          <w:rFonts w:ascii="Times New Roman" w:hAnsi="Times New Roman"/>
        </w:rPr>
        <w:t xml:space="preserve">ntegrity </w:t>
      </w:r>
      <w:r>
        <w:rPr>
          <w:rFonts w:hint="eastAsia" w:ascii="Times New Roman" w:hAnsi="Times New Roman"/>
        </w:rPr>
        <w:t>l</w:t>
      </w:r>
      <w:r>
        <w:rPr>
          <w:rFonts w:ascii="Times New Roman" w:hAnsi="Times New Roman"/>
        </w:rPr>
        <w:t>evel）</w:t>
      </w:r>
    </w:p>
    <w:p w14:paraId="292BE811">
      <w:pPr>
        <w:pStyle w:val="42"/>
        <w:ind w:firstLine="420"/>
        <w:rPr>
          <w:rFonts w:ascii="Times New Roman" w:hAnsi="Times New Roman"/>
        </w:rPr>
      </w:pPr>
      <w:r>
        <w:rPr>
          <w:rFonts w:hint="eastAsia" w:ascii="Times New Roman" w:hAnsi="Times New Roman"/>
        </w:rPr>
        <w:t>SIF：安全仪表功能（Safety instrumented function）</w:t>
      </w:r>
    </w:p>
    <w:p w14:paraId="377BDB50">
      <w:pPr>
        <w:pStyle w:val="42"/>
        <w:ind w:firstLine="420"/>
        <w:rPr>
          <w:rFonts w:ascii="Times New Roman" w:hAnsi="Times New Roman"/>
        </w:rPr>
      </w:pPr>
      <w:r>
        <w:rPr>
          <w:rFonts w:ascii="Times New Roman" w:hAnsi="Times New Roman"/>
        </w:rPr>
        <w:t>SIS</w:t>
      </w:r>
      <w:r>
        <w:rPr>
          <w:rFonts w:hint="eastAsia" w:ascii="Times New Roman" w:hAnsi="Times New Roman"/>
        </w:rPr>
        <w:t>：</w:t>
      </w:r>
      <w:r>
        <w:rPr>
          <w:rFonts w:ascii="Times New Roman" w:hAnsi="Times New Roman"/>
        </w:rPr>
        <w:t xml:space="preserve">安全仪表系统（Safety </w:t>
      </w:r>
      <w:r>
        <w:rPr>
          <w:rFonts w:hint="eastAsia" w:ascii="Times New Roman" w:hAnsi="Times New Roman"/>
        </w:rPr>
        <w:t>i</w:t>
      </w:r>
      <w:r>
        <w:rPr>
          <w:rFonts w:ascii="Times New Roman" w:hAnsi="Times New Roman"/>
        </w:rPr>
        <w:t xml:space="preserve">nstrumentation </w:t>
      </w:r>
      <w:r>
        <w:rPr>
          <w:rFonts w:hint="eastAsia" w:ascii="Times New Roman" w:hAnsi="Times New Roman"/>
        </w:rPr>
        <w:t>s</w:t>
      </w:r>
      <w:r>
        <w:rPr>
          <w:rFonts w:ascii="Times New Roman" w:hAnsi="Times New Roman"/>
        </w:rPr>
        <w:t>ystem）</w:t>
      </w:r>
    </w:p>
    <w:p w14:paraId="168ED600">
      <w:pPr>
        <w:pStyle w:val="42"/>
        <w:ind w:firstLine="420"/>
        <w:rPr>
          <w:rFonts w:ascii="Times New Roman" w:hAnsi="Times New Roman"/>
        </w:rPr>
      </w:pPr>
      <w:r>
        <w:rPr>
          <w:rFonts w:ascii="Times New Roman" w:hAnsi="Times New Roman"/>
        </w:rPr>
        <w:t>SCADA</w:t>
      </w:r>
      <w:r>
        <w:rPr>
          <w:rFonts w:hint="eastAsia" w:ascii="Times New Roman" w:hAnsi="Times New Roman"/>
        </w:rPr>
        <w:t>：监控与数据采集系统（</w:t>
      </w:r>
      <w:r>
        <w:rPr>
          <w:rFonts w:ascii="Times New Roman" w:hAnsi="Times New Roman"/>
        </w:rPr>
        <w:t xml:space="preserve">Supervisory </w:t>
      </w:r>
      <w:r>
        <w:rPr>
          <w:rFonts w:hint="eastAsia" w:ascii="Times New Roman" w:hAnsi="Times New Roman"/>
        </w:rPr>
        <w:t>c</w:t>
      </w:r>
      <w:r>
        <w:rPr>
          <w:rFonts w:ascii="Times New Roman" w:hAnsi="Times New Roman"/>
        </w:rPr>
        <w:t xml:space="preserve">ontrol and </w:t>
      </w:r>
      <w:r>
        <w:rPr>
          <w:rFonts w:hint="eastAsia" w:ascii="Times New Roman" w:hAnsi="Times New Roman"/>
        </w:rPr>
        <w:t>d</w:t>
      </w:r>
      <w:r>
        <w:rPr>
          <w:rFonts w:ascii="Times New Roman" w:hAnsi="Times New Roman"/>
        </w:rPr>
        <w:t xml:space="preserve">ata </w:t>
      </w:r>
      <w:r>
        <w:rPr>
          <w:rFonts w:hint="eastAsia" w:ascii="Times New Roman" w:hAnsi="Times New Roman"/>
        </w:rPr>
        <w:t>a</w:t>
      </w:r>
      <w:r>
        <w:rPr>
          <w:rFonts w:ascii="Times New Roman" w:hAnsi="Times New Roman"/>
        </w:rPr>
        <w:t>cquisition</w:t>
      </w:r>
      <w:r>
        <w:rPr>
          <w:rFonts w:hint="eastAsia" w:ascii="Times New Roman" w:hAnsi="Times New Roman"/>
        </w:rPr>
        <w:t>）</w:t>
      </w:r>
    </w:p>
    <w:p w14:paraId="6324AF64">
      <w:pPr>
        <w:pStyle w:val="42"/>
        <w:ind w:firstLine="420"/>
        <w:rPr>
          <w:rFonts w:ascii="Times New Roman" w:hAnsi="Times New Roman"/>
        </w:rPr>
      </w:pPr>
      <w:r>
        <w:rPr>
          <w:rFonts w:ascii="Times New Roman" w:hAnsi="Times New Roman"/>
        </w:rPr>
        <w:t>UPS</w:t>
      </w:r>
      <w:r>
        <w:rPr>
          <w:rFonts w:hint="eastAsia" w:ascii="Times New Roman" w:hAnsi="Times New Roman"/>
        </w:rPr>
        <w:t>：</w:t>
      </w:r>
      <w:r>
        <w:rPr>
          <w:rFonts w:ascii="Times New Roman" w:hAnsi="Times New Roman"/>
        </w:rPr>
        <w:t xml:space="preserve">不间断电源系统（Uninterruptible </w:t>
      </w:r>
      <w:r>
        <w:rPr>
          <w:rFonts w:hint="eastAsia" w:ascii="Times New Roman" w:hAnsi="Times New Roman"/>
        </w:rPr>
        <w:t>p</w:t>
      </w:r>
      <w:r>
        <w:rPr>
          <w:rFonts w:ascii="Times New Roman" w:hAnsi="Times New Roman"/>
        </w:rPr>
        <w:t xml:space="preserve">ower </w:t>
      </w:r>
      <w:r>
        <w:rPr>
          <w:rFonts w:hint="eastAsia" w:ascii="Times New Roman" w:hAnsi="Times New Roman"/>
        </w:rPr>
        <w:t>s</w:t>
      </w:r>
      <w:r>
        <w:rPr>
          <w:rFonts w:ascii="Times New Roman" w:hAnsi="Times New Roman"/>
        </w:rPr>
        <w:t>ystem）</w:t>
      </w:r>
    </w:p>
    <w:bookmarkEnd w:id="31"/>
    <w:bookmarkEnd w:id="32"/>
    <w:p w14:paraId="01A4F2EF">
      <w:pPr>
        <w:widowControl/>
        <w:numPr>
          <w:ilvl w:val="1"/>
          <w:numId w:val="2"/>
        </w:numPr>
        <w:spacing w:before="312" w:beforeLines="100" w:after="312" w:afterLines="100"/>
        <w:outlineLvl w:val="0"/>
        <w:rPr>
          <w:rFonts w:hint="eastAsia" w:ascii="黑体" w:hAnsi="黑体" w:eastAsia="黑体" w:cs="黑体"/>
          <w:szCs w:val="22"/>
        </w:rPr>
      </w:pPr>
      <w:bookmarkStart w:id="37" w:name="_Toc2492"/>
      <w:r>
        <w:rPr>
          <w:rFonts w:hint="eastAsia" w:ascii="黑体" w:hAnsi="黑体" w:eastAsia="黑体" w:cs="黑体"/>
          <w:szCs w:val="22"/>
        </w:rPr>
        <w:t>总体要求</w:t>
      </w:r>
      <w:bookmarkEnd w:id="37"/>
    </w:p>
    <w:p w14:paraId="17BF0FA4">
      <w:pPr>
        <w:numPr>
          <w:ilvl w:val="2"/>
          <w:numId w:val="2"/>
        </w:numPr>
        <w:ind w:left="0"/>
        <w:rPr>
          <w:rFonts w:ascii="Times New Roman" w:hAnsi="Times New Roman" w:eastAsia="宋体"/>
        </w:rPr>
      </w:pPr>
      <w:bookmarkStart w:id="38" w:name="_Toc11038"/>
      <w:bookmarkStart w:id="39" w:name="_Toc16666"/>
      <w:bookmarkStart w:id="40" w:name="_Toc4729"/>
      <w:bookmarkStart w:id="41" w:name="_Toc164090054"/>
      <w:bookmarkStart w:id="42" w:name="_Toc8287"/>
      <w:bookmarkStart w:id="43" w:name="_Toc3527"/>
      <w:bookmarkStart w:id="44" w:name="_Toc22240"/>
      <w:bookmarkStart w:id="45" w:name="_Toc26658"/>
      <w:bookmarkStart w:id="46" w:name="_Toc3128"/>
      <w:bookmarkStart w:id="47" w:name="_Toc164158306"/>
      <w:bookmarkStart w:id="48" w:name="_Toc10642"/>
      <w:bookmarkStart w:id="49" w:name="_Toc5029"/>
      <w:bookmarkStart w:id="50" w:name="_Toc28629"/>
      <w:bookmarkStart w:id="51" w:name="_Toc9804"/>
      <w:bookmarkStart w:id="52" w:name="_Toc9765"/>
      <w:bookmarkStart w:id="53" w:name="_Toc6281"/>
      <w:bookmarkStart w:id="54" w:name="_Toc164158638"/>
      <w:bookmarkStart w:id="55" w:name="_Toc23156"/>
      <w:bookmarkStart w:id="56" w:name="_Toc3393"/>
      <w:r>
        <w:rPr>
          <w:rFonts w:hint="eastAsia" w:ascii="Times New Roman" w:hAnsi="Times New Roman" w:eastAsia="宋体"/>
        </w:rPr>
        <w:t>建设项目初步设计时，应委托有相应资质的设计单位对建设项目安全设施同时进行设计，编制安全设施设计。</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hint="eastAsia" w:ascii="Times New Roman" w:hAnsi="Times New Roman" w:eastAsia="宋体"/>
        </w:rPr>
        <w:t xml:space="preserve"> </w:t>
      </w:r>
    </w:p>
    <w:p w14:paraId="1DE9AFE5">
      <w:pPr>
        <w:numPr>
          <w:ilvl w:val="2"/>
          <w:numId w:val="2"/>
        </w:numPr>
        <w:ind w:left="0"/>
        <w:rPr>
          <w:rFonts w:ascii="Times New Roman" w:hAnsi="Times New Roman" w:eastAsia="宋体" w:cs="Times New Roman"/>
        </w:rPr>
      </w:pPr>
      <w:bookmarkStart w:id="57" w:name="_Toc15916"/>
      <w:bookmarkStart w:id="58" w:name="_Toc24595"/>
      <w:bookmarkStart w:id="59" w:name="_Toc30986"/>
      <w:bookmarkStart w:id="60" w:name="_Toc23727"/>
      <w:bookmarkStart w:id="61" w:name="_Toc30568"/>
      <w:bookmarkStart w:id="62" w:name="_Toc3132"/>
      <w:bookmarkStart w:id="63" w:name="_Toc27711"/>
      <w:bookmarkStart w:id="64" w:name="_Toc22833"/>
      <w:bookmarkStart w:id="65" w:name="_Toc28795"/>
      <w:r>
        <w:rPr>
          <w:rFonts w:hint="eastAsia" w:ascii="Times New Roman" w:hAnsi="Times New Roman" w:eastAsia="宋体" w:cs="Times New Roman"/>
        </w:rPr>
        <w:t>有下列重大变更的建设项目，应重新编制安全设施设计：</w:t>
      </w:r>
      <w:bookmarkEnd w:id="57"/>
      <w:bookmarkEnd w:id="58"/>
      <w:bookmarkEnd w:id="59"/>
      <w:bookmarkEnd w:id="60"/>
      <w:bookmarkEnd w:id="61"/>
      <w:bookmarkEnd w:id="62"/>
      <w:bookmarkEnd w:id="63"/>
      <w:bookmarkEnd w:id="64"/>
      <w:bookmarkEnd w:id="65"/>
    </w:p>
    <w:p w14:paraId="24AFB922">
      <w:pPr>
        <w:pStyle w:val="42"/>
        <w:numPr>
          <w:ilvl w:val="0"/>
          <w:numId w:val="7"/>
        </w:numPr>
        <w:adjustRightInd w:val="0"/>
        <w:snapToGrid w:val="0"/>
        <w:ind w:left="0" w:firstLine="420"/>
        <w:rPr>
          <w:rFonts w:ascii="Times New Roman" w:hAnsi="Times New Roman"/>
        </w:rPr>
      </w:pPr>
      <w:r>
        <w:rPr>
          <w:rFonts w:hint="eastAsia" w:ascii="Times New Roman" w:hAnsi="Times New Roman"/>
        </w:rPr>
        <w:t>建设处理规模增大20%及以上；</w:t>
      </w:r>
    </w:p>
    <w:p w14:paraId="460E6572">
      <w:pPr>
        <w:pStyle w:val="42"/>
        <w:numPr>
          <w:ilvl w:val="0"/>
          <w:numId w:val="7"/>
        </w:numPr>
        <w:adjustRightInd w:val="0"/>
        <w:snapToGrid w:val="0"/>
        <w:ind w:left="0" w:firstLine="420"/>
        <w:rPr>
          <w:rFonts w:ascii="Times New Roman" w:hAnsi="Times New Roman"/>
        </w:rPr>
      </w:pPr>
      <w:r>
        <w:rPr>
          <w:rFonts w:ascii="Times New Roman" w:hAnsi="Times New Roman"/>
        </w:rPr>
        <w:t>站场选址变更后需重新</w:t>
      </w:r>
      <w:r>
        <w:rPr>
          <w:rFonts w:hint="eastAsia" w:ascii="Times New Roman" w:hAnsi="Times New Roman"/>
        </w:rPr>
        <w:t>办理土地预审手续</w:t>
      </w:r>
      <w:r>
        <w:rPr>
          <w:rFonts w:ascii="Times New Roman" w:hAnsi="Times New Roman"/>
        </w:rPr>
        <w:t>；</w:t>
      </w:r>
    </w:p>
    <w:p w14:paraId="646A31AD">
      <w:pPr>
        <w:pStyle w:val="42"/>
        <w:numPr>
          <w:ilvl w:val="0"/>
          <w:numId w:val="7"/>
        </w:numPr>
        <w:ind w:left="0" w:firstLine="420"/>
        <w:rPr>
          <w:rFonts w:ascii="Times New Roman" w:hAnsi="Times New Roman"/>
        </w:rPr>
      </w:pPr>
      <w:r>
        <w:rPr>
          <w:rFonts w:hint="eastAsia" w:ascii="Times New Roman" w:hAnsi="Times New Roman"/>
        </w:rPr>
        <w:t>天然气净化、脱水、凝液回收等</w:t>
      </w:r>
      <w:r>
        <w:rPr>
          <w:rFonts w:ascii="Times New Roman" w:hAnsi="Times New Roman"/>
        </w:rPr>
        <w:t>主体</w:t>
      </w:r>
      <w:r>
        <w:rPr>
          <w:rFonts w:hint="eastAsia" w:ascii="Times New Roman" w:hAnsi="Times New Roman"/>
        </w:rPr>
        <w:t>生产</w:t>
      </w:r>
      <w:r>
        <w:rPr>
          <w:rFonts w:ascii="Times New Roman" w:hAnsi="Times New Roman"/>
        </w:rPr>
        <w:t>工艺发生变化</w:t>
      </w:r>
      <w:r>
        <w:rPr>
          <w:rFonts w:hint="eastAsia" w:ascii="Times New Roman" w:hAnsi="Times New Roman"/>
        </w:rPr>
        <w:t>；</w:t>
      </w:r>
    </w:p>
    <w:p w14:paraId="3900D663">
      <w:pPr>
        <w:pStyle w:val="42"/>
        <w:numPr>
          <w:ilvl w:val="0"/>
          <w:numId w:val="7"/>
        </w:numPr>
        <w:ind w:left="0" w:firstLine="420"/>
        <w:rPr>
          <w:rFonts w:ascii="Times New Roman" w:hAnsi="Times New Roman"/>
        </w:rPr>
      </w:pPr>
      <w:r>
        <w:rPr>
          <w:rFonts w:hint="eastAsia" w:ascii="Times New Roman" w:hAnsi="Times New Roman"/>
        </w:rPr>
        <w:t>关键设备类型及关键参数发生变化；</w:t>
      </w:r>
    </w:p>
    <w:p w14:paraId="1CBB4E12">
      <w:pPr>
        <w:pStyle w:val="42"/>
        <w:numPr>
          <w:ilvl w:val="0"/>
          <w:numId w:val="7"/>
        </w:numPr>
        <w:adjustRightInd w:val="0"/>
        <w:snapToGrid w:val="0"/>
        <w:ind w:left="0" w:firstLine="420"/>
        <w:rPr>
          <w:rFonts w:ascii="Times New Roman" w:hAnsi="Times New Roman"/>
        </w:rPr>
      </w:pPr>
      <w:r>
        <w:rPr>
          <w:rFonts w:hint="eastAsia" w:ascii="Times New Roman" w:hAnsi="Times New Roman"/>
        </w:rPr>
        <w:t>原料</w:t>
      </w:r>
      <w:r>
        <w:rPr>
          <w:rFonts w:ascii="Times New Roman" w:hAnsi="Times New Roman"/>
        </w:rPr>
        <w:t>组分</w:t>
      </w:r>
      <w:r>
        <w:rPr>
          <w:rFonts w:hint="eastAsia" w:ascii="Times New Roman" w:hAnsi="Times New Roman"/>
        </w:rPr>
        <w:t>（</w:t>
      </w:r>
      <w:r>
        <w:rPr>
          <w:rFonts w:ascii="Times New Roman" w:hAnsi="Times New Roman"/>
        </w:rPr>
        <w:t>硫化氢、二氧化碳</w:t>
      </w:r>
      <w:r>
        <w:rPr>
          <w:rFonts w:hint="eastAsia" w:ascii="Times New Roman" w:hAnsi="Times New Roman"/>
        </w:rPr>
        <w:t>、氯离子</w:t>
      </w:r>
      <w:r>
        <w:rPr>
          <w:rFonts w:ascii="Times New Roman" w:hAnsi="Times New Roman"/>
        </w:rPr>
        <w:t>等</w:t>
      </w:r>
      <w:r>
        <w:rPr>
          <w:rFonts w:hint="eastAsia" w:ascii="Times New Roman" w:hAnsi="Times New Roman"/>
        </w:rPr>
        <w:t>）</w:t>
      </w:r>
      <w:r>
        <w:rPr>
          <w:rFonts w:ascii="Times New Roman" w:hAnsi="Times New Roman"/>
        </w:rPr>
        <w:t>含量</w:t>
      </w:r>
      <w:r>
        <w:rPr>
          <w:rFonts w:hint="eastAsia" w:ascii="Times New Roman" w:hAnsi="Times New Roman"/>
        </w:rPr>
        <w:t>变化</w:t>
      </w:r>
      <w:r>
        <w:rPr>
          <w:rFonts w:ascii="Times New Roman" w:hAnsi="Times New Roman"/>
        </w:rPr>
        <w:t>引起</w:t>
      </w:r>
      <w:r>
        <w:rPr>
          <w:rFonts w:hint="eastAsia" w:ascii="Times New Roman" w:hAnsi="Times New Roman"/>
        </w:rPr>
        <w:t>主体</w:t>
      </w:r>
      <w:r>
        <w:rPr>
          <w:rFonts w:ascii="Times New Roman" w:hAnsi="Times New Roman"/>
        </w:rPr>
        <w:t>材质选型</w:t>
      </w:r>
      <w:r>
        <w:rPr>
          <w:rFonts w:hint="eastAsia" w:ascii="Times New Roman" w:hAnsi="Times New Roman"/>
        </w:rPr>
        <w:t>重大</w:t>
      </w:r>
      <w:r>
        <w:rPr>
          <w:rFonts w:ascii="Times New Roman" w:hAnsi="Times New Roman"/>
        </w:rPr>
        <w:t>变化</w:t>
      </w:r>
      <w:r>
        <w:rPr>
          <w:rFonts w:hint="eastAsia" w:ascii="Times New Roman" w:hAnsi="Times New Roman"/>
        </w:rPr>
        <w:t>；</w:t>
      </w:r>
    </w:p>
    <w:p w14:paraId="57DF8AF3">
      <w:pPr>
        <w:pStyle w:val="42"/>
        <w:numPr>
          <w:ilvl w:val="0"/>
          <w:numId w:val="7"/>
        </w:numPr>
        <w:adjustRightInd w:val="0"/>
        <w:snapToGrid w:val="0"/>
        <w:ind w:left="0" w:firstLine="420"/>
        <w:rPr>
          <w:rFonts w:ascii="Times New Roman" w:hAnsi="Times New Roman"/>
        </w:rPr>
      </w:pPr>
      <w:r>
        <w:rPr>
          <w:rFonts w:hint="eastAsia" w:hAnsi="宋体"/>
        </w:rPr>
        <w:t>改变安全设施设计且可能降低安全性能的。</w:t>
      </w:r>
    </w:p>
    <w:p w14:paraId="2FA1F1B4">
      <w:pPr>
        <w:numPr>
          <w:ilvl w:val="2"/>
          <w:numId w:val="2"/>
        </w:numPr>
        <w:ind w:left="0"/>
        <w:rPr>
          <w:rFonts w:ascii="Times New Roman" w:hAnsi="Times New Roman" w:eastAsia="宋体"/>
        </w:rPr>
      </w:pPr>
      <w:bookmarkStart w:id="66" w:name="_Toc30661"/>
      <w:bookmarkStart w:id="67" w:name="_Toc27785"/>
      <w:bookmarkStart w:id="68" w:name="_Toc4672"/>
      <w:bookmarkStart w:id="69" w:name="_Toc17291"/>
      <w:bookmarkStart w:id="70" w:name="_Toc17347"/>
      <w:bookmarkStart w:id="71" w:name="_Toc21935"/>
      <w:bookmarkStart w:id="72" w:name="_Toc5661"/>
      <w:bookmarkStart w:id="73" w:name="_Toc14476"/>
      <w:bookmarkStart w:id="74" w:name="_Toc10846"/>
      <w:bookmarkStart w:id="75" w:name="_Toc1260"/>
      <w:bookmarkStart w:id="76" w:name="_Toc164090055"/>
      <w:bookmarkStart w:id="77" w:name="_Toc11898"/>
      <w:bookmarkStart w:id="78" w:name="_Toc29200"/>
      <w:bookmarkStart w:id="79" w:name="_Toc14305"/>
      <w:bookmarkStart w:id="80" w:name="_Toc164158307"/>
      <w:bookmarkStart w:id="81" w:name="_Toc30026"/>
      <w:bookmarkStart w:id="82" w:name="_Toc164158639"/>
      <w:bookmarkStart w:id="83" w:name="_Toc3244"/>
      <w:bookmarkStart w:id="84" w:name="_Toc28457"/>
      <w:bookmarkStart w:id="85" w:name="_Toc17520"/>
      <w:bookmarkStart w:id="86" w:name="_Toc3094"/>
      <w:bookmarkStart w:id="87" w:name="_Toc9127"/>
      <w:bookmarkStart w:id="88" w:name="_Toc21674"/>
      <w:bookmarkStart w:id="89" w:name="_Toc31988"/>
      <w:r>
        <w:rPr>
          <w:rFonts w:ascii="Times New Roman" w:hAnsi="Times New Roman" w:eastAsia="宋体"/>
        </w:rPr>
        <w:t>安全设施设计章节分为</w:t>
      </w:r>
      <w:r>
        <w:rPr>
          <w:rFonts w:hint="eastAsia" w:ascii="Times New Roman" w:hAnsi="Times New Roman" w:eastAsia="宋体"/>
        </w:rPr>
        <w:t>：</w:t>
      </w:r>
      <w:bookmarkEnd w:id="66"/>
      <w:bookmarkEnd w:id="67"/>
      <w:bookmarkEnd w:id="68"/>
    </w:p>
    <w:p w14:paraId="34FF1DC4">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设计依据，</w:t>
      </w:r>
    </w:p>
    <w:p w14:paraId="1875A058">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建设项目概述，</w:t>
      </w:r>
    </w:p>
    <w:p w14:paraId="2ABB471D">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危险有害因素分析，</w:t>
      </w:r>
    </w:p>
    <w:p w14:paraId="6AB9BB56">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安全预评价响应，</w:t>
      </w:r>
    </w:p>
    <w:p w14:paraId="5F7D6D14">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区域布置及总平面布置安全措施，</w:t>
      </w:r>
    </w:p>
    <w:p w14:paraId="44FDBFB8">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工艺系统安全防护措施，</w:t>
      </w:r>
    </w:p>
    <w:p w14:paraId="286CA169">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自控安全措施，</w:t>
      </w:r>
    </w:p>
    <w:p w14:paraId="3D85ED4D">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公用工程安全措施，</w:t>
      </w:r>
    </w:p>
    <w:p w14:paraId="192C4A66">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防范其他危险、危害因素的安全措施，</w:t>
      </w:r>
    </w:p>
    <w:p w14:paraId="533E6ED6">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逃生及救生，</w:t>
      </w:r>
    </w:p>
    <w:p w14:paraId="152CA4C9">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安全管理，</w:t>
      </w:r>
    </w:p>
    <w:p w14:paraId="44D18CF4">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专项投资概算，</w:t>
      </w:r>
    </w:p>
    <w:p w14:paraId="143A20E2">
      <w:pPr>
        <w:pStyle w:val="42"/>
        <w:numPr>
          <w:ilvl w:val="0"/>
          <w:numId w:val="8"/>
        </w:numPr>
        <w:ind w:left="0"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主要结论和建议。</w:t>
      </w:r>
      <w:bookmarkEnd w:id="69"/>
      <w:bookmarkEnd w:id="70"/>
      <w:bookmarkEnd w:id="71"/>
      <w:bookmarkEnd w:id="72"/>
      <w:bookmarkEnd w:id="73"/>
    </w:p>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14:paraId="2F80AEF1">
      <w:pPr>
        <w:widowControl/>
        <w:numPr>
          <w:ilvl w:val="1"/>
          <w:numId w:val="2"/>
        </w:numPr>
        <w:spacing w:before="312" w:beforeLines="100" w:after="312" w:afterLines="100"/>
        <w:outlineLvl w:val="0"/>
        <w:rPr>
          <w:rFonts w:hint="eastAsia" w:ascii="黑体" w:hAnsi="黑体" w:eastAsia="黑体" w:cs="黑体"/>
          <w:szCs w:val="22"/>
        </w:rPr>
      </w:pPr>
      <w:bookmarkStart w:id="90" w:name="_Toc30667"/>
      <w:r>
        <w:rPr>
          <w:rFonts w:hint="eastAsia" w:ascii="黑体" w:hAnsi="黑体" w:eastAsia="黑体" w:cs="黑体"/>
          <w:szCs w:val="22"/>
        </w:rPr>
        <w:t>设计依据</w:t>
      </w:r>
      <w:bookmarkEnd w:id="90"/>
    </w:p>
    <w:p w14:paraId="7892E97C">
      <w:pPr>
        <w:numPr>
          <w:ilvl w:val="2"/>
          <w:numId w:val="2"/>
        </w:numPr>
        <w:spacing w:before="156" w:beforeLines="50" w:after="156" w:afterLines="50"/>
        <w:ind w:left="0"/>
        <w:outlineLvl w:val="1"/>
        <w:rPr>
          <w:rFonts w:hint="eastAsia" w:ascii="黑体" w:hAnsi="黑体" w:eastAsia="黑体" w:cs="黑体"/>
        </w:rPr>
      </w:pPr>
      <w:bookmarkStart w:id="91" w:name="_Toc18658"/>
      <w:bookmarkStart w:id="92" w:name="_Toc20059"/>
      <w:r>
        <w:rPr>
          <w:rFonts w:hint="eastAsia" w:ascii="黑体" w:hAnsi="黑体" w:eastAsia="黑体" w:cs="黑体"/>
        </w:rPr>
        <w:t>依据的批复文件</w:t>
      </w:r>
      <w:bookmarkEnd w:id="91"/>
      <w:bookmarkEnd w:id="92"/>
    </w:p>
    <w:p w14:paraId="0237BE27">
      <w:pPr>
        <w:pStyle w:val="42"/>
        <w:ind w:firstLine="420"/>
        <w:rPr>
          <w:szCs w:val="20"/>
        </w:rPr>
      </w:pPr>
      <w:bookmarkStart w:id="93" w:name="_Toc24091"/>
      <w:r>
        <w:rPr>
          <w:rFonts w:hint="eastAsia"/>
          <w:szCs w:val="20"/>
        </w:rPr>
        <w:t>列出该建设项目设计所依据的文件名称、编制单位、发文单位、文件号、日期等相关内容。主要包括下列文件：</w:t>
      </w:r>
    </w:p>
    <w:bookmarkEnd w:id="93"/>
    <w:p w14:paraId="49A8730F">
      <w:pPr>
        <w:pStyle w:val="42"/>
        <w:numPr>
          <w:ilvl w:val="0"/>
          <w:numId w:val="9"/>
        </w:numPr>
        <w:ind w:left="0" w:firstLine="357" w:firstLineChars="0"/>
        <w:rPr>
          <w:rFonts w:ascii="Times New Roman" w:hAnsi="Times New Roman"/>
        </w:rPr>
      </w:pPr>
      <w:bookmarkStart w:id="94" w:name="_Toc27797"/>
      <w:r>
        <w:rPr>
          <w:rFonts w:hint="eastAsia" w:ascii="Times New Roman" w:hAnsi="Times New Roman"/>
        </w:rPr>
        <w:t>建设项目审批、核准或备案的文件；</w:t>
      </w:r>
    </w:p>
    <w:p w14:paraId="0B7C487F">
      <w:pPr>
        <w:pStyle w:val="42"/>
        <w:numPr>
          <w:ilvl w:val="0"/>
          <w:numId w:val="9"/>
        </w:numPr>
        <w:ind w:left="0" w:firstLine="357" w:firstLineChars="0"/>
        <w:rPr>
          <w:rFonts w:ascii="Times New Roman" w:hAnsi="Times New Roman"/>
        </w:rPr>
      </w:pPr>
      <w:r>
        <w:rPr>
          <w:rFonts w:hint="eastAsia" w:ascii="Times New Roman" w:hAnsi="Times New Roman"/>
        </w:rPr>
        <w:t>建设项目设计委托书（任务书、合同书）；</w:t>
      </w:r>
    </w:p>
    <w:p w14:paraId="144D860A">
      <w:pPr>
        <w:pStyle w:val="42"/>
        <w:numPr>
          <w:ilvl w:val="0"/>
          <w:numId w:val="9"/>
        </w:numPr>
        <w:ind w:left="0" w:firstLine="357" w:firstLineChars="0"/>
        <w:rPr>
          <w:rFonts w:ascii="Times New Roman" w:hAnsi="Times New Roman"/>
        </w:rPr>
      </w:pPr>
      <w:r>
        <w:rPr>
          <w:rFonts w:hint="eastAsia" w:ascii="Times New Roman" w:hAnsi="Times New Roman"/>
        </w:rPr>
        <w:t>建设项目可行性研究报告及批复文件；</w:t>
      </w:r>
    </w:p>
    <w:p w14:paraId="7C8A2EE6">
      <w:pPr>
        <w:pStyle w:val="42"/>
        <w:numPr>
          <w:ilvl w:val="0"/>
          <w:numId w:val="9"/>
        </w:numPr>
        <w:ind w:left="0" w:firstLine="357" w:firstLineChars="0"/>
        <w:rPr>
          <w:rFonts w:ascii="Times New Roman" w:hAnsi="Times New Roman"/>
        </w:rPr>
      </w:pPr>
      <w:r>
        <w:rPr>
          <w:rFonts w:hint="eastAsia" w:ascii="Times New Roman" w:hAnsi="Times New Roman"/>
        </w:rPr>
        <w:t>建设项目安全预评价报告及审批或备案文件等。</w:t>
      </w:r>
    </w:p>
    <w:p w14:paraId="3363D444">
      <w:pPr>
        <w:numPr>
          <w:ilvl w:val="2"/>
          <w:numId w:val="2"/>
        </w:numPr>
        <w:spacing w:before="156" w:beforeLines="50" w:after="156" w:afterLines="50"/>
        <w:ind w:left="0"/>
        <w:outlineLvl w:val="1"/>
        <w:rPr>
          <w:rFonts w:hint="eastAsia" w:ascii="黑体" w:hAnsi="黑体" w:eastAsia="黑体" w:cs="黑体"/>
        </w:rPr>
      </w:pPr>
      <w:bookmarkStart w:id="95" w:name="_Toc15330"/>
      <w:bookmarkStart w:id="96" w:name="_Toc4815"/>
      <w:r>
        <w:rPr>
          <w:rFonts w:hint="eastAsia" w:ascii="黑体" w:hAnsi="黑体" w:eastAsia="黑体" w:cs="黑体"/>
        </w:rPr>
        <w:t>遵循的主要法律法规</w:t>
      </w:r>
      <w:bookmarkEnd w:id="95"/>
      <w:bookmarkEnd w:id="96"/>
    </w:p>
    <w:p w14:paraId="1958BEF5">
      <w:pPr>
        <w:pStyle w:val="42"/>
        <w:spacing w:before="120" w:after="120"/>
        <w:ind w:firstLine="420"/>
        <w:rPr>
          <w:rFonts w:ascii="Times New Roman" w:hAnsi="Times New Roman"/>
        </w:rPr>
      </w:pPr>
      <w:r>
        <w:rPr>
          <w:rFonts w:ascii="Times New Roman" w:hAnsi="Times New Roman"/>
        </w:rPr>
        <w:t>分层次列出</w:t>
      </w:r>
      <w:r>
        <w:rPr>
          <w:rFonts w:hint="eastAsia" w:ascii="Times New Roman" w:hAnsi="Times New Roman"/>
        </w:rPr>
        <w:t>建设项目执行的有关安全生产的现行国家法律、法规、部门规章、地方性法规及其他规范性文件</w:t>
      </w:r>
      <w:r>
        <w:rPr>
          <w:rFonts w:ascii="Times New Roman" w:hAnsi="Times New Roman"/>
        </w:rPr>
        <w:t>，标明发布机构、令号和施行日期</w:t>
      </w:r>
      <w:r>
        <w:rPr>
          <w:rFonts w:hint="eastAsia" w:ascii="Times New Roman" w:hAnsi="Times New Roman"/>
        </w:rPr>
        <w:t>。</w:t>
      </w:r>
    </w:p>
    <w:p w14:paraId="4BE73F4E">
      <w:pPr>
        <w:numPr>
          <w:ilvl w:val="2"/>
          <w:numId w:val="2"/>
        </w:numPr>
        <w:spacing w:before="156" w:beforeLines="50" w:after="156" w:afterLines="50"/>
        <w:ind w:left="0"/>
        <w:outlineLvl w:val="1"/>
        <w:rPr>
          <w:rFonts w:hint="eastAsia" w:ascii="黑体" w:hAnsi="黑体" w:eastAsia="黑体" w:cs="黑体"/>
        </w:rPr>
      </w:pPr>
      <w:bookmarkStart w:id="97" w:name="_Toc24509"/>
      <w:bookmarkStart w:id="98" w:name="_Toc25948"/>
      <w:r>
        <w:rPr>
          <w:rFonts w:hint="eastAsia" w:ascii="黑体" w:hAnsi="黑体" w:eastAsia="黑体" w:cs="黑体"/>
        </w:rPr>
        <w:t>执行的主要标准</w:t>
      </w:r>
      <w:bookmarkEnd w:id="97"/>
      <w:r>
        <w:rPr>
          <w:rFonts w:hint="eastAsia" w:ascii="黑体" w:hAnsi="黑体" w:eastAsia="黑体" w:cs="黑体"/>
        </w:rPr>
        <w:t>规范</w:t>
      </w:r>
      <w:bookmarkEnd w:id="98"/>
      <w:r>
        <w:rPr>
          <w:rFonts w:hint="eastAsia" w:ascii="黑体" w:hAnsi="黑体" w:eastAsia="黑体" w:cs="黑体"/>
        </w:rPr>
        <w:t xml:space="preserve"> </w:t>
      </w:r>
    </w:p>
    <w:p w14:paraId="37ACFD76">
      <w:pPr>
        <w:pStyle w:val="42"/>
        <w:spacing w:before="120" w:after="120"/>
        <w:ind w:firstLine="420"/>
        <w:rPr>
          <w:rFonts w:ascii="Times New Roman" w:hAnsi="Times New Roman"/>
        </w:rPr>
      </w:pPr>
      <w:r>
        <w:rPr>
          <w:rFonts w:ascii="Times New Roman" w:hAnsi="Times New Roman"/>
        </w:rPr>
        <w:t>列出设计依据的现行国家和行业标准目录，应标明</w:t>
      </w:r>
      <w:r>
        <w:rPr>
          <w:rFonts w:hint="eastAsia" w:ascii="Times New Roman" w:hAnsi="Times New Roman"/>
        </w:rPr>
        <w:t>文件编号</w:t>
      </w:r>
      <w:r>
        <w:rPr>
          <w:rFonts w:ascii="Times New Roman" w:hAnsi="Times New Roman"/>
        </w:rPr>
        <w:t>。</w:t>
      </w:r>
    </w:p>
    <w:bookmarkEnd w:id="94"/>
    <w:p w14:paraId="140F9CEF">
      <w:pPr>
        <w:numPr>
          <w:ilvl w:val="2"/>
          <w:numId w:val="2"/>
        </w:numPr>
        <w:spacing w:before="156" w:beforeLines="50" w:after="156" w:afterLines="50"/>
        <w:ind w:left="0"/>
        <w:outlineLvl w:val="1"/>
        <w:rPr>
          <w:rFonts w:hint="eastAsia" w:ascii="黑体" w:hAnsi="黑体" w:eastAsia="黑体" w:cs="黑体"/>
        </w:rPr>
      </w:pPr>
      <w:bookmarkStart w:id="99" w:name="_Toc432"/>
      <w:r>
        <w:rPr>
          <w:rFonts w:hint="eastAsia" w:ascii="黑体" w:hAnsi="黑体" w:eastAsia="黑体" w:cs="黑体"/>
        </w:rPr>
        <w:t>其他文件</w:t>
      </w:r>
      <w:bookmarkEnd w:id="99"/>
    </w:p>
    <w:p w14:paraId="055D513D">
      <w:pPr>
        <w:pStyle w:val="42"/>
        <w:spacing w:before="120" w:after="120"/>
        <w:ind w:firstLine="420"/>
        <w:rPr>
          <w:rFonts w:ascii="Times New Roman" w:hAnsi="Times New Roman"/>
        </w:rPr>
      </w:pPr>
      <w:r>
        <w:rPr>
          <w:rFonts w:hint="eastAsia" w:ascii="Times New Roman" w:hAnsi="Times New Roman"/>
        </w:rPr>
        <w:t>列出项目开展的专项评价报告名称、编制单位和完成情况，如：</w:t>
      </w:r>
      <w:r>
        <w:rPr>
          <w:rFonts w:ascii="Times New Roman" w:hAnsi="Times New Roman"/>
        </w:rPr>
        <w:t>地质灾害危险性评估、地震安全性评价、压覆矿产资源评估</w:t>
      </w:r>
      <w:r>
        <w:rPr>
          <w:rFonts w:hint="eastAsia" w:ascii="Times New Roman" w:hAnsi="Times New Roman"/>
        </w:rPr>
        <w:t>、防洪评价等。</w:t>
      </w:r>
    </w:p>
    <w:p w14:paraId="192AA35F">
      <w:pPr>
        <w:widowControl/>
        <w:numPr>
          <w:ilvl w:val="1"/>
          <w:numId w:val="2"/>
        </w:numPr>
        <w:spacing w:before="312" w:beforeLines="100" w:after="312" w:afterLines="100"/>
        <w:outlineLvl w:val="0"/>
        <w:rPr>
          <w:rFonts w:hint="eastAsia" w:ascii="黑体" w:hAnsi="黑体" w:eastAsia="黑体" w:cs="黑体"/>
          <w:szCs w:val="22"/>
        </w:rPr>
      </w:pPr>
      <w:bookmarkStart w:id="100" w:name="_Toc21915"/>
      <w:r>
        <w:rPr>
          <w:rFonts w:hint="eastAsia" w:ascii="黑体" w:hAnsi="黑体" w:eastAsia="黑体" w:cs="黑体"/>
          <w:szCs w:val="22"/>
        </w:rPr>
        <w:t>建设项目概述</w:t>
      </w:r>
      <w:bookmarkEnd w:id="100"/>
    </w:p>
    <w:p w14:paraId="3011CA49">
      <w:pPr>
        <w:numPr>
          <w:ilvl w:val="2"/>
          <w:numId w:val="2"/>
        </w:numPr>
        <w:spacing w:before="156" w:beforeLines="50" w:after="156" w:afterLines="50"/>
        <w:ind w:left="0"/>
        <w:outlineLvl w:val="1"/>
        <w:rPr>
          <w:rFonts w:hint="eastAsia" w:ascii="黑体" w:hAnsi="黑体" w:eastAsia="黑体" w:cs="黑体"/>
        </w:rPr>
      </w:pPr>
      <w:bookmarkStart w:id="101" w:name="_Toc17813"/>
      <w:r>
        <w:rPr>
          <w:rFonts w:hint="eastAsia" w:ascii="黑体" w:hAnsi="黑体" w:eastAsia="黑体" w:cs="黑体"/>
        </w:rPr>
        <w:t>项目概况</w:t>
      </w:r>
      <w:bookmarkEnd w:id="101"/>
    </w:p>
    <w:p w14:paraId="7C31997A">
      <w:pPr>
        <w:pStyle w:val="93"/>
        <w:spacing w:before="156" w:beforeLines="50" w:after="156" w:afterLines="50"/>
        <w:rPr>
          <w:rFonts w:hint="eastAsia" w:ascii="黑体" w:hAnsi="黑体" w:eastAsia="黑体" w:cs="黑体"/>
        </w:rPr>
      </w:pPr>
      <w:r>
        <w:rPr>
          <w:rFonts w:hint="eastAsia" w:ascii="黑体" w:hAnsi="黑体" w:eastAsia="黑体" w:cs="黑体"/>
        </w:rPr>
        <w:t>基本信息</w:t>
      </w:r>
    </w:p>
    <w:p w14:paraId="1BCDBF49">
      <w:pPr>
        <w:numPr>
          <w:ilvl w:val="3"/>
          <w:numId w:val="10"/>
        </w:numPr>
        <w:autoSpaceDE w:val="0"/>
        <w:autoSpaceDN w:val="0"/>
        <w:adjustRightInd w:val="0"/>
        <w:snapToGrid w:val="0"/>
        <w:ind w:left="0" w:right="420" w:rightChars="200" w:firstLine="0"/>
        <w:outlineLvl w:val="3"/>
        <w:rPr>
          <w:rFonts w:ascii="Times New Roman" w:hAnsi="Times New Roman"/>
        </w:rPr>
      </w:pPr>
      <w:r>
        <w:rPr>
          <w:rFonts w:hint="eastAsia" w:ascii="Times New Roman" w:hAnsi="Times New Roman"/>
        </w:rPr>
        <w:t xml:space="preserve"> 简述</w:t>
      </w:r>
      <w:r>
        <w:rPr>
          <w:rFonts w:ascii="Times New Roman" w:hAnsi="Times New Roman"/>
        </w:rPr>
        <w:t>项目建设单位、生产管理单位基本情况、建设项目性质（新建、改建、扩建</w:t>
      </w:r>
      <w:r>
        <w:rPr>
          <w:rFonts w:hint="eastAsia" w:ascii="Times New Roman" w:hAnsi="Times New Roman"/>
        </w:rPr>
        <w:t>）。</w:t>
      </w:r>
    </w:p>
    <w:p w14:paraId="7EC671A8">
      <w:pPr>
        <w:numPr>
          <w:ilvl w:val="3"/>
          <w:numId w:val="10"/>
        </w:numPr>
        <w:autoSpaceDE w:val="0"/>
        <w:autoSpaceDN w:val="0"/>
        <w:adjustRightInd w:val="0"/>
        <w:snapToGrid w:val="0"/>
        <w:ind w:left="0" w:firstLine="0"/>
        <w:outlineLvl w:val="3"/>
        <w:rPr>
          <w:rFonts w:ascii="Times New Roman" w:hAnsi="Times New Roman"/>
        </w:rPr>
      </w:pPr>
      <w:r>
        <w:rPr>
          <w:rFonts w:hint="eastAsia" w:ascii="Times New Roman" w:hAnsi="Times New Roman"/>
        </w:rPr>
        <w:t xml:space="preserve"> 简述</w:t>
      </w:r>
      <w:r>
        <w:rPr>
          <w:rFonts w:ascii="Times New Roman" w:hAnsi="Times New Roman"/>
        </w:rPr>
        <w:t>建设项目的地理位置、项目规模及投资</w:t>
      </w:r>
      <w:r>
        <w:rPr>
          <w:rFonts w:hint="eastAsia" w:ascii="Times New Roman" w:hAnsi="Times New Roman"/>
        </w:rPr>
        <w:t>概算</w:t>
      </w:r>
      <w:r>
        <w:rPr>
          <w:rFonts w:ascii="Times New Roman" w:hAnsi="Times New Roman"/>
        </w:rPr>
        <w:t>。</w:t>
      </w:r>
    </w:p>
    <w:p w14:paraId="4E3B1B18">
      <w:pPr>
        <w:pStyle w:val="93"/>
        <w:spacing w:before="156" w:beforeLines="50" w:after="156" w:afterLines="50"/>
        <w:rPr>
          <w:rFonts w:hint="eastAsia" w:ascii="黑体" w:hAnsi="黑体" w:eastAsia="黑体" w:cs="黑体"/>
        </w:rPr>
      </w:pPr>
      <w:bookmarkStart w:id="102" w:name="_Toc163057343"/>
      <w:bookmarkStart w:id="103" w:name="_Toc163575728"/>
      <w:bookmarkStart w:id="104" w:name="_Toc19432"/>
      <w:r>
        <w:rPr>
          <w:rFonts w:hint="eastAsia" w:ascii="黑体" w:hAnsi="黑体" w:eastAsia="黑体" w:cs="黑体"/>
        </w:rPr>
        <w:t>开发方案</w:t>
      </w:r>
      <w:bookmarkEnd w:id="102"/>
      <w:bookmarkEnd w:id="103"/>
      <w:bookmarkEnd w:id="104"/>
    </w:p>
    <w:p w14:paraId="14E12ECD">
      <w:pPr>
        <w:pStyle w:val="42"/>
        <w:ind w:left="418" w:firstLine="0" w:firstLineChars="0"/>
        <w:rPr>
          <w:rFonts w:ascii="Times New Roman" w:hAnsi="Times New Roman"/>
        </w:rPr>
      </w:pPr>
      <w:r>
        <w:rPr>
          <w:rFonts w:hint="eastAsia" w:ascii="Times New Roman" w:hAnsi="Times New Roman"/>
        </w:rPr>
        <w:t>按表B.1列表说明天然气处理厂纳入气源的开发指标预测。</w:t>
      </w:r>
    </w:p>
    <w:p w14:paraId="75E038E1">
      <w:pPr>
        <w:pStyle w:val="93"/>
        <w:spacing w:before="156" w:beforeLines="50" w:after="156" w:afterLines="50"/>
        <w:rPr>
          <w:rFonts w:hint="eastAsia" w:ascii="黑体" w:hAnsi="黑体" w:eastAsia="黑体" w:cs="黑体"/>
        </w:rPr>
      </w:pPr>
      <w:bookmarkStart w:id="105" w:name="_Toc13076"/>
      <w:r>
        <w:rPr>
          <w:rFonts w:hint="eastAsia" w:ascii="黑体" w:hAnsi="黑体" w:eastAsia="黑体" w:cs="黑体"/>
        </w:rPr>
        <w:t>自然及社会环境</w:t>
      </w:r>
      <w:bookmarkEnd w:id="105"/>
    </w:p>
    <w:p w14:paraId="4CC0620D">
      <w:pPr>
        <w:numPr>
          <w:ilvl w:val="3"/>
          <w:numId w:val="11"/>
        </w:numPr>
        <w:autoSpaceDE w:val="0"/>
        <w:autoSpaceDN w:val="0"/>
        <w:adjustRightInd w:val="0"/>
        <w:snapToGrid w:val="0"/>
        <w:ind w:left="0" w:firstLine="0"/>
        <w:outlineLvl w:val="3"/>
        <w:rPr>
          <w:rFonts w:ascii="Times New Roman" w:hAnsi="Times New Roman"/>
        </w:rPr>
      </w:pPr>
      <w:r>
        <w:rPr>
          <w:rFonts w:hint="eastAsia" w:ascii="Times New Roman" w:hAnsi="Times New Roman"/>
        </w:rPr>
        <w:t xml:space="preserve"> 简述工程</w:t>
      </w:r>
      <w:r>
        <w:rPr>
          <w:rFonts w:ascii="Times New Roman" w:hAnsi="Times New Roman"/>
        </w:rPr>
        <w:t>所处区域的自然条件，包括</w:t>
      </w:r>
      <w:r>
        <w:rPr>
          <w:rFonts w:hint="eastAsia" w:ascii="Times New Roman" w:hAnsi="Times New Roman"/>
        </w:rPr>
        <w:t>油气田</w:t>
      </w:r>
      <w:r>
        <w:rPr>
          <w:rFonts w:ascii="Times New Roman" w:hAnsi="Times New Roman"/>
        </w:rPr>
        <w:t>地形地貌、工程地质、</w:t>
      </w:r>
      <w:r>
        <w:rPr>
          <w:rFonts w:hint="eastAsia" w:ascii="Times New Roman" w:hAnsi="Times New Roman"/>
        </w:rPr>
        <w:t>水文、</w:t>
      </w:r>
      <w:r>
        <w:rPr>
          <w:rFonts w:ascii="Times New Roman" w:hAnsi="Times New Roman"/>
        </w:rPr>
        <w:t>气象、地震烈度等。</w:t>
      </w:r>
    </w:p>
    <w:p w14:paraId="1BF7ABFA">
      <w:pPr>
        <w:numPr>
          <w:ilvl w:val="3"/>
          <w:numId w:val="11"/>
        </w:numPr>
        <w:autoSpaceDE w:val="0"/>
        <w:autoSpaceDN w:val="0"/>
        <w:adjustRightInd w:val="0"/>
        <w:snapToGrid w:val="0"/>
        <w:ind w:left="0" w:firstLine="0"/>
        <w:outlineLvl w:val="3"/>
        <w:rPr>
          <w:rFonts w:ascii="Times New Roman" w:hAnsi="Times New Roman"/>
          <w:kern w:val="0"/>
          <w:szCs w:val="20"/>
        </w:rPr>
      </w:pPr>
      <w:r>
        <w:rPr>
          <w:rFonts w:hint="eastAsia" w:ascii="Times New Roman" w:hAnsi="Times New Roman"/>
        </w:rPr>
        <w:t xml:space="preserve"> 简述工程所处社会环境，包括人文、经济及交通条件等。</w:t>
      </w:r>
    </w:p>
    <w:p w14:paraId="073C1CEB">
      <w:pPr>
        <w:numPr>
          <w:ilvl w:val="3"/>
          <w:numId w:val="11"/>
        </w:numPr>
        <w:autoSpaceDE w:val="0"/>
        <w:autoSpaceDN w:val="0"/>
        <w:adjustRightInd w:val="0"/>
        <w:snapToGrid w:val="0"/>
        <w:ind w:left="0" w:firstLine="0"/>
        <w:outlineLvl w:val="3"/>
        <w:rPr>
          <w:rFonts w:ascii="Times New Roman" w:hAnsi="Times New Roman"/>
          <w:kern w:val="0"/>
          <w:szCs w:val="20"/>
        </w:rPr>
      </w:pPr>
      <w:r>
        <w:rPr>
          <w:rFonts w:hint="eastAsia" w:ascii="Times New Roman" w:hAnsi="Times New Roman"/>
        </w:rPr>
        <w:t xml:space="preserve"> 简述新建、改建、扩建天然气处理厂的地理位置，以及与周边城镇、居民点、相邻厂矿企业、交通线路等方位和距离。</w:t>
      </w:r>
    </w:p>
    <w:p w14:paraId="548FAF77">
      <w:pPr>
        <w:pStyle w:val="93"/>
        <w:spacing w:before="156" w:beforeLines="50" w:after="156" w:afterLines="50"/>
        <w:rPr>
          <w:rFonts w:hint="eastAsia" w:ascii="黑体" w:hAnsi="黑体" w:eastAsia="黑体" w:cs="黑体"/>
        </w:rPr>
      </w:pPr>
      <w:bookmarkStart w:id="106" w:name="_Toc28935"/>
      <w:r>
        <w:rPr>
          <w:rFonts w:hint="eastAsia" w:ascii="黑体" w:hAnsi="黑体" w:eastAsia="黑体" w:cs="黑体"/>
        </w:rPr>
        <w:t>外部依托条件</w:t>
      </w:r>
      <w:bookmarkEnd w:id="106"/>
    </w:p>
    <w:p w14:paraId="4B4FA65C">
      <w:pPr>
        <w:pStyle w:val="42"/>
        <w:ind w:firstLine="420"/>
        <w:rPr>
          <w:rFonts w:ascii="Times New Roman" w:hAnsi="Times New Roman"/>
          <w:kern w:val="0"/>
        </w:rPr>
      </w:pPr>
      <w:r>
        <w:rPr>
          <w:rFonts w:hint="eastAsia" w:ascii="Times New Roman" w:hAnsi="Times New Roman"/>
          <w:kern w:val="0"/>
        </w:rPr>
        <w:t>简述外部依托消防、电源、</w:t>
      </w:r>
      <w:r>
        <w:rPr>
          <w:rFonts w:hint="eastAsia"/>
        </w:rPr>
        <w:t>维抢修</w:t>
      </w:r>
      <w:r>
        <w:rPr>
          <w:rFonts w:hint="eastAsia" w:ascii="Times New Roman" w:hAnsi="Times New Roman"/>
          <w:kern w:val="0"/>
        </w:rPr>
        <w:t>等情况。</w:t>
      </w:r>
    </w:p>
    <w:p w14:paraId="4B1060D6">
      <w:pPr>
        <w:pStyle w:val="93"/>
        <w:spacing w:before="156" w:beforeLines="50" w:after="156" w:afterLines="50"/>
        <w:rPr>
          <w:rFonts w:hint="eastAsia" w:ascii="黑体" w:hAnsi="黑体" w:eastAsia="黑体" w:cs="黑体"/>
        </w:rPr>
      </w:pPr>
      <w:r>
        <w:rPr>
          <w:rFonts w:hint="eastAsia" w:ascii="黑体" w:hAnsi="黑体" w:eastAsia="黑体" w:cs="黑体"/>
        </w:rPr>
        <w:t>物料与产品</w:t>
      </w:r>
    </w:p>
    <w:p w14:paraId="716A180E">
      <w:pPr>
        <w:numPr>
          <w:ilvl w:val="3"/>
          <w:numId w:val="12"/>
        </w:numPr>
        <w:autoSpaceDE w:val="0"/>
        <w:autoSpaceDN w:val="0"/>
        <w:adjustRightInd w:val="0"/>
        <w:snapToGrid w:val="0"/>
        <w:ind w:left="0" w:firstLine="0"/>
        <w:outlineLvl w:val="3"/>
        <w:rPr>
          <w:rFonts w:ascii="Times New Roman" w:hAnsi="Times New Roman"/>
        </w:rPr>
      </w:pPr>
      <w:r>
        <w:rPr>
          <w:rFonts w:hint="eastAsia" w:ascii="Times New Roman" w:hAnsi="Times New Roman"/>
        </w:rPr>
        <w:t xml:space="preserve"> 按表B.2和B.3列表说明工程所涉及的天然气、凝析油、液化石油气、稳定轻烃、混合烃、乙烷、丙烷、采出水等介质物性。</w:t>
      </w:r>
    </w:p>
    <w:p w14:paraId="7A88F035">
      <w:pPr>
        <w:numPr>
          <w:ilvl w:val="3"/>
          <w:numId w:val="12"/>
        </w:numPr>
        <w:autoSpaceDE w:val="0"/>
        <w:autoSpaceDN w:val="0"/>
        <w:adjustRightInd w:val="0"/>
        <w:snapToGrid w:val="0"/>
        <w:ind w:left="0" w:firstLine="0"/>
        <w:outlineLvl w:val="3"/>
        <w:rPr>
          <w:rFonts w:ascii="Times New Roman" w:hAnsi="Times New Roman"/>
        </w:rPr>
      </w:pPr>
      <w:r>
        <w:rPr>
          <w:rFonts w:hint="eastAsia" w:ascii="Times New Roman" w:hAnsi="Times New Roman"/>
        </w:rPr>
        <w:t xml:space="preserve"> 按表B.4列表说明工程所涉及的其他危险物质或化学药剂的种类、名称、火灾危险性分类、爆炸极限和用量。</w:t>
      </w:r>
    </w:p>
    <w:p w14:paraId="35A4A668">
      <w:pPr>
        <w:numPr>
          <w:ilvl w:val="3"/>
          <w:numId w:val="12"/>
        </w:numPr>
        <w:autoSpaceDE w:val="0"/>
        <w:autoSpaceDN w:val="0"/>
        <w:adjustRightInd w:val="0"/>
        <w:snapToGrid w:val="0"/>
        <w:ind w:left="0" w:firstLine="0"/>
        <w:outlineLvl w:val="3"/>
        <w:rPr>
          <w:rFonts w:ascii="Times New Roman" w:hAnsi="Times New Roman"/>
        </w:rPr>
      </w:pPr>
      <w:r>
        <w:rPr>
          <w:rFonts w:hint="eastAsia" w:ascii="Times New Roman" w:hAnsi="Times New Roman"/>
        </w:rPr>
        <w:t xml:space="preserve"> 按表B.5列表说明工程所涉及的产品名称、闪点、燃点、爆炸极限及火灾危险性分类。</w:t>
      </w:r>
    </w:p>
    <w:p w14:paraId="5DC4988C">
      <w:pPr>
        <w:numPr>
          <w:ilvl w:val="2"/>
          <w:numId w:val="2"/>
        </w:numPr>
        <w:spacing w:before="156" w:beforeLines="50" w:after="156" w:afterLines="50"/>
        <w:ind w:left="0"/>
        <w:outlineLvl w:val="1"/>
        <w:rPr>
          <w:rFonts w:hint="eastAsia" w:ascii="黑体" w:hAnsi="黑体" w:eastAsia="黑体" w:cs="黑体"/>
          <w:kern w:val="0"/>
          <w:szCs w:val="20"/>
        </w:rPr>
      </w:pPr>
      <w:bookmarkStart w:id="107" w:name="_Toc16164"/>
      <w:r>
        <w:rPr>
          <w:rFonts w:hint="eastAsia" w:ascii="黑体" w:hAnsi="黑体" w:eastAsia="黑体" w:cs="黑体"/>
          <w:kern w:val="0"/>
          <w:szCs w:val="20"/>
        </w:rPr>
        <w:t>工艺方案</w:t>
      </w:r>
      <w:bookmarkEnd w:id="107"/>
      <w:r>
        <w:rPr>
          <w:rFonts w:hint="eastAsia" w:ascii="黑体" w:hAnsi="黑体" w:eastAsia="黑体" w:cs="黑体"/>
          <w:kern w:val="0"/>
          <w:szCs w:val="20"/>
        </w:rPr>
        <w:t xml:space="preserve"> </w:t>
      </w:r>
    </w:p>
    <w:p w14:paraId="25143293">
      <w:pPr>
        <w:pStyle w:val="93"/>
        <w:spacing w:before="156" w:beforeLines="50" w:after="156" w:afterLines="50"/>
        <w:rPr>
          <w:rFonts w:hint="eastAsia" w:ascii="黑体" w:hAnsi="黑体" w:eastAsia="黑体" w:cs="黑体"/>
        </w:rPr>
      </w:pPr>
      <w:r>
        <w:rPr>
          <w:rFonts w:hint="eastAsia" w:ascii="黑体" w:hAnsi="黑体" w:eastAsia="黑体" w:cs="黑体"/>
        </w:rPr>
        <w:t>基础数据</w:t>
      </w:r>
    </w:p>
    <w:p w14:paraId="41A26E2B">
      <w:pPr>
        <w:pStyle w:val="42"/>
        <w:ind w:firstLine="420"/>
        <w:rPr>
          <w:rFonts w:ascii="Times New Roman" w:hAnsi="Times New Roman" w:eastAsiaTheme="minorEastAsia" w:cstheme="minorBidi"/>
          <w:szCs w:val="24"/>
        </w:rPr>
      </w:pPr>
      <w:r>
        <w:rPr>
          <w:rFonts w:hint="eastAsia" w:ascii="Times New Roman" w:hAnsi="Times New Roman" w:eastAsiaTheme="minorEastAsia" w:cstheme="minorBidi"/>
          <w:szCs w:val="24"/>
        </w:rPr>
        <w:t>简述天然气的基本信息，主要包括：天然气气源构成（压力、温度、流量等）；天然气产品质量、标准和流向。</w:t>
      </w:r>
    </w:p>
    <w:p w14:paraId="2BE02845">
      <w:pPr>
        <w:pStyle w:val="93"/>
        <w:spacing w:before="156" w:beforeLines="50" w:after="156" w:afterLines="50"/>
        <w:rPr>
          <w:rFonts w:hint="eastAsia" w:ascii="黑体" w:hAnsi="黑体" w:eastAsia="黑体" w:cs="黑体"/>
        </w:rPr>
      </w:pPr>
      <w:r>
        <w:rPr>
          <w:rFonts w:hint="eastAsia" w:ascii="黑体" w:hAnsi="黑体" w:eastAsia="黑体" w:cs="黑体"/>
        </w:rPr>
        <w:t>天然气处理</w:t>
      </w:r>
    </w:p>
    <w:p w14:paraId="69D929EF">
      <w:pPr>
        <w:pStyle w:val="42"/>
        <w:ind w:firstLine="420"/>
        <w:rPr>
          <w:rFonts w:ascii="Times New Roman" w:hAnsi="Times New Roman"/>
          <w:kern w:val="0"/>
          <w:szCs w:val="20"/>
        </w:rPr>
      </w:pPr>
      <w:r>
        <w:rPr>
          <w:rFonts w:hint="eastAsia" w:ascii="Times New Roman" w:hAnsi="Times New Roman"/>
          <w:kern w:val="0"/>
          <w:szCs w:val="20"/>
        </w:rPr>
        <w:t>简述天然气处理设计方案，主要包括：天然气处理厂的功能、处理规模、总工艺流程、压力级制，绘制工艺系统示意图；工艺装置的装置列数、运行时间、处理能力、工艺方法、工艺流程。</w:t>
      </w:r>
    </w:p>
    <w:p w14:paraId="5F30EFD6">
      <w:pPr>
        <w:pStyle w:val="93"/>
        <w:spacing w:before="156" w:beforeLines="50" w:after="156" w:afterLines="50"/>
        <w:rPr>
          <w:rFonts w:hint="eastAsia" w:ascii="黑体" w:hAnsi="黑体" w:eastAsia="黑体" w:cs="黑体"/>
        </w:rPr>
      </w:pPr>
      <w:r>
        <w:rPr>
          <w:rFonts w:hint="eastAsia" w:ascii="黑体" w:hAnsi="黑体" w:eastAsia="黑体" w:cs="黑体"/>
        </w:rPr>
        <w:t>产品储运</w:t>
      </w:r>
    </w:p>
    <w:p w14:paraId="6A7E084C">
      <w:pPr>
        <w:pStyle w:val="42"/>
        <w:ind w:firstLine="420"/>
        <w:rPr>
          <w:rFonts w:ascii="Times New Roman" w:hAnsi="Times New Roman"/>
          <w:kern w:val="0"/>
          <w:szCs w:val="20"/>
        </w:rPr>
      </w:pPr>
      <w:r>
        <w:rPr>
          <w:rFonts w:hint="eastAsia" w:ascii="Times New Roman" w:hAnsi="Times New Roman"/>
          <w:kern w:val="0"/>
          <w:szCs w:val="20"/>
        </w:rPr>
        <w:t>简述天然气产品储运设计方案，主要包括：天然气处理厂储存产品种类、储罐类型、储罐数量、储存规模；天然气处理厂装卸产品种类、设备配置、装卸规模。</w:t>
      </w:r>
    </w:p>
    <w:p w14:paraId="31CCE3A5">
      <w:pPr>
        <w:pStyle w:val="93"/>
        <w:spacing w:before="156" w:beforeLines="50" w:after="156" w:afterLines="50"/>
        <w:rPr>
          <w:rFonts w:hint="eastAsia" w:ascii="黑体" w:hAnsi="黑体" w:eastAsia="黑体" w:cs="黑体"/>
        </w:rPr>
      </w:pPr>
      <w:r>
        <w:rPr>
          <w:rFonts w:hint="eastAsia" w:ascii="黑体" w:hAnsi="黑体" w:eastAsia="黑体" w:cs="黑体"/>
        </w:rPr>
        <w:t>采出水处理</w:t>
      </w:r>
    </w:p>
    <w:p w14:paraId="06A51F2F">
      <w:pPr>
        <w:pStyle w:val="42"/>
        <w:ind w:firstLine="420"/>
        <w:rPr>
          <w:rFonts w:ascii="Times New Roman" w:hAnsi="Times New Roman"/>
          <w:kern w:val="0"/>
          <w:szCs w:val="20"/>
        </w:rPr>
      </w:pPr>
      <w:r>
        <w:rPr>
          <w:rFonts w:hint="eastAsia" w:ascii="Times New Roman" w:hAnsi="Times New Roman"/>
          <w:kern w:val="0"/>
          <w:szCs w:val="20"/>
        </w:rPr>
        <w:t>简述</w:t>
      </w:r>
      <w:r>
        <w:rPr>
          <w:rFonts w:ascii="Times New Roman" w:hAnsi="Times New Roman"/>
          <w:kern w:val="0"/>
          <w:szCs w:val="20"/>
        </w:rPr>
        <w:t>采出水处理系统建设规模、设备配置</w:t>
      </w:r>
      <w:r>
        <w:rPr>
          <w:rFonts w:hint="eastAsia" w:ascii="Times New Roman" w:hAnsi="Times New Roman"/>
          <w:kern w:val="0"/>
          <w:szCs w:val="20"/>
        </w:rPr>
        <w:t>，绘制</w:t>
      </w:r>
      <w:r>
        <w:rPr>
          <w:rFonts w:ascii="Times New Roman" w:hAnsi="Times New Roman"/>
          <w:kern w:val="0"/>
          <w:szCs w:val="20"/>
        </w:rPr>
        <w:t>工艺系统示意图</w:t>
      </w:r>
      <w:r>
        <w:rPr>
          <w:rFonts w:hint="eastAsia" w:ascii="Times New Roman" w:hAnsi="Times New Roman"/>
          <w:kern w:val="0"/>
          <w:szCs w:val="20"/>
        </w:rPr>
        <w:t>以及</w:t>
      </w:r>
      <w:r>
        <w:rPr>
          <w:rFonts w:ascii="Times New Roman" w:hAnsi="Times New Roman"/>
          <w:kern w:val="0"/>
          <w:szCs w:val="20"/>
        </w:rPr>
        <w:t>加药、采出水回收、污水污油污泥回收、放空气收集等</w:t>
      </w:r>
      <w:r>
        <w:rPr>
          <w:rFonts w:hint="eastAsia" w:ascii="Times New Roman" w:hAnsi="Times New Roman"/>
          <w:kern w:val="0"/>
          <w:szCs w:val="20"/>
        </w:rPr>
        <w:t>辅助</w:t>
      </w:r>
      <w:r>
        <w:rPr>
          <w:rFonts w:ascii="Times New Roman" w:hAnsi="Times New Roman"/>
          <w:kern w:val="0"/>
          <w:szCs w:val="20"/>
        </w:rPr>
        <w:t>流程框图。</w:t>
      </w:r>
    </w:p>
    <w:p w14:paraId="6887F6E4">
      <w:pPr>
        <w:numPr>
          <w:ilvl w:val="2"/>
          <w:numId w:val="2"/>
        </w:numPr>
        <w:spacing w:before="156" w:beforeLines="50" w:after="156" w:afterLines="50"/>
        <w:ind w:left="0"/>
        <w:outlineLvl w:val="1"/>
        <w:rPr>
          <w:rFonts w:hint="eastAsia" w:ascii="黑体" w:hAnsi="黑体" w:eastAsia="黑体" w:cs="黑体"/>
          <w:kern w:val="0"/>
          <w:szCs w:val="20"/>
        </w:rPr>
      </w:pPr>
      <w:bookmarkStart w:id="108" w:name="_Toc4079"/>
      <w:r>
        <w:rPr>
          <w:rFonts w:hint="eastAsia" w:ascii="黑体" w:hAnsi="黑体" w:eastAsia="黑体" w:cs="黑体"/>
          <w:kern w:val="0"/>
          <w:szCs w:val="20"/>
        </w:rPr>
        <w:t>辅助生产系统和公用工程</w:t>
      </w:r>
      <w:bookmarkEnd w:id="108"/>
    </w:p>
    <w:p w14:paraId="0C927A29">
      <w:pPr>
        <w:pStyle w:val="93"/>
        <w:spacing w:before="156" w:beforeLines="50" w:after="156" w:afterLines="50"/>
        <w:rPr>
          <w:rFonts w:hint="eastAsia" w:ascii="黑体" w:hAnsi="黑体" w:eastAsia="黑体" w:cs="黑体"/>
        </w:rPr>
      </w:pPr>
      <w:r>
        <w:rPr>
          <w:rFonts w:hint="eastAsia" w:ascii="黑体" w:hAnsi="黑体" w:eastAsia="黑体" w:cs="黑体"/>
        </w:rPr>
        <w:t>仪表控制</w:t>
      </w:r>
    </w:p>
    <w:p w14:paraId="461AF306">
      <w:pPr>
        <w:pStyle w:val="42"/>
        <w:ind w:firstLine="420"/>
        <w:rPr>
          <w:rFonts w:ascii="Times New Roman" w:hAnsi="Times New Roman"/>
        </w:rPr>
      </w:pPr>
      <w:r>
        <w:rPr>
          <w:rFonts w:hint="eastAsia" w:ascii="Times New Roman" w:hAnsi="Times New Roman"/>
        </w:rPr>
        <w:t>简述仪表控制系统设计方案，主要包括：</w:t>
      </w:r>
    </w:p>
    <w:p w14:paraId="46717869">
      <w:pPr>
        <w:pStyle w:val="42"/>
        <w:numPr>
          <w:ilvl w:val="0"/>
          <w:numId w:val="13"/>
        </w:numPr>
        <w:ind w:left="-4" w:firstLine="422" w:firstLineChars="0"/>
        <w:rPr>
          <w:rFonts w:ascii="Times New Roman" w:hAnsi="Times New Roman"/>
          <w:kern w:val="0"/>
          <w:szCs w:val="20"/>
        </w:rPr>
      </w:pPr>
      <w:r>
        <w:rPr>
          <w:rFonts w:hint="eastAsia" w:ascii="Times New Roman" w:hAnsi="Times New Roman"/>
          <w:kern w:val="0"/>
          <w:szCs w:val="20"/>
        </w:rPr>
        <w:t>自动控制水平；</w:t>
      </w:r>
    </w:p>
    <w:p w14:paraId="77AED330">
      <w:pPr>
        <w:pStyle w:val="42"/>
        <w:numPr>
          <w:ilvl w:val="0"/>
          <w:numId w:val="13"/>
        </w:numPr>
        <w:ind w:left="-4" w:firstLine="422" w:firstLineChars="0"/>
        <w:rPr>
          <w:rFonts w:ascii="Times New Roman" w:hAnsi="Times New Roman"/>
          <w:kern w:val="0"/>
          <w:szCs w:val="20"/>
        </w:rPr>
      </w:pPr>
      <w:r>
        <w:rPr>
          <w:rFonts w:hint="eastAsia" w:ascii="Times New Roman" w:hAnsi="Times New Roman"/>
          <w:kern w:val="0"/>
          <w:szCs w:val="20"/>
        </w:rPr>
        <w:t>控制系统组成、数据传输方式、数据流向及网络安全系统架构等；</w:t>
      </w:r>
    </w:p>
    <w:p w14:paraId="14127F4C">
      <w:pPr>
        <w:pStyle w:val="42"/>
        <w:numPr>
          <w:ilvl w:val="0"/>
          <w:numId w:val="13"/>
        </w:numPr>
        <w:ind w:left="-4" w:firstLine="422" w:firstLineChars="0"/>
        <w:rPr>
          <w:rFonts w:ascii="Times New Roman" w:hAnsi="Times New Roman"/>
          <w:kern w:val="0"/>
          <w:szCs w:val="20"/>
        </w:rPr>
      </w:pPr>
      <w:r>
        <w:rPr>
          <w:rFonts w:hint="eastAsia" w:ascii="Times New Roman" w:hAnsi="Times New Roman"/>
          <w:kern w:val="0"/>
          <w:szCs w:val="20"/>
        </w:rPr>
        <w:t>气体检测和报警系统、火灾报警系统的设置情况。</w:t>
      </w:r>
    </w:p>
    <w:p w14:paraId="6362C5DA">
      <w:pPr>
        <w:pStyle w:val="93"/>
        <w:spacing w:before="156" w:beforeLines="50" w:after="156" w:afterLines="50"/>
        <w:rPr>
          <w:rFonts w:hint="eastAsia" w:ascii="黑体" w:hAnsi="黑体" w:eastAsia="黑体" w:cs="黑体"/>
        </w:rPr>
      </w:pPr>
      <w:r>
        <w:rPr>
          <w:rFonts w:hint="eastAsia" w:ascii="黑体" w:hAnsi="黑体" w:eastAsia="黑体" w:cs="黑体"/>
        </w:rPr>
        <w:t>供配电</w:t>
      </w:r>
    </w:p>
    <w:p w14:paraId="1FAAD030">
      <w:pPr>
        <w:pStyle w:val="42"/>
        <w:tabs>
          <w:tab w:val="left" w:pos="0"/>
        </w:tabs>
        <w:adjustRightInd w:val="0"/>
        <w:snapToGrid w:val="0"/>
        <w:spacing w:before="156" w:beforeLines="50" w:after="156" w:afterLines="50"/>
        <w:ind w:firstLine="0" w:firstLineChars="0"/>
        <w:outlineLvl w:val="3"/>
        <w:rPr>
          <w:rFonts w:ascii="Times New Roman" w:hAnsi="Times New Roman"/>
        </w:rPr>
      </w:pPr>
      <w:r>
        <w:rPr>
          <w:rFonts w:hint="eastAsia" w:ascii="黑体" w:hAnsi="黑体" w:eastAsia="黑体" w:cs="黑体"/>
        </w:rPr>
        <w:t xml:space="preserve">7.3.2.1  </w:t>
      </w:r>
      <w:r>
        <w:rPr>
          <w:rFonts w:ascii="黑体" w:hAnsi="黑体" w:eastAsia="黑体" w:cs="黑体"/>
          <w:kern w:val="0"/>
          <w:szCs w:val="20"/>
        </w:rPr>
        <w:t>用电负荷及负荷分级</w:t>
      </w:r>
    </w:p>
    <w:p w14:paraId="4482F7B8">
      <w:pPr>
        <w:pStyle w:val="42"/>
        <w:ind w:firstLine="420"/>
        <w:rPr>
          <w:rFonts w:ascii="Times New Roman" w:hAnsi="Times New Roman"/>
        </w:rPr>
      </w:pPr>
      <w:r>
        <w:rPr>
          <w:rFonts w:hint="eastAsia" w:ascii="Times New Roman" w:hAnsi="Times New Roman"/>
        </w:rPr>
        <w:t>说明</w:t>
      </w:r>
      <w:r>
        <w:rPr>
          <w:rFonts w:ascii="Times New Roman" w:hAnsi="Times New Roman"/>
        </w:rPr>
        <w:t>总计算负荷及用电负荷等级。</w:t>
      </w:r>
    </w:p>
    <w:p w14:paraId="233B6958">
      <w:pPr>
        <w:pStyle w:val="42"/>
        <w:tabs>
          <w:tab w:val="left" w:pos="0"/>
        </w:tabs>
        <w:adjustRightInd w:val="0"/>
        <w:snapToGrid w:val="0"/>
        <w:spacing w:before="156" w:beforeLines="50" w:after="156" w:afterLines="50"/>
        <w:ind w:firstLine="0" w:firstLineChars="0"/>
        <w:outlineLvl w:val="3"/>
        <w:rPr>
          <w:rFonts w:ascii="Times New Roman" w:hAnsi="Times New Roman"/>
        </w:rPr>
      </w:pPr>
      <w:r>
        <w:rPr>
          <w:rFonts w:hint="eastAsia" w:ascii="黑体" w:hAnsi="黑体" w:eastAsia="黑体" w:cs="黑体"/>
        </w:rPr>
        <w:t xml:space="preserve">7.3.2.2 </w:t>
      </w:r>
      <w:r>
        <w:rPr>
          <w:rFonts w:hint="eastAsia" w:ascii="Times New Roman" w:hAnsi="Times New Roman" w:eastAsia="黑体"/>
        </w:rPr>
        <w:t xml:space="preserve"> </w:t>
      </w:r>
      <w:r>
        <w:rPr>
          <w:rFonts w:ascii="黑体" w:hAnsi="黑体" w:eastAsia="黑体" w:cs="黑体"/>
          <w:kern w:val="0"/>
          <w:szCs w:val="20"/>
        </w:rPr>
        <w:t>电源现状</w:t>
      </w:r>
    </w:p>
    <w:p w14:paraId="4811BE1E">
      <w:pPr>
        <w:pStyle w:val="42"/>
        <w:ind w:firstLine="420"/>
        <w:rPr>
          <w:rFonts w:ascii="Times New Roman" w:hAnsi="Times New Roman"/>
        </w:rPr>
      </w:pPr>
      <w:r>
        <w:rPr>
          <w:rFonts w:hint="eastAsia" w:ascii="Times New Roman" w:hAnsi="Times New Roman"/>
        </w:rPr>
        <w:t>简述依托变电站的名称、电压等级、主变台数及容量、现有负荷、备用间隔、电源及回路数。</w:t>
      </w:r>
    </w:p>
    <w:p w14:paraId="56E976E7">
      <w:pPr>
        <w:pStyle w:val="42"/>
        <w:tabs>
          <w:tab w:val="left" w:pos="0"/>
        </w:tabs>
        <w:adjustRightInd w:val="0"/>
        <w:snapToGrid w:val="0"/>
        <w:spacing w:before="156" w:beforeLines="50" w:after="156" w:afterLines="50"/>
        <w:ind w:firstLine="0" w:firstLineChars="0"/>
        <w:outlineLvl w:val="3"/>
        <w:rPr>
          <w:rFonts w:ascii="Times New Roman" w:hAnsi="Times New Roman"/>
        </w:rPr>
      </w:pPr>
      <w:r>
        <w:rPr>
          <w:rFonts w:hint="eastAsia" w:ascii="黑体" w:hAnsi="黑体" w:eastAsia="黑体" w:cs="黑体"/>
        </w:rPr>
        <w:t xml:space="preserve">7.3.2.3 </w:t>
      </w:r>
      <w:r>
        <w:rPr>
          <w:rFonts w:hint="eastAsia" w:ascii="Times New Roman" w:hAnsi="Times New Roman" w:eastAsia="黑体"/>
        </w:rPr>
        <w:t xml:space="preserve"> </w:t>
      </w:r>
      <w:r>
        <w:rPr>
          <w:rFonts w:ascii="黑体" w:hAnsi="黑体" w:eastAsia="黑体" w:cs="黑体"/>
          <w:kern w:val="0"/>
          <w:szCs w:val="20"/>
        </w:rPr>
        <w:t>供配电方案</w:t>
      </w:r>
    </w:p>
    <w:p w14:paraId="1835F9D6">
      <w:pPr>
        <w:pStyle w:val="42"/>
        <w:ind w:firstLine="420"/>
        <w:rPr>
          <w:rFonts w:ascii="Times New Roman" w:hAnsi="Times New Roman"/>
        </w:rPr>
      </w:pPr>
      <w:r>
        <w:rPr>
          <w:rFonts w:hint="eastAsia" w:ascii="Times New Roman" w:hAnsi="Times New Roman"/>
        </w:rPr>
        <w:t>简述电源方案、内部供配电网络结构、各级变配电所设置情况，主要包括：</w:t>
      </w:r>
    </w:p>
    <w:p w14:paraId="0E8F068F">
      <w:pPr>
        <w:pStyle w:val="42"/>
        <w:numPr>
          <w:ilvl w:val="0"/>
          <w:numId w:val="14"/>
        </w:numPr>
        <w:ind w:left="0" w:firstLine="420"/>
        <w:rPr>
          <w:rFonts w:ascii="Times New Roman" w:hAnsi="Times New Roman"/>
        </w:rPr>
      </w:pPr>
      <w:r>
        <w:rPr>
          <w:rFonts w:hint="eastAsia" w:ascii="Times New Roman" w:hAnsi="Times New Roman"/>
        </w:rPr>
        <w:t>外电电源位置、电压等级、回路数、供电方式、电源线路长度等；设置自备电源作为主供或第二电源时，简要说明自备电源的确定原则、型式、电压等级、装机容量、台数、运行方式等；需要设置自备电源作为重要负荷的应急电源时，简要说明应急电源配置原则；</w:t>
      </w:r>
    </w:p>
    <w:p w14:paraId="63485A9A">
      <w:pPr>
        <w:pStyle w:val="42"/>
        <w:numPr>
          <w:ilvl w:val="0"/>
          <w:numId w:val="14"/>
        </w:numPr>
        <w:ind w:left="0" w:firstLine="420"/>
        <w:rPr>
          <w:rFonts w:ascii="Times New Roman" w:hAnsi="Times New Roman"/>
        </w:rPr>
      </w:pPr>
      <w:r>
        <w:rPr>
          <w:rFonts w:hint="eastAsia" w:ascii="Times New Roman" w:hAnsi="Times New Roman"/>
        </w:rPr>
        <w:t>总变电所和分变配电所位置、电压等级、建设规模、座数和型式、电气主接线方式、无功补偿及容量、变配电所自动化水平等；</w:t>
      </w:r>
    </w:p>
    <w:p w14:paraId="061CD369">
      <w:pPr>
        <w:pStyle w:val="42"/>
        <w:numPr>
          <w:ilvl w:val="0"/>
          <w:numId w:val="14"/>
        </w:numPr>
        <w:ind w:left="0" w:firstLine="420"/>
        <w:rPr>
          <w:rFonts w:ascii="Times New Roman" w:hAnsi="Times New Roman"/>
        </w:rPr>
      </w:pPr>
      <w:r>
        <w:rPr>
          <w:rFonts w:hint="eastAsia" w:ascii="Times New Roman" w:hAnsi="Times New Roman"/>
        </w:rPr>
        <w:t>设置风、光等新能源分布式发电、储能系统时，说明安装地点、容量、接入系统方案等。</w:t>
      </w:r>
    </w:p>
    <w:p w14:paraId="4C116729">
      <w:pPr>
        <w:pStyle w:val="93"/>
        <w:spacing w:before="156" w:beforeLines="50" w:after="156" w:afterLines="50"/>
        <w:rPr>
          <w:rFonts w:hint="eastAsia" w:ascii="黑体" w:hAnsi="黑体" w:eastAsia="黑体" w:cs="黑体"/>
        </w:rPr>
      </w:pPr>
      <w:r>
        <w:rPr>
          <w:rFonts w:hint="eastAsia" w:ascii="黑体" w:hAnsi="黑体" w:eastAsia="黑体" w:cs="黑体"/>
        </w:rPr>
        <w:t>通信</w:t>
      </w:r>
    </w:p>
    <w:p w14:paraId="7EAD3D55">
      <w:pPr>
        <w:numPr>
          <w:ilvl w:val="3"/>
          <w:numId w:val="15"/>
        </w:numPr>
        <w:autoSpaceDE w:val="0"/>
        <w:autoSpaceDN w:val="0"/>
        <w:adjustRightInd w:val="0"/>
        <w:snapToGrid w:val="0"/>
        <w:spacing w:before="156" w:beforeLines="50" w:after="156" w:afterLines="50"/>
        <w:ind w:left="0" w:firstLine="0"/>
        <w:outlineLvl w:val="3"/>
        <w:rPr>
          <w:rFonts w:ascii="Times New Roman" w:hAnsi="Times New Roman"/>
          <w:kern w:val="0"/>
          <w:szCs w:val="20"/>
        </w:rPr>
      </w:pPr>
      <w:r>
        <w:rPr>
          <w:rFonts w:hint="eastAsia" w:ascii="Times New Roman" w:hAnsi="Times New Roman"/>
          <w:kern w:val="0"/>
          <w:szCs w:val="20"/>
        </w:rPr>
        <w:t xml:space="preserve"> 简述通信专用网络及公网现状，包括规划、网络现状、通信站点设备和设施现状等。改（扩）建工程说明与本工程相关的通信设施现状及其他需要说明的外部条件的工程建设界面。</w:t>
      </w:r>
    </w:p>
    <w:p w14:paraId="6780F557">
      <w:pPr>
        <w:numPr>
          <w:ilvl w:val="3"/>
          <w:numId w:val="15"/>
        </w:numPr>
        <w:autoSpaceDE w:val="0"/>
        <w:autoSpaceDN w:val="0"/>
        <w:adjustRightInd w:val="0"/>
        <w:snapToGrid w:val="0"/>
        <w:spacing w:before="156" w:beforeLines="50" w:after="156" w:afterLines="50"/>
        <w:ind w:left="0" w:firstLine="0"/>
        <w:outlineLvl w:val="3"/>
        <w:rPr>
          <w:rFonts w:ascii="Times New Roman" w:hAnsi="Times New Roman"/>
          <w:kern w:val="0"/>
          <w:szCs w:val="20"/>
        </w:rPr>
      </w:pPr>
      <w:r>
        <w:rPr>
          <w:rFonts w:hint="eastAsia" w:ascii="Times New Roman" w:hAnsi="Times New Roman"/>
          <w:kern w:val="0"/>
          <w:szCs w:val="20"/>
        </w:rPr>
        <w:t xml:space="preserve"> 简述通信业务需求、传输方向、传输方式、链路要求、系统组成、传输及通路组织方案。 </w:t>
      </w:r>
    </w:p>
    <w:p w14:paraId="5EECC45F">
      <w:pPr>
        <w:numPr>
          <w:ilvl w:val="3"/>
          <w:numId w:val="15"/>
        </w:numPr>
        <w:autoSpaceDE w:val="0"/>
        <w:autoSpaceDN w:val="0"/>
        <w:adjustRightInd w:val="0"/>
        <w:snapToGrid w:val="0"/>
        <w:spacing w:before="156" w:beforeLines="50" w:after="156" w:afterLines="50"/>
        <w:ind w:left="0" w:firstLine="0"/>
        <w:outlineLvl w:val="3"/>
        <w:rPr>
          <w:rFonts w:ascii="Times New Roman" w:hAnsi="Times New Roman"/>
          <w:kern w:val="0"/>
          <w:szCs w:val="20"/>
        </w:rPr>
      </w:pPr>
      <w:r>
        <w:rPr>
          <w:rFonts w:hint="eastAsia" w:ascii="Times New Roman" w:hAnsi="Times New Roman"/>
          <w:kern w:val="0"/>
          <w:szCs w:val="20"/>
        </w:rPr>
        <w:t xml:space="preserve"> 简述数据传输系统、扩音对讲及广播系统、应急、检修（巡检）系统的功能要求及主要技术方案。</w:t>
      </w:r>
    </w:p>
    <w:p w14:paraId="065971AB">
      <w:pPr>
        <w:pStyle w:val="93"/>
        <w:spacing w:before="156" w:beforeLines="50" w:after="156" w:afterLines="50"/>
        <w:rPr>
          <w:rFonts w:hint="eastAsia" w:ascii="黑体" w:hAnsi="黑体" w:eastAsia="黑体" w:cs="黑体"/>
        </w:rPr>
      </w:pPr>
      <w:r>
        <w:rPr>
          <w:rFonts w:hint="eastAsia" w:ascii="黑体" w:hAnsi="黑体" w:eastAsia="黑体" w:cs="黑体"/>
        </w:rPr>
        <w:t>给排水</w:t>
      </w:r>
    </w:p>
    <w:p w14:paraId="518B8B44">
      <w:pPr>
        <w:pStyle w:val="42"/>
        <w:ind w:firstLine="420"/>
        <w:rPr>
          <w:rFonts w:ascii="Times New Roman" w:hAnsi="Times New Roman"/>
          <w:kern w:val="0"/>
          <w:szCs w:val="20"/>
        </w:rPr>
      </w:pPr>
      <w:r>
        <w:rPr>
          <w:rFonts w:hint="eastAsia" w:ascii="Times New Roman" w:hAnsi="Times New Roman"/>
          <w:kern w:val="0"/>
          <w:szCs w:val="20"/>
        </w:rPr>
        <w:t>简述给水排水设计方案，主要包括：供水方式、水质及供给能力；排水方式、排放标准、处置措施。</w:t>
      </w:r>
    </w:p>
    <w:p w14:paraId="098781E1">
      <w:pPr>
        <w:pStyle w:val="93"/>
        <w:spacing w:before="156" w:beforeLines="50" w:after="156" w:afterLines="50"/>
        <w:rPr>
          <w:rFonts w:hint="eastAsia" w:ascii="黑体" w:hAnsi="黑体" w:eastAsia="黑体" w:cs="黑体"/>
        </w:rPr>
      </w:pPr>
      <w:r>
        <w:rPr>
          <w:rFonts w:hint="eastAsia" w:ascii="黑体" w:hAnsi="黑体" w:eastAsia="黑体" w:cs="黑体"/>
        </w:rPr>
        <w:t>热工</w:t>
      </w:r>
    </w:p>
    <w:p w14:paraId="547B08FD">
      <w:pPr>
        <w:pStyle w:val="42"/>
        <w:ind w:firstLine="420"/>
        <w:rPr>
          <w:rFonts w:ascii="Times New Roman" w:hAnsi="Times New Roman"/>
          <w:kern w:val="0"/>
          <w:szCs w:val="20"/>
        </w:rPr>
      </w:pPr>
      <w:r>
        <w:rPr>
          <w:rFonts w:hint="eastAsia" w:ascii="Times New Roman" w:hAnsi="Times New Roman"/>
          <w:kern w:val="0"/>
          <w:szCs w:val="20"/>
        </w:rPr>
        <w:t>简述供热设施设置情况及其热力管网敷设方式、管径选择等。</w:t>
      </w:r>
    </w:p>
    <w:p w14:paraId="305EC349">
      <w:pPr>
        <w:pStyle w:val="93"/>
        <w:spacing w:before="156" w:beforeLines="50" w:after="156" w:afterLines="50"/>
        <w:rPr>
          <w:rFonts w:hint="eastAsia" w:ascii="黑体" w:hAnsi="黑体" w:eastAsia="黑体" w:cs="黑体"/>
        </w:rPr>
      </w:pPr>
      <w:r>
        <w:rPr>
          <w:rFonts w:hint="eastAsia" w:ascii="黑体" w:hAnsi="黑体" w:eastAsia="黑体" w:cs="黑体"/>
        </w:rPr>
        <w:t>建筑与结构</w:t>
      </w:r>
    </w:p>
    <w:p w14:paraId="589A9E25">
      <w:pPr>
        <w:pStyle w:val="42"/>
        <w:ind w:firstLine="420"/>
        <w:rPr>
          <w:rFonts w:ascii="Times New Roman" w:hAnsi="Times New Roman"/>
        </w:rPr>
      </w:pPr>
      <w:r>
        <w:rPr>
          <w:rFonts w:hint="eastAsia" w:ascii="Times New Roman" w:hAnsi="Times New Roman"/>
        </w:rPr>
        <w:t xml:space="preserve">按表B.6列表说明主要建筑物的名称、面积、结构形式、层数、通风形式；按表B.7列表说明主要构筑物的名称、主要材料及做法。  </w:t>
      </w:r>
    </w:p>
    <w:p w14:paraId="17B1E025">
      <w:pPr>
        <w:pStyle w:val="93"/>
        <w:spacing w:before="156" w:beforeLines="50" w:after="156" w:afterLines="50"/>
        <w:rPr>
          <w:rFonts w:hint="eastAsia" w:ascii="黑体" w:hAnsi="黑体" w:eastAsia="黑体" w:cs="黑体"/>
        </w:rPr>
      </w:pPr>
      <w:r>
        <w:rPr>
          <w:rFonts w:hint="eastAsia" w:ascii="黑体" w:hAnsi="黑体" w:eastAsia="黑体" w:cs="黑体"/>
        </w:rPr>
        <w:t>通风</w:t>
      </w:r>
    </w:p>
    <w:p w14:paraId="5C73A872">
      <w:pPr>
        <w:pStyle w:val="42"/>
        <w:ind w:firstLine="420"/>
        <w:rPr>
          <w:rFonts w:ascii="Times New Roman" w:hAnsi="Times New Roman"/>
          <w:kern w:val="0"/>
          <w:szCs w:val="20"/>
        </w:rPr>
      </w:pPr>
      <w:r>
        <w:rPr>
          <w:rFonts w:hint="eastAsia" w:ascii="Times New Roman" w:hAnsi="Times New Roman"/>
          <w:kern w:val="0"/>
          <w:szCs w:val="20"/>
        </w:rPr>
        <w:t>简述供通风系统方式、防排烟系统方式。</w:t>
      </w:r>
    </w:p>
    <w:p w14:paraId="41D37446">
      <w:pPr>
        <w:pStyle w:val="93"/>
        <w:spacing w:before="156" w:beforeLines="50" w:after="156" w:afterLines="50"/>
        <w:rPr>
          <w:rFonts w:hint="eastAsia" w:ascii="黑体" w:hAnsi="黑体" w:eastAsia="黑体" w:cs="黑体"/>
        </w:rPr>
      </w:pPr>
      <w:r>
        <w:rPr>
          <w:rFonts w:hint="eastAsia" w:ascii="黑体" w:hAnsi="黑体" w:eastAsia="黑体" w:cs="黑体"/>
        </w:rPr>
        <w:t>总图运输</w:t>
      </w:r>
    </w:p>
    <w:p w14:paraId="4364A619">
      <w:pPr>
        <w:pStyle w:val="42"/>
        <w:ind w:firstLine="420"/>
        <w:rPr>
          <w:rFonts w:ascii="Times New Roman" w:hAnsi="Times New Roman"/>
          <w:kern w:val="0"/>
          <w:szCs w:val="20"/>
        </w:rPr>
      </w:pPr>
      <w:r>
        <w:rPr>
          <w:rFonts w:hint="eastAsia" w:ascii="Times New Roman" w:hAnsi="Times New Roman"/>
          <w:kern w:val="0"/>
        </w:rPr>
        <w:t>说明站场名称、地理位置、功能、站场等级、性质（新建、改建、扩建）、占地面积。</w:t>
      </w:r>
    </w:p>
    <w:p w14:paraId="71CC300C">
      <w:pPr>
        <w:pStyle w:val="93"/>
        <w:spacing w:before="156" w:beforeLines="50" w:after="156" w:afterLines="50"/>
        <w:rPr>
          <w:rFonts w:hint="eastAsia" w:ascii="黑体" w:hAnsi="黑体" w:eastAsia="黑体" w:cs="黑体"/>
        </w:rPr>
      </w:pPr>
      <w:r>
        <w:rPr>
          <w:rFonts w:hint="eastAsia" w:ascii="黑体" w:hAnsi="黑体" w:eastAsia="黑体" w:cs="黑体"/>
        </w:rPr>
        <w:t>防腐及绝热</w:t>
      </w:r>
    </w:p>
    <w:p w14:paraId="3133E68B">
      <w:pPr>
        <w:numPr>
          <w:ilvl w:val="3"/>
          <w:numId w:val="16"/>
        </w:numPr>
        <w:autoSpaceDE w:val="0"/>
        <w:autoSpaceDN w:val="0"/>
        <w:adjustRightInd w:val="0"/>
        <w:snapToGrid w:val="0"/>
        <w:spacing w:before="156" w:beforeLines="50" w:after="156" w:afterLines="50"/>
        <w:ind w:left="0" w:firstLine="0"/>
        <w:outlineLvl w:val="3"/>
        <w:rPr>
          <w:rFonts w:ascii="Times New Roman" w:hAnsi="Times New Roman" w:eastAsia="宋体"/>
        </w:rPr>
      </w:pPr>
      <w:r>
        <w:rPr>
          <w:rFonts w:hint="eastAsia" w:ascii="Times New Roman" w:hAnsi="Times New Roman"/>
          <w:szCs w:val="22"/>
        </w:rPr>
        <w:t>简述站内管道、站内设备、储罐等的防腐及绝热范围，</w:t>
      </w:r>
      <w:r>
        <w:rPr>
          <w:rFonts w:hint="eastAsia" w:ascii="Times New Roman" w:hAnsi="Times New Roman"/>
        </w:rPr>
        <w:t>管道采用内防腐层/内衬层时，说明管道内腐蚀控制的范围；采用缓释剂注入或</w:t>
      </w:r>
      <w:r>
        <w:rPr>
          <w:rFonts w:ascii="Times New Roman" w:hAnsi="Times New Roman"/>
        </w:rPr>
        <w:t>腐蚀监测</w:t>
      </w:r>
      <w:r>
        <w:rPr>
          <w:rFonts w:hint="eastAsia" w:ascii="Times New Roman" w:hAnsi="Times New Roman"/>
        </w:rPr>
        <w:t>时，说明缓释剂注入或腐蚀监测的位置。</w:t>
      </w:r>
    </w:p>
    <w:p w14:paraId="17EA4350">
      <w:pPr>
        <w:numPr>
          <w:ilvl w:val="3"/>
          <w:numId w:val="16"/>
        </w:numPr>
        <w:autoSpaceDE w:val="0"/>
        <w:autoSpaceDN w:val="0"/>
        <w:adjustRightInd w:val="0"/>
        <w:snapToGrid w:val="0"/>
        <w:spacing w:before="156" w:beforeLines="50" w:after="156" w:afterLines="50"/>
        <w:ind w:left="0" w:firstLine="0"/>
        <w:outlineLvl w:val="3"/>
        <w:rPr>
          <w:rFonts w:ascii="Times New Roman" w:hAnsi="Times New Roman"/>
        </w:rPr>
      </w:pPr>
      <w:bookmarkStart w:id="109" w:name="_Toc10531"/>
      <w:r>
        <w:rPr>
          <w:rFonts w:hint="eastAsia" w:ascii="Times New Roman" w:hAnsi="Times New Roman"/>
        </w:rPr>
        <w:t>简述站内埋地管道采用阴极保护的范围及阴极保护的类型，站内埋地管道采用区域阴极保护时，说明区域阴极保护的类型；设备和储罐内部需采用阴极保护时，说明采用阴极保护的范围及类型。</w:t>
      </w:r>
      <w:bookmarkEnd w:id="109"/>
    </w:p>
    <w:p w14:paraId="69783D91">
      <w:pPr>
        <w:numPr>
          <w:ilvl w:val="2"/>
          <w:numId w:val="2"/>
        </w:numPr>
        <w:spacing w:before="156" w:beforeLines="50" w:after="156" w:afterLines="50"/>
        <w:ind w:left="0"/>
        <w:outlineLvl w:val="1"/>
        <w:rPr>
          <w:rFonts w:hint="eastAsia" w:ascii="黑体" w:hAnsi="黑体" w:eastAsia="黑体" w:cs="黑体"/>
          <w:kern w:val="0"/>
          <w:szCs w:val="20"/>
        </w:rPr>
      </w:pPr>
      <w:bookmarkStart w:id="110" w:name="_Toc22361"/>
      <w:r>
        <w:rPr>
          <w:rFonts w:hint="eastAsia" w:ascii="黑体" w:hAnsi="黑体" w:eastAsia="黑体" w:cs="黑体"/>
          <w:kern w:val="0"/>
          <w:szCs w:val="20"/>
        </w:rPr>
        <w:t>主要工程量</w:t>
      </w:r>
      <w:bookmarkEnd w:id="110"/>
    </w:p>
    <w:p w14:paraId="28ABF053">
      <w:pPr>
        <w:pStyle w:val="42"/>
        <w:ind w:firstLine="420"/>
        <w:rPr>
          <w:rFonts w:ascii="Times New Roman" w:hAnsi="Times New Roman"/>
          <w:kern w:val="0"/>
        </w:rPr>
      </w:pPr>
      <w:r>
        <w:rPr>
          <w:rFonts w:hint="eastAsia" w:ascii="Times New Roman" w:hAnsi="Times New Roman"/>
          <w:kern w:val="0"/>
        </w:rPr>
        <w:t>按表B.8列表说明主要设备名称、规格型号、数量、主要介质和主要材料。</w:t>
      </w:r>
    </w:p>
    <w:p w14:paraId="2675767C">
      <w:pPr>
        <w:widowControl/>
        <w:numPr>
          <w:ilvl w:val="1"/>
          <w:numId w:val="2"/>
        </w:numPr>
        <w:spacing w:before="312" w:beforeLines="100" w:after="312" w:afterLines="100"/>
        <w:outlineLvl w:val="0"/>
        <w:rPr>
          <w:rFonts w:hint="eastAsia" w:ascii="黑体" w:hAnsi="黑体" w:eastAsia="黑体" w:cs="黑体"/>
          <w:szCs w:val="22"/>
        </w:rPr>
      </w:pPr>
      <w:bookmarkStart w:id="111" w:name="_Toc15658"/>
      <w:r>
        <w:rPr>
          <w:rFonts w:hint="eastAsia" w:ascii="黑体" w:hAnsi="黑体" w:eastAsia="黑体" w:cs="黑体"/>
          <w:szCs w:val="22"/>
        </w:rPr>
        <w:t>危险有害因素分析</w:t>
      </w:r>
      <w:bookmarkEnd w:id="111"/>
    </w:p>
    <w:p w14:paraId="799CAA97">
      <w:pPr>
        <w:numPr>
          <w:ilvl w:val="2"/>
          <w:numId w:val="2"/>
        </w:numPr>
        <w:ind w:left="0"/>
        <w:rPr>
          <w:rFonts w:ascii="Times New Roman" w:hAnsi="Times New Roman" w:eastAsia="宋体"/>
        </w:rPr>
      </w:pPr>
      <w:bookmarkStart w:id="112" w:name="_Toc8906"/>
      <w:bookmarkStart w:id="113" w:name="_Toc10554"/>
      <w:bookmarkStart w:id="114" w:name="_Toc17301"/>
      <w:r>
        <w:rPr>
          <w:rFonts w:hint="eastAsia" w:ascii="Times New Roman" w:hAnsi="Times New Roman" w:eastAsia="宋体"/>
        </w:rPr>
        <w:t>说明安全预评价报告危险有害因素分析结论</w:t>
      </w:r>
      <w:r>
        <w:rPr>
          <w:rFonts w:hint="eastAsia" w:ascii="Times New Roman" w:hAnsi="Times New Roman"/>
        </w:rPr>
        <w:t>。</w:t>
      </w:r>
      <w:bookmarkEnd w:id="112"/>
      <w:bookmarkEnd w:id="113"/>
      <w:bookmarkEnd w:id="114"/>
    </w:p>
    <w:p w14:paraId="1479F64A">
      <w:pPr>
        <w:numPr>
          <w:ilvl w:val="2"/>
          <w:numId w:val="2"/>
        </w:numPr>
        <w:ind w:left="0"/>
        <w:rPr>
          <w:rFonts w:ascii="Times New Roman" w:hAnsi="Times New Roman"/>
          <w:kern w:val="0"/>
          <w:szCs w:val="20"/>
        </w:rPr>
      </w:pPr>
      <w:bookmarkStart w:id="115" w:name="_Toc25861"/>
      <w:bookmarkStart w:id="116" w:name="_Toc19062"/>
      <w:bookmarkStart w:id="117" w:name="_Toc21724"/>
      <w:r>
        <w:rPr>
          <w:rFonts w:hint="eastAsia" w:ascii="Times New Roman" w:hAnsi="Times New Roman"/>
          <w:kern w:val="0"/>
          <w:szCs w:val="20"/>
        </w:rPr>
        <w:t>若出现变更（除5.2重大变更外），应对变更部分进行危险有害因素辨识并提出安全措施，按表B.9列出设计变更情况分析表。</w:t>
      </w:r>
      <w:bookmarkEnd w:id="115"/>
      <w:bookmarkEnd w:id="116"/>
      <w:bookmarkEnd w:id="117"/>
    </w:p>
    <w:p w14:paraId="6CF7DF03">
      <w:pPr>
        <w:numPr>
          <w:ilvl w:val="2"/>
          <w:numId w:val="2"/>
        </w:numPr>
        <w:ind w:left="0"/>
        <w:rPr>
          <w:rFonts w:ascii="Times New Roman" w:hAnsi="Times New Roman"/>
          <w:kern w:val="0"/>
          <w:szCs w:val="20"/>
        </w:rPr>
      </w:pPr>
      <w:bookmarkStart w:id="118" w:name="_Toc9442"/>
      <w:bookmarkStart w:id="119" w:name="_Toc17718"/>
      <w:bookmarkStart w:id="120" w:name="_Toc22747"/>
      <w:r>
        <w:rPr>
          <w:rFonts w:ascii="Times New Roman" w:hAnsi="Times New Roman"/>
          <w:kern w:val="0"/>
          <w:szCs w:val="20"/>
        </w:rPr>
        <w:t>对开展</w:t>
      </w:r>
      <w:r>
        <w:rPr>
          <w:rFonts w:hint="eastAsia" w:ascii="Times New Roman" w:hAnsi="Times New Roman"/>
          <w:kern w:val="0"/>
          <w:szCs w:val="20"/>
        </w:rPr>
        <w:t>了HAZOP、S</w:t>
      </w:r>
      <w:r>
        <w:rPr>
          <w:rFonts w:ascii="Times New Roman" w:hAnsi="Times New Roman"/>
          <w:kern w:val="0"/>
          <w:szCs w:val="20"/>
        </w:rPr>
        <w:t>IL</w:t>
      </w:r>
      <w:r>
        <w:rPr>
          <w:rFonts w:hint="eastAsia" w:ascii="Times New Roman" w:hAnsi="Times New Roman"/>
          <w:kern w:val="0"/>
          <w:szCs w:val="20"/>
        </w:rPr>
        <w:t>定级</w:t>
      </w:r>
      <w:r>
        <w:rPr>
          <w:rFonts w:hint="eastAsia" w:ascii="Times New Roman" w:hAnsi="Times New Roman" w:eastAsia="宋体"/>
        </w:rPr>
        <w:t>或其他安全风险分析的站场，说明主要分析结果。</w:t>
      </w:r>
      <w:bookmarkEnd w:id="118"/>
      <w:bookmarkEnd w:id="119"/>
      <w:bookmarkEnd w:id="120"/>
    </w:p>
    <w:p w14:paraId="6F616F91">
      <w:pPr>
        <w:numPr>
          <w:ilvl w:val="2"/>
          <w:numId w:val="2"/>
        </w:numPr>
        <w:ind w:left="0"/>
        <w:rPr>
          <w:rFonts w:ascii="Times New Roman" w:hAnsi="Times New Roman"/>
          <w:kern w:val="0"/>
          <w:szCs w:val="20"/>
        </w:rPr>
      </w:pPr>
      <w:bookmarkStart w:id="121" w:name="_Toc12698"/>
      <w:bookmarkStart w:id="122" w:name="_Toc15965"/>
      <w:bookmarkStart w:id="123" w:name="_Toc3581"/>
      <w:bookmarkStart w:id="124" w:name="_Toc2781"/>
      <w:r>
        <w:rPr>
          <w:rFonts w:hint="eastAsia" w:ascii="Times New Roman" w:hAnsi="Times New Roman" w:eastAsia="宋体"/>
        </w:rPr>
        <w:t>当采用了新工艺、新技术、新材料或新设备，应对其可能产生的危险有害因素进行重点分析。</w:t>
      </w:r>
      <w:bookmarkEnd w:id="121"/>
      <w:bookmarkEnd w:id="122"/>
      <w:bookmarkEnd w:id="123"/>
      <w:bookmarkEnd w:id="124"/>
    </w:p>
    <w:p w14:paraId="6460412F">
      <w:pPr>
        <w:widowControl/>
        <w:numPr>
          <w:ilvl w:val="1"/>
          <w:numId w:val="2"/>
        </w:numPr>
        <w:spacing w:before="312" w:beforeLines="100" w:after="312" w:afterLines="100"/>
        <w:outlineLvl w:val="0"/>
        <w:rPr>
          <w:rFonts w:hint="eastAsia" w:ascii="黑体" w:hAnsi="黑体" w:eastAsia="黑体" w:cs="黑体"/>
          <w:szCs w:val="22"/>
        </w:rPr>
      </w:pPr>
      <w:bookmarkStart w:id="125" w:name="_Toc23359"/>
      <w:r>
        <w:rPr>
          <w:rFonts w:hint="eastAsia" w:ascii="黑体" w:hAnsi="黑体" w:eastAsia="黑体" w:cs="黑体"/>
          <w:szCs w:val="22"/>
        </w:rPr>
        <w:t>安全预评价响应</w:t>
      </w:r>
      <w:bookmarkEnd w:id="125"/>
    </w:p>
    <w:p w14:paraId="091DC5E4">
      <w:pPr>
        <w:numPr>
          <w:ilvl w:val="2"/>
          <w:numId w:val="2"/>
        </w:numPr>
        <w:ind w:left="0"/>
        <w:rPr>
          <w:rFonts w:ascii="Times New Roman" w:hAnsi="Times New Roman" w:eastAsia="宋体"/>
        </w:rPr>
      </w:pPr>
      <w:bookmarkStart w:id="126" w:name="_Toc4409"/>
      <w:bookmarkStart w:id="127" w:name="_Toc11455"/>
      <w:bookmarkStart w:id="128" w:name="_Toc24020"/>
      <w:bookmarkStart w:id="129" w:name="_Toc6167"/>
      <w:r>
        <w:rPr>
          <w:rFonts w:hint="eastAsia" w:ascii="Times New Roman" w:hAnsi="Times New Roman" w:eastAsia="宋体"/>
        </w:rPr>
        <w:t>简述安全预评价结论。</w:t>
      </w:r>
      <w:bookmarkEnd w:id="126"/>
      <w:bookmarkEnd w:id="127"/>
      <w:bookmarkEnd w:id="128"/>
      <w:bookmarkEnd w:id="129"/>
    </w:p>
    <w:p w14:paraId="39C8C491">
      <w:pPr>
        <w:numPr>
          <w:ilvl w:val="2"/>
          <w:numId w:val="2"/>
        </w:numPr>
        <w:ind w:left="0"/>
        <w:rPr>
          <w:rFonts w:ascii="Times New Roman" w:hAnsi="Times New Roman" w:eastAsia="宋体"/>
        </w:rPr>
      </w:pPr>
      <w:bookmarkStart w:id="130" w:name="_Toc1497"/>
      <w:bookmarkStart w:id="131" w:name="_Toc28590"/>
      <w:bookmarkStart w:id="132" w:name="_Toc16275"/>
      <w:bookmarkStart w:id="133" w:name="_Toc20727"/>
      <w:r>
        <w:rPr>
          <w:rFonts w:hint="eastAsia" w:ascii="Times New Roman" w:hAnsi="Times New Roman" w:eastAsia="宋体"/>
        </w:rPr>
        <w:t>分类列出建设项目安全预评价中提出的安全对策措施的采纳情况，对未采纳的或部分采纳的措施作充分论证说明。</w:t>
      </w:r>
      <w:bookmarkEnd w:id="130"/>
      <w:bookmarkEnd w:id="131"/>
      <w:bookmarkEnd w:id="132"/>
      <w:bookmarkEnd w:id="133"/>
    </w:p>
    <w:p w14:paraId="6C483E93">
      <w:pPr>
        <w:widowControl/>
        <w:numPr>
          <w:ilvl w:val="1"/>
          <w:numId w:val="2"/>
        </w:numPr>
        <w:spacing w:before="312" w:beforeLines="100" w:after="312" w:afterLines="100"/>
        <w:outlineLvl w:val="0"/>
        <w:rPr>
          <w:rFonts w:hint="eastAsia" w:ascii="黑体" w:hAnsi="黑体" w:eastAsia="黑体" w:cs="黑体"/>
          <w:color w:val="000000" w:themeColor="text1"/>
          <w:szCs w:val="22"/>
          <w14:textFill>
            <w14:solidFill>
              <w14:schemeClr w14:val="tx1"/>
            </w14:solidFill>
          </w14:textFill>
        </w:rPr>
      </w:pPr>
      <w:bookmarkStart w:id="134" w:name="_Toc6270"/>
      <w:bookmarkStart w:id="135" w:name="_Toc18261"/>
      <w:bookmarkStart w:id="136" w:name="_Toc163575733"/>
      <w:bookmarkStart w:id="137" w:name="_Toc163057349"/>
      <w:bookmarkStart w:id="138" w:name="_Toc163057352"/>
      <w:bookmarkStart w:id="139" w:name="_Toc163575736"/>
      <w:bookmarkStart w:id="140" w:name="_Toc1820"/>
      <w:r>
        <w:rPr>
          <w:rFonts w:hint="eastAsia" w:ascii="黑体" w:hAnsi="黑体" w:eastAsia="黑体" w:cs="黑体"/>
          <w:color w:val="000000" w:themeColor="text1"/>
          <w:szCs w:val="22"/>
          <w14:textFill>
            <w14:solidFill>
              <w14:schemeClr w14:val="tx1"/>
            </w14:solidFill>
          </w14:textFill>
        </w:rPr>
        <w:t>区域布置及总平面布置安全措施</w:t>
      </w:r>
      <w:bookmarkEnd w:id="134"/>
      <w:bookmarkEnd w:id="135"/>
      <w:bookmarkEnd w:id="136"/>
      <w:bookmarkEnd w:id="137"/>
    </w:p>
    <w:p w14:paraId="125D8C7B">
      <w:pPr>
        <w:numPr>
          <w:ilvl w:val="2"/>
          <w:numId w:val="2"/>
        </w:numPr>
        <w:spacing w:before="156" w:beforeLines="50" w:after="156" w:afterLines="50"/>
        <w:ind w:left="0"/>
        <w:outlineLvl w:val="1"/>
        <w:rPr>
          <w:rFonts w:hint="eastAsia" w:ascii="黑体" w:hAnsi="黑体" w:eastAsia="黑体" w:cs="黑体"/>
        </w:rPr>
      </w:pPr>
      <w:bookmarkStart w:id="141" w:name="_Toc20801"/>
      <w:r>
        <w:rPr>
          <w:rFonts w:hint="eastAsia" w:ascii="黑体" w:hAnsi="黑体" w:eastAsia="黑体" w:cs="黑体"/>
        </w:rPr>
        <w:t>区域布置</w:t>
      </w:r>
      <w:bookmarkEnd w:id="141"/>
    </w:p>
    <w:p w14:paraId="7C278AA0">
      <w:pPr>
        <w:pStyle w:val="93"/>
        <w:rPr>
          <w:rFonts w:ascii="Times New Roman"/>
        </w:rPr>
      </w:pPr>
      <w:bookmarkStart w:id="142" w:name="_Toc15885"/>
      <w:bookmarkStart w:id="143" w:name="_Toc8819"/>
      <w:r>
        <w:rPr>
          <w:rFonts w:hint="eastAsia" w:ascii="Times New Roman"/>
        </w:rPr>
        <w:t>说明天然气处理厂</w:t>
      </w:r>
      <w:r>
        <w:rPr>
          <w:rFonts w:hint="eastAsia" w:ascii="Times New Roman"/>
          <w:szCs w:val="22"/>
        </w:rPr>
        <w:t>地理位置及周边环境情况，并绘制站场区域位置图。</w:t>
      </w:r>
      <w:bookmarkEnd w:id="142"/>
      <w:bookmarkEnd w:id="143"/>
    </w:p>
    <w:p w14:paraId="2BCDB7C5">
      <w:pPr>
        <w:pStyle w:val="93"/>
        <w:rPr>
          <w:rFonts w:ascii="Times New Roman"/>
        </w:rPr>
      </w:pPr>
      <w:bookmarkStart w:id="144" w:name="_Toc16568"/>
      <w:bookmarkStart w:id="145" w:name="_Toc8306"/>
      <w:r>
        <w:rPr>
          <w:rFonts w:hint="eastAsia" w:ascii="Times New Roman"/>
        </w:rPr>
        <w:t>天然气处理厂邻近城镇或居住区布置时，说明生产区与邻近城镇或居住区的风频风向的相对关系。</w:t>
      </w:r>
      <w:bookmarkEnd w:id="144"/>
      <w:bookmarkEnd w:id="145"/>
    </w:p>
    <w:p w14:paraId="7B503A48">
      <w:pPr>
        <w:pStyle w:val="93"/>
        <w:rPr>
          <w:rFonts w:ascii="Times New Roman"/>
        </w:rPr>
      </w:pPr>
      <w:bookmarkStart w:id="146" w:name="_Toc25435"/>
      <w:bookmarkStart w:id="147" w:name="_Toc1858"/>
      <w:r>
        <w:rPr>
          <w:rFonts w:hint="eastAsia" w:ascii="Times New Roman"/>
          <w:szCs w:val="22"/>
        </w:rPr>
        <w:t>按照</w:t>
      </w:r>
      <w:r>
        <w:rPr>
          <w:rFonts w:ascii="Times New Roman"/>
          <w:szCs w:val="22"/>
        </w:rPr>
        <w:t>GB</w:t>
      </w:r>
      <w:r>
        <w:rPr>
          <w:rFonts w:hint="eastAsia" w:ascii="Times New Roman"/>
          <w:szCs w:val="22"/>
        </w:rPr>
        <w:t xml:space="preserve"> </w:t>
      </w:r>
      <w:r>
        <w:rPr>
          <w:rFonts w:ascii="Times New Roman"/>
          <w:szCs w:val="22"/>
        </w:rPr>
        <w:t>50183、</w:t>
      </w:r>
      <w:r>
        <w:rPr>
          <w:rFonts w:hint="eastAsia" w:ascii="Times New Roman"/>
          <w:szCs w:val="22"/>
        </w:rPr>
        <w:t>SY/T 0048等相关要求</w:t>
      </w:r>
      <w:r>
        <w:rPr>
          <w:rFonts w:ascii="Times New Roman"/>
          <w:szCs w:val="22"/>
        </w:rPr>
        <w:t>，</w:t>
      </w:r>
      <w:r>
        <w:rPr>
          <w:rFonts w:hint="eastAsia" w:ascii="Times New Roman"/>
          <w:szCs w:val="22"/>
        </w:rPr>
        <w:t>按表</w:t>
      </w:r>
      <w:r>
        <w:rPr>
          <w:rFonts w:hint="eastAsia" w:ascii="Times New Roman"/>
        </w:rPr>
        <w:t>B.10</w:t>
      </w:r>
      <w:r>
        <w:rPr>
          <w:rFonts w:ascii="Times New Roman"/>
          <w:szCs w:val="22"/>
        </w:rPr>
        <w:t>列表说明站场</w:t>
      </w:r>
      <w:r>
        <w:rPr>
          <w:rFonts w:hint="eastAsia" w:ascii="Times New Roman"/>
          <w:szCs w:val="22"/>
        </w:rPr>
        <w:t>、放空火炬</w:t>
      </w:r>
      <w:r>
        <w:rPr>
          <w:rFonts w:ascii="Times New Roman"/>
          <w:szCs w:val="22"/>
        </w:rPr>
        <w:t>与周边城镇、居民点、交通线</w:t>
      </w:r>
      <w:r>
        <w:rPr>
          <w:rFonts w:hint="eastAsia" w:ascii="Times New Roman"/>
          <w:szCs w:val="22"/>
        </w:rPr>
        <w:t>、危险品仓库、</w:t>
      </w:r>
      <w:r>
        <w:rPr>
          <w:rFonts w:ascii="Times New Roman"/>
          <w:szCs w:val="22"/>
        </w:rPr>
        <w:t>爆炸作业场地、</w:t>
      </w:r>
      <w:r>
        <w:rPr>
          <w:rFonts w:hint="eastAsia" w:ascii="Times New Roman"/>
          <w:szCs w:val="22"/>
        </w:rPr>
        <w:t>相邻</w:t>
      </w:r>
      <w:r>
        <w:rPr>
          <w:rFonts w:ascii="Times New Roman"/>
          <w:szCs w:val="22"/>
        </w:rPr>
        <w:t>厂矿企业</w:t>
      </w:r>
      <w:r>
        <w:rPr>
          <w:rFonts w:hint="eastAsia" w:ascii="Times New Roman"/>
          <w:szCs w:val="22"/>
        </w:rPr>
        <w:t>等</w:t>
      </w:r>
      <w:r>
        <w:rPr>
          <w:rFonts w:ascii="Times New Roman"/>
          <w:szCs w:val="22"/>
        </w:rPr>
        <w:t>的</w:t>
      </w:r>
      <w:r>
        <w:rPr>
          <w:rFonts w:hint="eastAsia" w:ascii="Times New Roman"/>
          <w:szCs w:val="22"/>
        </w:rPr>
        <w:t>外部最小允许距离</w:t>
      </w:r>
      <w:r>
        <w:rPr>
          <w:rFonts w:ascii="Times New Roman"/>
          <w:szCs w:val="22"/>
        </w:rPr>
        <w:t>的标准规范符合</w:t>
      </w:r>
      <w:r>
        <w:rPr>
          <w:rFonts w:hint="eastAsia" w:ascii="Times New Roman"/>
          <w:szCs w:val="22"/>
        </w:rPr>
        <w:t>性。</w:t>
      </w:r>
      <w:bookmarkEnd w:id="146"/>
      <w:bookmarkEnd w:id="147"/>
    </w:p>
    <w:p w14:paraId="0D208AC5">
      <w:pPr>
        <w:numPr>
          <w:ilvl w:val="2"/>
          <w:numId w:val="2"/>
        </w:numPr>
        <w:spacing w:before="156" w:beforeLines="50" w:after="156" w:afterLines="50"/>
        <w:ind w:left="0"/>
        <w:outlineLvl w:val="1"/>
        <w:rPr>
          <w:rFonts w:hint="eastAsia" w:ascii="黑体" w:hAnsi="黑体" w:eastAsia="黑体" w:cs="黑体"/>
          <w:kern w:val="0"/>
        </w:rPr>
      </w:pPr>
      <w:bookmarkStart w:id="148" w:name="_Toc9576"/>
      <w:r>
        <w:rPr>
          <w:rFonts w:hint="eastAsia" w:ascii="黑体" w:hAnsi="黑体" w:eastAsia="黑体" w:cs="黑体"/>
          <w:kern w:val="0"/>
        </w:rPr>
        <w:t>总平面布置</w:t>
      </w:r>
      <w:bookmarkEnd w:id="148"/>
    </w:p>
    <w:p w14:paraId="6FF3A366">
      <w:pPr>
        <w:pStyle w:val="93"/>
        <w:spacing w:before="156" w:beforeLines="50" w:after="156" w:afterLines="50"/>
        <w:rPr>
          <w:rFonts w:hint="eastAsia" w:ascii="黑体" w:hAnsi="黑体" w:eastAsia="黑体" w:cs="黑体"/>
        </w:rPr>
      </w:pPr>
      <w:bookmarkStart w:id="149" w:name="_Toc5316"/>
      <w:r>
        <w:rPr>
          <w:rFonts w:hint="eastAsia" w:ascii="黑体" w:hAnsi="黑体" w:eastAsia="黑体" w:cs="黑体"/>
        </w:rPr>
        <w:t>平面设计方案</w:t>
      </w:r>
    </w:p>
    <w:p w14:paraId="26E1CD15">
      <w:pPr>
        <w:pStyle w:val="42"/>
        <w:ind w:firstLine="420"/>
        <w:rPr>
          <w:rFonts w:ascii="Times New Roman" w:hAnsi="Times New Roman"/>
        </w:rPr>
      </w:pPr>
      <w:r>
        <w:rPr>
          <w:rFonts w:hint="eastAsia" w:ascii="Times New Roman" w:hAnsi="Times New Roman"/>
        </w:rPr>
        <w:t>按照</w:t>
      </w:r>
      <w:r>
        <w:rPr>
          <w:rFonts w:ascii="Times New Roman" w:hAnsi="Times New Roman"/>
        </w:rPr>
        <w:t>GB 50183、</w:t>
      </w:r>
      <w:r>
        <w:rPr>
          <w:rFonts w:hint="eastAsia" w:ascii="Times New Roman" w:hAnsi="Times New Roman"/>
        </w:rPr>
        <w:t>SY/T 0048等相关要求</w:t>
      </w:r>
      <w:r>
        <w:rPr>
          <w:rFonts w:ascii="Times New Roman" w:hAnsi="Times New Roman"/>
        </w:rPr>
        <w:t>，说明站场内各装置</w:t>
      </w:r>
      <w:r>
        <w:rPr>
          <w:rFonts w:hint="eastAsia" w:ascii="Times New Roman" w:hAnsi="Times New Roman"/>
        </w:rPr>
        <w:t>、</w:t>
      </w:r>
      <w:r>
        <w:rPr>
          <w:rFonts w:ascii="Times New Roman" w:hAnsi="Times New Roman"/>
        </w:rPr>
        <w:t>设施布置的安全</w:t>
      </w:r>
      <w:r>
        <w:rPr>
          <w:rFonts w:hint="eastAsia" w:ascii="Times New Roman" w:hAnsi="Times New Roman"/>
        </w:rPr>
        <w:t>措施</w:t>
      </w:r>
      <w:r>
        <w:rPr>
          <w:rFonts w:ascii="Times New Roman" w:hAnsi="Times New Roman"/>
        </w:rPr>
        <w:t>，主要包括：</w:t>
      </w:r>
    </w:p>
    <w:p w14:paraId="3C10BE36">
      <w:pPr>
        <w:pStyle w:val="42"/>
        <w:numPr>
          <w:ilvl w:val="0"/>
          <w:numId w:val="17"/>
        </w:numPr>
        <w:ind w:firstLine="420"/>
        <w:rPr>
          <w:rFonts w:ascii="Times New Roman" w:hAnsi="Times New Roman"/>
        </w:rPr>
      </w:pPr>
      <w:r>
        <w:rPr>
          <w:rFonts w:ascii="Times New Roman" w:hAnsi="Times New Roman"/>
        </w:rPr>
        <w:t>总平面布置</w:t>
      </w:r>
      <w:r>
        <w:rPr>
          <w:rFonts w:hint="eastAsia" w:ascii="Times New Roman" w:hAnsi="Times New Roman"/>
        </w:rPr>
        <w:t>分区布置情况，各分区之间的风频风向的相对关系</w:t>
      </w:r>
      <w:r>
        <w:rPr>
          <w:rFonts w:ascii="Times New Roman" w:hAnsi="Times New Roman"/>
        </w:rPr>
        <w:t>；</w:t>
      </w:r>
    </w:p>
    <w:p w14:paraId="720F86F8">
      <w:pPr>
        <w:pStyle w:val="42"/>
        <w:numPr>
          <w:ilvl w:val="0"/>
          <w:numId w:val="17"/>
        </w:numPr>
        <w:ind w:firstLine="420"/>
        <w:rPr>
          <w:rFonts w:ascii="Times New Roman" w:hAnsi="Times New Roman"/>
        </w:rPr>
      </w:pPr>
      <w:r>
        <w:rPr>
          <w:rFonts w:hint="eastAsia" w:ascii="Times New Roman" w:hAnsi="Times New Roman"/>
        </w:rPr>
        <w:t>按表B.11</w:t>
      </w:r>
      <w:r>
        <w:rPr>
          <w:rFonts w:ascii="Times New Roman" w:hAnsi="Times New Roman"/>
        </w:rPr>
        <w:t>列表说明站场内主要设施</w:t>
      </w:r>
      <w:r>
        <w:rPr>
          <w:rFonts w:hint="eastAsia" w:ascii="Times New Roman" w:hAnsi="Times New Roman"/>
        </w:rPr>
        <w:t>、储罐组</w:t>
      </w:r>
      <w:r>
        <w:rPr>
          <w:rFonts w:ascii="Times New Roman" w:hAnsi="Times New Roman"/>
        </w:rPr>
        <w:t>防火间距及标准规范</w:t>
      </w:r>
      <w:r>
        <w:rPr>
          <w:rFonts w:hint="eastAsia" w:ascii="Times New Roman" w:hAnsi="Times New Roman"/>
        </w:rPr>
        <w:t>的</w:t>
      </w:r>
      <w:r>
        <w:rPr>
          <w:rFonts w:ascii="Times New Roman" w:hAnsi="Times New Roman"/>
        </w:rPr>
        <w:t>符合</w:t>
      </w:r>
      <w:r>
        <w:rPr>
          <w:rFonts w:hint="eastAsia" w:ascii="Times New Roman" w:hAnsi="Times New Roman"/>
        </w:rPr>
        <w:t>性；</w:t>
      </w:r>
    </w:p>
    <w:p w14:paraId="69B48358">
      <w:pPr>
        <w:pStyle w:val="42"/>
        <w:numPr>
          <w:ilvl w:val="0"/>
          <w:numId w:val="17"/>
        </w:numPr>
        <w:ind w:firstLine="420"/>
        <w:rPr>
          <w:rFonts w:ascii="Times New Roman" w:hAnsi="Times New Roman"/>
        </w:rPr>
      </w:pPr>
      <w:r>
        <w:rPr>
          <w:rFonts w:hint="eastAsia" w:ascii="Times New Roman" w:hAnsi="Times New Roman"/>
        </w:rPr>
        <w:t>储罐组储罐布置、防火堤/防护堤设置等</w:t>
      </w:r>
      <w:r>
        <w:rPr>
          <w:rFonts w:ascii="Times New Roman" w:hAnsi="Times New Roman"/>
        </w:rPr>
        <w:t>标准规范</w:t>
      </w:r>
      <w:r>
        <w:rPr>
          <w:rFonts w:hint="eastAsia" w:ascii="Times New Roman" w:hAnsi="Times New Roman"/>
        </w:rPr>
        <w:t>的</w:t>
      </w:r>
      <w:r>
        <w:rPr>
          <w:rFonts w:ascii="Times New Roman" w:hAnsi="Times New Roman"/>
        </w:rPr>
        <w:t>符合</w:t>
      </w:r>
      <w:r>
        <w:rPr>
          <w:rFonts w:hint="eastAsia" w:ascii="Times New Roman" w:hAnsi="Times New Roman"/>
        </w:rPr>
        <w:t>性；</w:t>
      </w:r>
    </w:p>
    <w:p w14:paraId="50434A1F">
      <w:pPr>
        <w:pStyle w:val="42"/>
        <w:numPr>
          <w:ilvl w:val="0"/>
          <w:numId w:val="17"/>
        </w:numPr>
        <w:ind w:firstLine="420"/>
        <w:rPr>
          <w:rFonts w:ascii="Times New Roman" w:hAnsi="Times New Roman"/>
        </w:rPr>
      </w:pPr>
      <w:r>
        <w:rPr>
          <w:rFonts w:hint="eastAsia" w:ascii="Times New Roman" w:hAnsi="Times New Roman"/>
        </w:rPr>
        <w:t>沙漠地区的石油天然气站场采取的防风固沙等措施。</w:t>
      </w:r>
    </w:p>
    <w:p w14:paraId="032D7FAF">
      <w:pPr>
        <w:pStyle w:val="93"/>
        <w:spacing w:before="156" w:beforeLines="50" w:after="156" w:afterLines="50"/>
        <w:rPr>
          <w:rFonts w:hint="eastAsia" w:ascii="黑体" w:hAnsi="黑体" w:eastAsia="黑体" w:cs="黑体"/>
        </w:rPr>
      </w:pPr>
      <w:bookmarkStart w:id="150" w:name="_Toc2568"/>
      <w:bookmarkStart w:id="151" w:name="_Toc8999"/>
      <w:r>
        <w:rPr>
          <w:rFonts w:hint="eastAsia" w:ascii="黑体" w:hAnsi="黑体" w:eastAsia="黑体" w:cs="黑体"/>
        </w:rPr>
        <w:t>竖向设计方案</w:t>
      </w:r>
      <w:bookmarkEnd w:id="150"/>
      <w:bookmarkEnd w:id="151"/>
    </w:p>
    <w:p w14:paraId="5AEC62DB">
      <w:pPr>
        <w:pStyle w:val="42"/>
        <w:ind w:firstLine="420"/>
        <w:rPr>
          <w:rFonts w:ascii="Times New Roman" w:hAnsi="Times New Roman"/>
          <w:kern w:val="0"/>
          <w:szCs w:val="20"/>
        </w:rPr>
      </w:pPr>
      <w:r>
        <w:rPr>
          <w:rFonts w:hint="eastAsia" w:ascii="Times New Roman" w:hAnsi="Times New Roman"/>
          <w:kern w:val="0"/>
          <w:szCs w:val="20"/>
        </w:rPr>
        <w:t>按照GB 50025、GB 50112、GB/T 50942、SY/T 0048等相关要求，说明站场所在位置自然地形情况及竖向设计的安全措施，主要包括：</w:t>
      </w:r>
    </w:p>
    <w:p w14:paraId="17BBD1D4">
      <w:pPr>
        <w:pStyle w:val="42"/>
        <w:ind w:firstLine="420"/>
        <w:rPr>
          <w:rFonts w:ascii="Times New Roman" w:hAnsi="Times New Roman"/>
          <w:kern w:val="0"/>
          <w:szCs w:val="20"/>
        </w:rPr>
      </w:pPr>
      <w:r>
        <w:rPr>
          <w:rFonts w:hint="eastAsia" w:ascii="Times New Roman" w:hAnsi="Times New Roman"/>
          <w:kern w:val="0"/>
          <w:szCs w:val="20"/>
        </w:rPr>
        <w:t>a）天然气处理厂竖向设计依据及采取的支挡护措施；</w:t>
      </w:r>
    </w:p>
    <w:p w14:paraId="12476A8F">
      <w:pPr>
        <w:pStyle w:val="42"/>
        <w:ind w:firstLine="420"/>
        <w:rPr>
          <w:rFonts w:ascii="Times New Roman" w:hAnsi="Times New Roman"/>
          <w:kern w:val="0"/>
          <w:szCs w:val="20"/>
        </w:rPr>
      </w:pPr>
      <w:r>
        <w:rPr>
          <w:rFonts w:hint="eastAsia" w:ascii="Times New Roman" w:hAnsi="Times New Roman"/>
          <w:kern w:val="0"/>
          <w:szCs w:val="20"/>
        </w:rPr>
        <w:t>b）采用阶梯式竖向设计时，说明为防止泄漏的可燃液体在阶梯间漫流以及流向站外工业、民用建筑或其他重要设施的区域所采取的有效措施；</w:t>
      </w:r>
    </w:p>
    <w:p w14:paraId="412C5764">
      <w:pPr>
        <w:pStyle w:val="42"/>
        <w:ind w:firstLine="420"/>
        <w:rPr>
          <w:rFonts w:ascii="Times New Roman" w:hAnsi="Times New Roman"/>
          <w:kern w:val="0"/>
          <w:szCs w:val="20"/>
        </w:rPr>
      </w:pPr>
      <w:r>
        <w:rPr>
          <w:rFonts w:hint="eastAsia" w:ascii="Times New Roman" w:hAnsi="Times New Roman"/>
          <w:kern w:val="0"/>
          <w:szCs w:val="20"/>
        </w:rPr>
        <w:t>c）站场防洪标准及其竖向设计的标准规范符合性；</w:t>
      </w:r>
    </w:p>
    <w:p w14:paraId="73E74F6C">
      <w:pPr>
        <w:pStyle w:val="42"/>
        <w:ind w:firstLine="420"/>
        <w:rPr>
          <w:rFonts w:ascii="Times New Roman" w:hAnsi="Times New Roman"/>
          <w:kern w:val="0"/>
          <w:szCs w:val="20"/>
        </w:rPr>
      </w:pPr>
      <w:r>
        <w:rPr>
          <w:rFonts w:hint="eastAsia" w:ascii="Times New Roman" w:hAnsi="Times New Roman"/>
          <w:kern w:val="0"/>
          <w:szCs w:val="20"/>
        </w:rPr>
        <w:t>d）站场所在区域存在湿陷性黄土、膨胀土、盐渍土等特殊地质情况时，说明竖向设计对特殊地质采取的措施。</w:t>
      </w:r>
    </w:p>
    <w:p w14:paraId="6C4CBF48">
      <w:pPr>
        <w:pStyle w:val="93"/>
        <w:spacing w:before="156" w:beforeLines="50" w:after="156" w:afterLines="50"/>
        <w:rPr>
          <w:rFonts w:hint="eastAsia" w:ascii="黑体" w:hAnsi="黑体" w:eastAsia="黑体" w:cs="黑体"/>
        </w:rPr>
      </w:pPr>
      <w:bookmarkStart w:id="152" w:name="_Toc23433"/>
      <w:bookmarkStart w:id="153" w:name="_Toc5032"/>
      <w:r>
        <w:rPr>
          <w:rFonts w:hint="eastAsia" w:ascii="黑体" w:hAnsi="黑体" w:eastAsia="黑体" w:cs="黑体"/>
        </w:rPr>
        <w:t>安全通道</w:t>
      </w:r>
      <w:bookmarkEnd w:id="152"/>
      <w:bookmarkEnd w:id="153"/>
    </w:p>
    <w:p w14:paraId="67CAE6FC">
      <w:pPr>
        <w:pStyle w:val="42"/>
        <w:ind w:firstLine="420"/>
        <w:rPr>
          <w:rFonts w:ascii="Times New Roman" w:hAnsi="Times New Roman"/>
          <w:kern w:val="0"/>
          <w:szCs w:val="20"/>
        </w:rPr>
      </w:pPr>
      <w:r>
        <w:rPr>
          <w:rFonts w:hint="eastAsia" w:ascii="Times New Roman" w:hAnsi="Times New Roman"/>
          <w:kern w:val="0"/>
          <w:szCs w:val="20"/>
        </w:rPr>
        <w:t>说明天然气处理厂内消防道路及出入口设置情况，主要包括：</w:t>
      </w:r>
    </w:p>
    <w:p w14:paraId="75DC2FE2">
      <w:pPr>
        <w:pStyle w:val="42"/>
        <w:numPr>
          <w:ilvl w:val="0"/>
          <w:numId w:val="18"/>
        </w:numPr>
        <w:ind w:left="0" w:firstLine="420"/>
        <w:rPr>
          <w:rFonts w:ascii="Times New Roman" w:hAnsi="Times New Roman"/>
          <w:kern w:val="0"/>
          <w:szCs w:val="20"/>
        </w:rPr>
      </w:pPr>
      <w:r>
        <w:rPr>
          <w:rFonts w:ascii="Times New Roman" w:hAnsi="Times New Roman"/>
        </w:rPr>
        <w:t>站场内消防车道宽度、转弯半径、净空高度、回车场地</w:t>
      </w:r>
      <w:r>
        <w:rPr>
          <w:rFonts w:hint="eastAsia" w:ascii="Times New Roman" w:hAnsi="Times New Roman"/>
        </w:rPr>
        <w:t>等</w:t>
      </w:r>
      <w:r>
        <w:rPr>
          <w:rFonts w:ascii="Times New Roman" w:hAnsi="Times New Roman"/>
        </w:rPr>
        <w:t>消防通道适应性；</w:t>
      </w:r>
    </w:p>
    <w:p w14:paraId="10487DD4">
      <w:pPr>
        <w:pStyle w:val="42"/>
        <w:numPr>
          <w:ilvl w:val="0"/>
          <w:numId w:val="18"/>
        </w:numPr>
        <w:ind w:left="0" w:firstLine="420"/>
        <w:rPr>
          <w:rFonts w:ascii="Times New Roman" w:hAnsi="Times New Roman"/>
          <w:kern w:val="0"/>
          <w:szCs w:val="20"/>
        </w:rPr>
      </w:pPr>
      <w:r>
        <w:rPr>
          <w:rFonts w:hint="eastAsia" w:ascii="Times New Roman" w:hAnsi="Times New Roman"/>
          <w:kern w:val="0"/>
          <w:szCs w:val="20"/>
        </w:rPr>
        <w:t>安全疏散通道及出入口设置情况。</w:t>
      </w:r>
    </w:p>
    <w:p w14:paraId="539C1CF7">
      <w:pPr>
        <w:widowControl/>
        <w:numPr>
          <w:ilvl w:val="1"/>
          <w:numId w:val="2"/>
        </w:numPr>
        <w:spacing w:before="312" w:beforeLines="100" w:after="312" w:afterLines="100"/>
        <w:outlineLvl w:val="0"/>
        <w:rPr>
          <w:rFonts w:hint="eastAsia" w:ascii="黑体" w:hAnsi="黑体" w:eastAsia="黑体" w:cs="黑体"/>
          <w:szCs w:val="22"/>
        </w:rPr>
      </w:pPr>
      <w:bookmarkStart w:id="154" w:name="_Toc32225"/>
      <w:r>
        <w:rPr>
          <w:rFonts w:hint="eastAsia" w:ascii="黑体" w:hAnsi="黑体" w:eastAsia="黑体" w:cs="黑体"/>
          <w:color w:val="000000" w:themeColor="text1"/>
          <w:szCs w:val="22"/>
          <w14:textFill>
            <w14:solidFill>
              <w14:schemeClr w14:val="tx1"/>
            </w14:solidFill>
          </w14:textFill>
        </w:rPr>
        <w:t>工艺</w:t>
      </w:r>
      <w:r>
        <w:rPr>
          <w:rFonts w:hint="eastAsia" w:ascii="黑体" w:hAnsi="黑体" w:eastAsia="黑体" w:cs="黑体"/>
          <w:szCs w:val="22"/>
        </w:rPr>
        <w:t>系统安全措施</w:t>
      </w:r>
      <w:bookmarkEnd w:id="138"/>
      <w:bookmarkEnd w:id="139"/>
      <w:bookmarkEnd w:id="149"/>
      <w:bookmarkEnd w:id="154"/>
      <w:bookmarkStart w:id="155" w:name="_Toc163575737"/>
      <w:bookmarkStart w:id="156" w:name="_Toc163057353"/>
    </w:p>
    <w:bookmarkEnd w:id="155"/>
    <w:bookmarkEnd w:id="156"/>
    <w:p w14:paraId="349FF76C">
      <w:pPr>
        <w:numPr>
          <w:ilvl w:val="2"/>
          <w:numId w:val="2"/>
        </w:numPr>
        <w:spacing w:before="156" w:beforeLines="50" w:after="156" w:afterLines="50"/>
        <w:ind w:left="0"/>
        <w:outlineLvl w:val="1"/>
        <w:rPr>
          <w:rFonts w:hint="eastAsia" w:ascii="黑体" w:hAnsi="黑体" w:eastAsia="黑体" w:cs="黑体"/>
        </w:rPr>
      </w:pPr>
      <w:bookmarkStart w:id="157" w:name="_Toc28585"/>
      <w:bookmarkStart w:id="158" w:name="_Toc163575738"/>
      <w:bookmarkStart w:id="159" w:name="_Toc163057354"/>
      <w:bookmarkStart w:id="160" w:name="_Toc13722"/>
      <w:r>
        <w:rPr>
          <w:rFonts w:hint="eastAsia" w:ascii="黑体" w:hAnsi="黑体" w:eastAsia="黑体" w:cs="黑体"/>
        </w:rPr>
        <w:t>油气处理工艺</w:t>
      </w:r>
      <w:bookmarkEnd w:id="157"/>
      <w:bookmarkEnd w:id="158"/>
      <w:bookmarkEnd w:id="159"/>
      <w:bookmarkEnd w:id="160"/>
    </w:p>
    <w:p w14:paraId="10337DDC">
      <w:pPr>
        <w:pStyle w:val="42"/>
        <w:ind w:firstLine="420"/>
        <w:rPr>
          <w:rFonts w:ascii="Times New Roman" w:hAnsi="Times New Roman"/>
          <w:kern w:val="0"/>
          <w:szCs w:val="20"/>
        </w:rPr>
      </w:pPr>
      <w:bookmarkStart w:id="161" w:name="_Toc26978"/>
      <w:r>
        <w:rPr>
          <w:rFonts w:hint="eastAsia" w:ascii="Times New Roman" w:hAnsi="Times New Roman"/>
          <w:kern w:val="0"/>
          <w:szCs w:val="20"/>
        </w:rPr>
        <w:t>按照GB 50183、GB 50349、</w:t>
      </w:r>
      <w:r>
        <w:rPr>
          <w:rFonts w:hint="eastAsia" w:ascii="Times New Roman" w:hAnsi="Times New Roman"/>
        </w:rPr>
        <w:t>GB 50350、</w:t>
      </w:r>
      <w:r>
        <w:rPr>
          <w:rFonts w:hint="eastAsia" w:ascii="Times New Roman" w:hAnsi="Times New Roman"/>
          <w:kern w:val="0"/>
          <w:szCs w:val="20"/>
        </w:rPr>
        <w:t>GB/T 51248等相关要求，说明天然气处理厂油气处理工艺过程中采取的工艺安全措施，主要包括：</w:t>
      </w:r>
    </w:p>
    <w:p w14:paraId="2F81CDAC">
      <w:pPr>
        <w:pStyle w:val="42"/>
        <w:numPr>
          <w:ilvl w:val="0"/>
          <w:numId w:val="19"/>
        </w:numPr>
        <w:ind w:left="0" w:firstLine="420"/>
        <w:rPr>
          <w:rFonts w:ascii="Times New Roman" w:hAnsi="Times New Roman"/>
          <w:kern w:val="0"/>
          <w:szCs w:val="20"/>
        </w:rPr>
      </w:pPr>
      <w:r>
        <w:rPr>
          <w:rFonts w:hint="eastAsia" w:ascii="Times New Roman" w:hAnsi="Times New Roman"/>
          <w:kern w:val="0"/>
          <w:szCs w:val="20"/>
        </w:rPr>
        <w:t>天然气分离、增压、脱硫（脱碳）、脱水、凝液回收、凝析油处理、天然气液化、硫磺回收、尾气处理、二氧化碳回收、提氦、脱汞等装置工艺运行参数（压力、温度、流量、液位等）超出限定值时的报警及安全联锁调节、保护措施；</w:t>
      </w:r>
    </w:p>
    <w:p w14:paraId="5078F1CB">
      <w:pPr>
        <w:pStyle w:val="42"/>
        <w:numPr>
          <w:ilvl w:val="0"/>
          <w:numId w:val="19"/>
        </w:numPr>
        <w:ind w:left="0" w:firstLine="420"/>
        <w:rPr>
          <w:rFonts w:ascii="Times New Roman" w:hAnsi="Times New Roman"/>
          <w:kern w:val="0"/>
          <w:szCs w:val="20"/>
        </w:rPr>
      </w:pPr>
      <w:r>
        <w:rPr>
          <w:rFonts w:hint="eastAsia" w:ascii="Times New Roman" w:hAnsi="Times New Roman"/>
          <w:kern w:val="0"/>
          <w:szCs w:val="20"/>
        </w:rPr>
        <w:t>站场内设计压力分界处采取的措施；</w:t>
      </w:r>
    </w:p>
    <w:p w14:paraId="0FA118DF">
      <w:pPr>
        <w:pStyle w:val="42"/>
        <w:numPr>
          <w:ilvl w:val="0"/>
          <w:numId w:val="19"/>
        </w:numPr>
        <w:ind w:left="0" w:firstLine="420"/>
        <w:rPr>
          <w:rFonts w:ascii="Times New Roman" w:hAnsi="Times New Roman"/>
          <w:kern w:val="0"/>
          <w:szCs w:val="20"/>
        </w:rPr>
      </w:pPr>
      <w:r>
        <w:rPr>
          <w:rFonts w:hint="eastAsia" w:ascii="Times New Roman" w:hAnsi="Times New Roman"/>
          <w:kern w:val="0"/>
          <w:szCs w:val="20"/>
        </w:rPr>
        <w:t>非正常工况下系统采取的紧急截断、紧急停车、安全泄放等防超压措施；</w:t>
      </w:r>
    </w:p>
    <w:p w14:paraId="3E765B7F">
      <w:pPr>
        <w:pStyle w:val="42"/>
        <w:numPr>
          <w:ilvl w:val="0"/>
          <w:numId w:val="19"/>
        </w:numPr>
        <w:ind w:left="0" w:firstLine="420"/>
        <w:rPr>
          <w:rFonts w:ascii="Times New Roman" w:hAnsi="Times New Roman"/>
          <w:kern w:val="0"/>
          <w:szCs w:val="20"/>
        </w:rPr>
      </w:pPr>
      <w:r>
        <w:rPr>
          <w:rFonts w:hint="eastAsia" w:ascii="Times New Roman" w:hAnsi="Times New Roman"/>
        </w:rPr>
        <w:t>按表</w:t>
      </w:r>
      <w:r>
        <w:rPr>
          <w:rFonts w:hint="eastAsia" w:ascii="Times New Roman" w:hAnsi="Times New Roman"/>
          <w:kern w:val="0"/>
          <w:szCs w:val="20"/>
        </w:rPr>
        <w:t>B.12说明安全阀、BDV安装位置、规格、设计压力、整定压力等参数，封闭液体管道安全阀设置情况；</w:t>
      </w:r>
    </w:p>
    <w:p w14:paraId="593B766B">
      <w:pPr>
        <w:pStyle w:val="42"/>
        <w:numPr>
          <w:ilvl w:val="0"/>
          <w:numId w:val="19"/>
        </w:numPr>
        <w:ind w:left="0" w:firstLine="420"/>
        <w:rPr>
          <w:rFonts w:ascii="Times New Roman" w:hAnsi="Times New Roman"/>
          <w:kern w:val="0"/>
          <w:szCs w:val="20"/>
        </w:rPr>
      </w:pPr>
      <w:r>
        <w:rPr>
          <w:rFonts w:hint="eastAsia" w:ascii="Times New Roman" w:hAnsi="Times New Roman"/>
        </w:rPr>
        <w:t>管道及设备采取的防应力开裂、防凝、防冻堵、防超温、防气化、防堵塞、防泄漏等措施；</w:t>
      </w:r>
    </w:p>
    <w:bookmarkEnd w:id="161"/>
    <w:p w14:paraId="6BDE26E4">
      <w:pPr>
        <w:pStyle w:val="42"/>
        <w:numPr>
          <w:ilvl w:val="0"/>
          <w:numId w:val="19"/>
        </w:numPr>
        <w:ind w:left="0" w:firstLine="420"/>
        <w:rPr>
          <w:rFonts w:ascii="Times New Roman" w:hAnsi="Times New Roman"/>
        </w:rPr>
      </w:pPr>
      <w:bookmarkStart w:id="162" w:name="_Toc31339"/>
      <w:r>
        <w:rPr>
          <w:rFonts w:hint="eastAsia" w:ascii="Times New Roman" w:hAnsi="Times New Roman"/>
        </w:rPr>
        <w:t>含有毒介质的放空和排污，根据毒性介质的排放限制要求说明采取的毒性消减或防控措施。</w:t>
      </w:r>
    </w:p>
    <w:p w14:paraId="53F7B2BF">
      <w:pPr>
        <w:numPr>
          <w:ilvl w:val="2"/>
          <w:numId w:val="2"/>
        </w:numPr>
        <w:spacing w:before="156" w:beforeLines="50" w:after="156" w:afterLines="50"/>
        <w:ind w:left="0"/>
        <w:outlineLvl w:val="1"/>
        <w:rPr>
          <w:rFonts w:hint="eastAsia" w:ascii="黑体" w:hAnsi="黑体" w:eastAsia="黑体" w:cs="黑体"/>
        </w:rPr>
      </w:pPr>
      <w:bookmarkStart w:id="163" w:name="_Toc19256"/>
      <w:r>
        <w:rPr>
          <w:rFonts w:hint="eastAsia" w:ascii="黑体" w:hAnsi="黑体" w:eastAsia="黑体" w:cs="黑体"/>
        </w:rPr>
        <w:t>产品储运</w:t>
      </w:r>
      <w:bookmarkEnd w:id="163"/>
    </w:p>
    <w:p w14:paraId="42A13A9C">
      <w:pPr>
        <w:pStyle w:val="42"/>
        <w:ind w:firstLine="420"/>
        <w:rPr>
          <w:rFonts w:ascii="Times New Roman" w:hAnsi="Times New Roman"/>
          <w:kern w:val="0"/>
          <w:szCs w:val="20"/>
        </w:rPr>
      </w:pPr>
      <w:r>
        <w:rPr>
          <w:rFonts w:hint="eastAsia" w:ascii="Times New Roman" w:hAnsi="Times New Roman"/>
          <w:kern w:val="0"/>
          <w:szCs w:val="20"/>
        </w:rPr>
        <w:t>按照GB 50183、GB 50349、GB/T 51248等相关要求，说明天然气处理厂产品储运过程中采取的工艺安全措施，主要包括：</w:t>
      </w:r>
    </w:p>
    <w:p w14:paraId="698B95B2">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储罐温度、压力、液位检测及温度超出限定值时的报警及安全联锁调节、保护措施，对限值要求列表说明；</w:t>
      </w:r>
    </w:p>
    <w:p w14:paraId="26301F84">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非正常工况下系统采取的紧急截断、紧急停车、安全泄放等防超压措施；</w:t>
      </w:r>
    </w:p>
    <w:p w14:paraId="7A04A7DE">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按表B.12列表说明安全阀、BDV安装位置、规格、设计压力、整定压力等参数，封闭液体管道安全阀设置情况；</w:t>
      </w:r>
    </w:p>
    <w:p w14:paraId="393071E6">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储罐的类型及罐顶呼吸阀、阻火器、液压安全阀设置数量及参数；</w:t>
      </w:r>
    </w:p>
    <w:p w14:paraId="752DACFE">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顶部敞口装车的甲</w:t>
      </w:r>
      <w:r>
        <w:rPr>
          <w:rFonts w:hint="eastAsia" w:ascii="Times New Roman" w:hAnsi="Times New Roman"/>
          <w:kern w:val="0"/>
          <w:szCs w:val="20"/>
          <w:vertAlign w:val="subscript"/>
        </w:rPr>
        <w:t>B</w:t>
      </w:r>
      <w:r>
        <w:rPr>
          <w:rFonts w:hint="eastAsia" w:ascii="Times New Roman" w:hAnsi="Times New Roman"/>
          <w:kern w:val="0"/>
          <w:szCs w:val="20"/>
        </w:rPr>
        <w:t>、乙类油品采用的鹤管形式；</w:t>
      </w:r>
    </w:p>
    <w:p w14:paraId="3CB2FF1F">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管道及设备采取的防凝、防冻堵措施；</w:t>
      </w:r>
    </w:p>
    <w:p w14:paraId="0966091E">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液化烃球罐设置注水措施；</w:t>
      </w:r>
    </w:p>
    <w:p w14:paraId="0EED4398">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低温储罐、低温保冷管道防升温超压措施；</w:t>
      </w:r>
    </w:p>
    <w:p w14:paraId="54273633">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天然气凝液及液化石油气储罐排水口和切水装置采取的防冻措施；</w:t>
      </w:r>
    </w:p>
    <w:p w14:paraId="2530824B">
      <w:pPr>
        <w:pStyle w:val="42"/>
        <w:numPr>
          <w:ilvl w:val="0"/>
          <w:numId w:val="20"/>
        </w:numPr>
        <w:ind w:left="0" w:firstLine="420"/>
        <w:rPr>
          <w:rFonts w:ascii="Times New Roman" w:hAnsi="Times New Roman"/>
          <w:kern w:val="0"/>
          <w:szCs w:val="20"/>
        </w:rPr>
      </w:pPr>
      <w:r>
        <w:rPr>
          <w:rFonts w:hint="eastAsia" w:ascii="Times New Roman" w:hAnsi="Times New Roman"/>
          <w:kern w:val="0"/>
          <w:szCs w:val="20"/>
        </w:rPr>
        <w:t>低温储罐抗低温措施。</w:t>
      </w:r>
    </w:p>
    <w:p w14:paraId="2BD3DA09">
      <w:pPr>
        <w:numPr>
          <w:ilvl w:val="2"/>
          <w:numId w:val="2"/>
        </w:numPr>
        <w:spacing w:before="156" w:beforeLines="50" w:after="156" w:afterLines="50"/>
        <w:ind w:left="0"/>
        <w:outlineLvl w:val="1"/>
        <w:rPr>
          <w:rFonts w:hint="eastAsia" w:ascii="黑体" w:hAnsi="黑体" w:eastAsia="黑体" w:cs="黑体"/>
        </w:rPr>
      </w:pPr>
      <w:bookmarkStart w:id="164" w:name="_Toc4978"/>
      <w:r>
        <w:rPr>
          <w:rFonts w:hint="eastAsia" w:ascii="黑体" w:hAnsi="黑体" w:eastAsia="黑体" w:cs="黑体"/>
        </w:rPr>
        <w:t>水处理工艺</w:t>
      </w:r>
      <w:bookmarkEnd w:id="164"/>
    </w:p>
    <w:p w14:paraId="0E26E2C2">
      <w:pPr>
        <w:pStyle w:val="42"/>
        <w:ind w:firstLine="420"/>
        <w:rPr>
          <w:rFonts w:ascii="Times New Roman" w:hAnsi="Times New Roman"/>
        </w:rPr>
      </w:pPr>
      <w:r>
        <w:rPr>
          <w:rFonts w:hint="eastAsia" w:ascii="Times New Roman" w:hAnsi="Times New Roman"/>
        </w:rPr>
        <w:t>按照GB 50183、GB 50349、GB 50428等相关要求，说明水处理工艺采取的安全措施，主要包括：</w:t>
      </w:r>
    </w:p>
    <w:p w14:paraId="07C1ABE8">
      <w:pPr>
        <w:pStyle w:val="42"/>
        <w:ind w:firstLine="420"/>
        <w:rPr>
          <w:rFonts w:ascii="Times New Roman" w:hAnsi="Times New Roman"/>
        </w:rPr>
      </w:pPr>
      <w:r>
        <w:rPr>
          <w:rFonts w:hint="eastAsia" w:ascii="Times New Roman" w:hAnsi="Times New Roman"/>
        </w:rPr>
        <w:t>a）密闭流程中温度、压力检测仪表设置位置、超出限定值时联锁保护措施；</w:t>
      </w:r>
    </w:p>
    <w:p w14:paraId="2D23548D">
      <w:pPr>
        <w:pStyle w:val="42"/>
        <w:ind w:firstLine="420"/>
        <w:rPr>
          <w:rFonts w:ascii="Times New Roman" w:hAnsi="Times New Roman"/>
        </w:rPr>
      </w:pPr>
      <w:r>
        <w:rPr>
          <w:rFonts w:hint="eastAsia" w:ascii="Times New Roman" w:hAnsi="Times New Roman"/>
        </w:rPr>
        <w:t>b）处理过程中细菌腐蚀、结垢的控制措施，包括杀菌剂、阻垢剂等；</w:t>
      </w:r>
    </w:p>
    <w:p w14:paraId="646F54C1">
      <w:pPr>
        <w:pStyle w:val="42"/>
        <w:ind w:firstLine="420"/>
        <w:rPr>
          <w:rFonts w:ascii="Times New Roman" w:hAnsi="Times New Roman"/>
        </w:rPr>
      </w:pPr>
      <w:r>
        <w:rPr>
          <w:rFonts w:hint="eastAsia" w:ascii="Times New Roman" w:hAnsi="Times New Roman"/>
        </w:rPr>
        <w:t>c）有毒物质在工艺、设备和设施中采用的防毒安全设施；</w:t>
      </w:r>
    </w:p>
    <w:p w14:paraId="545AC23C">
      <w:pPr>
        <w:pStyle w:val="42"/>
        <w:ind w:firstLine="420"/>
        <w:rPr>
          <w:rFonts w:ascii="Times New Roman" w:hAnsi="Times New Roman"/>
        </w:rPr>
      </w:pPr>
      <w:r>
        <w:rPr>
          <w:rFonts w:hint="eastAsia" w:ascii="Times New Roman" w:hAnsi="Times New Roman"/>
        </w:rPr>
        <w:t>d）污油罐、除油罐及沉降罐呼吸阀、阻火器、液压安全阀设置位置及参数；</w:t>
      </w:r>
    </w:p>
    <w:p w14:paraId="3CFAC318">
      <w:pPr>
        <w:pStyle w:val="42"/>
        <w:ind w:firstLine="420"/>
        <w:rPr>
          <w:rFonts w:ascii="Times New Roman" w:hAnsi="Times New Roman"/>
        </w:rPr>
      </w:pPr>
      <w:r>
        <w:rPr>
          <w:rFonts w:hint="eastAsia" w:ascii="Times New Roman" w:hAnsi="Times New Roman"/>
        </w:rPr>
        <w:t>e）采用气体（天然气、氮气）密封的罐与大气相通的管道阻火器、水封装置、水封补水设施设置方案；当采用天然气密封且多座水罐共用一条干管调压时，应说明每座罐的支管上截断阀和阻火器的设置方案；</w:t>
      </w:r>
    </w:p>
    <w:p w14:paraId="324F36D4">
      <w:pPr>
        <w:pStyle w:val="42"/>
        <w:ind w:firstLine="420"/>
        <w:rPr>
          <w:rFonts w:ascii="Times New Roman" w:hAnsi="Times New Roman"/>
        </w:rPr>
      </w:pPr>
      <w:r>
        <w:rPr>
          <w:rFonts w:hint="eastAsia" w:ascii="Times New Roman" w:hAnsi="Times New Roman"/>
        </w:rPr>
        <w:t>f）散发有害、易燃、易爆气体的污水安全措施，包括管道布置、水封井设置、截断阀设置等。</w:t>
      </w:r>
    </w:p>
    <w:bookmarkEnd w:id="162"/>
    <w:p w14:paraId="72067FD4">
      <w:pPr>
        <w:numPr>
          <w:ilvl w:val="2"/>
          <w:numId w:val="2"/>
        </w:numPr>
        <w:spacing w:before="156" w:beforeLines="50" w:after="156" w:afterLines="50"/>
        <w:ind w:left="0"/>
        <w:outlineLvl w:val="1"/>
        <w:rPr>
          <w:rFonts w:hint="eastAsia" w:ascii="黑体" w:hAnsi="黑体" w:eastAsia="黑体" w:cs="黑体"/>
        </w:rPr>
      </w:pPr>
      <w:bookmarkStart w:id="165" w:name="_Toc8500"/>
      <w:bookmarkStart w:id="166" w:name="_Toc163575741"/>
      <w:bookmarkStart w:id="167" w:name="_Toc163057358"/>
      <w:bookmarkStart w:id="168" w:name="_Toc18507"/>
      <w:r>
        <w:rPr>
          <w:rFonts w:hint="eastAsia" w:ascii="黑体" w:hAnsi="黑体" w:eastAsia="黑体" w:cs="黑体"/>
        </w:rPr>
        <w:t>辅助生产设施</w:t>
      </w:r>
      <w:bookmarkEnd w:id="165"/>
    </w:p>
    <w:p w14:paraId="5A8B910A">
      <w:pPr>
        <w:pStyle w:val="93"/>
        <w:spacing w:before="156" w:beforeLines="50" w:after="156" w:afterLines="50"/>
        <w:rPr>
          <w:rFonts w:hint="eastAsia" w:ascii="黑体" w:hAnsi="黑体" w:eastAsia="黑体" w:cs="黑体"/>
          <w:szCs w:val="22"/>
        </w:rPr>
      </w:pPr>
      <w:bookmarkStart w:id="169" w:name="_Toc18446"/>
      <w:r>
        <w:rPr>
          <w:rFonts w:hint="eastAsia" w:ascii="黑体" w:hAnsi="黑体" w:eastAsia="黑体" w:cs="黑体"/>
        </w:rPr>
        <w:t>安全泄放系统</w:t>
      </w:r>
    </w:p>
    <w:p w14:paraId="5BB5AE95">
      <w:pPr>
        <w:pStyle w:val="42"/>
        <w:ind w:firstLine="420"/>
        <w:rPr>
          <w:rFonts w:ascii="Times New Roman" w:hAnsi="Times New Roman"/>
        </w:rPr>
      </w:pPr>
      <w:r>
        <w:rPr>
          <w:rFonts w:hint="eastAsia" w:ascii="Times New Roman" w:hAnsi="Times New Roman"/>
        </w:rPr>
        <w:t>按照</w:t>
      </w:r>
      <w:r>
        <w:rPr>
          <w:rFonts w:ascii="Times New Roman" w:hAnsi="Times New Roman"/>
        </w:rPr>
        <w:t>GB 50183、SY/T 10043</w:t>
      </w:r>
      <w:r>
        <w:rPr>
          <w:rFonts w:hint="eastAsia" w:ascii="Times New Roman" w:hAnsi="Times New Roman"/>
        </w:rPr>
        <w:t>等相关要求</w:t>
      </w:r>
      <w:r>
        <w:rPr>
          <w:rFonts w:ascii="Times New Roman" w:hAnsi="Times New Roman"/>
        </w:rPr>
        <w:t>，说明安全泄放系统采取的措施，主要包括：</w:t>
      </w:r>
    </w:p>
    <w:p w14:paraId="533FC3D8">
      <w:pPr>
        <w:pStyle w:val="42"/>
        <w:numPr>
          <w:ilvl w:val="0"/>
          <w:numId w:val="21"/>
        </w:numPr>
        <w:adjustRightInd w:val="0"/>
        <w:ind w:left="0" w:firstLine="357" w:firstLineChars="0"/>
        <w:rPr>
          <w:rFonts w:ascii="Times New Roman" w:hAnsi="Times New Roman"/>
        </w:rPr>
      </w:pPr>
      <w:r>
        <w:rPr>
          <w:rFonts w:ascii="Times New Roman" w:hAnsi="Times New Roman"/>
        </w:rPr>
        <w:t>放空管或放空火炬的设计放空量、直径、高度；</w:t>
      </w:r>
    </w:p>
    <w:p w14:paraId="2C868EF5">
      <w:pPr>
        <w:pStyle w:val="42"/>
        <w:numPr>
          <w:ilvl w:val="0"/>
          <w:numId w:val="21"/>
        </w:numPr>
        <w:adjustRightInd w:val="0"/>
        <w:ind w:left="0" w:firstLine="357" w:firstLineChars="0"/>
        <w:rPr>
          <w:rFonts w:ascii="Times New Roman" w:hAnsi="Times New Roman"/>
        </w:rPr>
      </w:pPr>
      <w:r>
        <w:rPr>
          <w:rFonts w:ascii="Times New Roman" w:hAnsi="Times New Roman"/>
        </w:rPr>
        <w:t>放空管网管径、马赫数；</w:t>
      </w:r>
    </w:p>
    <w:p w14:paraId="212B1BFA">
      <w:pPr>
        <w:pStyle w:val="42"/>
        <w:numPr>
          <w:ilvl w:val="0"/>
          <w:numId w:val="21"/>
        </w:numPr>
        <w:adjustRightInd w:val="0"/>
        <w:ind w:left="0" w:firstLine="357" w:firstLineChars="0"/>
        <w:rPr>
          <w:rFonts w:ascii="Times New Roman" w:hAnsi="Times New Roman"/>
        </w:rPr>
      </w:pPr>
      <w:r>
        <w:rPr>
          <w:rFonts w:ascii="Times New Roman" w:hAnsi="Times New Roman"/>
        </w:rPr>
        <w:t>放空火炬热辐射强度、干气密封、气体吹扫、防止回火措施；</w:t>
      </w:r>
    </w:p>
    <w:p w14:paraId="5A5E541B">
      <w:pPr>
        <w:pStyle w:val="42"/>
        <w:numPr>
          <w:ilvl w:val="0"/>
          <w:numId w:val="21"/>
        </w:numPr>
        <w:adjustRightInd w:val="0"/>
        <w:ind w:left="0" w:firstLine="357" w:firstLineChars="0"/>
        <w:rPr>
          <w:rFonts w:ascii="Times New Roman" w:hAnsi="Times New Roman"/>
        </w:rPr>
      </w:pPr>
      <w:r>
        <w:rPr>
          <w:rFonts w:ascii="Times New Roman" w:hAnsi="Times New Roman"/>
        </w:rPr>
        <w:t>不同设计压力放空管道的压力界面；</w:t>
      </w:r>
    </w:p>
    <w:p w14:paraId="470E6157">
      <w:pPr>
        <w:pStyle w:val="42"/>
        <w:numPr>
          <w:ilvl w:val="0"/>
          <w:numId w:val="21"/>
        </w:numPr>
        <w:adjustRightInd w:val="0"/>
        <w:ind w:left="0" w:firstLine="357" w:firstLineChars="0"/>
        <w:rPr>
          <w:rFonts w:ascii="Times New Roman" w:hAnsi="Times New Roman"/>
        </w:rPr>
      </w:pPr>
      <w:r>
        <w:rPr>
          <w:rFonts w:ascii="Times New Roman" w:hAnsi="Times New Roman"/>
        </w:rPr>
        <w:t>放空分液罐、限流孔板、阻火器、爆破片的安装位置、规格、设计压力等参数。</w:t>
      </w:r>
    </w:p>
    <w:p w14:paraId="3D20F69B">
      <w:pPr>
        <w:pStyle w:val="93"/>
        <w:spacing w:before="156" w:beforeLines="50" w:after="156" w:afterLines="50"/>
        <w:rPr>
          <w:rFonts w:hint="eastAsia" w:ascii="黑体" w:hAnsi="黑体" w:eastAsia="黑体" w:cs="黑体"/>
        </w:rPr>
      </w:pPr>
      <w:r>
        <w:rPr>
          <w:rFonts w:hint="eastAsia" w:ascii="黑体" w:hAnsi="黑体" w:eastAsia="黑体" w:cs="黑体"/>
        </w:rPr>
        <w:t>空氮系统</w:t>
      </w:r>
    </w:p>
    <w:p w14:paraId="2DE67711">
      <w:pPr>
        <w:pStyle w:val="42"/>
        <w:adjustRightInd w:val="0"/>
        <w:snapToGrid w:val="0"/>
        <w:ind w:left="420" w:leftChars="200" w:firstLine="0" w:firstLineChars="0"/>
        <w:rPr>
          <w:rFonts w:ascii="Times New Roman" w:hAnsi="Times New Roman"/>
        </w:rPr>
      </w:pPr>
      <w:r>
        <w:rPr>
          <w:rFonts w:hint="eastAsia" w:ascii="Times New Roman" w:hAnsi="Times New Roman"/>
        </w:rPr>
        <w:t>按照</w:t>
      </w:r>
      <w:r>
        <w:rPr>
          <w:rFonts w:ascii="Times New Roman" w:hAnsi="Times New Roman"/>
        </w:rPr>
        <w:t>GB 50029、SY/T 7474</w:t>
      </w:r>
      <w:r>
        <w:rPr>
          <w:rFonts w:hint="eastAsia" w:ascii="Times New Roman" w:hAnsi="Times New Roman"/>
        </w:rPr>
        <w:t>等相关要求</w:t>
      </w:r>
      <w:r>
        <w:rPr>
          <w:rFonts w:ascii="Times New Roman" w:hAnsi="Times New Roman"/>
        </w:rPr>
        <w:t>，说明空氮系统采取的措施，主要包括：</w:t>
      </w:r>
    </w:p>
    <w:p w14:paraId="146A489B">
      <w:pPr>
        <w:pStyle w:val="42"/>
        <w:numPr>
          <w:ilvl w:val="0"/>
          <w:numId w:val="22"/>
        </w:numPr>
        <w:adjustRightInd w:val="0"/>
        <w:ind w:left="0" w:firstLine="357" w:firstLineChars="0"/>
        <w:rPr>
          <w:rFonts w:ascii="Times New Roman" w:hAnsi="Times New Roman"/>
        </w:rPr>
      </w:pPr>
      <w:r>
        <w:rPr>
          <w:rFonts w:ascii="Times New Roman" w:hAnsi="Times New Roman"/>
        </w:rPr>
        <w:t>空气、氮气站净化空气、非净化空气、氮气的生产规模、气质条件、供气压力；</w:t>
      </w:r>
    </w:p>
    <w:p w14:paraId="4F40D5ED">
      <w:pPr>
        <w:pStyle w:val="42"/>
        <w:numPr>
          <w:ilvl w:val="0"/>
          <w:numId w:val="22"/>
        </w:numPr>
        <w:adjustRightInd w:val="0"/>
        <w:ind w:left="0" w:firstLine="357" w:firstLineChars="0"/>
        <w:rPr>
          <w:rFonts w:ascii="Times New Roman" w:hAnsi="Times New Roman"/>
        </w:rPr>
      </w:pPr>
      <w:r>
        <w:rPr>
          <w:rFonts w:ascii="Times New Roman" w:hAnsi="Times New Roman"/>
        </w:rPr>
        <w:t>泄压保护设施；</w:t>
      </w:r>
    </w:p>
    <w:p w14:paraId="5755C753">
      <w:pPr>
        <w:pStyle w:val="42"/>
        <w:numPr>
          <w:ilvl w:val="0"/>
          <w:numId w:val="22"/>
        </w:numPr>
        <w:adjustRightInd w:val="0"/>
        <w:ind w:left="0" w:firstLine="357" w:firstLineChars="0"/>
        <w:rPr>
          <w:rFonts w:ascii="Times New Roman" w:hAnsi="Times New Roman"/>
        </w:rPr>
      </w:pPr>
      <w:r>
        <w:rPr>
          <w:rFonts w:ascii="Times New Roman" w:hAnsi="Times New Roman"/>
        </w:rPr>
        <w:t>仪表用净化空气储罐维持时间。</w:t>
      </w:r>
    </w:p>
    <w:p w14:paraId="766DEDB1">
      <w:pPr>
        <w:pStyle w:val="93"/>
        <w:spacing w:before="156" w:beforeLines="50" w:after="156" w:afterLines="50"/>
        <w:rPr>
          <w:rFonts w:hint="eastAsia" w:ascii="黑体" w:hAnsi="黑体" w:eastAsia="黑体" w:cs="黑体"/>
        </w:rPr>
      </w:pPr>
      <w:r>
        <w:rPr>
          <w:rFonts w:hint="eastAsia" w:ascii="黑体" w:hAnsi="黑体" w:eastAsia="黑体" w:cs="黑体"/>
        </w:rPr>
        <w:t>燃料气系统</w:t>
      </w:r>
    </w:p>
    <w:p w14:paraId="1EDEAF9F">
      <w:pPr>
        <w:pStyle w:val="42"/>
        <w:adjustRightInd w:val="0"/>
        <w:snapToGrid w:val="0"/>
        <w:ind w:left="420" w:leftChars="200" w:firstLine="0" w:firstLineChars="0"/>
        <w:rPr>
          <w:rFonts w:ascii="Times New Roman" w:hAnsi="Times New Roman"/>
        </w:rPr>
      </w:pPr>
      <w:r>
        <w:rPr>
          <w:rFonts w:ascii="Times New Roman" w:hAnsi="Times New Roman"/>
        </w:rPr>
        <w:t>说明燃料气系统采取的措施，主要包括：</w:t>
      </w:r>
    </w:p>
    <w:p w14:paraId="3C1683C5">
      <w:pPr>
        <w:pStyle w:val="42"/>
        <w:adjustRightInd w:val="0"/>
        <w:snapToGrid w:val="0"/>
        <w:ind w:left="420" w:leftChars="200" w:firstLine="0" w:firstLineChars="0"/>
        <w:rPr>
          <w:rFonts w:ascii="Times New Roman" w:hAnsi="Times New Roman"/>
        </w:rPr>
      </w:pPr>
      <w:r>
        <w:rPr>
          <w:rFonts w:ascii="Times New Roman" w:hAnsi="Times New Roman"/>
        </w:rPr>
        <w:t>a）燃料气用量，正常生产及开、停工燃料气来源、供气压力；</w:t>
      </w:r>
    </w:p>
    <w:p w14:paraId="3F7470CB">
      <w:pPr>
        <w:pStyle w:val="42"/>
        <w:adjustRightInd w:val="0"/>
        <w:snapToGrid w:val="0"/>
        <w:ind w:left="420" w:leftChars="200" w:firstLine="0" w:firstLineChars="0"/>
        <w:rPr>
          <w:rFonts w:ascii="Times New Roman" w:hAnsi="Times New Roman"/>
        </w:rPr>
      </w:pPr>
      <w:r>
        <w:rPr>
          <w:rFonts w:ascii="Times New Roman" w:hAnsi="Times New Roman"/>
        </w:rPr>
        <w:t>b）防止燃料气超压措施。</w:t>
      </w:r>
    </w:p>
    <w:p w14:paraId="75E5BD39">
      <w:pPr>
        <w:numPr>
          <w:ilvl w:val="2"/>
          <w:numId w:val="2"/>
        </w:numPr>
        <w:spacing w:before="156" w:beforeLines="50" w:after="156" w:afterLines="50"/>
        <w:ind w:left="0"/>
        <w:outlineLvl w:val="1"/>
        <w:rPr>
          <w:rFonts w:hint="eastAsia" w:ascii="黑体" w:hAnsi="黑体" w:eastAsia="黑体" w:cs="黑体"/>
          <w:szCs w:val="21"/>
        </w:rPr>
      </w:pPr>
      <w:bookmarkStart w:id="170" w:name="_Toc4146"/>
      <w:bookmarkStart w:id="171" w:name="_Toc32648"/>
      <w:r>
        <w:rPr>
          <w:rFonts w:hint="eastAsia" w:ascii="黑体" w:hAnsi="黑体" w:eastAsia="黑体" w:cs="黑体"/>
          <w:szCs w:val="21"/>
        </w:rPr>
        <w:t>材质选择</w:t>
      </w:r>
      <w:bookmarkEnd w:id="170"/>
      <w:bookmarkEnd w:id="171"/>
    </w:p>
    <w:p w14:paraId="0407C992">
      <w:pPr>
        <w:widowControl/>
        <w:ind w:firstLine="420" w:firstLineChars="200"/>
        <w:jc w:val="left"/>
        <w:rPr>
          <w:rFonts w:ascii="Times New Roman" w:hAnsi="Times New Roman" w:eastAsia="宋体" w:cs="Times New Roman"/>
        </w:rPr>
      </w:pPr>
      <w:r>
        <w:rPr>
          <w:rFonts w:hint="eastAsia" w:ascii="Times New Roman" w:hAnsi="Times New Roman" w:eastAsia="宋体" w:cs="Times New Roman"/>
          <w:kern w:val="0"/>
          <w:szCs w:val="21"/>
          <w:lang w:bidi="ar"/>
        </w:rPr>
        <w:t>按照</w:t>
      </w:r>
      <w:r>
        <w:rPr>
          <w:rFonts w:ascii="Times New Roman" w:hAnsi="Times New Roman" w:eastAsia="宋体" w:cs="Times New Roman"/>
          <w:kern w:val="0"/>
          <w:szCs w:val="21"/>
          <w:lang w:bidi="ar"/>
        </w:rPr>
        <w:t>GB/T 150</w:t>
      </w:r>
      <w:r>
        <w:rPr>
          <w:rFonts w:ascii="Times New Roman" w:hAnsi="Times New Roman" w:eastAsia="宋体" w:cs="Times New Roman"/>
          <w:szCs w:val="22"/>
        </w:rPr>
        <w:t>、</w:t>
      </w:r>
      <w:r>
        <w:rPr>
          <w:rFonts w:ascii="Times New Roman" w:hAnsi="Times New Roman" w:eastAsia="宋体" w:cs="Times New Roman"/>
          <w:kern w:val="0"/>
          <w:szCs w:val="21"/>
          <w:lang w:bidi="ar"/>
        </w:rPr>
        <w:t>GB/T 51257、</w:t>
      </w:r>
      <w:r>
        <w:rPr>
          <w:rFonts w:ascii="Times New Roman" w:hAnsi="Times New Roman" w:eastAsia="宋体" w:cs="Times New Roman"/>
          <w:szCs w:val="22"/>
        </w:rPr>
        <w:t>SY/T 0599、</w:t>
      </w:r>
      <w:r>
        <w:rPr>
          <w:rFonts w:ascii="Times New Roman" w:hAnsi="Times New Roman" w:eastAsia="宋体" w:cs="Times New Roman"/>
          <w:kern w:val="0"/>
          <w:szCs w:val="21"/>
          <w:lang w:bidi="ar"/>
        </w:rPr>
        <w:t>TSG 21</w:t>
      </w:r>
      <w:r>
        <w:rPr>
          <w:rFonts w:hint="eastAsia" w:ascii="Times New Roman" w:hAnsi="Times New Roman" w:eastAsia="宋体" w:cs="Times New Roman"/>
          <w:szCs w:val="22"/>
        </w:rPr>
        <w:t>等相关要求</w:t>
      </w:r>
      <w:r>
        <w:rPr>
          <w:rFonts w:ascii="Times New Roman" w:hAnsi="Times New Roman" w:eastAsia="宋体" w:cs="Times New Roman"/>
          <w:szCs w:val="22"/>
        </w:rPr>
        <w:t>，说明工艺设备</w:t>
      </w:r>
      <w:r>
        <w:rPr>
          <w:rFonts w:hint="eastAsia" w:ascii="Times New Roman" w:hAnsi="Times New Roman" w:eastAsia="宋体" w:cs="Times New Roman"/>
          <w:szCs w:val="22"/>
        </w:rPr>
        <w:t>材质、管道材质的选择依据</w:t>
      </w:r>
      <w:r>
        <w:rPr>
          <w:rFonts w:ascii="Times New Roman" w:hAnsi="Times New Roman" w:eastAsia="宋体" w:cs="Times New Roman"/>
          <w:szCs w:val="22"/>
        </w:rPr>
        <w:t>，主要包括：</w:t>
      </w:r>
    </w:p>
    <w:p w14:paraId="1459DDE5">
      <w:pPr>
        <w:pStyle w:val="42"/>
        <w:numPr>
          <w:ilvl w:val="0"/>
          <w:numId w:val="23"/>
        </w:numPr>
        <w:adjustRightInd w:val="0"/>
        <w:snapToGrid w:val="0"/>
        <w:ind w:left="0" w:firstLine="420"/>
        <w:rPr>
          <w:rFonts w:ascii="Times New Roman" w:hAnsi="Times New Roman"/>
        </w:rPr>
      </w:pPr>
      <w:r>
        <w:rPr>
          <w:rFonts w:ascii="Times New Roman" w:hAnsi="Times New Roman"/>
        </w:rPr>
        <w:t>结合介质、工况说明主要工艺设备、阀门的材质和选择依据；</w:t>
      </w:r>
    </w:p>
    <w:p w14:paraId="7EE315EA">
      <w:pPr>
        <w:pStyle w:val="42"/>
        <w:numPr>
          <w:ilvl w:val="0"/>
          <w:numId w:val="23"/>
        </w:numPr>
        <w:adjustRightInd w:val="0"/>
        <w:snapToGrid w:val="0"/>
        <w:ind w:left="0" w:firstLine="420"/>
        <w:rPr>
          <w:rFonts w:ascii="Times New Roman" w:hAnsi="Times New Roman"/>
        </w:rPr>
      </w:pPr>
      <w:r>
        <w:rPr>
          <w:rFonts w:ascii="Times New Roman" w:hAnsi="Times New Roman"/>
        </w:rPr>
        <w:t>结合介质、工况说明管道的材质和选择依据；</w:t>
      </w:r>
    </w:p>
    <w:p w14:paraId="2FCF908E">
      <w:pPr>
        <w:pStyle w:val="42"/>
        <w:numPr>
          <w:ilvl w:val="0"/>
          <w:numId w:val="23"/>
        </w:numPr>
        <w:adjustRightInd w:val="0"/>
        <w:snapToGrid w:val="0"/>
        <w:ind w:left="0" w:firstLine="420"/>
        <w:rPr>
          <w:rFonts w:ascii="Times New Roman" w:hAnsi="Times New Roman"/>
        </w:rPr>
      </w:pPr>
      <w:r>
        <w:rPr>
          <w:rFonts w:ascii="Times New Roman" w:hAnsi="Times New Roman"/>
        </w:rPr>
        <w:t>说明主要工艺介质接触的仪表设备、材料的材质和选择依据。</w:t>
      </w:r>
    </w:p>
    <w:p w14:paraId="5B63D46A">
      <w:pPr>
        <w:numPr>
          <w:ilvl w:val="2"/>
          <w:numId w:val="2"/>
        </w:numPr>
        <w:spacing w:before="156" w:beforeLines="50" w:after="156" w:afterLines="50"/>
        <w:ind w:left="0"/>
        <w:outlineLvl w:val="1"/>
        <w:rPr>
          <w:rFonts w:ascii="Times New Roman" w:hAnsi="Times New Roman" w:eastAsia="黑体" w:cs="Times New Roman"/>
          <w:szCs w:val="21"/>
        </w:rPr>
      </w:pPr>
      <w:bookmarkStart w:id="172" w:name="_Toc7645"/>
      <w:bookmarkStart w:id="173" w:name="_Toc23791"/>
      <w:r>
        <w:rPr>
          <w:rFonts w:ascii="Times New Roman" w:hAnsi="Times New Roman" w:eastAsia="黑体" w:cs="Times New Roman"/>
          <w:szCs w:val="21"/>
        </w:rPr>
        <w:t>HAZOP落实情况</w:t>
      </w:r>
      <w:bookmarkEnd w:id="172"/>
      <w:bookmarkEnd w:id="173"/>
    </w:p>
    <w:p w14:paraId="04A5A691">
      <w:pPr>
        <w:pStyle w:val="42"/>
        <w:adjustRightInd w:val="0"/>
        <w:snapToGrid w:val="0"/>
        <w:spacing w:line="276" w:lineRule="auto"/>
        <w:ind w:left="420" w:leftChars="200" w:firstLine="0" w:firstLineChars="0"/>
        <w:rPr>
          <w:rFonts w:ascii="Times New Roman" w:hAnsi="Times New Roman"/>
        </w:rPr>
      </w:pPr>
      <w:r>
        <w:rPr>
          <w:rFonts w:ascii="Times New Roman" w:hAnsi="Times New Roman"/>
        </w:rPr>
        <w:t>按表</w:t>
      </w:r>
      <w:r>
        <w:rPr>
          <w:rFonts w:hint="eastAsia" w:ascii="Times New Roman" w:hAnsi="Times New Roman"/>
        </w:rPr>
        <w:t>B.</w:t>
      </w:r>
      <w:r>
        <w:rPr>
          <w:rFonts w:ascii="Times New Roman" w:hAnsi="Times New Roman"/>
        </w:rPr>
        <w:t>1</w:t>
      </w:r>
      <w:r>
        <w:rPr>
          <w:rFonts w:hint="eastAsia" w:ascii="Times New Roman" w:hAnsi="Times New Roman"/>
        </w:rPr>
        <w:t>3</w:t>
      </w:r>
      <w:r>
        <w:rPr>
          <w:rFonts w:ascii="Times New Roman" w:hAnsi="Times New Roman"/>
        </w:rPr>
        <w:t>列表说明HAZOP及其他危险性评估报告建议措施落实情况。</w:t>
      </w:r>
    </w:p>
    <w:bookmarkEnd w:id="166"/>
    <w:bookmarkEnd w:id="167"/>
    <w:bookmarkEnd w:id="168"/>
    <w:bookmarkEnd w:id="169"/>
    <w:p w14:paraId="64BA9907">
      <w:pPr>
        <w:widowControl/>
        <w:numPr>
          <w:ilvl w:val="1"/>
          <w:numId w:val="2"/>
        </w:numPr>
        <w:spacing w:before="312" w:beforeLines="100" w:after="312" w:afterLines="100"/>
        <w:outlineLvl w:val="0"/>
        <w:rPr>
          <w:rFonts w:hint="eastAsia" w:ascii="黑体" w:hAnsi="黑体" w:eastAsia="黑体" w:cs="黑体"/>
        </w:rPr>
      </w:pPr>
      <w:bookmarkStart w:id="174" w:name="_Toc28164"/>
      <w:bookmarkStart w:id="175" w:name="_Toc163057360"/>
      <w:bookmarkStart w:id="176" w:name="_Toc163575743"/>
      <w:r>
        <w:rPr>
          <w:rFonts w:hint="eastAsia" w:ascii="黑体" w:hAnsi="黑体" w:eastAsia="黑体" w:cs="黑体"/>
        </w:rPr>
        <w:t>自控安全措施</w:t>
      </w:r>
      <w:bookmarkEnd w:id="174"/>
    </w:p>
    <w:p w14:paraId="3BB923E8">
      <w:pPr>
        <w:numPr>
          <w:ilvl w:val="2"/>
          <w:numId w:val="2"/>
        </w:numPr>
        <w:spacing w:before="156" w:beforeLines="50" w:after="156" w:afterLines="50"/>
        <w:ind w:left="0"/>
        <w:outlineLvl w:val="1"/>
        <w:rPr>
          <w:rFonts w:hint="eastAsia" w:ascii="黑体" w:hAnsi="黑体" w:eastAsia="黑体" w:cs="黑体"/>
          <w:color w:val="000000"/>
        </w:rPr>
      </w:pPr>
      <w:bookmarkStart w:id="177" w:name="_Toc18326"/>
      <w:bookmarkStart w:id="178" w:name="_Toc17252"/>
      <w:bookmarkStart w:id="179" w:name="_Toc13507"/>
      <w:bookmarkStart w:id="180" w:name="_Toc21795"/>
      <w:bookmarkStart w:id="181" w:name="_Toc27818"/>
      <w:bookmarkStart w:id="182" w:name="_Toc31247"/>
      <w:bookmarkStart w:id="183" w:name="_Toc25359"/>
      <w:r>
        <w:rPr>
          <w:rFonts w:ascii="Times New Roman" w:hAnsi="Times New Roman" w:eastAsia="黑体" w:cs="Times New Roman"/>
        </w:rPr>
        <w:t>SCADA系统和基本</w:t>
      </w:r>
      <w:r>
        <w:rPr>
          <w:rFonts w:ascii="Times New Roman" w:hAnsi="Times New Roman" w:eastAsia="黑体" w:cs="Times New Roman"/>
          <w:szCs w:val="22"/>
        </w:rPr>
        <w:t>过程控制系统</w:t>
      </w:r>
      <w:bookmarkEnd w:id="177"/>
      <w:bookmarkEnd w:id="178"/>
    </w:p>
    <w:p w14:paraId="16168AA2">
      <w:pPr>
        <w:pStyle w:val="42"/>
        <w:spacing w:before="120" w:after="120" w:line="276" w:lineRule="auto"/>
        <w:ind w:firstLine="420" w:firstLineChars="0"/>
        <w:rPr>
          <w:rFonts w:ascii="Times New Roman"/>
        </w:rPr>
      </w:pPr>
      <w:r>
        <w:rPr>
          <w:rFonts w:hint="eastAsia" w:ascii="Times New Roman"/>
        </w:rPr>
        <w:t>按照</w:t>
      </w:r>
      <w:r>
        <w:rPr>
          <w:rFonts w:ascii="Times New Roman"/>
        </w:rPr>
        <w:t>SY/T 7628</w:t>
      </w:r>
      <w:r>
        <w:rPr>
          <w:rFonts w:hint="eastAsia" w:ascii="Times New Roman"/>
        </w:rPr>
        <w:t>、</w:t>
      </w:r>
      <w:r>
        <w:rPr>
          <w:rFonts w:ascii="Times New Roman"/>
        </w:rPr>
        <w:t>SY/T 7700</w:t>
      </w:r>
      <w:r>
        <w:rPr>
          <w:rFonts w:hint="eastAsia" w:ascii="Times New Roman"/>
        </w:rPr>
        <w:t>等相关要求设置</w:t>
      </w:r>
      <w:r>
        <w:rPr>
          <w:rFonts w:ascii="Times New Roman"/>
        </w:rPr>
        <w:t>SCADA</w:t>
      </w:r>
      <w:r>
        <w:rPr>
          <w:rFonts w:hint="eastAsia" w:ascii="Times New Roman"/>
        </w:rPr>
        <w:t>系统</w:t>
      </w:r>
      <w:r>
        <w:rPr>
          <w:rFonts w:hint="eastAsia" w:ascii="Times New Roman" w:hAnsi="Times New Roman"/>
        </w:rPr>
        <w:t>和基本</w:t>
      </w:r>
      <w:r>
        <w:rPr>
          <w:rFonts w:hint="eastAsia" w:asciiTheme="minorEastAsia" w:hAnsiTheme="minorEastAsia" w:eastAsiaTheme="minorEastAsia"/>
        </w:rPr>
        <w:t>过程控制</w:t>
      </w:r>
      <w:r>
        <w:rPr>
          <w:rFonts w:hint="eastAsia" w:ascii="Times New Roman"/>
        </w:rPr>
        <w:t>系统，说明</w:t>
      </w:r>
      <w:r>
        <w:rPr>
          <w:rFonts w:ascii="Times New Roman"/>
        </w:rPr>
        <w:t>SCADA</w:t>
      </w:r>
      <w:r>
        <w:rPr>
          <w:rFonts w:hint="eastAsia" w:ascii="Times New Roman"/>
        </w:rPr>
        <w:t>系统及基本过程控制系统的系统结构、报警及联锁保护功能，系统间的网络安全防护功能及设置，通信中断处理方法。附</w:t>
      </w:r>
      <w:r>
        <w:rPr>
          <w:rFonts w:ascii="Times New Roman"/>
        </w:rPr>
        <w:t>SCADA</w:t>
      </w:r>
      <w:r>
        <w:rPr>
          <w:rFonts w:hint="eastAsia" w:ascii="Times New Roman"/>
        </w:rPr>
        <w:t>系统及基本过程控制系统结构图。</w:t>
      </w:r>
    </w:p>
    <w:p w14:paraId="4164CAB3">
      <w:pPr>
        <w:numPr>
          <w:ilvl w:val="2"/>
          <w:numId w:val="2"/>
        </w:numPr>
        <w:spacing w:before="156" w:beforeLines="50" w:after="156" w:afterLines="50"/>
        <w:ind w:left="0"/>
        <w:outlineLvl w:val="1"/>
        <w:rPr>
          <w:rFonts w:hint="eastAsia" w:ascii="黑体" w:hAnsi="黑体" w:eastAsia="黑体" w:cs="黑体"/>
          <w:color w:val="000000"/>
        </w:rPr>
      </w:pPr>
      <w:bookmarkStart w:id="184" w:name="_Toc14943"/>
      <w:bookmarkStart w:id="185" w:name="_Toc12160"/>
      <w:r>
        <w:rPr>
          <w:rFonts w:hint="eastAsia" w:ascii="黑体" w:hAnsi="黑体" w:eastAsia="黑体" w:cs="黑体"/>
          <w:color w:val="000000"/>
        </w:rPr>
        <w:t>安全仪表系统</w:t>
      </w:r>
      <w:bookmarkEnd w:id="184"/>
      <w:bookmarkEnd w:id="185"/>
    </w:p>
    <w:p w14:paraId="7FF0F5E6">
      <w:pPr>
        <w:ind w:firstLine="410"/>
        <w:rPr>
          <w:rFonts w:ascii="Times New Roman" w:hAnsi="Times New Roman" w:eastAsia="宋体" w:cs="Times New Roman"/>
          <w:bCs/>
          <w:szCs w:val="32"/>
        </w:rPr>
      </w:pPr>
      <w:r>
        <w:rPr>
          <w:rFonts w:hint="eastAsia" w:ascii="Times New Roman" w:hAnsi="Times New Roman"/>
        </w:rPr>
        <w:t>按照</w:t>
      </w:r>
      <w:r>
        <w:rPr>
          <w:rFonts w:ascii="Times New Roman" w:hAnsi="Times New Roman"/>
        </w:rPr>
        <w:t>GB/T</w:t>
      </w:r>
      <w:r>
        <w:rPr>
          <w:rFonts w:hint="eastAsia" w:ascii="Times New Roman" w:hAnsi="Times New Roman"/>
        </w:rPr>
        <w:t xml:space="preserve"> </w:t>
      </w:r>
      <w:r>
        <w:rPr>
          <w:rFonts w:ascii="Times New Roman" w:hAnsi="Times New Roman"/>
        </w:rPr>
        <w:t>21109</w:t>
      </w:r>
      <w:r>
        <w:rPr>
          <w:rFonts w:hint="eastAsia" w:asciiTheme="minorEastAsia" w:hAnsiTheme="minorEastAsia"/>
        </w:rPr>
        <w:t>、</w:t>
      </w:r>
      <w:r>
        <w:rPr>
          <w:rFonts w:ascii="Times New Roman" w:hAnsi="Times New Roman" w:eastAsia="宋体" w:cs="Times New Roman"/>
          <w:bCs/>
          <w:szCs w:val="32"/>
        </w:rPr>
        <w:t xml:space="preserve">SY/T </w:t>
      </w:r>
      <w:r>
        <w:rPr>
          <w:rFonts w:hint="eastAsia" w:ascii="Times New Roman" w:hAnsi="Times New Roman" w:eastAsia="宋体" w:cs="Times New Roman"/>
          <w:bCs/>
          <w:szCs w:val="32"/>
        </w:rPr>
        <w:t>7351、</w:t>
      </w:r>
      <w:r>
        <w:rPr>
          <w:rFonts w:ascii="Times New Roman"/>
        </w:rPr>
        <w:t>SY/T 7628</w:t>
      </w:r>
      <w:r>
        <w:rPr>
          <w:rFonts w:hint="eastAsia" w:ascii="Times New Roman" w:hAnsi="Times New Roman" w:eastAsia="宋体" w:cs="Times New Roman"/>
          <w:bCs/>
          <w:szCs w:val="32"/>
        </w:rPr>
        <w:t>等相关要求，说明</w:t>
      </w:r>
      <w:r>
        <w:rPr>
          <w:rFonts w:ascii="Times New Roman" w:hAnsi="Times New Roman" w:eastAsia="宋体" w:cs="Times New Roman"/>
          <w:bCs/>
          <w:szCs w:val="32"/>
        </w:rPr>
        <w:t>安全仪表系统</w:t>
      </w:r>
      <w:r>
        <w:rPr>
          <w:rFonts w:hint="eastAsia" w:ascii="Times New Roman" w:hAnsi="Times New Roman" w:eastAsia="宋体" w:cs="Times New Roman"/>
          <w:bCs/>
          <w:szCs w:val="32"/>
        </w:rPr>
        <w:t>设置情况，主要包括：</w:t>
      </w:r>
    </w:p>
    <w:p w14:paraId="244618C3">
      <w:pPr>
        <w:ind w:firstLine="410"/>
        <w:rPr>
          <w:rFonts w:ascii="Times New Roman" w:hAnsi="Times New Roman" w:eastAsia="宋体" w:cs="Times New Roman"/>
          <w:bCs/>
          <w:szCs w:val="32"/>
        </w:rPr>
      </w:pPr>
      <w:r>
        <w:rPr>
          <w:rFonts w:ascii="Times New Roman" w:hAnsi="Times New Roman" w:eastAsia="宋体" w:cs="Times New Roman"/>
          <w:bCs/>
          <w:szCs w:val="32"/>
        </w:rPr>
        <w:t>a）安全仪表系统的结构、配置、功能、设备选型原则及</w:t>
      </w:r>
      <w:r>
        <w:rPr>
          <w:rFonts w:hint="eastAsia" w:ascii="Times New Roman" w:hAnsi="Times New Roman" w:eastAsia="宋体" w:cs="Times New Roman"/>
          <w:bCs/>
          <w:szCs w:val="32"/>
        </w:rPr>
        <w:t>安全完整性等级（</w:t>
      </w:r>
      <w:r>
        <w:rPr>
          <w:rFonts w:ascii="Times New Roman" w:hAnsi="Times New Roman" w:eastAsia="宋体" w:cs="Times New Roman"/>
          <w:bCs/>
          <w:szCs w:val="32"/>
        </w:rPr>
        <w:t>SIL</w:t>
      </w:r>
      <w:r>
        <w:rPr>
          <w:rFonts w:hint="eastAsia" w:ascii="Times New Roman" w:hAnsi="Times New Roman" w:eastAsia="宋体" w:cs="Times New Roman"/>
          <w:bCs/>
          <w:szCs w:val="32"/>
        </w:rPr>
        <w:t>）</w:t>
      </w:r>
      <w:r>
        <w:rPr>
          <w:rFonts w:ascii="Times New Roman" w:hAnsi="Times New Roman" w:eastAsia="宋体" w:cs="Times New Roman"/>
          <w:bCs/>
          <w:szCs w:val="32"/>
        </w:rPr>
        <w:t>，</w:t>
      </w:r>
      <w:r>
        <w:rPr>
          <w:rFonts w:ascii="Times New Roman" w:hAnsi="Times New Roman" w:eastAsia="宋体" w:cs="Times New Roman"/>
        </w:rPr>
        <w:t>附安全仪表系统结构图和因果表（图）</w:t>
      </w:r>
      <w:r>
        <w:rPr>
          <w:rFonts w:ascii="Times New Roman" w:hAnsi="Times New Roman" w:eastAsia="宋体" w:cs="Times New Roman"/>
          <w:bCs/>
          <w:szCs w:val="32"/>
        </w:rPr>
        <w:t>；</w:t>
      </w:r>
    </w:p>
    <w:p w14:paraId="65C05AD9">
      <w:pPr>
        <w:pStyle w:val="42"/>
        <w:ind w:firstLine="420"/>
        <w:rPr>
          <w:rFonts w:ascii="Times New Roman" w:hAnsi="Times New Roman"/>
        </w:rPr>
      </w:pPr>
      <w:r>
        <w:rPr>
          <w:rFonts w:ascii="Times New Roman" w:hAnsi="Times New Roman"/>
          <w:bCs/>
          <w:szCs w:val="32"/>
        </w:rPr>
        <w:t>b）按表</w:t>
      </w:r>
      <w:r>
        <w:rPr>
          <w:rFonts w:hint="eastAsia" w:ascii="Times New Roman" w:hAnsi="Times New Roman"/>
          <w:bCs/>
          <w:szCs w:val="32"/>
        </w:rPr>
        <w:t>B.</w:t>
      </w:r>
      <w:r>
        <w:rPr>
          <w:rFonts w:ascii="Times New Roman" w:hAnsi="Times New Roman"/>
          <w:bCs/>
          <w:szCs w:val="32"/>
        </w:rPr>
        <w:t>14</w:t>
      </w:r>
      <w:r>
        <w:rPr>
          <w:rFonts w:ascii="Times New Roman" w:hAnsi="Times New Roman"/>
        </w:rPr>
        <w:t>列表说明安全仪表系统SIF回路描述</w:t>
      </w:r>
      <w:r>
        <w:rPr>
          <w:rFonts w:hint="eastAsia" w:ascii="Times New Roman" w:hAnsi="Times New Roman"/>
        </w:rPr>
        <w:t>及SIL定级结果</w:t>
      </w:r>
      <w:r>
        <w:rPr>
          <w:rFonts w:ascii="Times New Roman" w:hAnsi="Times New Roman"/>
        </w:rPr>
        <w:t>；</w:t>
      </w:r>
    </w:p>
    <w:p w14:paraId="28BE9713">
      <w:pPr>
        <w:ind w:firstLine="410"/>
        <w:rPr>
          <w:rFonts w:ascii="Times New Roman" w:hAnsi="Times New Roman" w:eastAsia="宋体" w:cs="Times New Roman"/>
          <w:szCs w:val="22"/>
        </w:rPr>
      </w:pPr>
      <w:r>
        <w:rPr>
          <w:rFonts w:ascii="Times New Roman" w:hAnsi="Times New Roman" w:eastAsia="宋体" w:cs="Times New Roman"/>
          <w:bCs/>
          <w:szCs w:val="32"/>
        </w:rPr>
        <w:t>c）</w:t>
      </w:r>
      <w:r>
        <w:rPr>
          <w:rFonts w:ascii="Times New Roman" w:hAnsi="Times New Roman" w:eastAsia="宋体" w:cs="Times New Roman"/>
        </w:rPr>
        <w:t>安全联锁关断级别；</w:t>
      </w:r>
    </w:p>
    <w:p w14:paraId="2C97167B">
      <w:pPr>
        <w:ind w:firstLine="410"/>
        <w:rPr>
          <w:rFonts w:ascii="Times New Roman" w:hAnsi="Times New Roman" w:cs="Times New Roman"/>
        </w:rPr>
      </w:pPr>
      <w:r>
        <w:rPr>
          <w:rFonts w:ascii="Times New Roman" w:hAnsi="Times New Roman" w:cs="Times New Roman"/>
        </w:rPr>
        <w:t>d）控制室辅助操作台、</w:t>
      </w:r>
      <w:r>
        <w:rPr>
          <w:rFonts w:ascii="Times New Roman" w:hAnsi="Times New Roman" w:eastAsia="宋体" w:cs="Times New Roman"/>
          <w:szCs w:val="22"/>
        </w:rPr>
        <w:t>ESD按钮</w:t>
      </w:r>
      <w:r>
        <w:rPr>
          <w:rFonts w:ascii="Times New Roman" w:hAnsi="Times New Roman" w:cs="Times New Roman"/>
        </w:rPr>
        <w:t>、声光报警器的设置情况。</w:t>
      </w:r>
    </w:p>
    <w:p w14:paraId="34327D65">
      <w:pPr>
        <w:numPr>
          <w:ilvl w:val="2"/>
          <w:numId w:val="2"/>
        </w:numPr>
        <w:spacing w:before="156" w:beforeLines="50" w:after="156" w:afterLines="50"/>
        <w:ind w:left="0"/>
        <w:outlineLvl w:val="1"/>
        <w:rPr>
          <w:rFonts w:hint="eastAsia" w:ascii="黑体" w:hAnsi="黑体" w:eastAsia="黑体" w:cs="黑体"/>
          <w:color w:val="000000"/>
        </w:rPr>
      </w:pPr>
      <w:bookmarkStart w:id="186" w:name="_Toc24642"/>
      <w:bookmarkStart w:id="187" w:name="_Toc12728"/>
      <w:r>
        <w:rPr>
          <w:rFonts w:hint="eastAsia" w:ascii="黑体" w:hAnsi="黑体" w:eastAsia="黑体" w:cs="黑体"/>
          <w:color w:val="000000"/>
        </w:rPr>
        <w:t>气体检测和报警系统</w:t>
      </w:r>
      <w:bookmarkEnd w:id="186"/>
      <w:bookmarkEnd w:id="187"/>
    </w:p>
    <w:p w14:paraId="5F92CA10">
      <w:pPr>
        <w:ind w:firstLine="410"/>
        <w:rPr>
          <w:rFonts w:ascii="Times New Roman" w:hAnsi="Times New Roman" w:eastAsia="宋体" w:cs="Times New Roman"/>
          <w:bCs/>
          <w:szCs w:val="32"/>
        </w:rPr>
      </w:pPr>
      <w:r>
        <w:rPr>
          <w:rFonts w:hint="eastAsia" w:ascii="Times New Roman" w:hAnsi="Times New Roman" w:eastAsia="宋体" w:cs="Times New Roman"/>
          <w:bCs/>
          <w:szCs w:val="32"/>
        </w:rPr>
        <w:t>按照GB/T 50493、SY/T 6503等相关要求，说明气体检测和报警系统设置情况，主要包括：</w:t>
      </w:r>
    </w:p>
    <w:p w14:paraId="0C3E6554">
      <w:pPr>
        <w:pStyle w:val="42"/>
        <w:numPr>
          <w:ilvl w:val="0"/>
          <w:numId w:val="24"/>
        </w:numPr>
        <w:ind w:firstLine="420" w:firstLineChars="0"/>
        <w:rPr>
          <w:rFonts w:ascii="Times New Roman"/>
        </w:rPr>
      </w:pPr>
      <w:r>
        <w:rPr>
          <w:rFonts w:hint="eastAsia" w:ascii="Times New Roman"/>
        </w:rPr>
        <w:t>检测内容和气体类型等；</w:t>
      </w:r>
    </w:p>
    <w:p w14:paraId="48FEBFF2">
      <w:pPr>
        <w:pStyle w:val="42"/>
        <w:numPr>
          <w:ilvl w:val="0"/>
          <w:numId w:val="24"/>
        </w:numPr>
        <w:ind w:firstLine="420" w:firstLineChars="0"/>
        <w:rPr>
          <w:rFonts w:ascii="Times New Roman"/>
        </w:rPr>
      </w:pPr>
      <w:r>
        <w:rPr>
          <w:rFonts w:ascii="Times New Roman"/>
        </w:rPr>
        <w:t>系统设置及报警联锁功能</w:t>
      </w:r>
      <w:r>
        <w:rPr>
          <w:rFonts w:hint="eastAsia" w:ascii="Times New Roman"/>
        </w:rPr>
        <w:t>；</w:t>
      </w:r>
    </w:p>
    <w:p w14:paraId="7AEA3CDA">
      <w:pPr>
        <w:pStyle w:val="42"/>
        <w:numPr>
          <w:ilvl w:val="0"/>
          <w:numId w:val="24"/>
        </w:numPr>
        <w:ind w:firstLine="420" w:firstLineChars="0"/>
        <w:rPr>
          <w:rFonts w:ascii="Times New Roman"/>
        </w:rPr>
      </w:pPr>
      <w:r>
        <w:rPr>
          <w:rFonts w:ascii="Times New Roman"/>
        </w:rPr>
        <w:t>探测器</w:t>
      </w:r>
      <w:r>
        <w:rPr>
          <w:rFonts w:hint="eastAsia" w:ascii="Times New Roman"/>
        </w:rPr>
        <w:t>和报警控制器</w:t>
      </w:r>
      <w:r>
        <w:rPr>
          <w:rFonts w:ascii="Times New Roman"/>
        </w:rPr>
        <w:t>设置原则、数量及安装位置，</w:t>
      </w:r>
      <w:r>
        <w:rPr>
          <w:rFonts w:hint="eastAsia" w:ascii="Times New Roman"/>
        </w:rPr>
        <w:t>并</w:t>
      </w:r>
      <w:r>
        <w:rPr>
          <w:rFonts w:ascii="Times New Roman"/>
        </w:rPr>
        <w:t>附气体检测报警设备布置图</w:t>
      </w:r>
      <w:r>
        <w:rPr>
          <w:rFonts w:hint="eastAsia" w:ascii="Times New Roman"/>
        </w:rPr>
        <w:t>。</w:t>
      </w:r>
    </w:p>
    <w:p w14:paraId="62A6DE86">
      <w:pPr>
        <w:numPr>
          <w:ilvl w:val="2"/>
          <w:numId w:val="2"/>
        </w:numPr>
        <w:spacing w:before="156" w:beforeLines="50" w:after="156" w:afterLines="50"/>
        <w:ind w:left="0"/>
        <w:outlineLvl w:val="1"/>
        <w:rPr>
          <w:rFonts w:hint="eastAsia" w:ascii="黑体" w:hAnsi="黑体" w:eastAsia="黑体" w:cs="黑体"/>
          <w:color w:val="000000"/>
        </w:rPr>
      </w:pPr>
      <w:bookmarkStart w:id="188" w:name="_Toc26095"/>
      <w:bookmarkStart w:id="189" w:name="_Toc12794"/>
      <w:r>
        <w:rPr>
          <w:rFonts w:hint="eastAsia" w:ascii="黑体" w:hAnsi="黑体" w:eastAsia="黑体" w:cs="黑体"/>
          <w:color w:val="000000"/>
        </w:rPr>
        <w:t>火灾报警系统</w:t>
      </w:r>
      <w:bookmarkEnd w:id="188"/>
      <w:bookmarkEnd w:id="189"/>
    </w:p>
    <w:p w14:paraId="3926CB05">
      <w:pPr>
        <w:ind w:firstLine="410"/>
        <w:rPr>
          <w:rFonts w:ascii="Times New Roman" w:hAnsi="Times New Roman" w:eastAsia="宋体" w:cs="Times New Roman"/>
          <w:bCs/>
          <w:szCs w:val="32"/>
        </w:rPr>
      </w:pPr>
      <w:r>
        <w:rPr>
          <w:rFonts w:hint="eastAsia" w:ascii="Times New Roman" w:hAnsi="Times New Roman" w:eastAsia="宋体" w:cs="Times New Roman"/>
          <w:bCs/>
          <w:szCs w:val="32"/>
        </w:rPr>
        <w:t>按照GB 50116等相关要求，说明火灾自动报警系统设置情况，主要包括：</w:t>
      </w:r>
    </w:p>
    <w:p w14:paraId="09CDB363">
      <w:pPr>
        <w:pStyle w:val="42"/>
        <w:numPr>
          <w:ilvl w:val="0"/>
          <w:numId w:val="25"/>
        </w:numPr>
        <w:ind w:firstLine="420"/>
        <w:rPr>
          <w:rFonts w:ascii="Times New Roman"/>
        </w:rPr>
      </w:pPr>
      <w:r>
        <w:rPr>
          <w:rFonts w:ascii="Times New Roman"/>
        </w:rPr>
        <w:t>系统设置及报警联锁功能</w:t>
      </w:r>
      <w:r>
        <w:rPr>
          <w:rFonts w:hint="eastAsia" w:ascii="Times New Roman"/>
        </w:rPr>
        <w:t>；</w:t>
      </w:r>
    </w:p>
    <w:p w14:paraId="67970A7E">
      <w:pPr>
        <w:pStyle w:val="42"/>
        <w:numPr>
          <w:ilvl w:val="0"/>
          <w:numId w:val="25"/>
        </w:numPr>
        <w:ind w:firstLine="420"/>
        <w:rPr>
          <w:rFonts w:ascii="Times New Roman"/>
        </w:rPr>
      </w:pPr>
      <w:r>
        <w:rPr>
          <w:rFonts w:ascii="Times New Roman"/>
        </w:rPr>
        <w:t>探测器</w:t>
      </w:r>
      <w:r>
        <w:rPr>
          <w:rFonts w:hint="eastAsia" w:ascii="Times New Roman"/>
        </w:rPr>
        <w:t>和报警控制器的</w:t>
      </w:r>
      <w:r>
        <w:rPr>
          <w:rFonts w:ascii="Times New Roman"/>
        </w:rPr>
        <w:t>设置原则、选型、数量及安装位置</w:t>
      </w:r>
      <w:r>
        <w:rPr>
          <w:rFonts w:hint="eastAsia" w:ascii="Times New Roman"/>
        </w:rPr>
        <w:t>，并</w:t>
      </w:r>
      <w:r>
        <w:rPr>
          <w:rFonts w:ascii="Times New Roman"/>
        </w:rPr>
        <w:t>附火灾报警系统图</w:t>
      </w:r>
      <w:r>
        <w:rPr>
          <w:rFonts w:hint="eastAsia" w:ascii="Times New Roman"/>
        </w:rPr>
        <w:t>；</w:t>
      </w:r>
    </w:p>
    <w:p w14:paraId="2E7D3CFA">
      <w:pPr>
        <w:pStyle w:val="42"/>
        <w:spacing w:line="276" w:lineRule="auto"/>
        <w:ind w:firstLine="420" w:firstLineChars="0"/>
        <w:rPr>
          <w:rFonts w:hint="eastAsia" w:hAnsi="宋体" w:cs="宋体"/>
          <w:szCs w:val="21"/>
        </w:rPr>
      </w:pPr>
      <w:r>
        <w:rPr>
          <w:rFonts w:ascii="Times New Roman" w:hAnsi="Times New Roman"/>
        </w:rPr>
        <w:t>c）</w:t>
      </w:r>
      <w:r>
        <w:rPr>
          <w:rFonts w:hint="eastAsia" w:hAnsi="宋体" w:cs="宋体"/>
          <w:szCs w:val="21"/>
        </w:rPr>
        <w:t>消防联动控制系统的设置、构成、配置、功能及触发条件，传感器的设置、报警及联锁控制的功能。</w:t>
      </w:r>
    </w:p>
    <w:p w14:paraId="2D9D6D7B">
      <w:pPr>
        <w:numPr>
          <w:ilvl w:val="2"/>
          <w:numId w:val="2"/>
        </w:numPr>
        <w:spacing w:before="156" w:beforeLines="50" w:after="156" w:afterLines="50"/>
        <w:ind w:left="0"/>
        <w:outlineLvl w:val="1"/>
        <w:rPr>
          <w:rFonts w:hint="eastAsia" w:ascii="黑体" w:hAnsi="黑体" w:eastAsia="黑体" w:cs="黑体"/>
          <w:color w:val="000000"/>
        </w:rPr>
      </w:pPr>
      <w:bookmarkStart w:id="190" w:name="_Toc15873"/>
      <w:bookmarkStart w:id="191" w:name="_Toc26493"/>
      <w:r>
        <w:rPr>
          <w:rFonts w:hint="eastAsia" w:ascii="黑体" w:hAnsi="黑体" w:eastAsia="黑体" w:cs="黑体"/>
          <w:color w:val="000000"/>
        </w:rPr>
        <w:t>站控制室的设置</w:t>
      </w:r>
      <w:bookmarkEnd w:id="190"/>
      <w:bookmarkEnd w:id="191"/>
    </w:p>
    <w:p w14:paraId="6D3B0544">
      <w:pPr>
        <w:pStyle w:val="93"/>
        <w:numPr>
          <w:ilvl w:val="3"/>
          <w:numId w:val="0"/>
        </w:numPr>
        <w:ind w:firstLine="420" w:firstLineChars="200"/>
        <w:rPr>
          <w:rFonts w:ascii="Times New Roman"/>
          <w:szCs w:val="21"/>
        </w:rPr>
      </w:pPr>
      <w:r>
        <w:rPr>
          <w:rFonts w:hint="eastAsia" w:ascii="Times New Roman"/>
        </w:rPr>
        <w:t>按照</w:t>
      </w:r>
      <w:r>
        <w:rPr>
          <w:rFonts w:ascii="Times New Roman"/>
        </w:rPr>
        <w:t>GB 50183</w:t>
      </w:r>
      <w:r>
        <w:rPr>
          <w:rFonts w:hint="eastAsia" w:ascii="Times New Roman"/>
        </w:rPr>
        <w:t>、</w:t>
      </w:r>
      <w:r>
        <w:rPr>
          <w:rFonts w:ascii="Times New Roman"/>
        </w:rPr>
        <w:t>SY/T 7628</w:t>
      </w:r>
      <w:r>
        <w:rPr>
          <w:rFonts w:hint="eastAsia" w:ascii="Times New Roman"/>
        </w:rPr>
        <w:t>等相关要求</w:t>
      </w:r>
      <w:r>
        <w:rPr>
          <w:rFonts w:ascii="Times New Roman"/>
        </w:rPr>
        <w:t>，说明控制系统机柜的房间（如控制室、机柜间等）的设置情况。</w:t>
      </w:r>
      <w:r>
        <w:rPr>
          <w:rFonts w:hint="eastAsia" w:ascii="Times New Roman"/>
        </w:rPr>
        <w:t>如果</w:t>
      </w:r>
      <w:r>
        <w:rPr>
          <w:rFonts w:ascii="Times New Roman"/>
        </w:rPr>
        <w:t>采用橇装化设备间，说明采取的安全措施。</w:t>
      </w:r>
    </w:p>
    <w:p w14:paraId="6082EA1A">
      <w:pPr>
        <w:numPr>
          <w:ilvl w:val="2"/>
          <w:numId w:val="2"/>
        </w:numPr>
        <w:spacing w:before="156" w:beforeLines="50" w:after="156" w:afterLines="50"/>
        <w:ind w:left="0"/>
        <w:outlineLvl w:val="1"/>
        <w:rPr>
          <w:rFonts w:hint="eastAsia" w:ascii="黑体" w:hAnsi="黑体" w:eastAsia="黑体" w:cs="黑体"/>
          <w:color w:val="000000"/>
        </w:rPr>
      </w:pPr>
      <w:bookmarkStart w:id="192" w:name="_Toc23494"/>
      <w:bookmarkStart w:id="193" w:name="_Toc29817"/>
      <w:r>
        <w:rPr>
          <w:rFonts w:hint="eastAsia" w:ascii="黑体" w:hAnsi="黑体" w:eastAsia="黑体" w:cs="黑体"/>
          <w:color w:val="000000"/>
        </w:rPr>
        <w:t>其他安全措施</w:t>
      </w:r>
      <w:bookmarkEnd w:id="192"/>
      <w:bookmarkEnd w:id="193"/>
    </w:p>
    <w:p w14:paraId="4C665A05">
      <w:pPr>
        <w:pStyle w:val="42"/>
        <w:ind w:firstLine="420"/>
        <w:rPr>
          <w:rFonts w:hint="eastAsia" w:hAnsi="宋体"/>
        </w:rPr>
      </w:pPr>
      <w:r>
        <w:rPr>
          <w:rFonts w:hint="eastAsia" w:ascii="Times New Roman"/>
        </w:rPr>
        <w:t>说明</w:t>
      </w:r>
      <w:r>
        <w:rPr>
          <w:rFonts w:hint="eastAsia" w:hAnsi="宋体"/>
        </w:rPr>
        <w:t>其他安全措施，</w:t>
      </w:r>
      <w:r>
        <w:rPr>
          <w:rFonts w:hint="eastAsia" w:ascii="Times New Roman"/>
          <w:bCs/>
          <w:szCs w:val="32"/>
        </w:rPr>
        <w:t>主要包括</w:t>
      </w:r>
      <w:r>
        <w:rPr>
          <w:rFonts w:hint="eastAsia" w:hAnsi="宋体"/>
        </w:rPr>
        <w:t>：</w:t>
      </w:r>
    </w:p>
    <w:p w14:paraId="0B1BE5FE">
      <w:pPr>
        <w:pStyle w:val="42"/>
        <w:numPr>
          <w:ilvl w:val="0"/>
          <w:numId w:val="26"/>
        </w:numPr>
        <w:adjustRightInd w:val="0"/>
        <w:ind w:left="0" w:firstLine="420"/>
        <w:rPr>
          <w:rFonts w:ascii="Times New Roman"/>
        </w:rPr>
      </w:pPr>
      <w:r>
        <w:rPr>
          <w:rFonts w:ascii="Times New Roman"/>
        </w:rPr>
        <w:t>仪表设备防爆</w:t>
      </w:r>
      <w:r>
        <w:rPr>
          <w:rFonts w:hint="eastAsia" w:ascii="Times New Roman"/>
        </w:rPr>
        <w:t>及</w:t>
      </w:r>
      <w:r>
        <w:rPr>
          <w:rFonts w:ascii="Times New Roman"/>
        </w:rPr>
        <w:t>防护等级</w:t>
      </w:r>
      <w:r>
        <w:rPr>
          <w:rFonts w:hint="eastAsia" w:ascii="Times New Roman"/>
        </w:rPr>
        <w:t>，</w:t>
      </w:r>
      <w:r>
        <w:rPr>
          <w:rFonts w:hint="eastAsia" w:hAnsi="宋体"/>
          <w:szCs w:val="21"/>
        </w:rPr>
        <w:t>保温伴热的安全措施</w:t>
      </w:r>
      <w:r>
        <w:rPr>
          <w:rFonts w:ascii="Times New Roman"/>
        </w:rPr>
        <w:t>；</w:t>
      </w:r>
    </w:p>
    <w:p w14:paraId="68C26517">
      <w:pPr>
        <w:pStyle w:val="42"/>
        <w:numPr>
          <w:ilvl w:val="0"/>
          <w:numId w:val="26"/>
        </w:numPr>
        <w:adjustRightInd w:val="0"/>
        <w:ind w:left="0" w:firstLine="420"/>
        <w:rPr>
          <w:rFonts w:ascii="Times New Roman"/>
        </w:rPr>
      </w:pPr>
      <w:r>
        <w:rPr>
          <w:rFonts w:hint="eastAsia" w:ascii="Times New Roman"/>
        </w:rPr>
        <w:t>仪表接地系统的电阻要求，工作接地、保护接地、防雷接地的方式，防电涌保护措施；</w:t>
      </w:r>
    </w:p>
    <w:p w14:paraId="340D6E01">
      <w:pPr>
        <w:pStyle w:val="42"/>
        <w:numPr>
          <w:ilvl w:val="0"/>
          <w:numId w:val="26"/>
        </w:numPr>
        <w:adjustRightInd w:val="0"/>
        <w:ind w:left="0" w:firstLine="420"/>
        <w:rPr>
          <w:rFonts w:ascii="Times New Roman"/>
        </w:rPr>
      </w:pPr>
      <w:r>
        <w:rPr>
          <w:rFonts w:hint="eastAsia" w:ascii="Times New Roman"/>
        </w:rPr>
        <w:t>仪表电缆的阻燃、耐火特性、敷设方式选择，与工艺管道、设备、电力电缆的安全间距要求；</w:t>
      </w:r>
    </w:p>
    <w:p w14:paraId="339A206F">
      <w:pPr>
        <w:pStyle w:val="42"/>
        <w:numPr>
          <w:ilvl w:val="0"/>
          <w:numId w:val="26"/>
        </w:numPr>
        <w:adjustRightInd w:val="0"/>
        <w:ind w:left="0" w:firstLine="420"/>
        <w:rPr>
          <w:rFonts w:ascii="Times New Roman"/>
        </w:rPr>
      </w:pPr>
      <w:r>
        <w:rPr>
          <w:rFonts w:hint="eastAsia" w:hAnsi="宋体"/>
          <w:szCs w:val="21"/>
        </w:rPr>
        <w:t>酷热、寒冷、存在盐雾腐蚀、多雷暴和多狂风等特殊地区的仪表选型、材料选择、安装要求；</w:t>
      </w:r>
    </w:p>
    <w:p w14:paraId="58D13079">
      <w:pPr>
        <w:pStyle w:val="42"/>
        <w:numPr>
          <w:ilvl w:val="0"/>
          <w:numId w:val="26"/>
        </w:numPr>
        <w:adjustRightInd w:val="0"/>
        <w:ind w:left="0" w:firstLine="420"/>
        <w:rPr>
          <w:rFonts w:ascii="Times New Roman"/>
        </w:rPr>
      </w:pPr>
      <w:r>
        <w:rPr>
          <w:rFonts w:hint="eastAsia" w:ascii="Times New Roman"/>
        </w:rPr>
        <w:t>用电仪表的供电电源类型、电压等级、</w:t>
      </w:r>
      <w:r>
        <w:rPr>
          <w:rFonts w:ascii="Times New Roman"/>
        </w:rPr>
        <w:t>UPS</w:t>
      </w:r>
      <w:r>
        <w:rPr>
          <w:rFonts w:hint="eastAsia" w:ascii="Times New Roman"/>
        </w:rPr>
        <w:t>电源后备时间；</w:t>
      </w:r>
    </w:p>
    <w:p w14:paraId="4BF4E977">
      <w:pPr>
        <w:pStyle w:val="42"/>
        <w:numPr>
          <w:ilvl w:val="0"/>
          <w:numId w:val="26"/>
        </w:numPr>
        <w:adjustRightInd w:val="0"/>
        <w:ind w:left="0" w:firstLine="420"/>
        <w:rPr>
          <w:rFonts w:ascii="Times New Roman"/>
        </w:rPr>
      </w:pPr>
      <w:r>
        <w:rPr>
          <w:rFonts w:hint="eastAsia" w:ascii="Times New Roman"/>
        </w:rPr>
        <w:t>仪表风介质、压力、露点、断电后供气时间。</w:t>
      </w:r>
    </w:p>
    <w:bookmarkEnd w:id="179"/>
    <w:bookmarkEnd w:id="180"/>
    <w:bookmarkEnd w:id="181"/>
    <w:bookmarkEnd w:id="182"/>
    <w:bookmarkEnd w:id="183"/>
    <w:p w14:paraId="53C0E4CB">
      <w:pPr>
        <w:widowControl/>
        <w:numPr>
          <w:ilvl w:val="1"/>
          <w:numId w:val="2"/>
        </w:numPr>
        <w:spacing w:before="312" w:beforeLines="100" w:after="312" w:afterLines="100"/>
        <w:outlineLvl w:val="0"/>
        <w:rPr>
          <w:rFonts w:hint="eastAsia" w:ascii="黑体" w:hAnsi="黑体" w:eastAsia="黑体" w:cs="黑体"/>
        </w:rPr>
      </w:pPr>
      <w:bookmarkStart w:id="194" w:name="_Toc32409"/>
      <w:r>
        <w:rPr>
          <w:rFonts w:hint="eastAsia" w:ascii="黑体" w:hAnsi="黑体" w:eastAsia="黑体" w:cs="黑体"/>
        </w:rPr>
        <w:t>公用工程安全措施</w:t>
      </w:r>
      <w:bookmarkEnd w:id="194"/>
    </w:p>
    <w:bookmarkEnd w:id="175"/>
    <w:bookmarkEnd w:id="176"/>
    <w:p w14:paraId="1E0B0141">
      <w:pPr>
        <w:numPr>
          <w:ilvl w:val="2"/>
          <w:numId w:val="2"/>
        </w:numPr>
        <w:spacing w:before="156" w:beforeLines="50" w:after="156" w:afterLines="50"/>
        <w:ind w:left="0"/>
        <w:outlineLvl w:val="1"/>
        <w:rPr>
          <w:rFonts w:hint="eastAsia" w:ascii="黑体" w:hAnsi="黑体" w:eastAsia="黑体" w:cs="黑体"/>
        </w:rPr>
      </w:pPr>
      <w:bookmarkStart w:id="195" w:name="_Toc7964"/>
      <w:bookmarkStart w:id="196" w:name="_Toc163057361"/>
      <w:bookmarkStart w:id="197" w:name="_Toc163575744"/>
      <w:bookmarkStart w:id="198" w:name="_Toc24594"/>
      <w:r>
        <w:rPr>
          <w:rFonts w:hint="eastAsia" w:ascii="黑体" w:hAnsi="黑体" w:eastAsia="黑体" w:cs="黑体"/>
        </w:rPr>
        <w:t>供配电</w:t>
      </w:r>
      <w:bookmarkEnd w:id="195"/>
      <w:bookmarkEnd w:id="196"/>
      <w:bookmarkEnd w:id="197"/>
      <w:bookmarkEnd w:id="198"/>
    </w:p>
    <w:p w14:paraId="0D3F9930">
      <w:pPr>
        <w:pStyle w:val="93"/>
        <w:spacing w:before="156" w:beforeLines="50" w:after="156" w:afterLines="50"/>
        <w:rPr>
          <w:rFonts w:ascii="Times New Roman"/>
        </w:rPr>
      </w:pPr>
      <w:bookmarkStart w:id="199" w:name="_Toc17865"/>
      <w:bookmarkStart w:id="200" w:name="_Toc10126"/>
      <w:r>
        <w:rPr>
          <w:rFonts w:hint="eastAsia" w:ascii="黑体" w:hAnsi="黑体" w:eastAsia="黑体" w:cs="黑体"/>
        </w:rPr>
        <w:t>应急电源</w:t>
      </w:r>
      <w:bookmarkEnd w:id="199"/>
    </w:p>
    <w:p w14:paraId="7A08A0F1">
      <w:pPr>
        <w:pStyle w:val="42"/>
        <w:ind w:firstLine="420"/>
        <w:rPr>
          <w:rFonts w:ascii="Times New Roman" w:hAnsi="Times New Roman"/>
        </w:rPr>
      </w:pPr>
      <w:r>
        <w:rPr>
          <w:rFonts w:hint="eastAsia" w:ascii="Times New Roman" w:hAnsi="Times New Roman"/>
        </w:rPr>
        <w:t>按照</w:t>
      </w:r>
      <w:r>
        <w:rPr>
          <w:rFonts w:ascii="Times New Roman" w:hAnsi="Times New Roman"/>
        </w:rPr>
        <w:t>GB 50052、SY/T 0033</w:t>
      </w:r>
      <w:r>
        <w:rPr>
          <w:rFonts w:hint="eastAsia" w:ascii="Times New Roman" w:hAnsi="Times New Roman"/>
        </w:rPr>
        <w:t>等相关要求</w:t>
      </w:r>
      <w:r>
        <w:rPr>
          <w:rFonts w:ascii="Times New Roman" w:hAnsi="Times New Roman"/>
        </w:rPr>
        <w:t>设置应急电源，说明应急电源的设置情况，主要包括：</w:t>
      </w:r>
    </w:p>
    <w:p w14:paraId="20614DB1">
      <w:pPr>
        <w:pStyle w:val="42"/>
        <w:numPr>
          <w:ilvl w:val="0"/>
          <w:numId w:val="27"/>
        </w:numPr>
        <w:adjustRightInd w:val="0"/>
        <w:ind w:left="0" w:firstLine="420"/>
        <w:rPr>
          <w:rFonts w:ascii="Times New Roman" w:hAnsi="Times New Roman"/>
        </w:rPr>
      </w:pPr>
      <w:r>
        <w:rPr>
          <w:rFonts w:ascii="Times New Roman" w:hAnsi="Times New Roman"/>
        </w:rPr>
        <w:t>采用UPS、EPS或直流电源等作为应急电源时，列表说明安装场所、容量、台数、型式、蓄电池后备供电时间、计算负荷等；</w:t>
      </w:r>
    </w:p>
    <w:p w14:paraId="3D2E28E4">
      <w:pPr>
        <w:pStyle w:val="42"/>
        <w:numPr>
          <w:ilvl w:val="0"/>
          <w:numId w:val="27"/>
        </w:numPr>
        <w:adjustRightInd w:val="0"/>
        <w:ind w:left="0" w:firstLine="420"/>
        <w:rPr>
          <w:rFonts w:ascii="Times New Roman" w:hAnsi="Times New Roman"/>
        </w:rPr>
      </w:pPr>
      <w:r>
        <w:rPr>
          <w:rFonts w:ascii="Times New Roman" w:hAnsi="Times New Roman"/>
        </w:rPr>
        <w:t>采用发电机作为应急电源时，说明安装场所、设备选型、电压等级、容量、台数、运行方式、计算负荷等。</w:t>
      </w:r>
    </w:p>
    <w:p w14:paraId="2F57AC90">
      <w:pPr>
        <w:pStyle w:val="93"/>
        <w:spacing w:before="156" w:beforeLines="50" w:after="156" w:afterLines="50"/>
        <w:rPr>
          <w:rFonts w:hint="eastAsia" w:ascii="黑体" w:hAnsi="黑体" w:eastAsia="黑体" w:cs="黑体"/>
        </w:rPr>
      </w:pPr>
      <w:r>
        <w:rPr>
          <w:rFonts w:hint="eastAsia" w:ascii="黑体" w:hAnsi="黑体" w:eastAsia="黑体" w:cs="黑体"/>
        </w:rPr>
        <w:t>防火防爆</w:t>
      </w:r>
      <w:bookmarkEnd w:id="200"/>
    </w:p>
    <w:p w14:paraId="0B0AE4BD">
      <w:pPr>
        <w:pStyle w:val="42"/>
        <w:ind w:firstLine="420"/>
        <w:rPr>
          <w:rFonts w:ascii="Times New Roman" w:hAnsi="Times New Roman"/>
        </w:rPr>
      </w:pPr>
      <w:r>
        <w:rPr>
          <w:rFonts w:hint="eastAsia" w:ascii="Times New Roman" w:hAnsi="Times New Roman"/>
        </w:rPr>
        <w:t>按照</w:t>
      </w:r>
      <w:r>
        <w:rPr>
          <w:rFonts w:ascii="Times New Roman" w:hAnsi="Times New Roman"/>
        </w:rPr>
        <w:t>SY/T 6671</w:t>
      </w:r>
      <w:r>
        <w:rPr>
          <w:rFonts w:hint="eastAsia" w:ascii="Times New Roman" w:hAnsi="Times New Roman"/>
        </w:rPr>
        <w:t>等相关要求说明</w:t>
      </w:r>
      <w:r>
        <w:rPr>
          <w:rFonts w:ascii="Times New Roman" w:hAnsi="Times New Roman"/>
        </w:rPr>
        <w:t>爆炸危险区域划分</w:t>
      </w:r>
      <w:r>
        <w:rPr>
          <w:rFonts w:hint="eastAsia" w:ascii="Times New Roman" w:hAnsi="Times New Roman"/>
        </w:rPr>
        <w:t>情况。按照</w:t>
      </w:r>
      <w:r>
        <w:rPr>
          <w:rFonts w:ascii="Times New Roman" w:hAnsi="Times New Roman"/>
        </w:rPr>
        <w:t>GB 50016、GB 55037、GB 50058、GB 50229等</w:t>
      </w:r>
      <w:r>
        <w:rPr>
          <w:rFonts w:hint="eastAsia" w:ascii="Times New Roman" w:hAnsi="Times New Roman"/>
        </w:rPr>
        <w:t>相关要求说明爆炸和火灾危险场所</w:t>
      </w:r>
      <w:r>
        <w:rPr>
          <w:rFonts w:ascii="Times New Roman" w:hAnsi="Times New Roman"/>
        </w:rPr>
        <w:t>采取</w:t>
      </w:r>
      <w:r>
        <w:rPr>
          <w:rFonts w:hint="eastAsia" w:ascii="Times New Roman" w:hAnsi="Times New Roman"/>
        </w:rPr>
        <w:t>的</w:t>
      </w:r>
      <w:r>
        <w:rPr>
          <w:rFonts w:ascii="Times New Roman" w:hAnsi="Times New Roman"/>
        </w:rPr>
        <w:t>防爆、防火措施，主要包括：</w:t>
      </w:r>
    </w:p>
    <w:p w14:paraId="3009A945">
      <w:pPr>
        <w:pStyle w:val="42"/>
        <w:numPr>
          <w:ilvl w:val="0"/>
          <w:numId w:val="28"/>
        </w:numPr>
        <w:adjustRightInd w:val="0"/>
        <w:ind w:left="0" w:firstLine="420"/>
        <w:rPr>
          <w:rFonts w:ascii="Times New Roman" w:hAnsi="Times New Roman"/>
        </w:rPr>
      </w:pPr>
      <w:r>
        <w:rPr>
          <w:rFonts w:ascii="Times New Roman" w:hAnsi="Times New Roman"/>
        </w:rPr>
        <w:t>电气设备的防爆和防护等级</w:t>
      </w:r>
      <w:r>
        <w:rPr>
          <w:rFonts w:hint="eastAsia" w:ascii="Times New Roman" w:hAnsi="Times New Roman"/>
        </w:rPr>
        <w:t>，</w:t>
      </w:r>
      <w:r>
        <w:rPr>
          <w:rFonts w:ascii="Times New Roman" w:hAnsi="Times New Roman"/>
        </w:rPr>
        <w:t>户外电气设备的防腐措施；</w:t>
      </w:r>
    </w:p>
    <w:p w14:paraId="63049794">
      <w:pPr>
        <w:pStyle w:val="42"/>
        <w:numPr>
          <w:ilvl w:val="0"/>
          <w:numId w:val="28"/>
        </w:numPr>
        <w:adjustRightInd w:val="0"/>
        <w:ind w:left="0" w:firstLine="420"/>
        <w:rPr>
          <w:rFonts w:ascii="Times New Roman" w:hAnsi="Times New Roman"/>
        </w:rPr>
      </w:pPr>
      <w:r>
        <w:rPr>
          <w:rFonts w:ascii="Times New Roman" w:hAnsi="Times New Roman"/>
        </w:rPr>
        <w:t>电缆选型；</w:t>
      </w:r>
    </w:p>
    <w:p w14:paraId="1B6385B0">
      <w:pPr>
        <w:pStyle w:val="42"/>
        <w:numPr>
          <w:ilvl w:val="0"/>
          <w:numId w:val="28"/>
        </w:numPr>
        <w:adjustRightInd w:val="0"/>
        <w:ind w:left="0" w:firstLine="420"/>
        <w:rPr>
          <w:rFonts w:ascii="Times New Roman" w:hAnsi="Times New Roman"/>
        </w:rPr>
      </w:pPr>
      <w:r>
        <w:rPr>
          <w:rFonts w:ascii="Times New Roman" w:hAnsi="Times New Roman"/>
        </w:rPr>
        <w:t>电气线路敷设方案及防爆防火封堵措施等。</w:t>
      </w:r>
    </w:p>
    <w:p w14:paraId="7D02DB9B">
      <w:pPr>
        <w:pStyle w:val="93"/>
        <w:spacing w:before="156" w:beforeLines="50" w:after="156" w:afterLines="50"/>
        <w:rPr>
          <w:rFonts w:hint="eastAsia" w:ascii="黑体" w:hAnsi="黑体" w:eastAsia="黑体" w:cs="黑体"/>
        </w:rPr>
      </w:pPr>
      <w:bookmarkStart w:id="201" w:name="_Toc4479"/>
      <w:bookmarkStart w:id="202" w:name="_Toc9602"/>
      <w:r>
        <w:rPr>
          <w:rFonts w:hint="eastAsia" w:ascii="黑体" w:hAnsi="黑体" w:eastAsia="黑体" w:cs="黑体"/>
        </w:rPr>
        <w:t>应急照明</w:t>
      </w:r>
      <w:bookmarkEnd w:id="201"/>
    </w:p>
    <w:p w14:paraId="0FE3FA55">
      <w:pPr>
        <w:pStyle w:val="42"/>
        <w:ind w:firstLine="420"/>
        <w:rPr>
          <w:rFonts w:ascii="Times New Roman" w:hAnsi="Times New Roman"/>
        </w:rPr>
      </w:pPr>
      <w:r>
        <w:rPr>
          <w:rFonts w:hint="eastAsia" w:ascii="Times New Roman" w:hAnsi="Times New Roman"/>
        </w:rPr>
        <w:t>按照</w:t>
      </w:r>
      <w:r>
        <w:rPr>
          <w:rFonts w:ascii="Times New Roman" w:hAnsi="Times New Roman"/>
        </w:rPr>
        <w:t>GB 50183、GB 50229</w:t>
      </w:r>
      <w:r>
        <w:rPr>
          <w:rFonts w:hint="eastAsia" w:ascii="Times New Roman" w:hAnsi="Times New Roman"/>
        </w:rPr>
        <w:t>、</w:t>
      </w:r>
      <w:r>
        <w:rPr>
          <w:rFonts w:ascii="Times New Roman" w:hAnsi="Times New Roman"/>
        </w:rPr>
        <w:t>GB 51309</w:t>
      </w:r>
      <w:r>
        <w:rPr>
          <w:rFonts w:hint="eastAsia" w:ascii="Times New Roman" w:hAnsi="Times New Roman"/>
        </w:rPr>
        <w:t>、</w:t>
      </w:r>
      <w:r>
        <w:rPr>
          <w:rFonts w:ascii="Times New Roman" w:hAnsi="Times New Roman"/>
        </w:rPr>
        <w:t>GB 55037</w:t>
      </w:r>
      <w:r>
        <w:rPr>
          <w:rFonts w:hint="eastAsia" w:ascii="Times New Roman" w:hAnsi="Times New Roman"/>
        </w:rPr>
        <w:t>等相关要求</w:t>
      </w:r>
      <w:r>
        <w:rPr>
          <w:rFonts w:ascii="Times New Roman" w:hAnsi="Times New Roman"/>
        </w:rPr>
        <w:t>设置应急照明，分别说明备用照明、消防应急疏散照明和指示系统的设置场所、照度值、控制方式、电源型式、持续时间等。</w:t>
      </w:r>
    </w:p>
    <w:p w14:paraId="3E9AC4BD">
      <w:pPr>
        <w:pStyle w:val="93"/>
        <w:spacing w:before="156" w:beforeLines="50" w:after="156" w:afterLines="50"/>
        <w:rPr>
          <w:rFonts w:hint="eastAsia" w:ascii="黑体" w:hAnsi="黑体" w:eastAsia="黑体" w:cs="黑体"/>
        </w:rPr>
      </w:pPr>
      <w:r>
        <w:rPr>
          <w:rFonts w:hint="eastAsia" w:ascii="黑体" w:hAnsi="黑体" w:eastAsia="黑体" w:cs="黑体"/>
        </w:rPr>
        <w:t>防雷、防静电</w:t>
      </w:r>
      <w:bookmarkEnd w:id="202"/>
      <w:r>
        <w:rPr>
          <w:rFonts w:hint="eastAsia" w:ascii="黑体" w:hAnsi="黑体" w:eastAsia="黑体" w:cs="黑体"/>
        </w:rPr>
        <w:t>措施</w:t>
      </w:r>
    </w:p>
    <w:p w14:paraId="73E8F7C5">
      <w:pPr>
        <w:pStyle w:val="42"/>
        <w:ind w:firstLine="420"/>
        <w:rPr>
          <w:rFonts w:ascii="Times New Roman" w:hAnsi="Times New Roman"/>
        </w:rPr>
      </w:pPr>
      <w:r>
        <w:rPr>
          <w:rFonts w:hint="eastAsia" w:ascii="Times New Roman" w:hAnsi="Times New Roman"/>
        </w:rPr>
        <w:t>按照</w:t>
      </w:r>
      <w:r>
        <w:rPr>
          <w:rFonts w:ascii="Times New Roman" w:hAnsi="Times New Roman"/>
        </w:rPr>
        <w:t>GB 50057、GB 50183、GB 50343</w:t>
      </w:r>
      <w:r>
        <w:rPr>
          <w:rFonts w:hint="eastAsia" w:ascii="Times New Roman" w:hAnsi="Times New Roman"/>
        </w:rPr>
        <w:t>、</w:t>
      </w:r>
      <w:r>
        <w:rPr>
          <w:rFonts w:ascii="Times New Roman" w:hAnsi="Times New Roman"/>
        </w:rPr>
        <w:t>GB/T 50064、GB/T 50065、SY/T 0060</w:t>
      </w:r>
      <w:r>
        <w:rPr>
          <w:rFonts w:hint="eastAsia" w:ascii="Times New Roman" w:hAnsi="Times New Roman"/>
        </w:rPr>
        <w:t>、</w:t>
      </w:r>
      <w:r>
        <w:rPr>
          <w:rFonts w:ascii="Times New Roman" w:hAnsi="Times New Roman"/>
        </w:rPr>
        <w:t>SY/T 6885</w:t>
      </w:r>
      <w:r>
        <w:rPr>
          <w:rFonts w:hint="eastAsia" w:ascii="Times New Roman" w:hAnsi="Times New Roman"/>
        </w:rPr>
        <w:t>等相关要求</w:t>
      </w:r>
      <w:r>
        <w:rPr>
          <w:rFonts w:ascii="Times New Roman" w:hAnsi="Times New Roman"/>
        </w:rPr>
        <w:t>，</w:t>
      </w:r>
      <w:r>
        <w:rPr>
          <w:rFonts w:hint="eastAsia" w:ascii="Times New Roman" w:hAnsi="Times New Roman"/>
        </w:rPr>
        <w:t>说明</w:t>
      </w:r>
      <w:r>
        <w:rPr>
          <w:rFonts w:ascii="Times New Roman" w:hAnsi="Times New Roman"/>
        </w:rPr>
        <w:t>工艺设施、建（构）筑物、电气设施等采取</w:t>
      </w:r>
      <w:r>
        <w:rPr>
          <w:rFonts w:hint="eastAsia" w:ascii="Times New Roman" w:hAnsi="Times New Roman"/>
        </w:rPr>
        <w:t>的</w:t>
      </w:r>
      <w:r>
        <w:rPr>
          <w:rFonts w:ascii="Times New Roman" w:hAnsi="Times New Roman"/>
        </w:rPr>
        <w:t>防雷、防静电措施，主要包括：</w:t>
      </w:r>
    </w:p>
    <w:p w14:paraId="16DA0013">
      <w:pPr>
        <w:pStyle w:val="42"/>
        <w:numPr>
          <w:ilvl w:val="0"/>
          <w:numId w:val="29"/>
        </w:numPr>
        <w:adjustRightInd w:val="0"/>
        <w:ind w:left="0" w:firstLine="420"/>
        <w:rPr>
          <w:rFonts w:ascii="Times New Roman" w:hAnsi="Times New Roman"/>
        </w:rPr>
      </w:pPr>
      <w:r>
        <w:rPr>
          <w:rFonts w:ascii="Times New Roman" w:hAnsi="Times New Roman"/>
        </w:rPr>
        <w:t>35kV及以上变配电所防雷措施；</w:t>
      </w:r>
    </w:p>
    <w:p w14:paraId="62D73000">
      <w:pPr>
        <w:pStyle w:val="42"/>
        <w:numPr>
          <w:ilvl w:val="0"/>
          <w:numId w:val="29"/>
        </w:numPr>
        <w:adjustRightInd w:val="0"/>
        <w:ind w:left="0" w:firstLine="420"/>
        <w:rPr>
          <w:rFonts w:ascii="Times New Roman" w:hAnsi="Times New Roman"/>
        </w:rPr>
      </w:pPr>
      <w:r>
        <w:rPr>
          <w:rFonts w:ascii="Times New Roman" w:hAnsi="Times New Roman"/>
        </w:rPr>
        <w:t>建筑物防雷分类及相应防雷措施；</w:t>
      </w:r>
    </w:p>
    <w:p w14:paraId="0EFCA02A">
      <w:pPr>
        <w:pStyle w:val="42"/>
        <w:numPr>
          <w:ilvl w:val="0"/>
          <w:numId w:val="29"/>
        </w:numPr>
        <w:adjustRightInd w:val="0"/>
        <w:ind w:left="0" w:firstLine="420"/>
        <w:rPr>
          <w:rFonts w:ascii="Times New Roman" w:hAnsi="Times New Roman"/>
        </w:rPr>
      </w:pPr>
      <w:r>
        <w:rPr>
          <w:rFonts w:ascii="Times New Roman" w:hAnsi="Times New Roman"/>
        </w:rPr>
        <w:t>工艺设施防雷及防静电措施；</w:t>
      </w:r>
    </w:p>
    <w:p w14:paraId="607E3BF4">
      <w:pPr>
        <w:pStyle w:val="42"/>
        <w:numPr>
          <w:ilvl w:val="0"/>
          <w:numId w:val="29"/>
        </w:numPr>
        <w:adjustRightInd w:val="0"/>
        <w:ind w:left="0" w:firstLine="420"/>
        <w:rPr>
          <w:rFonts w:ascii="Times New Roman" w:hAnsi="Times New Roman"/>
        </w:rPr>
      </w:pPr>
      <w:r>
        <w:rPr>
          <w:rFonts w:ascii="Times New Roman" w:hAnsi="Times New Roman"/>
        </w:rPr>
        <w:t>消除人体静电装置设置；</w:t>
      </w:r>
    </w:p>
    <w:p w14:paraId="4B034783">
      <w:pPr>
        <w:pStyle w:val="42"/>
        <w:numPr>
          <w:ilvl w:val="0"/>
          <w:numId w:val="29"/>
        </w:numPr>
        <w:adjustRightInd w:val="0"/>
        <w:ind w:left="0" w:firstLine="420"/>
        <w:rPr>
          <w:rFonts w:ascii="Times New Roman" w:hAnsi="Times New Roman"/>
        </w:rPr>
      </w:pPr>
      <w:r>
        <w:rPr>
          <w:rFonts w:ascii="Times New Roman" w:hAnsi="Times New Roman"/>
        </w:rPr>
        <w:t>电子信息系统的电源防雷击电磁脉冲措施；</w:t>
      </w:r>
    </w:p>
    <w:p w14:paraId="59C853C2">
      <w:pPr>
        <w:pStyle w:val="42"/>
        <w:numPr>
          <w:ilvl w:val="0"/>
          <w:numId w:val="29"/>
        </w:numPr>
        <w:adjustRightInd w:val="0"/>
        <w:ind w:left="0" w:firstLine="420"/>
        <w:rPr>
          <w:rFonts w:ascii="Times New Roman" w:hAnsi="Times New Roman"/>
        </w:rPr>
      </w:pPr>
      <w:r>
        <w:rPr>
          <w:rFonts w:ascii="Times New Roman" w:hAnsi="Times New Roman"/>
        </w:rPr>
        <w:t>接地系统设计及阻值要求等。</w:t>
      </w:r>
    </w:p>
    <w:p w14:paraId="00A5E3A9">
      <w:pPr>
        <w:pStyle w:val="93"/>
        <w:spacing w:before="156" w:beforeLines="50" w:after="156" w:afterLines="50"/>
        <w:rPr>
          <w:rFonts w:hint="eastAsia" w:ascii="黑体" w:hAnsi="黑体" w:eastAsia="黑体" w:cs="黑体"/>
          <w:szCs w:val="22"/>
        </w:rPr>
      </w:pPr>
      <w:r>
        <w:rPr>
          <w:rFonts w:hint="eastAsia" w:ascii="黑体" w:hAnsi="黑体" w:eastAsia="黑体" w:cs="黑体"/>
          <w:szCs w:val="22"/>
        </w:rPr>
        <w:t>电击防护</w:t>
      </w:r>
    </w:p>
    <w:p w14:paraId="6E9EA3F8">
      <w:pPr>
        <w:pStyle w:val="42"/>
        <w:ind w:firstLine="420"/>
        <w:rPr>
          <w:rFonts w:ascii="Times New Roman" w:hAnsi="Times New Roman"/>
        </w:rPr>
      </w:pPr>
      <w:r>
        <w:rPr>
          <w:rFonts w:hint="eastAsia" w:ascii="Times New Roman" w:hAnsi="Times New Roman"/>
        </w:rPr>
        <w:t>按照</w:t>
      </w:r>
      <w:r>
        <w:rPr>
          <w:rFonts w:ascii="Times New Roman" w:hAnsi="Times New Roman"/>
        </w:rPr>
        <w:t>GB 50054、GB 50060、GB 50797、GB/T 50064、GB/T 50065、GB/T 51096</w:t>
      </w:r>
      <w:r>
        <w:rPr>
          <w:rFonts w:hint="eastAsia" w:ascii="Times New Roman" w:hAnsi="Times New Roman"/>
        </w:rPr>
        <w:t>等相关要求</w:t>
      </w:r>
      <w:r>
        <w:rPr>
          <w:rFonts w:ascii="Times New Roman" w:hAnsi="Times New Roman"/>
        </w:rPr>
        <w:t>说明直接接触、间接接触</w:t>
      </w:r>
      <w:r>
        <w:rPr>
          <w:rFonts w:hint="eastAsia" w:ascii="Times New Roman" w:hAnsi="Times New Roman"/>
        </w:rPr>
        <w:t>采取的电击防护</w:t>
      </w:r>
      <w:r>
        <w:rPr>
          <w:rFonts w:ascii="Times New Roman" w:hAnsi="Times New Roman"/>
        </w:rPr>
        <w:t>措施，主要包括：</w:t>
      </w:r>
    </w:p>
    <w:p w14:paraId="23A682DB">
      <w:pPr>
        <w:pStyle w:val="42"/>
        <w:numPr>
          <w:ilvl w:val="0"/>
          <w:numId w:val="30"/>
        </w:numPr>
        <w:adjustRightInd w:val="0"/>
        <w:ind w:left="0" w:firstLine="420"/>
        <w:rPr>
          <w:rFonts w:ascii="Times New Roman" w:hAnsi="Times New Roman"/>
        </w:rPr>
      </w:pPr>
      <w:r>
        <w:rPr>
          <w:rFonts w:ascii="Times New Roman" w:hAnsi="Times New Roman"/>
        </w:rPr>
        <w:t>电气设备的绝缘水平、外壳防护等级、防护遮栏设置、安全间距、防误操作等直接接触防护措施，设置剩余电流保护器等附加防护措施；</w:t>
      </w:r>
    </w:p>
    <w:p w14:paraId="29A3727F">
      <w:pPr>
        <w:pStyle w:val="42"/>
        <w:numPr>
          <w:ilvl w:val="0"/>
          <w:numId w:val="30"/>
        </w:numPr>
        <w:adjustRightInd w:val="0"/>
        <w:ind w:left="0" w:firstLine="420"/>
        <w:rPr>
          <w:rFonts w:ascii="Times New Roman" w:hAnsi="Times New Roman"/>
        </w:rPr>
      </w:pPr>
      <w:r>
        <w:rPr>
          <w:rFonts w:ascii="Times New Roman" w:hAnsi="Times New Roman"/>
        </w:rPr>
        <w:t>风、光等新能源分布式发电</w:t>
      </w:r>
      <w:r>
        <w:rPr>
          <w:rFonts w:hint="eastAsia" w:ascii="Times New Roman" w:hAnsi="Times New Roman"/>
        </w:rPr>
        <w:t>系统的</w:t>
      </w:r>
      <w:r>
        <w:rPr>
          <w:rFonts w:ascii="Times New Roman" w:hAnsi="Times New Roman"/>
        </w:rPr>
        <w:t>防孤岛措施；</w:t>
      </w:r>
    </w:p>
    <w:p w14:paraId="0381A22F">
      <w:pPr>
        <w:pStyle w:val="42"/>
        <w:numPr>
          <w:ilvl w:val="0"/>
          <w:numId w:val="30"/>
        </w:numPr>
        <w:adjustRightInd w:val="0"/>
        <w:ind w:left="0" w:firstLine="420"/>
        <w:rPr>
          <w:rFonts w:ascii="Times New Roman" w:hAnsi="Times New Roman"/>
        </w:rPr>
      </w:pPr>
      <w:r>
        <w:rPr>
          <w:rFonts w:ascii="Times New Roman" w:hAnsi="Times New Roman"/>
        </w:rPr>
        <w:t>变压器中性点接地方式、重复接地、电气设备和电气装置的保护接地、等电位联结、自动切断电源等间接接触防护措施。</w:t>
      </w:r>
    </w:p>
    <w:p w14:paraId="59B1E108">
      <w:pPr>
        <w:numPr>
          <w:ilvl w:val="2"/>
          <w:numId w:val="2"/>
        </w:numPr>
        <w:spacing w:before="156" w:beforeLines="50" w:after="156" w:afterLines="50"/>
        <w:ind w:left="0"/>
        <w:outlineLvl w:val="1"/>
        <w:rPr>
          <w:rFonts w:hint="eastAsia" w:ascii="黑体" w:hAnsi="黑体" w:eastAsia="黑体" w:cs="黑体"/>
        </w:rPr>
      </w:pPr>
      <w:bookmarkStart w:id="203" w:name="_Toc25290"/>
      <w:r>
        <w:rPr>
          <w:rFonts w:hint="eastAsia" w:ascii="黑体" w:hAnsi="黑体" w:eastAsia="黑体" w:cs="黑体"/>
        </w:rPr>
        <w:t>通信</w:t>
      </w:r>
      <w:bookmarkEnd w:id="203"/>
    </w:p>
    <w:p w14:paraId="25537665">
      <w:pPr>
        <w:pStyle w:val="93"/>
        <w:spacing w:before="156" w:beforeLines="50" w:after="156" w:afterLines="50"/>
        <w:rPr>
          <w:rFonts w:hint="eastAsia" w:ascii="黑体" w:hAnsi="黑体" w:eastAsia="黑体" w:cs="黑体"/>
          <w:szCs w:val="22"/>
        </w:rPr>
      </w:pPr>
      <w:r>
        <w:rPr>
          <w:rFonts w:hint="eastAsia" w:ascii="黑体" w:hAnsi="黑体" w:eastAsia="黑体" w:cs="黑体"/>
          <w:szCs w:val="22"/>
        </w:rPr>
        <w:t>电话系统</w:t>
      </w:r>
    </w:p>
    <w:p w14:paraId="55D897D2">
      <w:pPr>
        <w:pStyle w:val="23"/>
        <w:spacing w:after="0"/>
        <w:ind w:firstLineChars="200"/>
        <w:rPr>
          <w:rFonts w:ascii="Times New Roman" w:hAnsi="Times New Roman" w:eastAsia="宋体" w:cs="Times New Roman"/>
          <w:kern w:val="0"/>
          <w:szCs w:val="20"/>
        </w:rPr>
      </w:pPr>
      <w:r>
        <w:rPr>
          <w:rFonts w:hint="eastAsia" w:ascii="Times New Roman" w:hAnsi="Times New Roman" w:cs="Times New Roman"/>
          <w:szCs w:val="22"/>
        </w:rPr>
        <w:t>按照</w:t>
      </w:r>
      <w:r>
        <w:rPr>
          <w:rFonts w:hint="eastAsia" w:ascii="Times New Roman" w:hAnsi="Times New Roman" w:eastAsia="宋体" w:cs="Times New Roman"/>
          <w:kern w:val="0"/>
          <w:szCs w:val="20"/>
        </w:rPr>
        <w:t>GB/T 50622</w:t>
      </w:r>
      <w:r>
        <w:rPr>
          <w:rFonts w:hint="eastAsia" w:ascii="Times New Roman" w:hAnsi="Times New Roman" w:cs="Times New Roman"/>
          <w:kern w:val="0"/>
          <w:szCs w:val="20"/>
        </w:rPr>
        <w:t>、</w:t>
      </w:r>
      <w:r>
        <w:rPr>
          <w:rFonts w:hint="eastAsia" w:ascii="Times New Roman" w:hAnsi="Times New Roman" w:eastAsia="宋体" w:cs="Times New Roman"/>
          <w:szCs w:val="22"/>
        </w:rPr>
        <w:t>GB/T 51248</w:t>
      </w:r>
      <w:r>
        <w:rPr>
          <w:rFonts w:hint="eastAsia" w:ascii="Times New Roman" w:hAnsi="Times New Roman" w:cs="Times New Roman"/>
          <w:szCs w:val="22"/>
        </w:rPr>
        <w:t>等相关要求</w:t>
      </w:r>
      <w:r>
        <w:rPr>
          <w:rFonts w:hint="eastAsia" w:ascii="Times New Roman" w:hAnsi="Times New Roman" w:eastAsia="宋体" w:cs="Times New Roman"/>
          <w:szCs w:val="22"/>
        </w:rPr>
        <w:t>说明电话系统的设置情况，主要包括：生产调度电话的系统组成、网络结构、点位布置、中继方式等；消防直通电话的接入方式、点位布置、接警要求等。</w:t>
      </w:r>
    </w:p>
    <w:p w14:paraId="60058E24">
      <w:pPr>
        <w:pStyle w:val="93"/>
        <w:spacing w:before="156" w:beforeLines="50" w:after="156" w:afterLines="50"/>
        <w:rPr>
          <w:rFonts w:hint="eastAsia" w:ascii="黑体" w:hAnsi="黑体" w:eastAsia="黑体" w:cs="黑体"/>
          <w:szCs w:val="22"/>
        </w:rPr>
      </w:pPr>
      <w:r>
        <w:rPr>
          <w:rFonts w:hint="eastAsia" w:ascii="黑体" w:hAnsi="黑体" w:eastAsia="黑体" w:cs="黑体"/>
          <w:szCs w:val="22"/>
        </w:rPr>
        <w:t>扩音对讲及广播系统</w:t>
      </w:r>
    </w:p>
    <w:p w14:paraId="4A82F206">
      <w:pPr>
        <w:pStyle w:val="23"/>
        <w:spacing w:after="0"/>
        <w:ind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按照GB 50526、GB/T 5124等相关要求</w:t>
      </w:r>
      <w:r>
        <w:rPr>
          <w:rFonts w:hint="eastAsia" w:ascii="Times New Roman" w:hAnsi="Times New Roman" w:eastAsia="宋体" w:cs="Times New Roman"/>
          <w:szCs w:val="22"/>
        </w:rPr>
        <w:t>说明扩音对讲及广播系统的设置情况</w:t>
      </w:r>
      <w:r>
        <w:rPr>
          <w:rFonts w:hint="eastAsia" w:ascii="Times New Roman" w:hAnsi="Times New Roman" w:eastAsia="宋体" w:cs="Times New Roman"/>
          <w:kern w:val="0"/>
          <w:szCs w:val="20"/>
        </w:rPr>
        <w:t>，主要包括：</w:t>
      </w:r>
    </w:p>
    <w:p w14:paraId="1483086B">
      <w:pPr>
        <w:pStyle w:val="23"/>
        <w:spacing w:after="0"/>
        <w:ind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a）扩音对讲及广播系统的技术制式、设备组成以及系统架构；</w:t>
      </w:r>
    </w:p>
    <w:p w14:paraId="6536E8E9">
      <w:pPr>
        <w:pStyle w:val="23"/>
        <w:spacing w:after="0"/>
        <w:ind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b）扬声器及话站的配置原则及安装位置；</w:t>
      </w:r>
    </w:p>
    <w:p w14:paraId="6DDFA2D4">
      <w:pPr>
        <w:pStyle w:val="23"/>
        <w:spacing w:after="0"/>
        <w:ind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c）系统与火灾报警、可燃气体探测等第三方系统的联动报警方案；</w:t>
      </w:r>
    </w:p>
    <w:p w14:paraId="4550FB5D">
      <w:pPr>
        <w:pStyle w:val="23"/>
        <w:spacing w:after="0"/>
        <w:ind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d）针对高含硫化氢工况，说明应急疏散广播和社区广播的工程配置，包括技术制式、设备组成、系统架构、点位布置、联动报警方案等。</w:t>
      </w:r>
    </w:p>
    <w:p w14:paraId="137941FA">
      <w:pPr>
        <w:pStyle w:val="93"/>
        <w:spacing w:before="156" w:beforeLines="50" w:after="156" w:afterLines="50"/>
        <w:rPr>
          <w:rFonts w:hint="eastAsia" w:ascii="黑体" w:hAnsi="黑体" w:eastAsia="黑体" w:cs="黑体"/>
          <w:szCs w:val="22"/>
        </w:rPr>
      </w:pPr>
      <w:r>
        <w:rPr>
          <w:rFonts w:hint="eastAsia" w:ascii="黑体" w:hAnsi="黑体" w:eastAsia="黑体" w:cs="黑体"/>
          <w:szCs w:val="22"/>
        </w:rPr>
        <w:t>应急通信系统</w:t>
      </w:r>
    </w:p>
    <w:p w14:paraId="4E7F7831">
      <w:pPr>
        <w:pStyle w:val="23"/>
        <w:spacing w:after="0"/>
        <w:ind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说明应急通信系统设置情况，主要包括：采用的技术制式，设备类型；采用的设备环境要求。</w:t>
      </w:r>
    </w:p>
    <w:p w14:paraId="15F2FADD">
      <w:pPr>
        <w:numPr>
          <w:ilvl w:val="2"/>
          <w:numId w:val="2"/>
        </w:numPr>
        <w:spacing w:before="156" w:beforeLines="50" w:after="156" w:afterLines="50"/>
        <w:ind w:left="0"/>
        <w:outlineLvl w:val="1"/>
        <w:rPr>
          <w:rFonts w:hint="eastAsia" w:ascii="黑体" w:hAnsi="黑体" w:eastAsia="黑体" w:cs="黑体"/>
        </w:rPr>
      </w:pPr>
      <w:bookmarkStart w:id="204" w:name="_Toc12586"/>
      <w:r>
        <w:rPr>
          <w:rFonts w:hint="eastAsia" w:ascii="黑体" w:hAnsi="黑体" w:eastAsia="黑体" w:cs="黑体"/>
        </w:rPr>
        <w:t>热工</w:t>
      </w:r>
      <w:bookmarkEnd w:id="204"/>
    </w:p>
    <w:p w14:paraId="7CCE3591">
      <w:pPr>
        <w:pStyle w:val="42"/>
        <w:ind w:firstLine="420"/>
        <w:rPr>
          <w:rFonts w:ascii="Times New Roman" w:hAnsi="Times New Roman"/>
        </w:rPr>
      </w:pPr>
      <w:r>
        <w:rPr>
          <w:rFonts w:hint="eastAsia" w:ascii="Times New Roman" w:hAnsi="Times New Roman"/>
        </w:rPr>
        <w:t>按照</w:t>
      </w:r>
      <w:r>
        <w:rPr>
          <w:rFonts w:ascii="Times New Roman" w:hAnsi="Times New Roman"/>
        </w:rPr>
        <w:t>GB 50041、GB/T 36699、SY/T 0524、SY/T 7405</w:t>
      </w:r>
      <w:r>
        <w:rPr>
          <w:rFonts w:hint="eastAsia" w:ascii="Times New Roman" w:hAnsi="Times New Roman"/>
        </w:rPr>
        <w:t>等相关要求</w:t>
      </w:r>
      <w:r>
        <w:rPr>
          <w:rFonts w:ascii="Times New Roman" w:hAnsi="Times New Roman"/>
        </w:rPr>
        <w:t>，说明热力的安全措施，主要包括：</w:t>
      </w:r>
    </w:p>
    <w:p w14:paraId="7519CB40">
      <w:pPr>
        <w:pStyle w:val="42"/>
        <w:numPr>
          <w:ilvl w:val="0"/>
          <w:numId w:val="31"/>
        </w:numPr>
        <w:adjustRightInd w:val="0"/>
        <w:ind w:left="0" w:firstLine="420"/>
        <w:rPr>
          <w:rFonts w:ascii="Times New Roman" w:hAnsi="Times New Roman"/>
        </w:rPr>
      </w:pPr>
      <w:r>
        <w:rPr>
          <w:rFonts w:ascii="Times New Roman" w:hAnsi="Times New Roman"/>
        </w:rPr>
        <w:t>锅炉</w:t>
      </w:r>
      <w:r>
        <w:rPr>
          <w:rFonts w:hint="eastAsia" w:ascii="Times New Roman" w:hAnsi="Times New Roman"/>
        </w:rPr>
        <w:t>、导热油炉</w:t>
      </w:r>
      <w:r>
        <w:rPr>
          <w:rFonts w:ascii="Times New Roman" w:hAnsi="Times New Roman"/>
        </w:rPr>
        <w:t>及管道系统泄放措施；</w:t>
      </w:r>
    </w:p>
    <w:p w14:paraId="7C1F8E08">
      <w:pPr>
        <w:pStyle w:val="42"/>
        <w:numPr>
          <w:ilvl w:val="0"/>
          <w:numId w:val="31"/>
        </w:numPr>
        <w:adjustRightInd w:val="0"/>
        <w:ind w:left="0" w:firstLine="420"/>
        <w:rPr>
          <w:rFonts w:ascii="Times New Roman" w:hAnsi="Times New Roman"/>
        </w:rPr>
      </w:pPr>
      <w:r>
        <w:rPr>
          <w:rFonts w:hint="eastAsia" w:ascii="Times New Roman" w:hAnsi="Times New Roman"/>
        </w:rPr>
        <w:t>装置</w:t>
      </w:r>
      <w:r>
        <w:rPr>
          <w:rFonts w:ascii="Times New Roman" w:hAnsi="Times New Roman"/>
        </w:rPr>
        <w:t>燃料气供应管道紧急切断措施；</w:t>
      </w:r>
    </w:p>
    <w:p w14:paraId="0B1B1AA0">
      <w:pPr>
        <w:pStyle w:val="42"/>
        <w:numPr>
          <w:ilvl w:val="0"/>
          <w:numId w:val="31"/>
        </w:numPr>
        <w:adjustRightInd w:val="0"/>
        <w:ind w:left="0" w:firstLine="420"/>
        <w:rPr>
          <w:rFonts w:ascii="Times New Roman" w:hAnsi="Times New Roman"/>
        </w:rPr>
      </w:pPr>
      <w:r>
        <w:rPr>
          <w:rFonts w:ascii="Times New Roman" w:hAnsi="Times New Roman"/>
        </w:rPr>
        <w:t>锅炉</w:t>
      </w:r>
      <w:r>
        <w:rPr>
          <w:rFonts w:hint="eastAsia" w:ascii="Times New Roman" w:hAnsi="Times New Roman"/>
        </w:rPr>
        <w:t>和</w:t>
      </w:r>
      <w:r>
        <w:rPr>
          <w:rFonts w:ascii="Times New Roman" w:hAnsi="Times New Roman"/>
        </w:rPr>
        <w:t>加热炉等燃烧器熄火保护、设备过热保护措施；</w:t>
      </w:r>
    </w:p>
    <w:p w14:paraId="3FFAD185">
      <w:pPr>
        <w:pStyle w:val="42"/>
        <w:numPr>
          <w:ilvl w:val="0"/>
          <w:numId w:val="31"/>
        </w:numPr>
        <w:adjustRightInd w:val="0"/>
        <w:ind w:left="0" w:firstLine="420"/>
        <w:rPr>
          <w:rFonts w:ascii="Times New Roman" w:hAnsi="Times New Roman"/>
        </w:rPr>
      </w:pPr>
      <w:r>
        <w:rPr>
          <w:rFonts w:ascii="Times New Roman" w:hAnsi="Times New Roman"/>
        </w:rPr>
        <w:t>热泵机组压缩机与换热器过热保护、冷剂泄漏保护、流量开关措施；</w:t>
      </w:r>
    </w:p>
    <w:p w14:paraId="005855F9">
      <w:pPr>
        <w:pStyle w:val="42"/>
        <w:numPr>
          <w:ilvl w:val="0"/>
          <w:numId w:val="31"/>
        </w:numPr>
        <w:adjustRightInd w:val="0"/>
        <w:ind w:left="0" w:firstLine="420"/>
        <w:rPr>
          <w:rFonts w:ascii="Times New Roman" w:hAnsi="Times New Roman"/>
        </w:rPr>
      </w:pPr>
      <w:r>
        <w:rPr>
          <w:rFonts w:ascii="Times New Roman" w:hAnsi="Times New Roman"/>
        </w:rPr>
        <w:t>管道及设备采取的保温、防腐、防冻及热膨胀补偿措施。</w:t>
      </w:r>
    </w:p>
    <w:p w14:paraId="08197543">
      <w:pPr>
        <w:numPr>
          <w:ilvl w:val="2"/>
          <w:numId w:val="2"/>
        </w:numPr>
        <w:spacing w:before="156" w:beforeLines="50" w:after="156" w:afterLines="50"/>
        <w:ind w:left="0"/>
        <w:outlineLvl w:val="1"/>
        <w:rPr>
          <w:rFonts w:hint="eastAsia" w:ascii="黑体" w:hAnsi="黑体" w:eastAsia="黑体" w:cs="黑体"/>
        </w:rPr>
      </w:pPr>
      <w:bookmarkStart w:id="205" w:name="_Toc7839"/>
      <w:r>
        <w:rPr>
          <w:rFonts w:hint="eastAsia" w:ascii="黑体" w:hAnsi="黑体" w:eastAsia="黑体" w:cs="黑体"/>
        </w:rPr>
        <w:t>暖通</w:t>
      </w:r>
      <w:bookmarkEnd w:id="205"/>
    </w:p>
    <w:p w14:paraId="43BFD5C2">
      <w:pPr>
        <w:pStyle w:val="93"/>
        <w:spacing w:before="156" w:beforeLines="50" w:after="156" w:afterLines="50"/>
        <w:rPr>
          <w:rFonts w:hint="eastAsia" w:ascii="黑体" w:hAnsi="黑体" w:eastAsia="黑体" w:cs="黑体"/>
        </w:rPr>
      </w:pPr>
      <w:r>
        <w:rPr>
          <w:rFonts w:hint="eastAsia" w:ascii="黑体" w:hAnsi="黑体" w:eastAsia="黑体" w:cs="黑体"/>
        </w:rPr>
        <w:t>供暖空调</w:t>
      </w:r>
    </w:p>
    <w:p w14:paraId="730D0574">
      <w:pPr>
        <w:pStyle w:val="42"/>
        <w:ind w:firstLine="420"/>
        <w:rPr>
          <w:rFonts w:ascii="Times New Roman" w:hAnsi="Times New Roman"/>
        </w:rPr>
      </w:pPr>
      <w:r>
        <w:rPr>
          <w:rFonts w:hint="eastAsia" w:ascii="Times New Roman" w:hAnsi="Times New Roman"/>
        </w:rPr>
        <w:t>按照</w:t>
      </w:r>
      <w:r>
        <w:rPr>
          <w:rFonts w:ascii="Times New Roman" w:hAnsi="Times New Roman"/>
        </w:rPr>
        <w:t>GB</w:t>
      </w:r>
      <w:r>
        <w:rPr>
          <w:rFonts w:hint="eastAsia" w:ascii="Times New Roman" w:hAnsi="Times New Roman"/>
        </w:rPr>
        <w:t xml:space="preserve"> </w:t>
      </w:r>
      <w:r>
        <w:rPr>
          <w:rFonts w:ascii="Times New Roman" w:hAnsi="Times New Roman"/>
        </w:rPr>
        <w:t>50019、SY/T 7021</w:t>
      </w:r>
      <w:r>
        <w:rPr>
          <w:rFonts w:hint="eastAsia" w:ascii="Times New Roman" w:hAnsi="Times New Roman"/>
        </w:rPr>
        <w:t>等相关要求</w:t>
      </w:r>
      <w:r>
        <w:rPr>
          <w:rFonts w:ascii="Times New Roman" w:hAnsi="Times New Roman"/>
        </w:rPr>
        <w:t>说明建筑物通风及通风设备的设置情况</w:t>
      </w:r>
      <w:r>
        <w:rPr>
          <w:rFonts w:hint="eastAsia" w:ascii="Times New Roman" w:hAnsi="Times New Roman"/>
        </w:rPr>
        <w:t>，</w:t>
      </w:r>
      <w:r>
        <w:rPr>
          <w:rFonts w:ascii="Times New Roman" w:hAnsi="Times New Roman"/>
        </w:rPr>
        <w:t>主要包括：</w:t>
      </w:r>
    </w:p>
    <w:p w14:paraId="67673C96">
      <w:pPr>
        <w:pStyle w:val="42"/>
        <w:numPr>
          <w:ilvl w:val="0"/>
          <w:numId w:val="32"/>
        </w:numPr>
        <w:adjustRightInd w:val="0"/>
        <w:ind w:left="0" w:firstLine="420"/>
        <w:rPr>
          <w:rFonts w:ascii="Times New Roman" w:hAnsi="Times New Roman"/>
        </w:rPr>
      </w:pPr>
      <w:r>
        <w:rPr>
          <w:rFonts w:ascii="Times New Roman" w:hAnsi="Times New Roman"/>
        </w:rPr>
        <w:t>房间名称、通风方式、换气次数、</w:t>
      </w:r>
      <w:r>
        <w:rPr>
          <w:rFonts w:hint="eastAsia" w:ascii="Times New Roman" w:hAnsi="Times New Roman"/>
        </w:rPr>
        <w:t>明确</w:t>
      </w:r>
      <w:r>
        <w:rPr>
          <w:rFonts w:ascii="Times New Roman" w:hAnsi="Times New Roman"/>
        </w:rPr>
        <w:t>通风设备</w:t>
      </w:r>
      <w:r>
        <w:rPr>
          <w:rFonts w:hint="eastAsia" w:ascii="Times New Roman" w:hAnsi="Times New Roman"/>
        </w:rPr>
        <w:t>的型式、防爆等级和吸风口位置</w:t>
      </w:r>
      <w:r>
        <w:rPr>
          <w:rFonts w:ascii="Times New Roman" w:hAnsi="Times New Roman"/>
        </w:rPr>
        <w:t>等；</w:t>
      </w:r>
    </w:p>
    <w:p w14:paraId="4515D650">
      <w:pPr>
        <w:pStyle w:val="42"/>
        <w:numPr>
          <w:ilvl w:val="0"/>
          <w:numId w:val="32"/>
        </w:numPr>
        <w:adjustRightInd w:val="0"/>
        <w:ind w:left="0" w:firstLine="420"/>
        <w:rPr>
          <w:rFonts w:ascii="Times New Roman" w:hAnsi="Times New Roman"/>
        </w:rPr>
      </w:pPr>
      <w:r>
        <w:rPr>
          <w:rFonts w:ascii="Times New Roman" w:hAnsi="Times New Roman"/>
        </w:rPr>
        <w:t>对位于严寒地区的生产及辅助建筑，在同时设有进风和排风设施时，说明进风与机械排风设施的联动情况；对于沙漠地区的通风设施应说明防沙防尘措施；</w:t>
      </w:r>
    </w:p>
    <w:p w14:paraId="59B58EE8">
      <w:pPr>
        <w:pStyle w:val="42"/>
        <w:numPr>
          <w:ilvl w:val="0"/>
          <w:numId w:val="32"/>
        </w:numPr>
        <w:adjustRightInd w:val="0"/>
        <w:ind w:left="0" w:firstLine="420"/>
        <w:rPr>
          <w:rFonts w:ascii="Times New Roman" w:hAnsi="Times New Roman"/>
        </w:rPr>
      </w:pPr>
      <w:r>
        <w:rPr>
          <w:rFonts w:ascii="Times New Roman" w:hAnsi="Times New Roman"/>
        </w:rPr>
        <w:t>用于排出氢气与空气混合物的全面排风系统的吸风口位置；</w:t>
      </w:r>
    </w:p>
    <w:p w14:paraId="08BBB299">
      <w:pPr>
        <w:pStyle w:val="42"/>
        <w:numPr>
          <w:ilvl w:val="0"/>
          <w:numId w:val="32"/>
        </w:numPr>
        <w:adjustRightInd w:val="0"/>
        <w:ind w:left="0" w:firstLine="420"/>
        <w:rPr>
          <w:rFonts w:ascii="Times New Roman" w:hAnsi="Times New Roman"/>
        </w:rPr>
      </w:pPr>
      <w:r>
        <w:rPr>
          <w:rFonts w:ascii="Times New Roman" w:hAnsi="Times New Roman"/>
        </w:rPr>
        <w:t>有毒有害气体或爆炸危险气体建筑物的事故通风设置及运行情况</w:t>
      </w:r>
      <w:r>
        <w:rPr>
          <w:rFonts w:hint="eastAsia" w:ascii="Times New Roman" w:hAnsi="Times New Roman"/>
        </w:rPr>
        <w:t>。</w:t>
      </w:r>
    </w:p>
    <w:p w14:paraId="29AE9121">
      <w:pPr>
        <w:pStyle w:val="93"/>
        <w:spacing w:before="156" w:beforeLines="50" w:after="156" w:afterLines="50"/>
        <w:rPr>
          <w:rFonts w:hint="eastAsia" w:ascii="黑体" w:hAnsi="黑体" w:eastAsia="黑体" w:cs="黑体"/>
        </w:rPr>
      </w:pPr>
      <w:r>
        <w:rPr>
          <w:rFonts w:hint="eastAsia" w:ascii="黑体" w:hAnsi="黑体" w:eastAsia="黑体" w:cs="黑体"/>
        </w:rPr>
        <w:t>防烟排烟</w:t>
      </w:r>
    </w:p>
    <w:p w14:paraId="160F104F">
      <w:pPr>
        <w:pStyle w:val="42"/>
        <w:adjustRightInd w:val="0"/>
        <w:ind w:firstLine="420"/>
        <w:rPr>
          <w:rFonts w:ascii="Times New Roman" w:hAnsi="Times New Roman"/>
        </w:rPr>
      </w:pPr>
      <w:r>
        <w:rPr>
          <w:rFonts w:hint="eastAsia" w:ascii="Times New Roman" w:hAnsi="Times New Roman"/>
        </w:rPr>
        <w:t>按照</w:t>
      </w:r>
      <w:r>
        <w:rPr>
          <w:rFonts w:ascii="Times New Roman" w:hAnsi="Times New Roman"/>
        </w:rPr>
        <w:t>GB</w:t>
      </w:r>
      <w:r>
        <w:rPr>
          <w:rFonts w:hint="eastAsia" w:ascii="Times New Roman" w:hAnsi="Times New Roman"/>
        </w:rPr>
        <w:t xml:space="preserve"> </w:t>
      </w:r>
      <w:r>
        <w:rPr>
          <w:rFonts w:ascii="Times New Roman" w:hAnsi="Times New Roman"/>
        </w:rPr>
        <w:t>51251</w:t>
      </w:r>
      <w:r>
        <w:rPr>
          <w:rFonts w:hint="eastAsia" w:ascii="Times New Roman" w:hAnsi="Times New Roman"/>
        </w:rPr>
        <w:t>、</w:t>
      </w:r>
      <w:r>
        <w:rPr>
          <w:rFonts w:ascii="Times New Roman" w:hAnsi="Times New Roman"/>
        </w:rPr>
        <w:t>GB</w:t>
      </w:r>
      <w:r>
        <w:rPr>
          <w:rFonts w:hint="eastAsia" w:ascii="Times New Roman" w:hAnsi="Times New Roman"/>
        </w:rPr>
        <w:t xml:space="preserve"> </w:t>
      </w:r>
      <w:r>
        <w:rPr>
          <w:rFonts w:ascii="Times New Roman" w:hAnsi="Times New Roman"/>
        </w:rPr>
        <w:t>55036、GB</w:t>
      </w:r>
      <w:r>
        <w:rPr>
          <w:rFonts w:hint="eastAsia" w:ascii="Times New Roman" w:hAnsi="Times New Roman"/>
        </w:rPr>
        <w:t xml:space="preserve"> </w:t>
      </w:r>
      <w:r>
        <w:rPr>
          <w:rFonts w:ascii="Times New Roman" w:hAnsi="Times New Roman"/>
        </w:rPr>
        <w:t>55037</w:t>
      </w:r>
      <w:r>
        <w:rPr>
          <w:rFonts w:hint="eastAsia" w:ascii="Times New Roman" w:hAnsi="Times New Roman"/>
        </w:rPr>
        <w:t>等相关要求，</w:t>
      </w:r>
      <w:r>
        <w:rPr>
          <w:rFonts w:ascii="Times New Roman" w:hAnsi="Times New Roman"/>
        </w:rPr>
        <w:t>说明防排烟区域</w:t>
      </w:r>
      <w:r>
        <w:rPr>
          <w:rFonts w:hint="eastAsia" w:ascii="Times New Roman" w:hAnsi="Times New Roman"/>
        </w:rPr>
        <w:t>、</w:t>
      </w:r>
      <w:r>
        <w:rPr>
          <w:rFonts w:ascii="Times New Roman" w:hAnsi="Times New Roman"/>
        </w:rPr>
        <w:t>形式</w:t>
      </w:r>
      <w:r>
        <w:rPr>
          <w:rFonts w:hint="eastAsia" w:ascii="Times New Roman" w:hAnsi="Times New Roman"/>
        </w:rPr>
        <w:t>及</w:t>
      </w:r>
      <w:r>
        <w:rPr>
          <w:rFonts w:ascii="Times New Roman" w:hAnsi="Times New Roman"/>
        </w:rPr>
        <w:t>系统设置情况</w:t>
      </w:r>
      <w:r>
        <w:rPr>
          <w:rFonts w:hint="eastAsia" w:ascii="Times New Roman" w:hAnsi="Times New Roman"/>
        </w:rPr>
        <w:t>，</w:t>
      </w:r>
      <w:r>
        <w:rPr>
          <w:rFonts w:ascii="Times New Roman" w:hAnsi="Times New Roman"/>
        </w:rPr>
        <w:t>主要包括：</w:t>
      </w:r>
    </w:p>
    <w:p w14:paraId="7C47AA07">
      <w:pPr>
        <w:pStyle w:val="42"/>
        <w:numPr>
          <w:ilvl w:val="0"/>
          <w:numId w:val="33"/>
        </w:numPr>
        <w:adjustRightInd w:val="0"/>
        <w:ind w:left="0" w:firstLine="420"/>
        <w:rPr>
          <w:rFonts w:ascii="Times New Roman" w:hAnsi="Times New Roman"/>
        </w:rPr>
      </w:pPr>
      <w:r>
        <w:rPr>
          <w:rFonts w:ascii="Times New Roman" w:hAnsi="Times New Roman"/>
        </w:rPr>
        <w:t>自然排烟</w:t>
      </w:r>
      <w:r>
        <w:rPr>
          <w:rFonts w:hint="eastAsia" w:ascii="Times New Roman" w:hAnsi="Times New Roman"/>
        </w:rPr>
        <w:t>或机械排烟的</w:t>
      </w:r>
      <w:r>
        <w:rPr>
          <w:rFonts w:ascii="Times New Roman" w:hAnsi="Times New Roman"/>
        </w:rPr>
        <w:t>区域、系统设置、挡烟垂壁的设置等；</w:t>
      </w:r>
    </w:p>
    <w:p w14:paraId="540FEFBA">
      <w:pPr>
        <w:pStyle w:val="42"/>
        <w:numPr>
          <w:ilvl w:val="0"/>
          <w:numId w:val="33"/>
        </w:numPr>
        <w:adjustRightInd w:val="0"/>
        <w:ind w:left="0" w:firstLine="420"/>
        <w:rPr>
          <w:rFonts w:ascii="Times New Roman" w:hAnsi="Times New Roman"/>
        </w:rPr>
      </w:pPr>
      <w:r>
        <w:rPr>
          <w:rFonts w:ascii="Times New Roman" w:hAnsi="Times New Roman"/>
        </w:rPr>
        <w:t>设置补风系统时，说明排烟补风的方式及设置情况；</w:t>
      </w:r>
    </w:p>
    <w:p w14:paraId="4FA6259B">
      <w:pPr>
        <w:pStyle w:val="42"/>
        <w:numPr>
          <w:ilvl w:val="0"/>
          <w:numId w:val="33"/>
        </w:numPr>
        <w:adjustRightInd w:val="0"/>
        <w:ind w:left="0" w:firstLine="420"/>
        <w:rPr>
          <w:rFonts w:ascii="Times New Roman" w:hAnsi="Times New Roman"/>
        </w:rPr>
      </w:pPr>
      <w:r>
        <w:rPr>
          <w:rFonts w:ascii="Times New Roman" w:hAnsi="Times New Roman"/>
        </w:rPr>
        <w:t>挡烟垂壁、防排烟系统的控制方式。</w:t>
      </w:r>
    </w:p>
    <w:p w14:paraId="0D071DF1">
      <w:pPr>
        <w:numPr>
          <w:ilvl w:val="2"/>
          <w:numId w:val="2"/>
        </w:numPr>
        <w:spacing w:before="156" w:beforeLines="50" w:after="156" w:afterLines="50"/>
        <w:ind w:left="0"/>
        <w:outlineLvl w:val="1"/>
        <w:rPr>
          <w:rFonts w:hint="eastAsia" w:ascii="黑体" w:hAnsi="黑体" w:eastAsia="黑体" w:cs="黑体"/>
        </w:rPr>
      </w:pPr>
      <w:bookmarkStart w:id="206" w:name="_Toc30706"/>
      <w:r>
        <w:rPr>
          <w:rFonts w:hint="eastAsia" w:ascii="黑体" w:hAnsi="黑体" w:eastAsia="黑体" w:cs="黑体"/>
        </w:rPr>
        <w:t>建筑与结构</w:t>
      </w:r>
      <w:bookmarkEnd w:id="206"/>
    </w:p>
    <w:p w14:paraId="4DDB6C2B">
      <w:pPr>
        <w:pStyle w:val="93"/>
        <w:spacing w:before="156" w:beforeLines="50" w:after="156" w:afterLines="50"/>
        <w:rPr>
          <w:rFonts w:hint="eastAsia" w:ascii="黑体" w:hAnsi="黑体" w:eastAsia="黑体" w:cs="黑体"/>
        </w:rPr>
      </w:pPr>
      <w:r>
        <w:rPr>
          <w:rFonts w:hint="eastAsia" w:ascii="黑体" w:hAnsi="黑体" w:eastAsia="黑体" w:cs="黑体"/>
        </w:rPr>
        <w:t>主要建(构)筑物</w:t>
      </w:r>
    </w:p>
    <w:p w14:paraId="1A9862CF">
      <w:pPr>
        <w:pStyle w:val="42"/>
        <w:ind w:firstLine="420"/>
        <w:rPr>
          <w:rFonts w:ascii="Times New Roman" w:hAnsi="Times New Roman"/>
          <w:kern w:val="0"/>
          <w:szCs w:val="20"/>
        </w:rPr>
      </w:pPr>
      <w:r>
        <w:rPr>
          <w:rFonts w:hint="eastAsia" w:ascii="Times New Roman" w:hAnsi="Times New Roman"/>
        </w:rPr>
        <w:t>按照GB 50016、GB 51251、GB 55037</w:t>
      </w:r>
      <w:r>
        <w:rPr>
          <w:rFonts w:hint="eastAsia" w:ascii="Times New Roman" w:hAnsi="Times New Roman"/>
          <w:kern w:val="0"/>
          <w:szCs w:val="20"/>
        </w:rPr>
        <w:t>等相关要求</w:t>
      </w:r>
      <w:r>
        <w:rPr>
          <w:rFonts w:hint="eastAsia" w:ascii="Times New Roman" w:hAnsi="Times New Roman"/>
        </w:rPr>
        <w:t>，</w:t>
      </w:r>
      <w:r>
        <w:rPr>
          <w:rFonts w:hint="eastAsia" w:ascii="Times New Roman" w:hAnsi="Times New Roman"/>
          <w:kern w:val="0"/>
          <w:szCs w:val="20"/>
        </w:rPr>
        <w:t>说明</w:t>
      </w:r>
      <w:r>
        <w:rPr>
          <w:rFonts w:ascii="Times New Roman" w:hAnsi="Times New Roman"/>
          <w:kern w:val="0"/>
          <w:szCs w:val="20"/>
        </w:rPr>
        <w:t>建（构）筑物防火分区、 安全出口及安全疏散距离</w:t>
      </w:r>
      <w:r>
        <w:rPr>
          <w:rFonts w:hint="eastAsia" w:ascii="Times New Roman" w:hAnsi="Times New Roman"/>
          <w:kern w:val="0"/>
          <w:szCs w:val="20"/>
        </w:rPr>
        <w:t>，建（构）筑物设置的防火、泄爆、抗爆、通风、排烟、防腐等安全措施，主要包括：</w:t>
      </w:r>
    </w:p>
    <w:p w14:paraId="422FEA60">
      <w:pPr>
        <w:pStyle w:val="42"/>
        <w:ind w:firstLine="420"/>
        <w:rPr>
          <w:rFonts w:ascii="Times New Roman" w:hAnsi="Times New Roman"/>
          <w:kern w:val="0"/>
          <w:szCs w:val="20"/>
        </w:rPr>
      </w:pPr>
      <w:r>
        <w:rPr>
          <w:rFonts w:hint="eastAsia" w:ascii="Times New Roman" w:hAnsi="Times New Roman"/>
          <w:kern w:val="0"/>
          <w:szCs w:val="20"/>
        </w:rPr>
        <w:t>a）建筑物火灾危险性类别、规范限值、防火分区的设置及面积；</w:t>
      </w:r>
    </w:p>
    <w:p w14:paraId="35CF20A7">
      <w:pPr>
        <w:pStyle w:val="42"/>
        <w:ind w:firstLine="420"/>
        <w:rPr>
          <w:rFonts w:ascii="Times New Roman" w:hAnsi="Times New Roman"/>
          <w:kern w:val="0"/>
          <w:szCs w:val="20"/>
        </w:rPr>
      </w:pPr>
      <w:r>
        <w:rPr>
          <w:rFonts w:hint="eastAsia" w:ascii="Times New Roman" w:hAnsi="Times New Roman"/>
          <w:kern w:val="0"/>
          <w:szCs w:val="20"/>
        </w:rPr>
        <w:t>b）建筑物安全出口的数量、安全疏散距离、疏散宽度等；</w:t>
      </w:r>
    </w:p>
    <w:p w14:paraId="5EAD0D43">
      <w:pPr>
        <w:pStyle w:val="42"/>
        <w:ind w:firstLine="420"/>
        <w:rPr>
          <w:rFonts w:ascii="Times New Roman" w:hAnsi="Times New Roman"/>
          <w:kern w:val="0"/>
          <w:szCs w:val="20"/>
        </w:rPr>
      </w:pPr>
      <w:r>
        <w:rPr>
          <w:rFonts w:hint="eastAsia" w:ascii="Times New Roman" w:hAnsi="Times New Roman"/>
          <w:kern w:val="0"/>
          <w:szCs w:val="20"/>
        </w:rPr>
        <w:t>c）建筑物主体材料的耐火极限、保温材料的燃烧性能等级，防火墙、防火门窗的设置位置及耐火等级；</w:t>
      </w:r>
    </w:p>
    <w:p w14:paraId="4BC736C9">
      <w:pPr>
        <w:pStyle w:val="42"/>
        <w:ind w:firstLine="420"/>
        <w:rPr>
          <w:rFonts w:ascii="Times New Roman" w:hAnsi="Times New Roman"/>
          <w:kern w:val="0"/>
          <w:szCs w:val="20"/>
        </w:rPr>
      </w:pPr>
      <w:r>
        <w:rPr>
          <w:rFonts w:hint="eastAsia" w:ascii="Times New Roman" w:hAnsi="Times New Roman"/>
          <w:kern w:val="0"/>
          <w:szCs w:val="20"/>
        </w:rPr>
        <w:t>d）处于爆炸危险区范围内建筑物的爆炸冲击波峰值，以及采取的抗爆措施；</w:t>
      </w:r>
    </w:p>
    <w:p w14:paraId="7587907B">
      <w:pPr>
        <w:pStyle w:val="42"/>
        <w:ind w:firstLine="420"/>
        <w:rPr>
          <w:rFonts w:ascii="Times New Roman" w:hAnsi="Times New Roman"/>
          <w:kern w:val="0"/>
          <w:szCs w:val="20"/>
        </w:rPr>
      </w:pPr>
      <w:r>
        <w:rPr>
          <w:rFonts w:hint="eastAsia" w:ascii="Times New Roman" w:hAnsi="Times New Roman"/>
          <w:kern w:val="0"/>
          <w:szCs w:val="20"/>
        </w:rPr>
        <w:t>e）有爆炸危险建筑物的介质、泄压面积，采取的泄压、防静电、防止可燃气体积聚等的措施；</w:t>
      </w:r>
    </w:p>
    <w:p w14:paraId="53F25BB8">
      <w:pPr>
        <w:pStyle w:val="42"/>
        <w:ind w:firstLine="420"/>
      </w:pPr>
      <w:r>
        <w:rPr>
          <w:rFonts w:hint="eastAsia" w:ascii="Times New Roman" w:hAnsi="Times New Roman"/>
          <w:kern w:val="0"/>
          <w:szCs w:val="20"/>
        </w:rPr>
        <w:t>f）建筑物</w:t>
      </w:r>
      <w:r>
        <w:rPr>
          <w:rFonts w:ascii="Times New Roman" w:hAnsi="Times New Roman"/>
          <w:kern w:val="0"/>
          <w:szCs w:val="20"/>
        </w:rPr>
        <w:t>采取的其他安全防范设施</w:t>
      </w:r>
      <w:r>
        <w:rPr>
          <w:rFonts w:hint="eastAsia" w:ascii="Times New Roman" w:hAnsi="Times New Roman"/>
          <w:kern w:val="0"/>
          <w:szCs w:val="20"/>
        </w:rPr>
        <w:t>；</w:t>
      </w:r>
    </w:p>
    <w:p w14:paraId="4CD120C0">
      <w:pPr>
        <w:pStyle w:val="42"/>
        <w:ind w:firstLine="420"/>
      </w:pPr>
      <w:r>
        <w:rPr>
          <w:rFonts w:hint="eastAsia" w:ascii="Times New Roman" w:hAnsi="Times New Roman"/>
          <w:kern w:val="0"/>
          <w:szCs w:val="20"/>
        </w:rPr>
        <w:t>g）按表B.15列表说明生产场站新建、改建、扩建的建筑物建筑面积和高度、建筑结构、火灾危险性、耐火等级、泄压比值（对有爆炸危险的甲、乙类生产厂房）等</w:t>
      </w:r>
      <w:r>
        <w:rPr>
          <w:rFonts w:hint="eastAsia"/>
        </w:rPr>
        <w:t>。</w:t>
      </w:r>
    </w:p>
    <w:p w14:paraId="6731AA73">
      <w:pPr>
        <w:pStyle w:val="93"/>
        <w:spacing w:before="156" w:beforeLines="50" w:after="156" w:afterLines="50"/>
        <w:rPr>
          <w:rFonts w:hint="eastAsia" w:ascii="黑体" w:hAnsi="黑体" w:eastAsia="黑体" w:cs="黑体"/>
        </w:rPr>
      </w:pPr>
      <w:r>
        <w:rPr>
          <w:rFonts w:hint="eastAsia" w:ascii="黑体" w:hAnsi="黑体" w:eastAsia="黑体" w:cs="黑体"/>
        </w:rPr>
        <w:t>抗震</w:t>
      </w:r>
    </w:p>
    <w:p w14:paraId="106A40C1">
      <w:pPr>
        <w:pStyle w:val="42"/>
        <w:ind w:firstLine="420"/>
        <w:rPr>
          <w:rFonts w:ascii="Times New Roman" w:hAnsi="Times New Roman"/>
        </w:rPr>
      </w:pPr>
      <w:r>
        <w:rPr>
          <w:rFonts w:hint="eastAsia" w:ascii="Times New Roman" w:hAnsi="Times New Roman"/>
          <w:kern w:val="0"/>
          <w:szCs w:val="20"/>
        </w:rPr>
        <w:t>按照GB</w:t>
      </w:r>
      <w:r>
        <w:rPr>
          <w:rFonts w:ascii="Times New Roman" w:hAnsi="Times New Roman"/>
          <w:kern w:val="0"/>
          <w:szCs w:val="20"/>
        </w:rPr>
        <w:t xml:space="preserve"> </w:t>
      </w:r>
      <w:r>
        <w:rPr>
          <w:rFonts w:hint="eastAsia" w:ascii="Times New Roman" w:hAnsi="Times New Roman"/>
          <w:kern w:val="0"/>
          <w:szCs w:val="20"/>
        </w:rPr>
        <w:t>50223、GB 50453、GB</w:t>
      </w:r>
      <w:r>
        <w:rPr>
          <w:rFonts w:ascii="Times New Roman" w:hAnsi="Times New Roman"/>
          <w:kern w:val="0"/>
          <w:szCs w:val="20"/>
        </w:rPr>
        <w:t xml:space="preserve"> </w:t>
      </w:r>
      <w:r>
        <w:rPr>
          <w:rFonts w:hint="eastAsia" w:ascii="Times New Roman" w:hAnsi="Times New Roman"/>
          <w:kern w:val="0"/>
          <w:szCs w:val="20"/>
        </w:rPr>
        <w:t>55002、GB/T 50011等相关要求，说明所在区域的抗震设防烈度、建（构）筑物抗震设防分类、结构抗震等级、结构形式及采用的抗震构造措施等；说明重点设防类、标准设防类等建（构）筑物在不同场地类别、不同抗震设防烈度区域采取的抗震措施。</w:t>
      </w:r>
    </w:p>
    <w:p w14:paraId="0567ED6C">
      <w:pPr>
        <w:pStyle w:val="93"/>
        <w:spacing w:before="156" w:beforeLines="50" w:after="156" w:afterLines="50"/>
        <w:rPr>
          <w:rFonts w:hint="eastAsia" w:ascii="黑体" w:hAnsi="黑体" w:eastAsia="黑体" w:cs="黑体"/>
        </w:rPr>
      </w:pPr>
      <w:r>
        <w:rPr>
          <w:rFonts w:hint="eastAsia" w:ascii="黑体" w:hAnsi="黑体" w:eastAsia="黑体" w:cs="黑体"/>
        </w:rPr>
        <w:t>地基处理</w:t>
      </w:r>
    </w:p>
    <w:p w14:paraId="086C921A">
      <w:pPr>
        <w:pStyle w:val="42"/>
        <w:ind w:firstLine="420"/>
        <w:rPr>
          <w:rFonts w:ascii="Times New Roman" w:hAnsi="Times New Roman"/>
          <w:kern w:val="0"/>
          <w:szCs w:val="20"/>
        </w:rPr>
      </w:pPr>
      <w:r>
        <w:rPr>
          <w:rFonts w:hint="eastAsia" w:ascii="Times New Roman" w:hAnsi="Times New Roman"/>
          <w:kern w:val="0"/>
          <w:szCs w:val="20"/>
        </w:rPr>
        <w:t>按照GB 50025、GB 50112、GB/T 50942、JGJ 79等相关要求，说明液化土、湿陷性黄土、盐渍土、膨胀岩土、厚填土、淤泥、溶洞等不良地质土层的地基处理方案和采取的安全措施。</w:t>
      </w:r>
    </w:p>
    <w:p w14:paraId="618FB54A">
      <w:pPr>
        <w:pStyle w:val="93"/>
        <w:spacing w:before="156" w:beforeLines="50" w:after="156" w:afterLines="50"/>
        <w:rPr>
          <w:rFonts w:hint="eastAsia" w:ascii="黑体" w:hAnsi="黑体" w:eastAsia="黑体" w:cs="黑体"/>
        </w:rPr>
      </w:pPr>
      <w:r>
        <w:rPr>
          <w:rFonts w:hint="eastAsia" w:ascii="黑体" w:hAnsi="黑体" w:eastAsia="黑体" w:cs="黑体"/>
        </w:rPr>
        <w:t>抗振</w:t>
      </w:r>
    </w:p>
    <w:p w14:paraId="591CA60B">
      <w:pPr>
        <w:pStyle w:val="42"/>
        <w:ind w:firstLine="420"/>
        <w:rPr>
          <w:rFonts w:ascii="Times New Roman" w:hAnsi="Times New Roman"/>
          <w:kern w:val="0"/>
          <w:szCs w:val="20"/>
        </w:rPr>
      </w:pPr>
      <w:r>
        <w:rPr>
          <w:rFonts w:hint="eastAsia" w:ascii="Times New Roman" w:hAnsi="Times New Roman"/>
          <w:kern w:val="0"/>
          <w:szCs w:val="20"/>
        </w:rPr>
        <w:t>按照GB 50190、GB 50463等相关要求，说明振动源、振动传播途径，说明采取减小动力设备振动输出或隔振减振的措施，以及工业建筑的振动控制措施。</w:t>
      </w:r>
    </w:p>
    <w:p w14:paraId="21E9716C">
      <w:pPr>
        <w:numPr>
          <w:ilvl w:val="2"/>
          <w:numId w:val="2"/>
        </w:numPr>
        <w:spacing w:before="156" w:beforeLines="50" w:after="156" w:afterLines="50"/>
        <w:ind w:left="0"/>
        <w:outlineLvl w:val="1"/>
        <w:rPr>
          <w:rFonts w:hint="eastAsia" w:ascii="黑体" w:hAnsi="黑体" w:eastAsia="黑体" w:cs="黑体"/>
        </w:rPr>
      </w:pPr>
      <w:bookmarkStart w:id="207" w:name="_Toc163575747"/>
      <w:bookmarkStart w:id="208" w:name="_Toc163057364"/>
      <w:bookmarkStart w:id="209" w:name="_Toc29502"/>
      <w:bookmarkStart w:id="210" w:name="_Toc17551"/>
      <w:r>
        <w:rPr>
          <w:rFonts w:hint="eastAsia" w:ascii="黑体" w:hAnsi="黑体" w:eastAsia="黑体" w:cs="黑体"/>
        </w:rPr>
        <w:t>防腐</w:t>
      </w:r>
      <w:bookmarkEnd w:id="207"/>
      <w:bookmarkEnd w:id="208"/>
      <w:bookmarkEnd w:id="209"/>
      <w:r>
        <w:rPr>
          <w:rFonts w:hint="eastAsia" w:ascii="黑体" w:hAnsi="黑体" w:eastAsia="黑体" w:cs="黑体"/>
        </w:rPr>
        <w:t>及绝热</w:t>
      </w:r>
      <w:bookmarkEnd w:id="210"/>
    </w:p>
    <w:p w14:paraId="2487F48D">
      <w:pPr>
        <w:pStyle w:val="93"/>
        <w:spacing w:before="156" w:beforeLines="50" w:after="156" w:afterLines="50"/>
      </w:pPr>
      <w:r>
        <w:rPr>
          <w:rFonts w:hint="eastAsia" w:ascii="黑体" w:hAnsi="黑体" w:eastAsia="黑体" w:cs="黑体"/>
        </w:rPr>
        <w:t>防腐</w:t>
      </w:r>
    </w:p>
    <w:p w14:paraId="7F64DA84">
      <w:pPr>
        <w:tabs>
          <w:tab w:val="left" w:pos="0"/>
        </w:tabs>
        <w:autoSpaceDE w:val="0"/>
        <w:autoSpaceDN w:val="0"/>
        <w:adjustRightInd w:val="0"/>
        <w:snapToGrid w:val="0"/>
        <w:spacing w:before="156" w:beforeLines="50" w:after="156" w:afterLines="50"/>
        <w:outlineLvl w:val="3"/>
      </w:pPr>
      <w:r>
        <w:rPr>
          <w:rFonts w:hint="eastAsia" w:ascii="黑体" w:hAnsi="黑体" w:eastAsia="黑体" w:cs="黑体"/>
          <w:kern w:val="0"/>
        </w:rPr>
        <w:t>13.6.1.1</w:t>
      </w:r>
      <w:r>
        <w:rPr>
          <w:rFonts w:ascii="Times New Roman" w:hAnsi="Times New Roman" w:eastAsia="黑体" w:cs="Times New Roman"/>
          <w:kern w:val="0"/>
        </w:rPr>
        <w:t xml:space="preserve"> </w:t>
      </w:r>
      <w:r>
        <w:rPr>
          <w:rFonts w:hint="eastAsia" w:ascii="黑体" w:hAnsi="黑体" w:eastAsia="黑体" w:cs="黑体"/>
          <w:kern w:val="0"/>
        </w:rPr>
        <w:t xml:space="preserve"> 管道及设备防腐</w:t>
      </w:r>
    </w:p>
    <w:p w14:paraId="36FA8361">
      <w:pPr>
        <w:pStyle w:val="42"/>
        <w:ind w:firstLine="420"/>
        <w:rPr>
          <w:rFonts w:ascii="Times New Roman" w:hAnsi="Times New Roman"/>
        </w:rPr>
      </w:pPr>
      <w:bookmarkStart w:id="211" w:name="_Toc163575748"/>
      <w:bookmarkStart w:id="212" w:name="_Toc163057365"/>
      <w:r>
        <w:rPr>
          <w:rFonts w:hint="eastAsia" w:ascii="Times New Roman" w:hAnsi="Times New Roman"/>
        </w:rPr>
        <w:t>按照GB/T 21447、GB/T 50393、SY/T 0319、SY/T 7036等相关要求，说明站内管道、设备及储罐防腐方案，主要包括：站内管道、设备的防腐层方案、补口方案；储罐内防腐方案、外防腐方案、罐底板边缘防护。</w:t>
      </w:r>
    </w:p>
    <w:p w14:paraId="2E7562F3">
      <w:pPr>
        <w:tabs>
          <w:tab w:val="left" w:pos="0"/>
        </w:tabs>
        <w:autoSpaceDE w:val="0"/>
        <w:autoSpaceDN w:val="0"/>
        <w:adjustRightInd w:val="0"/>
        <w:snapToGrid w:val="0"/>
        <w:spacing w:before="156" w:beforeLines="50" w:after="156" w:afterLines="50"/>
        <w:outlineLvl w:val="3"/>
        <w:rPr>
          <w:rFonts w:ascii="Times New Roman" w:hAnsi="Times New Roman" w:cs="Times New Roman"/>
          <w:kern w:val="0"/>
        </w:rPr>
      </w:pPr>
      <w:r>
        <w:rPr>
          <w:rFonts w:hint="eastAsia" w:ascii="黑体" w:hAnsi="黑体" w:eastAsia="黑体" w:cs="黑体"/>
          <w:kern w:val="0"/>
        </w:rPr>
        <w:t xml:space="preserve">13.6.1.2  </w:t>
      </w:r>
      <w:r>
        <w:rPr>
          <w:rFonts w:ascii="Times New Roman" w:hAnsi="Times New Roman" w:eastAsia="黑体" w:cs="Times New Roman"/>
          <w:kern w:val="0"/>
        </w:rPr>
        <w:t>管道内腐蚀控制</w:t>
      </w:r>
    </w:p>
    <w:p w14:paraId="5F4C2937">
      <w:pPr>
        <w:pStyle w:val="42"/>
        <w:adjustRightInd w:val="0"/>
        <w:ind w:firstLine="420"/>
        <w:rPr>
          <w:rFonts w:ascii="Times New Roman" w:hAnsi="Times New Roman"/>
        </w:rPr>
      </w:pPr>
      <w:r>
        <w:rPr>
          <w:rFonts w:hint="eastAsia" w:ascii="Times New Roman" w:hAnsi="Times New Roman"/>
        </w:rPr>
        <w:t>按照</w:t>
      </w:r>
      <w:r>
        <w:rPr>
          <w:rFonts w:ascii="Times New Roman" w:hAnsi="Times New Roman"/>
        </w:rPr>
        <w:t>GB</w:t>
      </w:r>
      <w:r>
        <w:rPr>
          <w:rFonts w:hint="eastAsia" w:ascii="Times New Roman" w:hAnsi="Times New Roman"/>
        </w:rPr>
        <w:t xml:space="preserve"> </w:t>
      </w:r>
      <w:r>
        <w:rPr>
          <w:rFonts w:ascii="Times New Roman" w:hAnsi="Times New Roman"/>
        </w:rPr>
        <w:t>50349</w:t>
      </w:r>
      <w:r>
        <w:rPr>
          <w:rFonts w:hint="eastAsia" w:ascii="Times New Roman" w:hAnsi="Times New Roman"/>
        </w:rPr>
        <w:t>、</w:t>
      </w:r>
      <w:r>
        <w:rPr>
          <w:rFonts w:ascii="Times New Roman" w:hAnsi="Times New Roman"/>
        </w:rPr>
        <w:t>GB/T 23258</w:t>
      </w:r>
      <w:r>
        <w:rPr>
          <w:rFonts w:hint="eastAsia" w:ascii="Times New Roman" w:hAnsi="Times New Roman"/>
        </w:rPr>
        <w:t>、SY/T 0611等相关要求，说明管道内腐蚀控制方案，主要包括：缓蚀剂加注方案及内腐蚀监测方案。</w:t>
      </w:r>
    </w:p>
    <w:p w14:paraId="76652B95">
      <w:pPr>
        <w:pStyle w:val="93"/>
        <w:spacing w:before="156" w:beforeLines="50" w:after="156" w:afterLines="50"/>
        <w:rPr>
          <w:rFonts w:hint="eastAsia" w:ascii="黑体" w:hAnsi="黑体" w:eastAsia="黑体" w:cs="黑体"/>
        </w:rPr>
      </w:pPr>
      <w:r>
        <w:rPr>
          <w:rFonts w:hint="eastAsia" w:ascii="黑体" w:hAnsi="黑体" w:eastAsia="黑体" w:cs="黑体"/>
        </w:rPr>
        <w:t>阴极保护</w:t>
      </w:r>
    </w:p>
    <w:p w14:paraId="1D2FF200">
      <w:pPr>
        <w:pStyle w:val="42"/>
        <w:ind w:firstLine="420"/>
        <w:rPr>
          <w:rFonts w:ascii="Times New Roman" w:hAnsi="Times New Roman"/>
          <w:kern w:val="0"/>
          <w:szCs w:val="20"/>
        </w:rPr>
      </w:pPr>
      <w:r>
        <w:rPr>
          <w:rFonts w:hint="eastAsia" w:ascii="Times New Roman" w:hAnsi="Times New Roman"/>
          <w:kern w:val="0"/>
          <w:szCs w:val="20"/>
        </w:rPr>
        <w:t>按照GB/T 21447、GB/T 21448、GB/T 50393、SY/T 6536、SY/T 6964等相关要求，说明站内设备/储罐采取的内壁阴极保护措施，主要包括：</w:t>
      </w:r>
    </w:p>
    <w:p w14:paraId="42D35517">
      <w:pPr>
        <w:pStyle w:val="42"/>
        <w:numPr>
          <w:ilvl w:val="0"/>
          <w:numId w:val="34"/>
        </w:numPr>
        <w:ind w:firstLine="420"/>
        <w:rPr>
          <w:rFonts w:ascii="Times New Roman" w:hAnsi="Times New Roman"/>
          <w:kern w:val="0"/>
          <w:szCs w:val="20"/>
        </w:rPr>
      </w:pPr>
      <w:r>
        <w:rPr>
          <w:rFonts w:hint="eastAsia" w:ascii="Times New Roman" w:hAnsi="Times New Roman"/>
          <w:kern w:val="0"/>
          <w:szCs w:val="20"/>
        </w:rPr>
        <w:t>站内埋地管道阴极保护措施，设备/储罐内壁阴极保护形式及措施；</w:t>
      </w:r>
    </w:p>
    <w:p w14:paraId="35050970">
      <w:pPr>
        <w:pStyle w:val="42"/>
        <w:numPr>
          <w:ilvl w:val="0"/>
          <w:numId w:val="34"/>
        </w:numPr>
        <w:ind w:firstLine="420"/>
        <w:rPr>
          <w:rFonts w:ascii="Times New Roman" w:hAnsi="Times New Roman"/>
          <w:kern w:val="0"/>
          <w:szCs w:val="20"/>
        </w:rPr>
      </w:pPr>
      <w:r>
        <w:rPr>
          <w:rFonts w:hint="eastAsia" w:ascii="Times New Roman" w:hAnsi="Times New Roman"/>
          <w:kern w:val="0"/>
          <w:szCs w:val="20"/>
        </w:rPr>
        <w:t>强制电流阴保系统，说明阴极保护设备、辅助阳极地床类型等情况；牺牲阳极阴保系统，说明阳极材料类型、数量等情况。</w:t>
      </w:r>
    </w:p>
    <w:p w14:paraId="3F647BA3">
      <w:pPr>
        <w:pStyle w:val="93"/>
        <w:spacing w:before="156" w:beforeLines="50" w:after="156" w:afterLines="50"/>
        <w:rPr>
          <w:rFonts w:hint="eastAsia" w:ascii="黑体" w:hAnsi="黑体" w:eastAsia="黑体" w:cs="黑体"/>
        </w:rPr>
      </w:pPr>
      <w:bookmarkStart w:id="213" w:name="_Toc15280"/>
      <w:r>
        <w:rPr>
          <w:rFonts w:hint="eastAsia" w:ascii="黑体" w:hAnsi="黑体" w:eastAsia="黑体" w:cs="黑体"/>
        </w:rPr>
        <w:t>管道与设备绝热</w:t>
      </w:r>
      <w:bookmarkEnd w:id="213"/>
    </w:p>
    <w:p w14:paraId="30A3C75F">
      <w:pPr>
        <w:pStyle w:val="42"/>
        <w:ind w:firstLine="420"/>
        <w:rPr>
          <w:rFonts w:ascii="Times New Roman" w:hAnsi="Times New Roman"/>
          <w:kern w:val="0"/>
          <w:szCs w:val="20"/>
        </w:rPr>
      </w:pPr>
      <w:r>
        <w:rPr>
          <w:rFonts w:hint="eastAsia" w:ascii="Times New Roman" w:hAnsi="Times New Roman"/>
          <w:kern w:val="0"/>
          <w:szCs w:val="20"/>
        </w:rPr>
        <w:t>按照GB/T 50264、GB/T 50538、SY/T 7350等相关要求，说明站内管道、设备/储罐采取的绝热措施，主要包括：</w:t>
      </w:r>
    </w:p>
    <w:p w14:paraId="74CFC562">
      <w:pPr>
        <w:pStyle w:val="42"/>
        <w:ind w:firstLine="420"/>
        <w:rPr>
          <w:rFonts w:ascii="Times New Roman" w:hAnsi="Times New Roman"/>
          <w:kern w:val="0"/>
          <w:szCs w:val="20"/>
        </w:rPr>
      </w:pPr>
      <w:r>
        <w:rPr>
          <w:rFonts w:hint="eastAsia" w:ascii="Times New Roman" w:hAnsi="Times New Roman"/>
          <w:kern w:val="0"/>
          <w:szCs w:val="20"/>
        </w:rPr>
        <w:t>a）根据站内管道、设备/储罐材质及介质情况，说明站内管道、设备/储罐采取的保温、伴热、保冷设计方案，列出绝热层厚度及绝热结构设计；</w:t>
      </w:r>
    </w:p>
    <w:p w14:paraId="7C21AD35">
      <w:pPr>
        <w:pStyle w:val="42"/>
        <w:ind w:firstLine="420"/>
        <w:rPr>
          <w:rFonts w:ascii="Times New Roman" w:hAnsi="Times New Roman"/>
          <w:kern w:val="0"/>
          <w:szCs w:val="20"/>
        </w:rPr>
      </w:pPr>
      <w:r>
        <w:rPr>
          <w:rFonts w:hint="eastAsia" w:ascii="Times New Roman" w:hAnsi="Times New Roman"/>
          <w:kern w:val="0"/>
          <w:szCs w:val="20"/>
        </w:rPr>
        <w:t>b）低温储罐罐体保冷结构主要尺寸和材料；</w:t>
      </w:r>
    </w:p>
    <w:p w14:paraId="22FEF481">
      <w:pPr>
        <w:pStyle w:val="42"/>
        <w:ind w:firstLine="420"/>
        <w:rPr>
          <w:rFonts w:ascii="Times New Roman" w:hAnsi="Times New Roman"/>
          <w:kern w:val="0"/>
          <w:szCs w:val="20"/>
        </w:rPr>
      </w:pPr>
      <w:r>
        <w:rPr>
          <w:rFonts w:hint="eastAsia" w:ascii="Times New Roman" w:hAnsi="Times New Roman"/>
          <w:kern w:val="0"/>
          <w:szCs w:val="20"/>
        </w:rPr>
        <w:t>c）低温管道支吊架的结构形式及材料选用。</w:t>
      </w:r>
    </w:p>
    <w:bookmarkEnd w:id="211"/>
    <w:bookmarkEnd w:id="212"/>
    <w:p w14:paraId="1368E98C">
      <w:pPr>
        <w:widowControl/>
        <w:numPr>
          <w:ilvl w:val="1"/>
          <w:numId w:val="2"/>
        </w:numPr>
        <w:spacing w:before="312" w:beforeLines="100" w:after="312" w:afterLines="100"/>
        <w:outlineLvl w:val="0"/>
        <w:rPr>
          <w:rFonts w:hint="eastAsia" w:ascii="黑体" w:hAnsi="黑体" w:eastAsia="黑体" w:cs="黑体"/>
        </w:rPr>
      </w:pPr>
      <w:bookmarkStart w:id="214" w:name="_Toc23530"/>
      <w:r>
        <w:rPr>
          <w:rFonts w:hint="eastAsia" w:ascii="黑体" w:hAnsi="黑体" w:eastAsia="黑体" w:cs="黑体"/>
        </w:rPr>
        <w:t>防范其他危险、危害因素的安全措施</w:t>
      </w:r>
      <w:bookmarkEnd w:id="140"/>
      <w:bookmarkEnd w:id="214"/>
    </w:p>
    <w:p w14:paraId="2E6F0CE0">
      <w:pPr>
        <w:numPr>
          <w:ilvl w:val="2"/>
          <w:numId w:val="2"/>
        </w:numPr>
        <w:ind w:left="0"/>
        <w:rPr>
          <w:rFonts w:ascii="Times New Roman" w:hAnsi="Times New Roman" w:eastAsia="宋体"/>
          <w:kern w:val="0"/>
          <w:szCs w:val="20"/>
        </w:rPr>
      </w:pPr>
      <w:r>
        <w:rPr>
          <w:rFonts w:hint="eastAsia" w:ascii="Times New Roman" w:hAnsi="Times New Roman" w:eastAsia="宋体"/>
          <w:kern w:val="0"/>
          <w:szCs w:val="20"/>
        </w:rPr>
        <w:t>说明</w:t>
      </w:r>
      <w:r>
        <w:rPr>
          <w:rFonts w:hint="eastAsia" w:ascii="Times New Roman" w:hAnsi="Times New Roman"/>
          <w:kern w:val="0"/>
          <w:szCs w:val="20"/>
        </w:rPr>
        <w:t>噪声、</w:t>
      </w:r>
      <w:r>
        <w:rPr>
          <w:rFonts w:hint="eastAsia" w:ascii="Times New Roman" w:hAnsi="Times New Roman" w:eastAsia="宋体"/>
          <w:kern w:val="0"/>
          <w:szCs w:val="20"/>
        </w:rPr>
        <w:t>机械伤害、物体打击、高处坠落</w:t>
      </w:r>
      <w:r>
        <w:rPr>
          <w:rFonts w:hint="eastAsia" w:ascii="Times New Roman" w:hAnsi="Times New Roman"/>
          <w:kern w:val="0"/>
          <w:szCs w:val="20"/>
        </w:rPr>
        <w:t>、自然灾害</w:t>
      </w:r>
      <w:r>
        <w:rPr>
          <w:rFonts w:hint="eastAsia" w:ascii="Times New Roman" w:hAnsi="Times New Roman" w:eastAsia="宋体"/>
          <w:kern w:val="0"/>
          <w:szCs w:val="20"/>
        </w:rPr>
        <w:t>等方面采取的安全措施。</w:t>
      </w:r>
    </w:p>
    <w:p w14:paraId="72089F2F">
      <w:pPr>
        <w:numPr>
          <w:ilvl w:val="2"/>
          <w:numId w:val="2"/>
        </w:numPr>
        <w:ind w:left="0"/>
        <w:rPr>
          <w:rFonts w:ascii="Times New Roman" w:hAnsi="Times New Roman" w:eastAsia="宋体"/>
          <w:kern w:val="0"/>
          <w:szCs w:val="20"/>
        </w:rPr>
      </w:pPr>
      <w:bookmarkStart w:id="215" w:name="_Toc30416"/>
      <w:r>
        <w:rPr>
          <w:rFonts w:hint="eastAsia" w:ascii="Times New Roman" w:hAnsi="Times New Roman" w:eastAsia="宋体"/>
          <w:kern w:val="0"/>
          <w:szCs w:val="20"/>
        </w:rPr>
        <w:t>说明周边防范的安全措施。</w:t>
      </w:r>
      <w:bookmarkEnd w:id="215"/>
    </w:p>
    <w:p w14:paraId="575F318B">
      <w:pPr>
        <w:numPr>
          <w:ilvl w:val="2"/>
          <w:numId w:val="2"/>
        </w:numPr>
        <w:ind w:left="0"/>
        <w:rPr>
          <w:rFonts w:ascii="Times New Roman" w:hAnsi="Times New Roman"/>
          <w:kern w:val="0"/>
          <w:szCs w:val="20"/>
        </w:rPr>
      </w:pPr>
      <w:bookmarkStart w:id="216" w:name="_Toc28336"/>
      <w:r>
        <w:rPr>
          <w:rFonts w:hint="eastAsia" w:ascii="Times New Roman" w:hAnsi="Times New Roman" w:eastAsia="宋体"/>
          <w:kern w:val="0"/>
          <w:szCs w:val="20"/>
        </w:rPr>
        <w:t>说明目视化及安全标</w:t>
      </w:r>
      <w:r>
        <w:rPr>
          <w:rFonts w:hint="eastAsia" w:ascii="Times New Roman" w:hAnsi="Times New Roman"/>
          <w:kern w:val="0"/>
          <w:szCs w:val="20"/>
        </w:rPr>
        <w:t>识等</w:t>
      </w:r>
      <w:r>
        <w:rPr>
          <w:rFonts w:hint="eastAsia" w:ascii="Times New Roman" w:hAnsi="Times New Roman" w:eastAsia="宋体"/>
          <w:kern w:val="0"/>
          <w:szCs w:val="20"/>
        </w:rPr>
        <w:t>安全措施。</w:t>
      </w:r>
      <w:bookmarkEnd w:id="216"/>
    </w:p>
    <w:p w14:paraId="31B2E5CC">
      <w:pPr>
        <w:widowControl/>
        <w:numPr>
          <w:ilvl w:val="1"/>
          <w:numId w:val="2"/>
        </w:numPr>
        <w:spacing w:before="312" w:beforeLines="100" w:after="312" w:afterLines="100"/>
        <w:outlineLvl w:val="0"/>
        <w:rPr>
          <w:rFonts w:hint="eastAsia" w:ascii="黑体" w:hAnsi="黑体" w:eastAsia="黑体" w:cs="黑体"/>
        </w:rPr>
      </w:pPr>
      <w:bookmarkStart w:id="217" w:name="_Toc18805"/>
      <w:r>
        <w:rPr>
          <w:rFonts w:hint="eastAsia" w:ascii="黑体" w:hAnsi="黑体" w:eastAsia="黑体" w:cs="黑体"/>
        </w:rPr>
        <w:t>逃生及救生</w:t>
      </w:r>
      <w:bookmarkEnd w:id="217"/>
    </w:p>
    <w:p w14:paraId="0C83057D">
      <w:pPr>
        <w:numPr>
          <w:ilvl w:val="2"/>
          <w:numId w:val="2"/>
        </w:numPr>
        <w:spacing w:before="156" w:beforeLines="50" w:after="156" w:afterLines="50"/>
        <w:ind w:left="0"/>
        <w:outlineLvl w:val="1"/>
        <w:rPr>
          <w:rFonts w:hint="eastAsia" w:ascii="黑体" w:hAnsi="黑体" w:eastAsia="黑体" w:cs="黑体"/>
        </w:rPr>
      </w:pPr>
      <w:bookmarkStart w:id="218" w:name="_Toc9325"/>
      <w:r>
        <w:rPr>
          <w:rFonts w:hint="eastAsia" w:ascii="黑体" w:hAnsi="黑体" w:eastAsia="黑体" w:cs="黑体"/>
        </w:rPr>
        <w:t>逃生</w:t>
      </w:r>
      <w:bookmarkEnd w:id="218"/>
    </w:p>
    <w:p w14:paraId="464D2BE4">
      <w:pPr>
        <w:pStyle w:val="42"/>
        <w:ind w:firstLine="420"/>
        <w:rPr>
          <w:rFonts w:ascii="Times New Roman" w:hAnsi="Times New Roman"/>
          <w:kern w:val="0"/>
          <w:szCs w:val="20"/>
        </w:rPr>
      </w:pPr>
      <w:r>
        <w:rPr>
          <w:rFonts w:hint="eastAsia" w:ascii="Times New Roman" w:hAnsi="Times New Roman"/>
          <w:kern w:val="0"/>
          <w:szCs w:val="20"/>
        </w:rPr>
        <w:t>说明发生火灾爆炸事故、有毒气体泄漏和急性中毒事故人员逃生路线的设计原则、逃生通道、逃生路线、疏散方式和应急措施，主要建筑物的疏散门数量、开启方向、逃生路线图，工艺设备、储罐、装卸车采取的逃生安全措施。</w:t>
      </w:r>
    </w:p>
    <w:p w14:paraId="0A52B332">
      <w:pPr>
        <w:numPr>
          <w:ilvl w:val="2"/>
          <w:numId w:val="2"/>
        </w:numPr>
        <w:spacing w:before="156" w:beforeLines="50" w:after="156" w:afterLines="50"/>
        <w:ind w:left="0"/>
        <w:outlineLvl w:val="1"/>
        <w:rPr>
          <w:rFonts w:hint="eastAsia" w:ascii="黑体" w:hAnsi="黑体" w:eastAsia="黑体" w:cs="黑体"/>
        </w:rPr>
      </w:pPr>
      <w:bookmarkStart w:id="219" w:name="_Toc11627"/>
      <w:bookmarkStart w:id="220" w:name="_Toc12865"/>
      <w:r>
        <w:rPr>
          <w:rFonts w:hint="eastAsia" w:ascii="黑体" w:hAnsi="黑体" w:eastAsia="黑体" w:cs="黑体"/>
        </w:rPr>
        <w:t>救生</w:t>
      </w:r>
      <w:bookmarkEnd w:id="219"/>
      <w:bookmarkEnd w:id="220"/>
    </w:p>
    <w:p w14:paraId="1B7739B7">
      <w:pPr>
        <w:autoSpaceDE w:val="0"/>
        <w:autoSpaceDN w:val="0"/>
        <w:ind w:firstLine="420" w:firstLineChars="200"/>
        <w:rPr>
          <w:rFonts w:ascii="Times New Roman" w:hAnsi="Times New Roman" w:eastAsia="宋体" w:cs="Times New Roman"/>
        </w:rPr>
      </w:pPr>
      <w:r>
        <w:rPr>
          <w:rFonts w:hint="eastAsia" w:ascii="Times New Roman" w:hAnsi="Times New Roman" w:eastAsia="宋体" w:cs="Times New Roman"/>
        </w:rPr>
        <w:t>说明救生所需安全防护物资等，主要包括：</w:t>
      </w:r>
    </w:p>
    <w:p w14:paraId="3DD22CDF">
      <w:pPr>
        <w:numPr>
          <w:ilvl w:val="0"/>
          <w:numId w:val="35"/>
        </w:numPr>
        <w:autoSpaceDE w:val="0"/>
        <w:autoSpaceDN w:val="0"/>
        <w:adjustRightInd w:val="0"/>
        <w:ind w:left="0" w:firstLine="420" w:firstLineChars="200"/>
        <w:rPr>
          <w:rFonts w:ascii="Times New Roman" w:hAnsi="Times New Roman" w:eastAsia="宋体" w:cs="Times New Roman"/>
          <w:szCs w:val="22"/>
        </w:rPr>
      </w:pPr>
      <w:r>
        <w:rPr>
          <w:rFonts w:ascii="Times New Roman" w:hAnsi="Times New Roman" w:eastAsia="宋体" w:cs="Times New Roman"/>
          <w:szCs w:val="22"/>
        </w:rPr>
        <w:t>工程</w:t>
      </w:r>
      <w:r>
        <w:rPr>
          <w:rFonts w:hint="eastAsia" w:ascii="宋体" w:hAnsi="Calibri" w:eastAsia="宋体" w:cs="Times New Roman"/>
        </w:rPr>
        <w:t>庇护所及维持生存所需物资；</w:t>
      </w:r>
    </w:p>
    <w:p w14:paraId="6E057066">
      <w:pPr>
        <w:numPr>
          <w:ilvl w:val="0"/>
          <w:numId w:val="35"/>
        </w:numPr>
        <w:autoSpaceDE w:val="0"/>
        <w:autoSpaceDN w:val="0"/>
        <w:adjustRightInd w:val="0"/>
        <w:ind w:left="0" w:firstLine="420" w:firstLineChars="200"/>
        <w:rPr>
          <w:rFonts w:ascii="Times New Roman" w:hAnsi="Times New Roman" w:eastAsia="宋体" w:cs="Times New Roman"/>
          <w:szCs w:val="22"/>
        </w:rPr>
      </w:pPr>
      <w:r>
        <w:rPr>
          <w:rFonts w:hint="eastAsia" w:ascii="Times New Roman" w:hAnsi="Times New Roman" w:eastAsia="宋体" w:cs="Times New Roman"/>
        </w:rPr>
        <w:t>列表</w:t>
      </w:r>
      <w:r>
        <w:rPr>
          <w:rFonts w:ascii="Times New Roman" w:hAnsi="Times New Roman" w:eastAsia="宋体" w:cs="Times New Roman"/>
        </w:rPr>
        <w:t>说明工程所配备的应急设施的类型、数量</w:t>
      </w:r>
      <w:r>
        <w:rPr>
          <w:rFonts w:hint="eastAsia" w:ascii="宋体" w:hAnsi="Calibri" w:eastAsia="宋体" w:cs="Times New Roman"/>
        </w:rPr>
        <w:t>。</w:t>
      </w:r>
    </w:p>
    <w:p w14:paraId="7E51D448">
      <w:pPr>
        <w:widowControl/>
        <w:numPr>
          <w:ilvl w:val="1"/>
          <w:numId w:val="2"/>
        </w:numPr>
        <w:spacing w:before="312" w:beforeLines="100" w:after="312" w:afterLines="100"/>
        <w:outlineLvl w:val="0"/>
        <w:rPr>
          <w:rFonts w:hint="eastAsia" w:ascii="黑体" w:hAnsi="黑体" w:eastAsia="黑体" w:cs="黑体"/>
        </w:rPr>
      </w:pPr>
      <w:bookmarkStart w:id="221" w:name="_Toc30390"/>
      <w:r>
        <w:rPr>
          <w:rFonts w:hint="eastAsia" w:ascii="黑体" w:hAnsi="黑体" w:eastAsia="黑体" w:cs="黑体"/>
        </w:rPr>
        <w:t>安全管理</w:t>
      </w:r>
      <w:bookmarkEnd w:id="221"/>
    </w:p>
    <w:p w14:paraId="1E0850E4">
      <w:pPr>
        <w:numPr>
          <w:ilvl w:val="2"/>
          <w:numId w:val="2"/>
        </w:numPr>
        <w:spacing w:before="156" w:beforeLines="50" w:after="156" w:afterLines="50"/>
        <w:ind w:left="0"/>
        <w:outlineLvl w:val="1"/>
        <w:rPr>
          <w:rFonts w:hint="eastAsia" w:ascii="黑体" w:hAnsi="黑体" w:eastAsia="黑体" w:cs="黑体"/>
        </w:rPr>
      </w:pPr>
      <w:bookmarkStart w:id="222" w:name="_Toc184550413"/>
      <w:bookmarkStart w:id="223" w:name="_Toc184117963"/>
      <w:bookmarkStart w:id="224" w:name="_Toc180210667"/>
      <w:bookmarkStart w:id="225" w:name="_Toc6197"/>
      <w:bookmarkStart w:id="226" w:name="_Toc179944500"/>
      <w:bookmarkStart w:id="227" w:name="_Toc180211453"/>
      <w:bookmarkStart w:id="228" w:name="_Toc180216724"/>
      <w:bookmarkStart w:id="229" w:name="_Toc180211548"/>
      <w:bookmarkStart w:id="230" w:name="_Toc163575763"/>
      <w:bookmarkStart w:id="231" w:name="_Toc180212673"/>
      <w:bookmarkStart w:id="232" w:name="_Toc719"/>
      <w:bookmarkStart w:id="233" w:name="_Toc163057380"/>
      <w:bookmarkStart w:id="234" w:name="_Toc180221682"/>
      <w:r>
        <w:rPr>
          <w:rFonts w:hint="eastAsia" w:ascii="黑体" w:hAnsi="黑体" w:eastAsia="黑体" w:cs="黑体"/>
        </w:rPr>
        <w:t>安全管理机构设置及人员配备</w:t>
      </w:r>
      <w:bookmarkEnd w:id="222"/>
      <w:bookmarkEnd w:id="223"/>
      <w:bookmarkEnd w:id="224"/>
      <w:bookmarkEnd w:id="225"/>
      <w:bookmarkEnd w:id="226"/>
      <w:bookmarkEnd w:id="227"/>
      <w:bookmarkEnd w:id="228"/>
      <w:bookmarkEnd w:id="229"/>
      <w:bookmarkEnd w:id="230"/>
      <w:bookmarkEnd w:id="231"/>
      <w:bookmarkEnd w:id="232"/>
      <w:bookmarkEnd w:id="233"/>
      <w:bookmarkEnd w:id="234"/>
    </w:p>
    <w:p w14:paraId="2D5BD1D1">
      <w:pPr>
        <w:autoSpaceDE w:val="0"/>
        <w:autoSpaceDN w:val="0"/>
        <w:ind w:firstLine="420" w:firstLineChars="200"/>
        <w:rPr>
          <w:rFonts w:hint="eastAsia" w:ascii="宋体" w:hAnsi="宋体" w:eastAsia="宋体" w:cs="宋体"/>
        </w:rPr>
      </w:pPr>
      <w:bookmarkStart w:id="235" w:name="_Toc184550414"/>
      <w:bookmarkStart w:id="236" w:name="_Toc180212674"/>
      <w:bookmarkStart w:id="237" w:name="_Toc180221683"/>
      <w:bookmarkStart w:id="238" w:name="_Toc163575764"/>
      <w:bookmarkStart w:id="239" w:name="_Toc179944501"/>
      <w:bookmarkStart w:id="240" w:name="_Toc180210668"/>
      <w:bookmarkStart w:id="241" w:name="_Toc180211454"/>
      <w:bookmarkStart w:id="242" w:name="_Toc180216725"/>
      <w:bookmarkStart w:id="243" w:name="_Toc163057381"/>
      <w:bookmarkStart w:id="244" w:name="_Toc180211549"/>
      <w:bookmarkStart w:id="245" w:name="_Toc184117964"/>
      <w:r>
        <w:rPr>
          <w:rFonts w:hint="eastAsia" w:ascii="宋体" w:hAnsi="宋体" w:eastAsia="宋体" w:cs="宋体"/>
          <w:szCs w:val="22"/>
        </w:rPr>
        <w:t>简述建设项目定员编制与安全管理人员设置情况；依托原有管理机构的项目，简述依托管理机构原定员编制和安全管理人员情况，以及新增定员编制和安全管理人员情况</w:t>
      </w:r>
      <w:r>
        <w:rPr>
          <w:rFonts w:hint="eastAsia" w:ascii="宋体" w:hAnsi="宋体" w:eastAsia="宋体" w:cs="宋体"/>
        </w:rPr>
        <w:t>。</w:t>
      </w:r>
    </w:p>
    <w:p w14:paraId="01E50B8F">
      <w:pPr>
        <w:numPr>
          <w:ilvl w:val="2"/>
          <w:numId w:val="2"/>
        </w:numPr>
        <w:spacing w:before="156" w:beforeLines="50" w:after="156" w:afterLines="50"/>
        <w:ind w:left="0"/>
        <w:outlineLvl w:val="1"/>
        <w:rPr>
          <w:rFonts w:hint="eastAsia" w:ascii="黑体" w:hAnsi="黑体" w:eastAsia="黑体" w:cs="黑体"/>
        </w:rPr>
      </w:pPr>
      <w:bookmarkStart w:id="246" w:name="_Toc23511"/>
      <w:bookmarkStart w:id="247" w:name="_Toc32002"/>
      <w:r>
        <w:rPr>
          <w:rFonts w:hint="eastAsia" w:ascii="黑体" w:hAnsi="黑体" w:eastAsia="黑体" w:cs="黑体"/>
        </w:rPr>
        <w:t>安全教育和培训</w:t>
      </w:r>
      <w:bookmarkEnd w:id="246"/>
      <w:bookmarkEnd w:id="247"/>
    </w:p>
    <w:p w14:paraId="73D7220A">
      <w:pPr>
        <w:autoSpaceDE w:val="0"/>
        <w:autoSpaceDN w:val="0"/>
        <w:ind w:firstLine="420" w:firstLineChars="200"/>
        <w:rPr>
          <w:rFonts w:hint="eastAsia" w:ascii="宋体" w:hAnsi="宋体" w:eastAsia="宋体" w:cs="宋体"/>
          <w:szCs w:val="22"/>
        </w:rPr>
      </w:pPr>
      <w:r>
        <w:rPr>
          <w:rFonts w:hint="eastAsia" w:ascii="宋体" w:hAnsi="宋体" w:eastAsia="宋体" w:cs="宋体"/>
          <w:szCs w:val="22"/>
        </w:rPr>
        <w:t>说明建设项目投入生产或者使用后从业人员的安全教育和培训要求。</w:t>
      </w:r>
    </w:p>
    <w:p w14:paraId="75B89EE1">
      <w:pPr>
        <w:numPr>
          <w:ilvl w:val="2"/>
          <w:numId w:val="2"/>
        </w:numPr>
        <w:spacing w:before="156" w:beforeLines="50" w:after="156" w:afterLines="50"/>
        <w:ind w:left="0"/>
        <w:outlineLvl w:val="1"/>
        <w:rPr>
          <w:rFonts w:hint="eastAsia" w:ascii="黑体" w:hAnsi="黑体" w:eastAsia="黑体" w:cs="黑体"/>
        </w:rPr>
      </w:pPr>
      <w:bookmarkStart w:id="248" w:name="_Toc4168"/>
      <w:bookmarkStart w:id="249" w:name="_Toc28267"/>
      <w:r>
        <w:rPr>
          <w:rFonts w:hint="eastAsia" w:ascii="黑体" w:hAnsi="黑体" w:eastAsia="黑体" w:cs="黑体"/>
        </w:rPr>
        <w:t>劳动防护用品和装备</w:t>
      </w:r>
      <w:bookmarkEnd w:id="248"/>
      <w:bookmarkEnd w:id="249"/>
    </w:p>
    <w:p w14:paraId="3A9D1504">
      <w:pPr>
        <w:ind w:firstLine="420" w:firstLineChars="200"/>
        <w:rPr>
          <w:rFonts w:hint="eastAsia" w:ascii="宋体" w:hAnsi="宋体" w:eastAsia="宋体" w:cs="宋体"/>
        </w:rPr>
      </w:pPr>
      <w:r>
        <w:rPr>
          <w:rFonts w:hint="eastAsia" w:ascii="宋体" w:hAnsi="宋体" w:eastAsia="宋体" w:cs="宋体"/>
        </w:rPr>
        <w:t>列表说明建设项目投入生产或者使用后从业人员的劳动防护用品和装备。</w:t>
      </w:r>
    </w:p>
    <w:bookmarkEnd w:id="235"/>
    <w:bookmarkEnd w:id="236"/>
    <w:bookmarkEnd w:id="237"/>
    <w:bookmarkEnd w:id="238"/>
    <w:bookmarkEnd w:id="239"/>
    <w:bookmarkEnd w:id="240"/>
    <w:bookmarkEnd w:id="241"/>
    <w:bookmarkEnd w:id="242"/>
    <w:bookmarkEnd w:id="243"/>
    <w:bookmarkEnd w:id="244"/>
    <w:bookmarkEnd w:id="245"/>
    <w:p w14:paraId="74B38FC5">
      <w:pPr>
        <w:numPr>
          <w:ilvl w:val="2"/>
          <w:numId w:val="2"/>
        </w:numPr>
        <w:spacing w:before="156" w:beforeLines="50" w:after="156" w:afterLines="50"/>
        <w:ind w:left="0"/>
        <w:outlineLvl w:val="1"/>
        <w:rPr>
          <w:rFonts w:hint="eastAsia" w:ascii="黑体" w:hAnsi="黑体" w:eastAsia="黑体" w:cs="黑体"/>
        </w:rPr>
      </w:pPr>
      <w:bookmarkStart w:id="250" w:name="_Toc6218"/>
      <w:bookmarkStart w:id="251" w:name="_Toc1971"/>
      <w:r>
        <w:rPr>
          <w:rFonts w:hint="eastAsia" w:ascii="黑体" w:hAnsi="黑体" w:eastAsia="黑体" w:cs="黑体"/>
        </w:rPr>
        <w:t>抢（维）修</w:t>
      </w:r>
      <w:bookmarkEnd w:id="250"/>
      <w:r>
        <w:rPr>
          <w:rFonts w:hint="eastAsia" w:ascii="黑体" w:hAnsi="黑体" w:eastAsia="黑体" w:cs="黑体"/>
        </w:rPr>
        <w:t>设备配备</w:t>
      </w:r>
      <w:bookmarkEnd w:id="251"/>
    </w:p>
    <w:p w14:paraId="031A37FF">
      <w:pPr>
        <w:autoSpaceDE w:val="0"/>
        <w:autoSpaceDN w:val="0"/>
        <w:ind w:firstLine="420" w:firstLineChars="200"/>
        <w:rPr>
          <w:rFonts w:hint="eastAsia" w:ascii="宋体" w:hAnsi="宋体" w:eastAsia="宋体" w:cs="宋体"/>
          <w:szCs w:val="22"/>
        </w:rPr>
      </w:pPr>
      <w:r>
        <w:rPr>
          <w:rFonts w:hint="eastAsia" w:ascii="宋体" w:hAnsi="宋体" w:eastAsia="宋体" w:cs="宋体"/>
          <w:szCs w:val="22"/>
        </w:rPr>
        <w:t>说明建设项目抢（维）修设备器具配备情况。</w:t>
      </w:r>
    </w:p>
    <w:p w14:paraId="2D3BA48F">
      <w:pPr>
        <w:numPr>
          <w:ilvl w:val="2"/>
          <w:numId w:val="2"/>
        </w:numPr>
        <w:spacing w:before="156" w:beforeLines="50" w:after="156" w:afterLines="50"/>
        <w:ind w:left="0"/>
        <w:outlineLvl w:val="1"/>
        <w:rPr>
          <w:rFonts w:hint="eastAsia" w:ascii="黑体" w:hAnsi="黑体" w:eastAsia="黑体" w:cs="黑体"/>
        </w:rPr>
      </w:pPr>
      <w:bookmarkStart w:id="252" w:name="_Toc163057382"/>
      <w:bookmarkStart w:id="253" w:name="_Toc184550415"/>
      <w:bookmarkStart w:id="254" w:name="_Toc184117965"/>
      <w:bookmarkStart w:id="255" w:name="_Toc163575765"/>
      <w:bookmarkStart w:id="256" w:name="_Toc180212675"/>
      <w:bookmarkStart w:id="257" w:name="_Toc180210669"/>
      <w:bookmarkStart w:id="258" w:name="_Toc179944502"/>
      <w:bookmarkStart w:id="259" w:name="_Toc180211455"/>
      <w:bookmarkStart w:id="260" w:name="_Toc180211550"/>
      <w:bookmarkStart w:id="261" w:name="_Toc180216726"/>
      <w:bookmarkStart w:id="262" w:name="_Toc180221684"/>
      <w:bookmarkStart w:id="263" w:name="_Toc9328"/>
      <w:bookmarkStart w:id="264" w:name="_Toc19582"/>
      <w:r>
        <w:rPr>
          <w:rFonts w:hint="eastAsia" w:ascii="黑体" w:hAnsi="黑体" w:eastAsia="黑体" w:cs="黑体"/>
        </w:rPr>
        <w:t>应急机构</w:t>
      </w:r>
      <w:bookmarkEnd w:id="252"/>
      <w:bookmarkEnd w:id="253"/>
      <w:bookmarkEnd w:id="254"/>
      <w:bookmarkEnd w:id="255"/>
      <w:bookmarkEnd w:id="256"/>
      <w:bookmarkEnd w:id="257"/>
      <w:bookmarkEnd w:id="258"/>
      <w:bookmarkEnd w:id="259"/>
      <w:bookmarkEnd w:id="260"/>
      <w:bookmarkEnd w:id="261"/>
      <w:bookmarkEnd w:id="262"/>
      <w:r>
        <w:rPr>
          <w:rFonts w:hint="eastAsia" w:ascii="黑体" w:hAnsi="黑体" w:eastAsia="黑体" w:cs="黑体"/>
        </w:rPr>
        <w:t>及配置</w:t>
      </w:r>
      <w:bookmarkEnd w:id="263"/>
      <w:bookmarkEnd w:id="264"/>
    </w:p>
    <w:p w14:paraId="7485795E">
      <w:pPr>
        <w:pStyle w:val="93"/>
        <w:rPr>
          <w:rFonts w:hint="eastAsia" w:hAnsi="宋体" w:cs="宋体"/>
        </w:rPr>
      </w:pPr>
      <w:r>
        <w:rPr>
          <w:rFonts w:hint="eastAsia" w:hAnsi="宋体" w:cs="宋体"/>
        </w:rPr>
        <w:t>简述建设项目投入生产或者使用后应急机构、应急设备、应急人员的设置和组成情况。</w:t>
      </w:r>
    </w:p>
    <w:p w14:paraId="6D26F110">
      <w:pPr>
        <w:pStyle w:val="93"/>
        <w:rPr>
          <w:rFonts w:hint="eastAsia" w:hAnsi="宋体" w:cs="宋体"/>
        </w:rPr>
      </w:pPr>
      <w:r>
        <w:rPr>
          <w:rFonts w:hint="eastAsia" w:hAnsi="宋体" w:cs="宋体"/>
        </w:rPr>
        <w:t>简述建设项目投入生产或者使用后所依托的消防、抢（维）修和人员急救的依托力量。</w:t>
      </w:r>
    </w:p>
    <w:p w14:paraId="239F6C7C">
      <w:pPr>
        <w:widowControl/>
        <w:numPr>
          <w:ilvl w:val="1"/>
          <w:numId w:val="2"/>
        </w:numPr>
        <w:spacing w:before="312" w:beforeLines="100" w:after="312" w:afterLines="100"/>
        <w:outlineLvl w:val="0"/>
        <w:rPr>
          <w:rFonts w:hint="eastAsia" w:ascii="黑体" w:hAnsi="黑体" w:eastAsia="黑体" w:cs="黑体"/>
        </w:rPr>
      </w:pPr>
      <w:bookmarkStart w:id="265" w:name="_Toc165"/>
      <w:r>
        <w:rPr>
          <w:rFonts w:hint="eastAsia" w:ascii="黑体" w:hAnsi="黑体" w:eastAsia="黑体" w:cs="黑体"/>
        </w:rPr>
        <w:t>专项投资概算</w:t>
      </w:r>
      <w:bookmarkEnd w:id="265"/>
    </w:p>
    <w:p w14:paraId="34736C56">
      <w:pPr>
        <w:pStyle w:val="23"/>
        <w:spacing w:after="0"/>
        <w:ind w:firstLineChars="200"/>
        <w:rPr>
          <w:rFonts w:ascii="Times New Roman" w:hAnsi="Times New Roman" w:eastAsia="宋体" w:cs="Times New Roman"/>
          <w:kern w:val="0"/>
          <w:szCs w:val="20"/>
        </w:rPr>
      </w:pPr>
      <w:r>
        <w:rPr>
          <w:rFonts w:hint="eastAsia" w:ascii="Times New Roman" w:hAnsi="Times New Roman" w:eastAsia="宋体" w:cs="Times New Roman"/>
          <w:kern w:val="0"/>
          <w:szCs w:val="20"/>
        </w:rPr>
        <w:t>按表B.16列出安全设施专项投资及其占总投资的比例。安全设施专项投资主要包括以下内容：</w:t>
      </w:r>
    </w:p>
    <w:p w14:paraId="5F4F7393">
      <w:pPr>
        <w:pStyle w:val="42"/>
        <w:numPr>
          <w:ilvl w:val="0"/>
          <w:numId w:val="36"/>
        </w:numPr>
        <w:ind w:firstLineChars="0"/>
        <w:rPr>
          <w:rFonts w:ascii="Times New Roman" w:hAnsi="Times New Roman"/>
        </w:rPr>
      </w:pPr>
      <w:bookmarkStart w:id="266" w:name="_Toc184550417"/>
      <w:bookmarkStart w:id="267" w:name="_Toc180211457"/>
      <w:bookmarkStart w:id="268" w:name="_Toc180212677"/>
      <w:bookmarkStart w:id="269" w:name="_Toc180221686"/>
      <w:bookmarkStart w:id="270" w:name="_Toc180210671"/>
      <w:bookmarkStart w:id="271" w:name="_Toc184117967"/>
      <w:bookmarkStart w:id="272" w:name="_Toc179944504"/>
      <w:bookmarkStart w:id="273" w:name="_Toc180216728"/>
      <w:bookmarkStart w:id="274" w:name="_Toc180211552"/>
      <w:r>
        <w:rPr>
          <w:rFonts w:ascii="Times New Roman" w:hAnsi="Times New Roman"/>
        </w:rPr>
        <w:t>预防事故设施费用</w:t>
      </w:r>
      <w:bookmarkEnd w:id="266"/>
      <w:bookmarkEnd w:id="267"/>
      <w:bookmarkEnd w:id="268"/>
      <w:bookmarkEnd w:id="269"/>
      <w:bookmarkEnd w:id="270"/>
      <w:bookmarkEnd w:id="271"/>
      <w:bookmarkEnd w:id="272"/>
      <w:bookmarkEnd w:id="273"/>
      <w:bookmarkEnd w:id="274"/>
      <w:r>
        <w:rPr>
          <w:rFonts w:ascii="Times New Roman" w:hAnsi="Times New Roman"/>
        </w:rPr>
        <w:t>；</w:t>
      </w:r>
    </w:p>
    <w:p w14:paraId="730888A8">
      <w:pPr>
        <w:pStyle w:val="42"/>
        <w:numPr>
          <w:ilvl w:val="0"/>
          <w:numId w:val="36"/>
        </w:numPr>
        <w:ind w:firstLineChars="0"/>
        <w:rPr>
          <w:rFonts w:ascii="Times New Roman" w:hAnsi="Times New Roman"/>
        </w:rPr>
      </w:pPr>
      <w:r>
        <w:rPr>
          <w:rFonts w:ascii="Times New Roman" w:hAnsi="Times New Roman"/>
        </w:rPr>
        <w:t>控制事故设施费用；</w:t>
      </w:r>
    </w:p>
    <w:p w14:paraId="44D53871">
      <w:pPr>
        <w:pStyle w:val="42"/>
        <w:numPr>
          <w:ilvl w:val="0"/>
          <w:numId w:val="36"/>
        </w:numPr>
        <w:ind w:firstLineChars="0"/>
        <w:rPr>
          <w:rFonts w:ascii="Times New Roman" w:hAnsi="Times New Roman"/>
        </w:rPr>
      </w:pPr>
      <w:bookmarkStart w:id="275" w:name="_Toc184117970"/>
      <w:bookmarkStart w:id="276" w:name="_Toc180216731"/>
      <w:bookmarkStart w:id="277" w:name="_Toc180212680"/>
      <w:bookmarkStart w:id="278" w:name="_Toc180210674"/>
      <w:bookmarkStart w:id="279" w:name="_Toc180221689"/>
      <w:bookmarkStart w:id="280" w:name="_Toc179944507"/>
      <w:bookmarkStart w:id="281" w:name="_Toc180211555"/>
      <w:bookmarkStart w:id="282" w:name="_Toc180211460"/>
      <w:r>
        <w:rPr>
          <w:rFonts w:ascii="Times New Roman" w:hAnsi="Times New Roman"/>
        </w:rPr>
        <w:t>消减事故及影响</w:t>
      </w:r>
      <w:r>
        <w:rPr>
          <w:rFonts w:hint="eastAsia" w:ascii="Times New Roman" w:hAnsi="Times New Roman"/>
        </w:rPr>
        <w:t>设施费用。</w:t>
      </w:r>
    </w:p>
    <w:bookmarkEnd w:id="275"/>
    <w:bookmarkEnd w:id="276"/>
    <w:bookmarkEnd w:id="277"/>
    <w:bookmarkEnd w:id="278"/>
    <w:bookmarkEnd w:id="279"/>
    <w:bookmarkEnd w:id="280"/>
    <w:bookmarkEnd w:id="281"/>
    <w:bookmarkEnd w:id="282"/>
    <w:p w14:paraId="1F2F31A3">
      <w:pPr>
        <w:widowControl/>
        <w:numPr>
          <w:ilvl w:val="1"/>
          <w:numId w:val="2"/>
        </w:numPr>
        <w:spacing w:before="312" w:beforeLines="100" w:after="312" w:afterLines="100"/>
        <w:outlineLvl w:val="0"/>
        <w:rPr>
          <w:rFonts w:hint="eastAsia" w:ascii="黑体" w:hAnsi="黑体" w:eastAsia="黑体" w:cs="黑体"/>
        </w:rPr>
      </w:pPr>
      <w:bookmarkStart w:id="283" w:name="_Toc32582"/>
      <w:r>
        <w:rPr>
          <w:rFonts w:hint="eastAsia" w:ascii="黑体" w:hAnsi="黑体" w:eastAsia="黑体" w:cs="黑体"/>
        </w:rPr>
        <w:t>主要结论和建议</w:t>
      </w:r>
      <w:bookmarkEnd w:id="283"/>
    </w:p>
    <w:p w14:paraId="7BD4AA40">
      <w:pPr>
        <w:numPr>
          <w:ilvl w:val="2"/>
          <w:numId w:val="2"/>
        </w:numPr>
        <w:spacing w:before="156" w:beforeLines="50" w:after="156" w:afterLines="50"/>
        <w:ind w:left="0"/>
        <w:outlineLvl w:val="1"/>
        <w:rPr>
          <w:rFonts w:hint="eastAsia" w:ascii="黑体" w:hAnsi="黑体" w:eastAsia="黑体" w:cs="黑体"/>
        </w:rPr>
      </w:pPr>
      <w:bookmarkStart w:id="284" w:name="_Toc2581"/>
      <w:r>
        <w:rPr>
          <w:rFonts w:hint="eastAsia" w:ascii="黑体" w:hAnsi="黑体" w:eastAsia="黑体" w:cs="黑体"/>
        </w:rPr>
        <w:t>主要结论</w:t>
      </w:r>
      <w:bookmarkEnd w:id="284"/>
    </w:p>
    <w:p w14:paraId="216627BD">
      <w:pPr>
        <w:pStyle w:val="42"/>
        <w:ind w:firstLine="420"/>
        <w:rPr>
          <w:rFonts w:ascii="Times New Roman" w:hAnsi="Times New Roman"/>
          <w:kern w:val="0"/>
          <w:szCs w:val="20"/>
        </w:rPr>
      </w:pPr>
      <w:r>
        <w:rPr>
          <w:rFonts w:hint="eastAsia" w:ascii="Times New Roman" w:hAnsi="Times New Roman"/>
          <w:kern w:val="0"/>
          <w:szCs w:val="20"/>
        </w:rPr>
        <w:t>根据上述安全设施设计内容，应从以下方面给出结论：</w:t>
      </w:r>
    </w:p>
    <w:p w14:paraId="2F29706D">
      <w:pPr>
        <w:pStyle w:val="42"/>
        <w:numPr>
          <w:ilvl w:val="0"/>
          <w:numId w:val="37"/>
        </w:numPr>
        <w:ind w:firstLineChars="0"/>
        <w:rPr>
          <w:rFonts w:ascii="Times New Roman" w:hAnsi="Times New Roman"/>
          <w:kern w:val="0"/>
          <w:szCs w:val="20"/>
        </w:rPr>
      </w:pPr>
      <w:r>
        <w:rPr>
          <w:rFonts w:hint="eastAsia" w:ascii="Times New Roman" w:hAnsi="Times New Roman"/>
          <w:kern w:val="0"/>
          <w:szCs w:val="20"/>
        </w:rPr>
        <w:t>安全预评价提出的安全对策措施的落实情况；</w:t>
      </w:r>
    </w:p>
    <w:p w14:paraId="5F99C121">
      <w:pPr>
        <w:pStyle w:val="42"/>
        <w:numPr>
          <w:ilvl w:val="0"/>
          <w:numId w:val="37"/>
        </w:numPr>
        <w:ind w:firstLineChars="0"/>
        <w:rPr>
          <w:rFonts w:ascii="Times New Roman" w:hAnsi="Times New Roman"/>
          <w:kern w:val="0"/>
          <w:szCs w:val="20"/>
        </w:rPr>
      </w:pPr>
      <w:r>
        <w:rPr>
          <w:rFonts w:hint="eastAsia" w:ascii="Times New Roman" w:hAnsi="Times New Roman"/>
          <w:kern w:val="0"/>
          <w:szCs w:val="20"/>
        </w:rPr>
        <w:t>选用的主要技术、工艺的安全可靠性；</w:t>
      </w:r>
    </w:p>
    <w:p w14:paraId="5E484EA8">
      <w:pPr>
        <w:numPr>
          <w:ilvl w:val="0"/>
          <w:numId w:val="37"/>
        </w:numPr>
        <w:tabs>
          <w:tab w:val="left" w:pos="709"/>
        </w:tabs>
        <w:wordWrap w:val="0"/>
        <w:ind w:left="709" w:hanging="284"/>
        <w:rPr>
          <w:rFonts w:hint="eastAsia" w:ascii="宋体" w:hAnsi="宋体"/>
          <w:kern w:val="0"/>
          <w:szCs w:val="21"/>
        </w:rPr>
      </w:pPr>
      <w:r>
        <w:rPr>
          <w:rFonts w:hint="eastAsia" w:ascii="宋体" w:hAnsi="宋体"/>
          <w:kern w:val="0"/>
          <w:szCs w:val="21"/>
        </w:rPr>
        <w:t>与现行安全</w:t>
      </w:r>
      <w:r>
        <w:rPr>
          <w:rFonts w:ascii="宋体" w:hAnsi="宋体"/>
          <w:kern w:val="0"/>
          <w:szCs w:val="21"/>
        </w:rPr>
        <w:t>法律、法规、规章</w:t>
      </w:r>
      <w:r>
        <w:rPr>
          <w:rFonts w:hint="eastAsia" w:ascii="宋体" w:hAnsi="宋体"/>
          <w:kern w:val="0"/>
          <w:szCs w:val="21"/>
        </w:rPr>
        <w:t>及相关</w:t>
      </w:r>
      <w:r>
        <w:rPr>
          <w:rFonts w:ascii="宋体" w:hAnsi="宋体"/>
          <w:kern w:val="0"/>
          <w:szCs w:val="21"/>
        </w:rPr>
        <w:t>标准、规范</w:t>
      </w:r>
      <w:r>
        <w:rPr>
          <w:rFonts w:hint="eastAsia" w:ascii="宋体" w:hAnsi="宋体"/>
          <w:kern w:val="0"/>
          <w:szCs w:val="21"/>
        </w:rPr>
        <w:t>的符合性。</w:t>
      </w:r>
    </w:p>
    <w:p w14:paraId="062463C9">
      <w:pPr>
        <w:numPr>
          <w:ilvl w:val="2"/>
          <w:numId w:val="2"/>
        </w:numPr>
        <w:spacing w:before="156" w:beforeLines="50" w:after="156" w:afterLines="50"/>
        <w:ind w:left="0"/>
        <w:outlineLvl w:val="1"/>
        <w:rPr>
          <w:rFonts w:hint="eastAsia" w:ascii="黑体" w:hAnsi="黑体" w:eastAsia="黑体" w:cs="黑体"/>
        </w:rPr>
      </w:pPr>
      <w:bookmarkStart w:id="285" w:name="_Toc11711"/>
      <w:bookmarkStart w:id="286" w:name="_Toc11715"/>
      <w:r>
        <w:rPr>
          <w:rFonts w:hint="eastAsia" w:ascii="黑体" w:hAnsi="黑体" w:eastAsia="黑体" w:cs="黑体"/>
          <w:kern w:val="0"/>
          <w:szCs w:val="21"/>
        </w:rPr>
        <w:t>主要</w:t>
      </w:r>
      <w:r>
        <w:rPr>
          <w:rFonts w:hint="eastAsia" w:ascii="黑体" w:hAnsi="黑体" w:eastAsia="黑体" w:cs="黑体"/>
        </w:rPr>
        <w:t>建议</w:t>
      </w:r>
      <w:bookmarkEnd w:id="285"/>
      <w:bookmarkEnd w:id="286"/>
    </w:p>
    <w:p w14:paraId="63E75ABC">
      <w:pPr>
        <w:pStyle w:val="93"/>
        <w:spacing w:before="156" w:beforeLines="50" w:after="156" w:afterLines="50"/>
        <w:rPr>
          <w:rFonts w:hint="eastAsia" w:ascii="黑体" w:hAnsi="黑体" w:eastAsia="黑体" w:cs="黑体"/>
          <w:szCs w:val="22"/>
        </w:rPr>
      </w:pPr>
      <w:r>
        <w:rPr>
          <w:rFonts w:hint="eastAsia" w:ascii="黑体" w:hAnsi="黑体" w:eastAsia="黑体" w:cs="黑体"/>
          <w:szCs w:val="22"/>
        </w:rPr>
        <w:t>施工图</w:t>
      </w:r>
      <w:r>
        <w:rPr>
          <w:rFonts w:hint="eastAsia" w:ascii="黑体" w:hAnsi="黑体" w:eastAsia="黑体" w:cs="黑体"/>
        </w:rPr>
        <w:t>设计阶段</w:t>
      </w:r>
    </w:p>
    <w:p w14:paraId="51C507D2">
      <w:pPr>
        <w:autoSpaceDE w:val="0"/>
        <w:autoSpaceDN w:val="0"/>
        <w:ind w:firstLine="420" w:firstLineChars="200"/>
        <w:rPr>
          <w:rFonts w:hint="eastAsia" w:ascii="宋体" w:hAnsi="宋体" w:eastAsia="宋体" w:cs="宋体"/>
          <w:szCs w:val="22"/>
        </w:rPr>
      </w:pPr>
      <w:r>
        <w:rPr>
          <w:rFonts w:hint="eastAsia" w:ascii="宋体" w:hAnsi="宋体" w:eastAsia="宋体" w:cs="宋体"/>
          <w:szCs w:val="22"/>
        </w:rPr>
        <w:t>根据同类建设项目的管理情况和发展趋势，说明还需要改进或增加的其他内容和建议，如已运行正常的同类建设项目的经验、需要开展专题攻关研究的内容及在施工图设计中需进一步落实的问题等。</w:t>
      </w:r>
    </w:p>
    <w:p w14:paraId="14371653">
      <w:pPr>
        <w:pStyle w:val="93"/>
        <w:spacing w:before="156" w:beforeLines="50" w:after="156" w:afterLines="50"/>
        <w:rPr>
          <w:rFonts w:hint="eastAsia" w:ascii="黑体" w:hAnsi="黑体" w:eastAsia="黑体" w:cs="黑体"/>
          <w:szCs w:val="22"/>
        </w:rPr>
      </w:pPr>
      <w:r>
        <w:rPr>
          <w:rFonts w:hint="eastAsia" w:ascii="黑体" w:hAnsi="黑体" w:eastAsia="黑体" w:cs="黑体"/>
          <w:szCs w:val="22"/>
        </w:rPr>
        <w:t>施工及生产运行阶段</w:t>
      </w:r>
    </w:p>
    <w:p w14:paraId="1F5C540D">
      <w:pPr>
        <w:autoSpaceDE w:val="0"/>
        <w:autoSpaceDN w:val="0"/>
        <w:ind w:firstLine="420" w:firstLineChars="200"/>
        <w:rPr>
          <w:rFonts w:hint="eastAsia" w:ascii="宋体" w:hAnsi="宋体" w:eastAsia="宋体" w:cs="宋体"/>
          <w:szCs w:val="22"/>
        </w:rPr>
      </w:pPr>
      <w:r>
        <w:rPr>
          <w:rFonts w:hint="eastAsia" w:ascii="宋体" w:hAnsi="宋体" w:eastAsia="宋体" w:cs="宋体"/>
          <w:szCs w:val="22"/>
        </w:rPr>
        <w:t>对建设项目施工及生产运行提出有针对性的安全措施建议。</w:t>
      </w:r>
    </w:p>
    <w:p w14:paraId="1D1B2C70">
      <w:pPr>
        <w:widowControl/>
        <w:numPr>
          <w:ilvl w:val="1"/>
          <w:numId w:val="2"/>
        </w:numPr>
        <w:spacing w:before="312" w:beforeLines="100" w:after="312" w:afterLines="100"/>
        <w:outlineLvl w:val="0"/>
        <w:rPr>
          <w:rFonts w:hint="eastAsia" w:ascii="黑体" w:hAnsi="黑体" w:eastAsia="黑体" w:cs="黑体"/>
          <w:szCs w:val="22"/>
        </w:rPr>
      </w:pPr>
      <w:bookmarkStart w:id="287" w:name="_Toc21127"/>
      <w:bookmarkStart w:id="288" w:name="_Toc17992"/>
      <w:r>
        <w:rPr>
          <w:rFonts w:hint="eastAsia" w:ascii="黑体" w:hAnsi="黑体" w:eastAsia="黑体" w:cs="黑体"/>
          <w:szCs w:val="22"/>
        </w:rPr>
        <w:t>安全设施设计格式要求</w:t>
      </w:r>
      <w:bookmarkEnd w:id="287"/>
      <w:bookmarkEnd w:id="288"/>
    </w:p>
    <w:p w14:paraId="262F23C4">
      <w:pPr>
        <w:numPr>
          <w:ilvl w:val="2"/>
          <w:numId w:val="2"/>
        </w:numPr>
        <w:spacing w:before="156" w:beforeLines="50" w:after="156" w:afterLines="50"/>
        <w:ind w:left="0"/>
        <w:outlineLvl w:val="1"/>
        <w:rPr>
          <w:rFonts w:hint="eastAsia" w:ascii="黑体" w:hAnsi="黑体" w:eastAsia="黑体" w:cs="黑体"/>
        </w:rPr>
      </w:pPr>
      <w:bookmarkStart w:id="289" w:name="_Toc3127"/>
      <w:bookmarkStart w:id="290" w:name="_Toc26175"/>
      <w:r>
        <w:rPr>
          <w:rFonts w:hint="eastAsia" w:ascii="黑体" w:hAnsi="黑体" w:eastAsia="黑体" w:cs="黑体"/>
        </w:rPr>
        <w:t>结构</w:t>
      </w:r>
      <w:bookmarkEnd w:id="289"/>
      <w:bookmarkEnd w:id="290"/>
    </w:p>
    <w:p w14:paraId="3FABC3A9">
      <w:pPr>
        <w:pStyle w:val="93"/>
        <w:spacing w:before="156" w:beforeLines="50" w:after="156" w:afterLines="50"/>
        <w:rPr>
          <w:rFonts w:hint="eastAsia" w:ascii="黑体" w:hAnsi="黑体" w:eastAsia="黑体" w:cs="黑体"/>
          <w:szCs w:val="22"/>
        </w:rPr>
      </w:pPr>
      <w:r>
        <w:rPr>
          <w:rFonts w:hint="eastAsia" w:ascii="黑体" w:hAnsi="黑体" w:eastAsia="黑体" w:cs="黑体"/>
          <w:szCs w:val="22"/>
        </w:rPr>
        <w:t>封面</w:t>
      </w:r>
    </w:p>
    <w:p w14:paraId="3959C23F">
      <w:pPr>
        <w:autoSpaceDE w:val="0"/>
        <w:autoSpaceDN w:val="0"/>
        <w:ind w:firstLine="420" w:firstLineChars="200"/>
        <w:rPr>
          <w:rFonts w:ascii="Times New Roman" w:hAnsi="Times New Roman" w:eastAsia="宋体" w:cs="Times New Roman"/>
          <w:szCs w:val="22"/>
        </w:rPr>
      </w:pPr>
      <w:r>
        <w:rPr>
          <w:rFonts w:hint="eastAsia" w:ascii="宋体" w:hAnsi="宋体" w:eastAsia="宋体" w:cs="宋体"/>
          <w:szCs w:val="22"/>
        </w:rPr>
        <w:t>封面</w:t>
      </w:r>
      <w:r>
        <w:rPr>
          <w:rFonts w:ascii="Times New Roman" w:hAnsi="Times New Roman" w:eastAsia="宋体" w:cs="Times New Roman"/>
          <w:szCs w:val="22"/>
        </w:rPr>
        <w:t>格式应符合附录</w:t>
      </w:r>
      <w:r>
        <w:rPr>
          <w:rFonts w:hint="eastAsia" w:ascii="Times New Roman" w:hAnsi="Times New Roman" w:eastAsia="宋体" w:cs="Times New Roman"/>
          <w:szCs w:val="22"/>
        </w:rPr>
        <w:t>C</w:t>
      </w:r>
      <w:r>
        <w:rPr>
          <w:rFonts w:ascii="Times New Roman" w:hAnsi="Times New Roman" w:eastAsia="宋体" w:cs="Times New Roman"/>
          <w:szCs w:val="22"/>
        </w:rPr>
        <w:t>的要求。</w:t>
      </w:r>
    </w:p>
    <w:p w14:paraId="3CC94738">
      <w:pPr>
        <w:pStyle w:val="93"/>
        <w:spacing w:before="156" w:beforeLines="50" w:after="156" w:afterLines="50"/>
        <w:rPr>
          <w:rFonts w:ascii="Times New Roman" w:eastAsia="黑体"/>
          <w:szCs w:val="22"/>
        </w:rPr>
      </w:pPr>
      <w:r>
        <w:rPr>
          <w:rFonts w:ascii="Times New Roman" w:eastAsia="黑体"/>
          <w:szCs w:val="22"/>
        </w:rPr>
        <w:t>扉页</w:t>
      </w:r>
    </w:p>
    <w:p w14:paraId="5A45C560">
      <w:pPr>
        <w:autoSpaceDE w:val="0"/>
        <w:autoSpaceDN w:val="0"/>
        <w:ind w:firstLine="420" w:firstLineChars="200"/>
        <w:rPr>
          <w:rFonts w:ascii="Times New Roman" w:hAnsi="Times New Roman" w:eastAsia="宋体" w:cs="Times New Roman"/>
          <w:szCs w:val="22"/>
        </w:rPr>
      </w:pPr>
      <w:r>
        <w:rPr>
          <w:rFonts w:ascii="Times New Roman" w:hAnsi="Times New Roman" w:eastAsia="宋体" w:cs="Times New Roman"/>
          <w:szCs w:val="22"/>
        </w:rPr>
        <w:t>扉页的字号和字体应符合附录</w:t>
      </w:r>
      <w:r>
        <w:rPr>
          <w:rFonts w:hint="eastAsia" w:ascii="Times New Roman" w:hAnsi="Times New Roman" w:eastAsia="宋体" w:cs="Times New Roman"/>
          <w:szCs w:val="22"/>
        </w:rPr>
        <w:t>D</w:t>
      </w:r>
      <w:r>
        <w:rPr>
          <w:rFonts w:ascii="Times New Roman" w:hAnsi="Times New Roman" w:eastAsia="宋体" w:cs="Times New Roman"/>
          <w:szCs w:val="22"/>
        </w:rPr>
        <w:t>的要求。</w:t>
      </w:r>
    </w:p>
    <w:p w14:paraId="612C9746">
      <w:pPr>
        <w:pStyle w:val="93"/>
        <w:spacing w:before="156" w:beforeLines="50" w:after="156" w:afterLines="50"/>
        <w:rPr>
          <w:rFonts w:ascii="Times New Roman" w:eastAsia="黑体"/>
          <w:szCs w:val="22"/>
        </w:rPr>
      </w:pPr>
      <w:r>
        <w:rPr>
          <w:rFonts w:ascii="Times New Roman" w:eastAsia="黑体"/>
          <w:szCs w:val="22"/>
        </w:rPr>
        <w:t>设计校审人员名单</w:t>
      </w:r>
    </w:p>
    <w:p w14:paraId="055AB39E">
      <w:pPr>
        <w:autoSpaceDE w:val="0"/>
        <w:autoSpaceDN w:val="0"/>
        <w:ind w:firstLine="420" w:firstLineChars="200"/>
        <w:rPr>
          <w:rFonts w:ascii="Times New Roman" w:hAnsi="Times New Roman" w:eastAsia="宋体" w:cs="Times New Roman"/>
          <w:szCs w:val="22"/>
        </w:rPr>
      </w:pPr>
      <w:r>
        <w:rPr>
          <w:rFonts w:ascii="Times New Roman" w:hAnsi="Times New Roman" w:eastAsia="宋体" w:cs="Times New Roman"/>
          <w:szCs w:val="22"/>
        </w:rPr>
        <w:t>设计校审人员名单的字号和字体应符合附录</w:t>
      </w:r>
      <w:r>
        <w:rPr>
          <w:rFonts w:hint="eastAsia" w:ascii="Times New Roman" w:hAnsi="Times New Roman" w:eastAsia="宋体" w:cs="Times New Roman"/>
          <w:szCs w:val="22"/>
        </w:rPr>
        <w:t>E</w:t>
      </w:r>
      <w:r>
        <w:rPr>
          <w:rFonts w:ascii="Times New Roman" w:hAnsi="Times New Roman" w:eastAsia="宋体" w:cs="Times New Roman"/>
          <w:szCs w:val="22"/>
        </w:rPr>
        <w:t>的要求。</w:t>
      </w:r>
    </w:p>
    <w:p w14:paraId="265EED88">
      <w:pPr>
        <w:pStyle w:val="93"/>
        <w:spacing w:before="156" w:beforeLines="50" w:after="156" w:afterLines="50"/>
        <w:rPr>
          <w:rFonts w:ascii="Times New Roman" w:eastAsia="黑体"/>
          <w:szCs w:val="22"/>
        </w:rPr>
      </w:pPr>
      <w:r>
        <w:rPr>
          <w:rFonts w:ascii="Times New Roman" w:eastAsia="黑体"/>
          <w:szCs w:val="22"/>
        </w:rPr>
        <w:t>目录</w:t>
      </w:r>
    </w:p>
    <w:p w14:paraId="4D4585BE">
      <w:pPr>
        <w:autoSpaceDE w:val="0"/>
        <w:autoSpaceDN w:val="0"/>
        <w:ind w:firstLine="420" w:firstLineChars="200"/>
        <w:rPr>
          <w:rFonts w:ascii="Times New Roman" w:hAnsi="Times New Roman" w:eastAsia="宋体" w:cs="Times New Roman"/>
          <w:szCs w:val="22"/>
        </w:rPr>
      </w:pPr>
      <w:r>
        <w:rPr>
          <w:rFonts w:ascii="Times New Roman" w:hAnsi="Times New Roman" w:eastAsia="宋体" w:cs="Times New Roman"/>
          <w:szCs w:val="22"/>
        </w:rPr>
        <w:t>目录应采用三号黑体字，章、节标题采用小四号宋体字。</w:t>
      </w:r>
    </w:p>
    <w:p w14:paraId="4A7FAC8F">
      <w:pPr>
        <w:pStyle w:val="93"/>
        <w:spacing w:before="156" w:beforeLines="50" w:after="156" w:afterLines="50"/>
        <w:rPr>
          <w:rFonts w:hint="eastAsia" w:ascii="黑体" w:hAnsi="黑体" w:eastAsia="黑体" w:cs="黑体"/>
          <w:szCs w:val="22"/>
        </w:rPr>
      </w:pPr>
      <w:r>
        <w:rPr>
          <w:rFonts w:hint="eastAsia" w:ascii="黑体" w:hAnsi="黑体" w:eastAsia="黑体" w:cs="黑体"/>
          <w:szCs w:val="22"/>
        </w:rPr>
        <w:t>正文</w:t>
      </w:r>
    </w:p>
    <w:p w14:paraId="2C708746">
      <w:pPr>
        <w:numPr>
          <w:ilvl w:val="2"/>
          <w:numId w:val="0"/>
        </w:numPr>
        <w:spacing w:before="50" w:after="50"/>
        <w:ind w:firstLine="420" w:firstLineChars="200"/>
        <w:rPr>
          <w:rFonts w:ascii="Times New Roman" w:hAnsi="Times New Roman" w:eastAsia="宋体" w:cs="Times New Roman"/>
        </w:rPr>
      </w:pPr>
      <w:bookmarkStart w:id="291" w:name="_Toc293"/>
      <w:bookmarkStart w:id="292" w:name="_Toc20713"/>
      <w:bookmarkStart w:id="293" w:name="_Toc21139"/>
      <w:r>
        <w:rPr>
          <w:rFonts w:ascii="Times New Roman" w:hAnsi="Times New Roman" w:eastAsia="宋体" w:cs="Times New Roman"/>
        </w:rPr>
        <w:t>报告主要内容的章、节标题应分别采用三号黑体、四号黑体字，内容的文字表述部分采用小四号宋体字，表名、图名采用五号黑体，表格文字可选择采用五号或者小五号宋体字；页眉报告名称采用五号楷体_GB 2312字，页脚页码采用五号楷体_GB 2312字。</w:t>
      </w:r>
      <w:bookmarkEnd w:id="291"/>
      <w:bookmarkEnd w:id="292"/>
      <w:bookmarkEnd w:id="293"/>
    </w:p>
    <w:p w14:paraId="279D22A3">
      <w:pPr>
        <w:pStyle w:val="93"/>
        <w:spacing w:before="156" w:beforeLines="50" w:after="156" w:afterLines="50"/>
        <w:rPr>
          <w:rFonts w:hint="eastAsia" w:ascii="黑体" w:hAnsi="黑体" w:eastAsia="黑体" w:cs="黑体"/>
          <w:szCs w:val="22"/>
        </w:rPr>
      </w:pPr>
      <w:r>
        <w:rPr>
          <w:rFonts w:hint="eastAsia" w:ascii="黑体" w:hAnsi="黑体" w:eastAsia="黑体" w:cs="黑体"/>
          <w:szCs w:val="22"/>
        </w:rPr>
        <w:t>附件与附图</w:t>
      </w:r>
    </w:p>
    <w:p w14:paraId="17511C70">
      <w:pPr>
        <w:numPr>
          <w:ilvl w:val="3"/>
          <w:numId w:val="38"/>
        </w:numPr>
        <w:autoSpaceDE w:val="0"/>
        <w:autoSpaceDN w:val="0"/>
        <w:adjustRightInd w:val="0"/>
        <w:snapToGrid w:val="0"/>
        <w:spacing w:before="156" w:beforeLines="50" w:after="156" w:afterLines="50"/>
        <w:ind w:left="0" w:firstLine="0"/>
        <w:outlineLvl w:val="3"/>
        <w:rPr>
          <w:rFonts w:hint="eastAsia" w:ascii="黑体" w:hAnsi="黑体" w:eastAsia="黑体" w:cs="黑体"/>
        </w:rPr>
      </w:pPr>
      <w:r>
        <w:rPr>
          <w:rFonts w:hint="eastAsia" w:ascii="黑体" w:hAnsi="黑体" w:eastAsia="黑体" w:cs="黑体"/>
        </w:rPr>
        <w:t xml:space="preserve"> 附件</w:t>
      </w:r>
    </w:p>
    <w:p w14:paraId="4F647323">
      <w:pPr>
        <w:autoSpaceDE w:val="0"/>
        <w:autoSpaceDN w:val="0"/>
        <w:ind w:firstLine="420" w:firstLineChars="200"/>
        <w:rPr>
          <w:rFonts w:ascii="Times New Roman" w:hAnsi="Times New Roman" w:eastAsia="宋体" w:cs="Times New Roman"/>
        </w:rPr>
      </w:pPr>
      <w:r>
        <w:rPr>
          <w:rFonts w:ascii="Times New Roman" w:hAnsi="Times New Roman" w:eastAsia="宋体" w:cs="Times New Roman"/>
        </w:rPr>
        <w:t>应采用原件复印件(复印比例为1∶1），主要包括以下内容：</w:t>
      </w:r>
    </w:p>
    <w:p w14:paraId="035B1895">
      <w:pPr>
        <w:numPr>
          <w:ilvl w:val="0"/>
          <w:numId w:val="39"/>
        </w:numPr>
        <w:autoSpaceDE w:val="0"/>
        <w:autoSpaceDN w:val="0"/>
        <w:ind w:left="0" w:firstLine="420" w:firstLineChars="200"/>
        <w:rPr>
          <w:rFonts w:ascii="Times New Roman" w:hAnsi="Times New Roman" w:eastAsia="宋体" w:cs="Times New Roman"/>
        </w:rPr>
      </w:pPr>
      <w:r>
        <w:rPr>
          <w:rFonts w:ascii="Times New Roman" w:hAnsi="Times New Roman" w:eastAsia="宋体" w:cs="Times New Roman"/>
        </w:rPr>
        <w:t>建设项目审批、核准或者备案的文件；</w:t>
      </w:r>
    </w:p>
    <w:p w14:paraId="57D41B7D">
      <w:pPr>
        <w:numPr>
          <w:ilvl w:val="0"/>
          <w:numId w:val="39"/>
        </w:numPr>
        <w:autoSpaceDE w:val="0"/>
        <w:autoSpaceDN w:val="0"/>
        <w:ind w:left="0" w:firstLine="420" w:firstLineChars="200"/>
        <w:rPr>
          <w:rFonts w:ascii="Times New Roman" w:hAnsi="Times New Roman" w:eastAsia="宋体" w:cs="Times New Roman"/>
        </w:rPr>
      </w:pPr>
      <w:r>
        <w:rPr>
          <w:rFonts w:ascii="Times New Roman" w:hAnsi="Times New Roman" w:eastAsia="宋体" w:cs="Times New Roman"/>
        </w:rPr>
        <w:t>设计委托书；</w:t>
      </w:r>
    </w:p>
    <w:p w14:paraId="742510F2">
      <w:pPr>
        <w:numPr>
          <w:ilvl w:val="0"/>
          <w:numId w:val="39"/>
        </w:numPr>
        <w:autoSpaceDE w:val="0"/>
        <w:autoSpaceDN w:val="0"/>
        <w:ind w:left="0" w:firstLine="420" w:firstLineChars="200"/>
        <w:rPr>
          <w:rFonts w:ascii="Times New Roman" w:hAnsi="Times New Roman" w:eastAsia="宋体" w:cs="Times New Roman"/>
        </w:rPr>
      </w:pPr>
      <w:r>
        <w:rPr>
          <w:rFonts w:ascii="Times New Roman" w:hAnsi="Times New Roman" w:eastAsia="宋体" w:cs="Times New Roman"/>
        </w:rPr>
        <w:t>建设单位的经营范围；</w:t>
      </w:r>
    </w:p>
    <w:p w14:paraId="2D58CE74">
      <w:pPr>
        <w:numPr>
          <w:ilvl w:val="0"/>
          <w:numId w:val="39"/>
        </w:numPr>
        <w:autoSpaceDE w:val="0"/>
        <w:autoSpaceDN w:val="0"/>
        <w:ind w:left="0" w:firstLine="420" w:firstLineChars="200"/>
        <w:rPr>
          <w:rFonts w:ascii="Times New Roman" w:hAnsi="Times New Roman" w:eastAsia="宋体" w:cs="Times New Roman"/>
        </w:rPr>
      </w:pPr>
      <w:r>
        <w:rPr>
          <w:rFonts w:ascii="Times New Roman" w:hAnsi="Times New Roman" w:eastAsia="宋体" w:cs="Times New Roman"/>
        </w:rPr>
        <w:t>设计单位的设计资质证明文件。</w:t>
      </w:r>
    </w:p>
    <w:p w14:paraId="207BDBE7">
      <w:pPr>
        <w:numPr>
          <w:ilvl w:val="3"/>
          <w:numId w:val="38"/>
        </w:numPr>
        <w:autoSpaceDE w:val="0"/>
        <w:autoSpaceDN w:val="0"/>
        <w:adjustRightInd w:val="0"/>
        <w:snapToGrid w:val="0"/>
        <w:spacing w:before="156" w:beforeLines="50" w:after="156" w:afterLines="50"/>
        <w:ind w:left="0" w:firstLine="0"/>
        <w:outlineLvl w:val="3"/>
        <w:rPr>
          <w:rFonts w:ascii="Times New Roman" w:hAnsi="Times New Roman" w:eastAsia="黑体" w:cs="Times New Roman"/>
        </w:rPr>
      </w:pPr>
      <w:bookmarkStart w:id="294" w:name="_Toc17759"/>
      <w:r>
        <w:rPr>
          <w:rFonts w:hint="eastAsia" w:ascii="Times New Roman" w:hAnsi="Times New Roman" w:eastAsia="黑体" w:cs="Times New Roman"/>
        </w:rPr>
        <w:t xml:space="preserve"> </w:t>
      </w:r>
      <w:r>
        <w:rPr>
          <w:rFonts w:ascii="Times New Roman" w:hAnsi="Times New Roman" w:eastAsia="黑体" w:cs="Times New Roman"/>
        </w:rPr>
        <w:t>附图</w:t>
      </w:r>
    </w:p>
    <w:p w14:paraId="7BEC2728">
      <w:pPr>
        <w:numPr>
          <w:ilvl w:val="2"/>
          <w:numId w:val="0"/>
        </w:numPr>
        <w:ind w:firstLine="420" w:firstLineChars="200"/>
        <w:rPr>
          <w:rFonts w:ascii="Times New Roman" w:hAnsi="Times New Roman" w:eastAsia="宋体" w:cs="Times New Roman"/>
        </w:rPr>
      </w:pPr>
      <w:bookmarkStart w:id="295" w:name="_Toc3083"/>
      <w:bookmarkStart w:id="296" w:name="_Toc5789"/>
      <w:r>
        <w:rPr>
          <w:rFonts w:ascii="Times New Roman" w:hAnsi="Times New Roman" w:eastAsia="宋体" w:cs="Times New Roman"/>
        </w:rPr>
        <w:t>附图应</w:t>
      </w:r>
      <w:r>
        <w:rPr>
          <w:rFonts w:ascii="Times New Roman" w:hAnsi="Times New Roman" w:eastAsia="宋体" w:cs="Times New Roman"/>
          <w:szCs w:val="22"/>
        </w:rPr>
        <w:t>主要</w:t>
      </w:r>
      <w:r>
        <w:rPr>
          <w:rFonts w:ascii="Times New Roman" w:hAnsi="Times New Roman" w:eastAsia="宋体" w:cs="Times New Roman"/>
        </w:rPr>
        <w:t>包括：</w:t>
      </w:r>
      <w:bookmarkEnd w:id="295"/>
      <w:bookmarkEnd w:id="296"/>
    </w:p>
    <w:p w14:paraId="419F2526">
      <w:pPr>
        <w:numPr>
          <w:ilvl w:val="0"/>
          <w:numId w:val="40"/>
        </w:numPr>
        <w:autoSpaceDE w:val="0"/>
        <w:autoSpaceDN w:val="0"/>
        <w:rPr>
          <w:rFonts w:ascii="Times New Roman" w:hAnsi="Times New Roman" w:eastAsia="宋体" w:cs="Times New Roman"/>
          <w:szCs w:val="22"/>
        </w:rPr>
      </w:pPr>
      <w:r>
        <w:rPr>
          <w:rFonts w:ascii="Times New Roman" w:hAnsi="Times New Roman" w:eastAsia="宋体" w:cs="Times New Roman"/>
          <w:szCs w:val="22"/>
        </w:rPr>
        <w:t>区域位置图；</w:t>
      </w:r>
    </w:p>
    <w:p w14:paraId="1C0EF6DE">
      <w:pPr>
        <w:numPr>
          <w:ilvl w:val="0"/>
          <w:numId w:val="40"/>
        </w:numPr>
        <w:autoSpaceDE w:val="0"/>
        <w:autoSpaceDN w:val="0"/>
        <w:rPr>
          <w:rFonts w:ascii="Times New Roman" w:hAnsi="Times New Roman" w:eastAsia="宋体" w:cs="Times New Roman"/>
          <w:szCs w:val="22"/>
        </w:rPr>
      </w:pPr>
      <w:r>
        <w:rPr>
          <w:rFonts w:ascii="Times New Roman" w:hAnsi="Times New Roman" w:eastAsia="宋体" w:cs="Times New Roman"/>
          <w:szCs w:val="22"/>
        </w:rPr>
        <w:t>总平面布置图；</w:t>
      </w:r>
    </w:p>
    <w:p w14:paraId="46CCC46B">
      <w:pPr>
        <w:numPr>
          <w:ilvl w:val="0"/>
          <w:numId w:val="40"/>
        </w:numPr>
        <w:autoSpaceDE w:val="0"/>
        <w:autoSpaceDN w:val="0"/>
        <w:rPr>
          <w:rFonts w:ascii="Times New Roman" w:hAnsi="Times New Roman" w:eastAsia="宋体" w:cs="Times New Roman"/>
          <w:szCs w:val="22"/>
        </w:rPr>
      </w:pPr>
      <w:r>
        <w:rPr>
          <w:rFonts w:ascii="Times New Roman" w:hAnsi="Times New Roman" w:eastAsia="宋体" w:cs="Times New Roman"/>
          <w:szCs w:val="22"/>
        </w:rPr>
        <w:t>主要工艺原理流程图；</w:t>
      </w:r>
    </w:p>
    <w:p w14:paraId="78C2F929">
      <w:pPr>
        <w:numPr>
          <w:ilvl w:val="0"/>
          <w:numId w:val="40"/>
        </w:numPr>
        <w:autoSpaceDE w:val="0"/>
        <w:autoSpaceDN w:val="0"/>
        <w:rPr>
          <w:rFonts w:ascii="Times New Roman" w:hAnsi="Times New Roman" w:eastAsia="宋体" w:cs="Times New Roman"/>
          <w:szCs w:val="22"/>
        </w:rPr>
      </w:pPr>
      <w:r>
        <w:rPr>
          <w:rFonts w:ascii="Times New Roman" w:hAnsi="Times New Roman" w:eastAsia="宋体" w:cs="Times New Roman"/>
          <w:szCs w:val="22"/>
        </w:rPr>
        <w:t>危险区域划分图；</w:t>
      </w:r>
    </w:p>
    <w:p w14:paraId="6D8F8243">
      <w:pPr>
        <w:numPr>
          <w:ilvl w:val="0"/>
          <w:numId w:val="40"/>
        </w:numPr>
        <w:autoSpaceDE w:val="0"/>
        <w:autoSpaceDN w:val="0"/>
        <w:rPr>
          <w:rFonts w:ascii="Times New Roman" w:hAnsi="Times New Roman" w:eastAsia="宋体" w:cs="Times New Roman"/>
          <w:szCs w:val="22"/>
        </w:rPr>
      </w:pPr>
      <w:r>
        <w:rPr>
          <w:rFonts w:ascii="Times New Roman" w:hAnsi="Times New Roman" w:eastAsia="宋体" w:cs="Times New Roman"/>
          <w:szCs w:val="22"/>
        </w:rPr>
        <w:t>火气监测系统布置图；</w:t>
      </w:r>
    </w:p>
    <w:p w14:paraId="1E0947F0">
      <w:pPr>
        <w:numPr>
          <w:ilvl w:val="0"/>
          <w:numId w:val="40"/>
        </w:numPr>
        <w:autoSpaceDE w:val="0"/>
        <w:autoSpaceDN w:val="0"/>
        <w:rPr>
          <w:rFonts w:ascii="Times New Roman" w:hAnsi="Times New Roman" w:eastAsia="宋体" w:cs="Times New Roman"/>
          <w:szCs w:val="22"/>
        </w:rPr>
      </w:pPr>
      <w:r>
        <w:rPr>
          <w:rFonts w:ascii="Times New Roman" w:hAnsi="Times New Roman" w:eastAsia="宋体" w:cs="Times New Roman"/>
          <w:szCs w:val="22"/>
        </w:rPr>
        <w:t>逻辑关断图。</w:t>
      </w:r>
    </w:p>
    <w:p w14:paraId="1312E9B4">
      <w:pPr>
        <w:numPr>
          <w:ilvl w:val="2"/>
          <w:numId w:val="2"/>
        </w:numPr>
        <w:spacing w:before="156" w:beforeLines="50" w:after="156" w:afterLines="50"/>
        <w:ind w:left="0"/>
        <w:outlineLvl w:val="1"/>
        <w:rPr>
          <w:rFonts w:hint="eastAsia" w:ascii="黑体" w:hAnsi="黑体" w:eastAsia="黑体" w:cs="黑体"/>
        </w:rPr>
      </w:pPr>
      <w:bookmarkStart w:id="297" w:name="_Toc12538"/>
      <w:bookmarkStart w:id="298" w:name="_Toc4339"/>
      <w:r>
        <w:rPr>
          <w:rFonts w:hint="eastAsia" w:ascii="黑体" w:hAnsi="黑体" w:eastAsia="黑体" w:cs="黑体"/>
        </w:rPr>
        <w:t>纸张、排版</w:t>
      </w:r>
      <w:bookmarkEnd w:id="294"/>
      <w:bookmarkEnd w:id="297"/>
      <w:bookmarkEnd w:id="298"/>
    </w:p>
    <w:p w14:paraId="47658F7A">
      <w:pPr>
        <w:autoSpaceDE w:val="0"/>
        <w:autoSpaceDN w:val="0"/>
        <w:ind w:firstLine="420" w:firstLineChars="200"/>
        <w:rPr>
          <w:rFonts w:ascii="Times New Roman" w:hAnsi="Times New Roman" w:eastAsia="宋体" w:cs="Times New Roman"/>
        </w:rPr>
      </w:pPr>
      <w:r>
        <w:rPr>
          <w:rFonts w:ascii="Times New Roman" w:hAnsi="Times New Roman" w:eastAsia="宋体" w:cs="Times New Roman"/>
        </w:rPr>
        <w:t>应采用A4白色胶版纸(70</w:t>
      </w:r>
      <w:r>
        <w:rPr>
          <w:rFonts w:hint="eastAsia" w:ascii="Times New Roman" w:hAnsi="Times New Roman" w:eastAsia="宋体" w:cs="Times New Roman"/>
        </w:rPr>
        <w:t xml:space="preserve"> </w:t>
      </w:r>
      <w:r>
        <w:rPr>
          <w:rFonts w:ascii="Times New Roman" w:hAnsi="Times New Roman" w:eastAsia="宋体" w:cs="Times New Roman"/>
        </w:rPr>
        <w:t>g以上）；纵向排版，左边距28</w:t>
      </w:r>
      <w:r>
        <w:rPr>
          <w:rFonts w:hint="eastAsia" w:ascii="Times New Roman" w:hAnsi="Times New Roman" w:eastAsia="宋体" w:cs="Times New Roman"/>
        </w:rPr>
        <w:t xml:space="preserve"> </w:t>
      </w:r>
      <w:r>
        <w:rPr>
          <w:rFonts w:ascii="Times New Roman" w:hAnsi="Times New Roman" w:eastAsia="宋体" w:cs="Times New Roman"/>
        </w:rPr>
        <w:t>mm、右边距20</w:t>
      </w:r>
      <w:r>
        <w:rPr>
          <w:rFonts w:hint="eastAsia" w:ascii="Times New Roman" w:hAnsi="Times New Roman" w:eastAsia="宋体" w:cs="Times New Roman"/>
        </w:rPr>
        <w:t xml:space="preserve"> </w:t>
      </w:r>
      <w:r>
        <w:rPr>
          <w:rFonts w:ascii="Times New Roman" w:hAnsi="Times New Roman" w:eastAsia="宋体" w:cs="Times New Roman"/>
        </w:rPr>
        <w:t>mm、上边距25</w:t>
      </w:r>
      <w:r>
        <w:rPr>
          <w:rFonts w:hint="eastAsia" w:ascii="Times New Roman" w:hAnsi="Times New Roman" w:eastAsia="宋体" w:cs="Times New Roman"/>
        </w:rPr>
        <w:t xml:space="preserve"> </w:t>
      </w:r>
      <w:r>
        <w:rPr>
          <w:rFonts w:ascii="Times New Roman" w:hAnsi="Times New Roman" w:eastAsia="宋体" w:cs="Times New Roman"/>
        </w:rPr>
        <w:t>mm、下边距20</w:t>
      </w:r>
      <w:r>
        <w:rPr>
          <w:rFonts w:hint="eastAsia" w:ascii="Times New Roman" w:hAnsi="Times New Roman" w:eastAsia="宋体" w:cs="Times New Roman"/>
        </w:rPr>
        <w:t xml:space="preserve"> </w:t>
      </w:r>
      <w:r>
        <w:rPr>
          <w:rFonts w:ascii="Times New Roman" w:hAnsi="Times New Roman" w:eastAsia="宋体" w:cs="Times New Roman"/>
        </w:rPr>
        <w:t>mm；页眉顶端距离20</w:t>
      </w:r>
      <w:r>
        <w:rPr>
          <w:rFonts w:hint="eastAsia" w:ascii="Times New Roman" w:hAnsi="Times New Roman" w:eastAsia="宋体" w:cs="Times New Roman"/>
        </w:rPr>
        <w:t xml:space="preserve"> </w:t>
      </w:r>
      <w:r>
        <w:rPr>
          <w:rFonts w:ascii="Times New Roman" w:hAnsi="Times New Roman" w:eastAsia="宋体" w:cs="Times New Roman"/>
        </w:rPr>
        <w:t>mm，页脚底端距离15</w:t>
      </w:r>
      <w:r>
        <w:rPr>
          <w:rFonts w:hint="eastAsia" w:ascii="Times New Roman" w:hAnsi="Times New Roman" w:eastAsia="宋体" w:cs="Times New Roman"/>
        </w:rPr>
        <w:t xml:space="preserve"> </w:t>
      </w:r>
      <w:r>
        <w:rPr>
          <w:rFonts w:ascii="Times New Roman" w:hAnsi="Times New Roman" w:eastAsia="宋体" w:cs="Times New Roman"/>
        </w:rPr>
        <w:t>mm，页码位于页面底端，对齐方式为居中。</w:t>
      </w:r>
    </w:p>
    <w:p w14:paraId="42C97294">
      <w:pPr>
        <w:numPr>
          <w:ilvl w:val="2"/>
          <w:numId w:val="2"/>
        </w:numPr>
        <w:spacing w:before="156" w:beforeLines="50" w:after="156" w:afterLines="50"/>
        <w:ind w:left="0"/>
        <w:outlineLvl w:val="1"/>
        <w:rPr>
          <w:rFonts w:hint="eastAsia" w:ascii="黑体" w:hAnsi="黑体" w:eastAsia="黑体" w:cs="黑体"/>
        </w:rPr>
      </w:pPr>
      <w:bookmarkStart w:id="299" w:name="_Toc7216"/>
      <w:bookmarkStart w:id="300" w:name="_Toc12136"/>
      <w:bookmarkStart w:id="301" w:name="_Toc23424"/>
      <w:r>
        <w:rPr>
          <w:rFonts w:hint="eastAsia" w:ascii="黑体" w:hAnsi="黑体" w:eastAsia="黑体" w:cs="黑体"/>
        </w:rPr>
        <w:t>印刷</w:t>
      </w:r>
      <w:bookmarkEnd w:id="299"/>
      <w:bookmarkEnd w:id="300"/>
      <w:bookmarkEnd w:id="301"/>
    </w:p>
    <w:p w14:paraId="0FBA3DCC">
      <w:pPr>
        <w:autoSpaceDE w:val="0"/>
        <w:autoSpaceDN w:val="0"/>
        <w:ind w:firstLine="420" w:firstLineChars="200"/>
        <w:rPr>
          <w:rFonts w:hint="eastAsia" w:ascii="宋体" w:hAnsi="宋体" w:eastAsia="宋体" w:cs="宋体"/>
        </w:rPr>
      </w:pPr>
      <w:r>
        <w:rPr>
          <w:rFonts w:hint="eastAsia" w:ascii="宋体" w:hAnsi="宋体" w:eastAsia="宋体" w:cs="宋体"/>
        </w:rPr>
        <w:t>除附图、复印件等外，双面打印文本。</w:t>
      </w:r>
    </w:p>
    <w:p w14:paraId="3B039038">
      <w:pPr>
        <w:numPr>
          <w:ilvl w:val="2"/>
          <w:numId w:val="2"/>
        </w:numPr>
        <w:spacing w:before="156" w:beforeLines="50" w:after="156" w:afterLines="50"/>
        <w:ind w:left="0"/>
        <w:outlineLvl w:val="1"/>
        <w:rPr>
          <w:rFonts w:hint="eastAsia" w:ascii="黑体" w:hAnsi="黑体" w:eastAsia="黑体" w:cs="黑体"/>
        </w:rPr>
      </w:pPr>
      <w:bookmarkStart w:id="302" w:name="_Toc7312"/>
      <w:bookmarkStart w:id="303" w:name="_Toc1895"/>
      <w:bookmarkStart w:id="304" w:name="_Toc1627"/>
      <w:r>
        <w:rPr>
          <w:rFonts w:hint="eastAsia" w:ascii="黑体" w:hAnsi="黑体" w:eastAsia="黑体" w:cs="黑体"/>
        </w:rPr>
        <w:t>封装</w:t>
      </w:r>
      <w:bookmarkEnd w:id="302"/>
      <w:bookmarkEnd w:id="303"/>
      <w:bookmarkEnd w:id="304"/>
    </w:p>
    <w:p w14:paraId="65487875">
      <w:pPr>
        <w:ind w:firstLine="420" w:firstLineChars="200"/>
        <w:rPr>
          <w:rFonts w:ascii="Times New Roman" w:hAnsi="Times New Roman" w:eastAsia="宋体" w:cs="Times New Roman"/>
          <w:szCs w:val="22"/>
        </w:rPr>
      </w:pPr>
      <w:r>
        <w:rPr>
          <w:rFonts w:ascii="Times New Roman" w:hAnsi="Times New Roman" w:eastAsia="宋体" w:cs="Times New Roman"/>
          <w:szCs w:val="22"/>
        </w:rPr>
        <w:t>建设项目安全设施设计应采用白色封皮，装订线左侧，正式文本装订后，应在专篇以下位置加盖公章或签字：</w:t>
      </w:r>
    </w:p>
    <w:p w14:paraId="54AD90A0">
      <w:pPr>
        <w:ind w:firstLine="420" w:firstLineChars="200"/>
        <w:rPr>
          <w:rFonts w:ascii="Times New Roman" w:hAnsi="Times New Roman" w:eastAsia="宋体" w:cs="Times New Roman"/>
          <w:szCs w:val="22"/>
        </w:rPr>
      </w:pPr>
      <w:r>
        <w:rPr>
          <w:rFonts w:ascii="Times New Roman" w:hAnsi="Times New Roman" w:eastAsia="宋体" w:cs="Times New Roman"/>
          <w:szCs w:val="22"/>
        </w:rPr>
        <w:t>a）封面加盖建设单位公章；</w:t>
      </w:r>
    </w:p>
    <w:p w14:paraId="13D4ECC6">
      <w:pPr>
        <w:ind w:firstLine="420" w:firstLineChars="200"/>
        <w:rPr>
          <w:rFonts w:ascii="Times New Roman" w:hAnsi="Times New Roman" w:eastAsia="宋体" w:cs="Times New Roman"/>
          <w:szCs w:val="22"/>
        </w:rPr>
      </w:pPr>
      <w:r>
        <w:rPr>
          <w:rFonts w:ascii="Times New Roman" w:hAnsi="Times New Roman" w:eastAsia="宋体" w:cs="Times New Roman"/>
          <w:szCs w:val="22"/>
        </w:rPr>
        <w:t>b）扉页加盖设计单位公章；</w:t>
      </w:r>
    </w:p>
    <w:p w14:paraId="22469750">
      <w:pPr>
        <w:ind w:firstLine="420" w:firstLineChars="200"/>
        <w:rPr>
          <w:rFonts w:ascii="Times New Roman" w:hAnsi="Times New Roman" w:eastAsia="宋体" w:cs="Times New Roman"/>
          <w:szCs w:val="22"/>
        </w:rPr>
      </w:pPr>
      <w:r>
        <w:rPr>
          <w:rFonts w:ascii="Times New Roman" w:hAnsi="Times New Roman" w:eastAsia="宋体" w:cs="Times New Roman"/>
          <w:szCs w:val="22"/>
        </w:rPr>
        <w:t xml:space="preserve">c）设校审人员名单进行手签字； </w:t>
      </w:r>
    </w:p>
    <w:p w14:paraId="4BC8A6D4">
      <w:pPr>
        <w:ind w:firstLine="420" w:firstLineChars="200"/>
        <w:rPr>
          <w:rFonts w:ascii="Times New Roman" w:hAnsi="Times New Roman" w:eastAsia="宋体" w:cs="Times New Roman"/>
          <w:szCs w:val="22"/>
        </w:rPr>
      </w:pPr>
      <w:r>
        <w:rPr>
          <w:rFonts w:ascii="Times New Roman" w:hAnsi="Times New Roman" w:eastAsia="宋体" w:cs="Times New Roman"/>
          <w:szCs w:val="22"/>
        </w:rPr>
        <w:t>d）结论加盖设计单位公章；</w:t>
      </w:r>
    </w:p>
    <w:p w14:paraId="19A19773">
      <w:pPr>
        <w:ind w:firstLine="420" w:firstLineChars="200"/>
        <w:rPr>
          <w:rFonts w:ascii="Times New Roman" w:hAnsi="Times New Roman" w:eastAsia="宋体" w:cs="Times New Roman"/>
          <w:szCs w:val="22"/>
        </w:rPr>
      </w:pPr>
      <w:r>
        <w:rPr>
          <w:rFonts w:ascii="Times New Roman" w:hAnsi="Times New Roman" w:eastAsia="宋体" w:cs="Times New Roman"/>
          <w:szCs w:val="22"/>
        </w:rPr>
        <w:t>e）报告侧面加盖设计单位骑缝章。</w:t>
      </w:r>
    </w:p>
    <w:p w14:paraId="4ED03D30">
      <w:pPr>
        <w:pageBreakBefore/>
        <w:numPr>
          <w:ilvl w:val="0"/>
          <w:numId w:val="6"/>
        </w:numPr>
        <w:shd w:val="clear" w:color="FFFFFF" w:fill="FFFFFF"/>
        <w:spacing w:before="560"/>
        <w:ind w:left="0"/>
        <w:jc w:val="center"/>
        <w:outlineLvl w:val="0"/>
        <w:rPr>
          <w:rFonts w:ascii="Times New Roman" w:hAnsi="Times New Roman" w:eastAsia="宋体" w:cs="Times New Roman"/>
        </w:rPr>
      </w:pPr>
      <w:bookmarkStart w:id="305" w:name="_Toc13611"/>
      <w:bookmarkEnd w:id="305"/>
    </w:p>
    <w:p w14:paraId="723F446C">
      <w:pPr>
        <w:shd w:val="clear" w:color="FFFFFF" w:fill="FFFFFF"/>
        <w:jc w:val="center"/>
        <w:outlineLvl w:val="0"/>
        <w:rPr>
          <w:rFonts w:hint="eastAsia" w:ascii="黑体" w:hAnsi="黑体" w:eastAsia="黑体" w:cs="黑体"/>
        </w:rPr>
      </w:pPr>
      <w:bookmarkStart w:id="306" w:name="_Toc17323"/>
      <w:bookmarkStart w:id="307" w:name="_Toc24101"/>
      <w:r>
        <w:rPr>
          <w:rFonts w:hint="eastAsia" w:ascii="黑体" w:hAnsi="黑体" w:eastAsia="黑体" w:cs="黑体"/>
        </w:rPr>
        <w:t>（资料性）</w:t>
      </w:r>
      <w:bookmarkEnd w:id="306"/>
      <w:bookmarkEnd w:id="307"/>
    </w:p>
    <w:p w14:paraId="1882B740">
      <w:pPr>
        <w:shd w:val="clear" w:color="FFFFFF" w:fill="FFFFFF"/>
        <w:jc w:val="center"/>
        <w:outlineLvl w:val="0"/>
        <w:rPr>
          <w:rFonts w:hint="eastAsia" w:ascii="黑体" w:hAnsi="黑体" w:eastAsia="黑体" w:cs="黑体"/>
        </w:rPr>
      </w:pPr>
      <w:bookmarkStart w:id="308" w:name="_Toc15034"/>
      <w:bookmarkStart w:id="309" w:name="_Toc14403"/>
      <w:r>
        <w:rPr>
          <w:rFonts w:hint="eastAsia" w:ascii="黑体" w:hAnsi="黑体" w:eastAsia="黑体" w:cs="黑体"/>
        </w:rPr>
        <w:t>安全设施分类</w:t>
      </w:r>
      <w:bookmarkEnd w:id="308"/>
      <w:bookmarkEnd w:id="309"/>
    </w:p>
    <w:p w14:paraId="1E3F18F9">
      <w:pPr>
        <w:widowControl/>
        <w:numPr>
          <w:ilvl w:val="1"/>
          <w:numId w:val="41"/>
        </w:numPr>
        <w:spacing w:before="312" w:beforeLines="100" w:after="312" w:afterLines="100"/>
        <w:outlineLvl w:val="1"/>
        <w:rPr>
          <w:rFonts w:hint="eastAsia" w:ascii="黑体" w:hAnsi="黑体" w:eastAsia="黑体" w:cs="黑体"/>
        </w:rPr>
      </w:pPr>
      <w:bookmarkStart w:id="310" w:name="_Toc25211"/>
      <w:r>
        <w:rPr>
          <w:rFonts w:hint="eastAsia" w:ascii="黑体" w:hAnsi="黑体" w:eastAsia="黑体" w:cs="黑体"/>
        </w:rPr>
        <w:t>预防事故设施</w:t>
      </w:r>
      <w:bookmarkEnd w:id="310"/>
    </w:p>
    <w:p w14:paraId="14DB22EC">
      <w:pPr>
        <w:numPr>
          <w:ilvl w:val="2"/>
          <w:numId w:val="42"/>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检测及报警设施</w:t>
      </w:r>
    </w:p>
    <w:p w14:paraId="332B0B60">
      <w:pPr>
        <w:autoSpaceDE w:val="0"/>
        <w:autoSpaceDN w:val="0"/>
        <w:ind w:firstLine="420" w:firstLineChars="200"/>
        <w:rPr>
          <w:rFonts w:ascii="Times New Roman" w:hAnsi="Times New Roman" w:eastAsia="宋体" w:cs="Times New Roman"/>
          <w:szCs w:val="22"/>
        </w:rPr>
      </w:pPr>
      <w:r>
        <w:rPr>
          <w:rFonts w:ascii="Times New Roman" w:hAnsi="Times New Roman" w:eastAsia="宋体" w:cs="Times New Roman"/>
          <w:szCs w:val="22"/>
        </w:rPr>
        <w:t>压力、温度、液位、</w:t>
      </w:r>
      <w:r>
        <w:rPr>
          <w:rFonts w:hint="eastAsia" w:ascii="Times New Roman" w:hAnsi="Times New Roman" w:eastAsia="宋体" w:cs="Times New Roman"/>
          <w:szCs w:val="22"/>
        </w:rPr>
        <w:t>流量、组分</w:t>
      </w:r>
      <w:r>
        <w:rPr>
          <w:rFonts w:ascii="Times New Roman" w:hAnsi="Times New Roman" w:eastAsia="宋体" w:cs="Times New Roman"/>
          <w:szCs w:val="22"/>
        </w:rPr>
        <w:t>等报警</w:t>
      </w:r>
      <w:r>
        <w:rPr>
          <w:rFonts w:hint="eastAsia" w:ascii="Times New Roman" w:hAnsi="Times New Roman" w:eastAsia="宋体" w:cs="Times New Roman"/>
          <w:szCs w:val="22"/>
        </w:rPr>
        <w:t>并触发安全联锁功能的</w:t>
      </w:r>
      <w:r>
        <w:rPr>
          <w:rFonts w:ascii="Times New Roman" w:hAnsi="Times New Roman" w:eastAsia="宋体" w:cs="Times New Roman"/>
          <w:szCs w:val="22"/>
        </w:rPr>
        <w:t>设施</w:t>
      </w:r>
      <w:r>
        <w:rPr>
          <w:rFonts w:hint="eastAsia" w:ascii="Times New Roman" w:hAnsi="Times New Roman" w:eastAsia="宋体" w:cs="Times New Roman"/>
          <w:szCs w:val="22"/>
        </w:rPr>
        <w:t>；火灾、</w:t>
      </w:r>
      <w:r>
        <w:rPr>
          <w:rFonts w:ascii="Times New Roman" w:hAnsi="Times New Roman" w:eastAsia="宋体" w:cs="Times New Roman"/>
          <w:szCs w:val="22"/>
        </w:rPr>
        <w:t>可燃气体、有毒有害气体、氧气等检测和报警设施</w:t>
      </w:r>
      <w:r>
        <w:rPr>
          <w:rFonts w:hint="eastAsia" w:ascii="Times New Roman" w:hAnsi="Times New Roman" w:eastAsia="宋体" w:cs="Times New Roman"/>
          <w:szCs w:val="22"/>
        </w:rPr>
        <w:t>等；安全仪表系统设施。</w:t>
      </w:r>
    </w:p>
    <w:p w14:paraId="021CDDDB">
      <w:pPr>
        <w:numPr>
          <w:ilvl w:val="2"/>
          <w:numId w:val="42"/>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监测设施</w:t>
      </w:r>
    </w:p>
    <w:p w14:paraId="4510479A">
      <w:pPr>
        <w:autoSpaceDE w:val="0"/>
        <w:autoSpaceDN w:val="0"/>
        <w:ind w:firstLine="420" w:firstLineChars="200"/>
        <w:rPr>
          <w:rFonts w:ascii="Times New Roman" w:hAnsi="Times New Roman" w:eastAsia="宋体" w:cs="Times New Roman"/>
          <w:szCs w:val="22"/>
        </w:rPr>
      </w:pPr>
      <w:r>
        <w:rPr>
          <w:rFonts w:ascii="Times New Roman" w:hAnsi="Times New Roman" w:eastAsia="宋体" w:cs="Times New Roman"/>
          <w:szCs w:val="22"/>
        </w:rPr>
        <w:t>地质灾害监测设施、管道</w:t>
      </w:r>
      <w:r>
        <w:rPr>
          <w:rFonts w:hint="eastAsia" w:ascii="Times New Roman" w:hAnsi="Times New Roman" w:eastAsia="宋体" w:cs="Times New Roman"/>
          <w:szCs w:val="22"/>
        </w:rPr>
        <w:t>应力</w:t>
      </w:r>
      <w:r>
        <w:rPr>
          <w:rFonts w:ascii="Times New Roman" w:hAnsi="Times New Roman" w:eastAsia="宋体" w:cs="Times New Roman"/>
          <w:szCs w:val="22"/>
        </w:rPr>
        <w:t>监测设施</w:t>
      </w:r>
      <w:r>
        <w:rPr>
          <w:rFonts w:hint="eastAsia" w:ascii="Times New Roman" w:hAnsi="Times New Roman" w:eastAsia="宋体" w:cs="Times New Roman"/>
          <w:szCs w:val="22"/>
        </w:rPr>
        <w:t>、</w:t>
      </w:r>
      <w:r>
        <w:rPr>
          <w:rFonts w:ascii="Times New Roman" w:hAnsi="Times New Roman" w:eastAsia="宋体" w:cs="Times New Roman"/>
          <w:szCs w:val="22"/>
        </w:rPr>
        <w:t>管道泄漏监测</w:t>
      </w:r>
      <w:r>
        <w:rPr>
          <w:rFonts w:hint="eastAsia" w:ascii="Times New Roman" w:hAnsi="Times New Roman" w:eastAsia="宋体" w:cs="Times New Roman"/>
          <w:szCs w:val="22"/>
        </w:rPr>
        <w:t>设施。</w:t>
      </w:r>
    </w:p>
    <w:p w14:paraId="595955C1">
      <w:pPr>
        <w:numPr>
          <w:ilvl w:val="2"/>
          <w:numId w:val="42"/>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防雷防静电接地设施</w:t>
      </w:r>
    </w:p>
    <w:p w14:paraId="2A175B7E">
      <w:pPr>
        <w:autoSpaceDE w:val="0"/>
        <w:autoSpaceDN w:val="0"/>
        <w:ind w:firstLine="420" w:firstLineChars="200"/>
        <w:rPr>
          <w:rFonts w:ascii="Times New Roman" w:hAnsi="Times New Roman" w:eastAsia="宋体" w:cs="Times New Roman"/>
          <w:szCs w:val="22"/>
        </w:rPr>
      </w:pPr>
      <w:r>
        <w:rPr>
          <w:rFonts w:hint="eastAsia" w:ascii="Times New Roman" w:hAnsi="Times New Roman" w:eastAsia="宋体" w:cs="Times New Roman"/>
          <w:szCs w:val="22"/>
        </w:rPr>
        <w:t>接闪器、引下线、跨接线、接地线、接地装置、等电位端子箱（板）、避雷器、电涌保护器、</w:t>
      </w:r>
      <w:r>
        <w:rPr>
          <w:rFonts w:ascii="Times New Roman" w:hAnsi="Times New Roman" w:eastAsia="宋体" w:cs="Times New Roman"/>
          <w:szCs w:val="22"/>
        </w:rPr>
        <w:t>消除人体静电装置</w:t>
      </w:r>
      <w:r>
        <w:rPr>
          <w:rFonts w:hint="eastAsia" w:ascii="Times New Roman" w:hAnsi="Times New Roman" w:eastAsia="宋体" w:cs="Times New Roman"/>
          <w:szCs w:val="22"/>
        </w:rPr>
        <w:t>等防雷防静电接地设施；防静电地板。</w:t>
      </w:r>
    </w:p>
    <w:p w14:paraId="3E87DC7B">
      <w:pPr>
        <w:numPr>
          <w:ilvl w:val="2"/>
          <w:numId w:val="42"/>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设备及管道安全防护设施</w:t>
      </w:r>
    </w:p>
    <w:p w14:paraId="0B0B9E58">
      <w:pPr>
        <w:autoSpaceDE w:val="0"/>
        <w:autoSpaceDN w:val="0"/>
        <w:ind w:firstLine="420" w:firstLineChars="200"/>
        <w:rPr>
          <w:rFonts w:ascii="Times New Roman" w:hAnsi="Times New Roman" w:eastAsia="宋体" w:cs="Times New Roman"/>
          <w:szCs w:val="22"/>
        </w:rPr>
      </w:pPr>
      <w:r>
        <w:rPr>
          <w:rFonts w:hint="eastAsia" w:ascii="Times New Roman" w:hAnsi="Times New Roman" w:eastAsia="宋体" w:cs="Times New Roman"/>
          <w:szCs w:val="22"/>
        </w:rPr>
        <w:t>防冻剂加注设施、加热设施、保温伴热设施、保冷设施、</w:t>
      </w:r>
      <w:r>
        <w:rPr>
          <w:rFonts w:ascii="Times New Roman" w:hAnsi="Times New Roman" w:eastAsia="宋体" w:cs="Times New Roman"/>
          <w:szCs w:val="22"/>
        </w:rPr>
        <w:t>水击保护</w:t>
      </w:r>
      <w:r>
        <w:rPr>
          <w:rFonts w:hint="eastAsia" w:ascii="Times New Roman" w:hAnsi="Times New Roman" w:eastAsia="宋体" w:cs="Times New Roman"/>
          <w:szCs w:val="22"/>
        </w:rPr>
        <w:t>设施、阴极保护设施、腐蚀监测设施</w:t>
      </w:r>
      <w:r>
        <w:rPr>
          <w:rFonts w:ascii="Times New Roman" w:hAnsi="Times New Roman" w:eastAsia="宋体" w:cs="Times New Roman"/>
          <w:szCs w:val="22"/>
        </w:rPr>
        <w:t>等</w:t>
      </w:r>
      <w:r>
        <w:rPr>
          <w:rFonts w:hint="eastAsia" w:ascii="Times New Roman" w:hAnsi="Times New Roman" w:eastAsia="宋体" w:cs="Times New Roman"/>
          <w:szCs w:val="22"/>
        </w:rPr>
        <w:t>。</w:t>
      </w:r>
    </w:p>
    <w:p w14:paraId="3426F1C6">
      <w:pPr>
        <w:numPr>
          <w:ilvl w:val="2"/>
          <w:numId w:val="42"/>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防爆设施</w:t>
      </w:r>
    </w:p>
    <w:p w14:paraId="3D38BCBC">
      <w:pPr>
        <w:autoSpaceDE w:val="0"/>
        <w:autoSpaceDN w:val="0"/>
        <w:ind w:firstLine="420" w:firstLineChars="200"/>
        <w:rPr>
          <w:rFonts w:ascii="Times New Roman" w:hAnsi="Times New Roman" w:eastAsia="宋体" w:cs="Times New Roman"/>
          <w:szCs w:val="22"/>
        </w:rPr>
      </w:pPr>
      <w:r>
        <w:rPr>
          <w:rFonts w:hint="eastAsia" w:ascii="Times New Roman" w:hAnsi="Times New Roman" w:eastAsia="宋体" w:cs="Times New Roman"/>
          <w:szCs w:val="22"/>
        </w:rPr>
        <w:t>电气、仪表、通信、通风等防爆设备。</w:t>
      </w:r>
    </w:p>
    <w:p w14:paraId="599BB003">
      <w:pPr>
        <w:numPr>
          <w:ilvl w:val="2"/>
          <w:numId w:val="42"/>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安全标志</w:t>
      </w:r>
    </w:p>
    <w:p w14:paraId="292829E7">
      <w:pPr>
        <w:autoSpaceDE w:val="0"/>
        <w:autoSpaceDN w:val="0"/>
        <w:ind w:firstLine="420" w:firstLineChars="200"/>
        <w:rPr>
          <w:rFonts w:ascii="Times New Roman" w:hAnsi="Times New Roman" w:eastAsia="宋体" w:cs="Times New Roman"/>
          <w:szCs w:val="22"/>
        </w:rPr>
      </w:pPr>
      <w:r>
        <w:rPr>
          <w:rFonts w:hint="eastAsia" w:ascii="Times New Roman" w:hAnsi="Times New Roman" w:eastAsia="宋体" w:cs="Times New Roman"/>
          <w:szCs w:val="22"/>
        </w:rPr>
        <w:t>警示带、</w:t>
      </w:r>
      <w:r>
        <w:rPr>
          <w:rFonts w:ascii="Times New Roman" w:hAnsi="Times New Roman" w:eastAsia="宋体" w:cs="Times New Roman"/>
          <w:szCs w:val="22"/>
        </w:rPr>
        <w:t>警示作业安全和逃生避难及风向等标</w:t>
      </w:r>
      <w:r>
        <w:rPr>
          <w:rFonts w:hint="eastAsia" w:ascii="Times New Roman" w:hAnsi="Times New Roman" w:eastAsia="宋体" w:cs="Times New Roman"/>
          <w:szCs w:val="22"/>
        </w:rPr>
        <w:t>志。</w:t>
      </w:r>
    </w:p>
    <w:p w14:paraId="36F47BD2">
      <w:pPr>
        <w:numPr>
          <w:ilvl w:val="2"/>
          <w:numId w:val="42"/>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作业场所防护设施</w:t>
      </w:r>
    </w:p>
    <w:p w14:paraId="7568691F">
      <w:pPr>
        <w:autoSpaceDE w:val="0"/>
        <w:autoSpaceDN w:val="0"/>
        <w:ind w:firstLine="420" w:firstLineChars="200"/>
        <w:rPr>
          <w:rFonts w:ascii="Times New Roman" w:hAnsi="Times New Roman" w:eastAsia="宋体" w:cs="Times New Roman"/>
          <w:szCs w:val="22"/>
        </w:rPr>
      </w:pPr>
      <w:r>
        <w:rPr>
          <w:rFonts w:ascii="Times New Roman" w:hAnsi="Times New Roman" w:eastAsia="宋体" w:cs="Times New Roman"/>
          <w:szCs w:val="22"/>
        </w:rPr>
        <w:t>通风、防护栏（网</w:t>
      </w:r>
      <w:r>
        <w:rPr>
          <w:rFonts w:hint="eastAsia" w:ascii="Times New Roman" w:hAnsi="Times New Roman" w:eastAsia="宋体" w:cs="Times New Roman"/>
          <w:szCs w:val="22"/>
        </w:rPr>
        <w:t>）</w:t>
      </w:r>
      <w:r>
        <w:rPr>
          <w:rFonts w:ascii="Times New Roman" w:hAnsi="Times New Roman" w:eastAsia="宋体" w:cs="Times New Roman"/>
          <w:szCs w:val="22"/>
        </w:rPr>
        <w:t>、防灼烫等设施</w:t>
      </w:r>
      <w:r>
        <w:rPr>
          <w:rFonts w:hint="eastAsia" w:ascii="Times New Roman" w:hAnsi="Times New Roman" w:eastAsia="宋体" w:cs="Times New Roman"/>
          <w:szCs w:val="22"/>
        </w:rPr>
        <w:t>；电气微机防误操作系统</w:t>
      </w:r>
      <w:r>
        <w:rPr>
          <w:rFonts w:ascii="Times New Roman" w:hAnsi="Times New Roman" w:eastAsia="宋体" w:cs="Times New Roman"/>
          <w:szCs w:val="22"/>
        </w:rPr>
        <w:t>。</w:t>
      </w:r>
    </w:p>
    <w:p w14:paraId="12A84EED">
      <w:pPr>
        <w:widowControl/>
        <w:numPr>
          <w:ilvl w:val="1"/>
          <w:numId w:val="41"/>
        </w:numPr>
        <w:spacing w:before="312" w:beforeLines="100" w:after="312" w:afterLines="100"/>
        <w:outlineLvl w:val="1"/>
        <w:rPr>
          <w:rFonts w:hint="eastAsia" w:ascii="黑体" w:hAnsi="黑体" w:eastAsia="黑体" w:cs="黑体"/>
        </w:rPr>
      </w:pPr>
      <w:bookmarkStart w:id="311" w:name="_Toc21261"/>
      <w:r>
        <w:rPr>
          <w:rFonts w:hint="eastAsia" w:ascii="黑体" w:hAnsi="黑体" w:eastAsia="黑体" w:cs="黑体"/>
        </w:rPr>
        <w:t>控制事故设施</w:t>
      </w:r>
      <w:bookmarkEnd w:id="311"/>
    </w:p>
    <w:p w14:paraId="3219B2CD">
      <w:pPr>
        <w:numPr>
          <w:ilvl w:val="2"/>
          <w:numId w:val="43"/>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泄压设施</w:t>
      </w:r>
    </w:p>
    <w:p w14:paraId="1C397192">
      <w:pPr>
        <w:autoSpaceDE w:val="0"/>
        <w:autoSpaceDN w:val="0"/>
        <w:ind w:firstLine="420" w:firstLineChars="200"/>
        <w:rPr>
          <w:rFonts w:ascii="Times New Roman" w:hAnsi="Times New Roman" w:eastAsia="宋体" w:cs="Times New Roman"/>
          <w:szCs w:val="22"/>
        </w:rPr>
      </w:pPr>
      <w:r>
        <w:rPr>
          <w:rFonts w:ascii="Times New Roman" w:hAnsi="Times New Roman" w:eastAsia="宋体" w:cs="Times New Roman"/>
          <w:szCs w:val="22"/>
        </w:rPr>
        <w:t>用于泄压的阀门、</w:t>
      </w:r>
      <w:r>
        <w:rPr>
          <w:rFonts w:hint="eastAsia" w:ascii="Times New Roman" w:hAnsi="Times New Roman" w:eastAsia="宋体" w:cs="Times New Roman"/>
          <w:szCs w:val="22"/>
        </w:rPr>
        <w:t>爆破片、</w:t>
      </w:r>
      <w:r>
        <w:rPr>
          <w:rFonts w:ascii="Times New Roman" w:hAnsi="Times New Roman" w:eastAsia="宋体" w:cs="Times New Roman"/>
          <w:szCs w:val="22"/>
        </w:rPr>
        <w:t>放空等设施</w:t>
      </w:r>
      <w:r>
        <w:rPr>
          <w:rFonts w:hint="eastAsia" w:ascii="Times New Roman" w:hAnsi="Times New Roman" w:eastAsia="宋体" w:cs="Times New Roman"/>
          <w:szCs w:val="22"/>
        </w:rPr>
        <w:t>。</w:t>
      </w:r>
    </w:p>
    <w:p w14:paraId="6B3A59BA">
      <w:pPr>
        <w:numPr>
          <w:ilvl w:val="2"/>
          <w:numId w:val="43"/>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紧急处理设施</w:t>
      </w:r>
    </w:p>
    <w:p w14:paraId="2503B4B1">
      <w:pPr>
        <w:autoSpaceDE w:val="0"/>
        <w:autoSpaceDN w:val="0"/>
        <w:ind w:firstLine="420" w:firstLineChars="200"/>
        <w:rPr>
          <w:rFonts w:ascii="Times New Roman" w:hAnsi="Times New Roman" w:eastAsia="宋体" w:cs="Times New Roman"/>
          <w:szCs w:val="22"/>
        </w:rPr>
      </w:pPr>
      <w:r>
        <w:rPr>
          <w:rFonts w:ascii="Times New Roman" w:hAnsi="Times New Roman" w:eastAsia="宋体" w:cs="Times New Roman"/>
          <w:szCs w:val="22"/>
        </w:rPr>
        <w:t>紧急切断</w:t>
      </w:r>
      <w:r>
        <w:rPr>
          <w:rFonts w:hint="eastAsia" w:ascii="Times New Roman" w:hAnsi="Times New Roman" w:eastAsia="宋体" w:cs="Times New Roman"/>
          <w:szCs w:val="22"/>
        </w:rPr>
        <w:t>设施；不间断电源、应急逆变电源、直流电源、发电机等应急</w:t>
      </w:r>
      <w:r>
        <w:rPr>
          <w:rFonts w:ascii="Times New Roman" w:hAnsi="Times New Roman" w:eastAsia="宋体" w:cs="Times New Roman"/>
          <w:szCs w:val="22"/>
        </w:rPr>
        <w:t>电源</w:t>
      </w:r>
      <w:r>
        <w:rPr>
          <w:rFonts w:hint="eastAsia" w:ascii="Times New Roman" w:hAnsi="Times New Roman" w:eastAsia="宋体" w:cs="Times New Roman"/>
          <w:szCs w:val="22"/>
        </w:rPr>
        <w:t>；备用照明等。</w:t>
      </w:r>
    </w:p>
    <w:p w14:paraId="13144386">
      <w:pPr>
        <w:widowControl/>
        <w:numPr>
          <w:ilvl w:val="1"/>
          <w:numId w:val="41"/>
        </w:numPr>
        <w:spacing w:before="312" w:beforeLines="100" w:after="312" w:afterLines="100"/>
        <w:outlineLvl w:val="1"/>
        <w:rPr>
          <w:rFonts w:hint="eastAsia" w:ascii="黑体" w:hAnsi="黑体" w:eastAsia="黑体" w:cs="黑体"/>
        </w:rPr>
      </w:pPr>
      <w:bookmarkStart w:id="312" w:name="_Toc10453"/>
      <w:r>
        <w:rPr>
          <w:rFonts w:hint="eastAsia" w:ascii="黑体" w:hAnsi="黑体" w:eastAsia="黑体" w:cs="黑体"/>
        </w:rPr>
        <w:t>消减事故及影响设施</w:t>
      </w:r>
      <w:bookmarkEnd w:id="312"/>
    </w:p>
    <w:p w14:paraId="7075C003">
      <w:pPr>
        <w:numPr>
          <w:ilvl w:val="2"/>
          <w:numId w:val="44"/>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防止火灾蔓延设施</w:t>
      </w:r>
    </w:p>
    <w:p w14:paraId="07422165">
      <w:pPr>
        <w:autoSpaceDE w:val="0"/>
        <w:autoSpaceDN w:val="0"/>
        <w:ind w:firstLine="420" w:firstLineChars="200"/>
        <w:rPr>
          <w:rFonts w:ascii="Times New Roman" w:hAnsi="Times New Roman" w:eastAsia="宋体" w:cs="Times New Roman"/>
        </w:rPr>
      </w:pPr>
      <w:r>
        <w:rPr>
          <w:rFonts w:ascii="Times New Roman" w:hAnsi="Times New Roman" w:eastAsia="宋体" w:cs="Times New Roman"/>
        </w:rPr>
        <w:t>阻火器、防火堤等设施，防火材料涂层</w:t>
      </w:r>
      <w:r>
        <w:rPr>
          <w:rFonts w:hint="eastAsia" w:ascii="Times New Roman" w:hAnsi="Times New Roman" w:eastAsia="宋体" w:cs="Times New Roman"/>
        </w:rPr>
        <w:t>、水封井等。</w:t>
      </w:r>
    </w:p>
    <w:p w14:paraId="426292BF">
      <w:pPr>
        <w:numPr>
          <w:ilvl w:val="2"/>
          <w:numId w:val="44"/>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应急救援设施</w:t>
      </w:r>
    </w:p>
    <w:p w14:paraId="27411FC5">
      <w:pPr>
        <w:autoSpaceDE w:val="0"/>
        <w:autoSpaceDN w:val="0"/>
        <w:ind w:firstLine="420" w:firstLineChars="200"/>
        <w:rPr>
          <w:rFonts w:ascii="Times New Roman" w:hAnsi="Times New Roman" w:eastAsia="宋体" w:cs="Times New Roman"/>
        </w:rPr>
      </w:pPr>
      <w:r>
        <w:rPr>
          <w:rFonts w:ascii="Times New Roman" w:hAnsi="Times New Roman" w:eastAsia="宋体" w:cs="Times New Roman"/>
        </w:rPr>
        <w:t>洗眼器</w:t>
      </w:r>
      <w:r>
        <w:rPr>
          <w:rFonts w:hint="eastAsia" w:ascii="Times New Roman" w:hAnsi="Times New Roman" w:eastAsia="宋体" w:cs="Times New Roman"/>
        </w:rPr>
        <w:t>、</w:t>
      </w:r>
      <w:r>
        <w:rPr>
          <w:rFonts w:ascii="Times New Roman" w:hAnsi="Times New Roman" w:eastAsia="宋体" w:cs="Times New Roman"/>
          <w:snapToGrid w:val="0"/>
        </w:rPr>
        <w:t>呼吸器</w:t>
      </w:r>
      <w:r>
        <w:rPr>
          <w:rFonts w:hint="eastAsia" w:ascii="Times New Roman" w:hAnsi="Times New Roman" w:eastAsia="宋体" w:cs="Times New Roman"/>
          <w:snapToGrid w:val="0"/>
        </w:rPr>
        <w:t>、</w:t>
      </w:r>
      <w:r>
        <w:rPr>
          <w:rFonts w:ascii="Times New Roman" w:hAnsi="Times New Roman" w:eastAsia="宋体" w:cs="Times New Roman"/>
          <w:snapToGrid w:val="0"/>
        </w:rPr>
        <w:t>防毒面具</w:t>
      </w:r>
      <w:r>
        <w:rPr>
          <w:rFonts w:hint="eastAsia" w:ascii="Times New Roman" w:hAnsi="Times New Roman" w:eastAsia="宋体" w:cs="Times New Roman"/>
          <w:snapToGrid w:val="0"/>
        </w:rPr>
        <w:t>、</w:t>
      </w:r>
      <w:r>
        <w:rPr>
          <w:rFonts w:ascii="Times New Roman" w:hAnsi="Times New Roman" w:eastAsia="宋体" w:cs="Times New Roman"/>
          <w:snapToGrid w:val="0"/>
        </w:rPr>
        <w:t>化学防护服</w:t>
      </w:r>
      <w:r>
        <w:rPr>
          <w:rFonts w:hint="eastAsia" w:ascii="Times New Roman" w:hAnsi="Times New Roman" w:eastAsia="宋体" w:cs="Times New Roman"/>
          <w:snapToGrid w:val="0"/>
        </w:rPr>
        <w:t>、</w:t>
      </w:r>
      <w:r>
        <w:rPr>
          <w:rFonts w:ascii="Times New Roman" w:hAnsi="Times New Roman" w:eastAsia="宋体" w:cs="Times New Roman"/>
          <w:snapToGrid w:val="0"/>
        </w:rPr>
        <w:t>阻燃服</w:t>
      </w:r>
      <w:r>
        <w:rPr>
          <w:rFonts w:hint="eastAsia" w:ascii="Times New Roman" w:hAnsi="Times New Roman" w:eastAsia="宋体" w:cs="Times New Roman"/>
        </w:rPr>
        <w:t>等设备。</w:t>
      </w:r>
    </w:p>
    <w:p w14:paraId="1F91905A">
      <w:pPr>
        <w:numPr>
          <w:ilvl w:val="2"/>
          <w:numId w:val="44"/>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逃生设施</w:t>
      </w:r>
    </w:p>
    <w:p w14:paraId="51B44D32">
      <w:pPr>
        <w:autoSpaceDE w:val="0"/>
        <w:autoSpaceDN w:val="0"/>
        <w:ind w:firstLine="420" w:firstLineChars="200"/>
        <w:rPr>
          <w:rFonts w:ascii="Times New Roman" w:hAnsi="Times New Roman" w:eastAsia="宋体" w:cs="Times New Roman"/>
        </w:rPr>
      </w:pPr>
      <w:r>
        <w:rPr>
          <w:rFonts w:ascii="Times New Roman" w:hAnsi="Times New Roman" w:eastAsia="宋体" w:cs="Times New Roman"/>
        </w:rPr>
        <w:t>逃生的安全通道（梯）</w:t>
      </w:r>
      <w:r>
        <w:rPr>
          <w:rFonts w:hint="eastAsia" w:ascii="Times New Roman" w:hAnsi="Times New Roman" w:eastAsia="宋体" w:cs="Times New Roman"/>
        </w:rPr>
        <w:t>、</w:t>
      </w:r>
      <w:r>
        <w:rPr>
          <w:rFonts w:ascii="Times New Roman" w:hAnsi="Times New Roman" w:eastAsia="宋体" w:cs="Times New Roman"/>
          <w:szCs w:val="22"/>
        </w:rPr>
        <w:t>工程</w:t>
      </w:r>
      <w:r>
        <w:rPr>
          <w:rFonts w:hint="eastAsia" w:ascii="宋体" w:hAnsi="Calibri" w:eastAsia="宋体" w:cs="Times New Roman"/>
        </w:rPr>
        <w:t>庇护所、社区报警、消防应急照明和疏散指示系统等。</w:t>
      </w:r>
    </w:p>
    <w:p w14:paraId="61BC3E6A">
      <w:pPr>
        <w:numPr>
          <w:ilvl w:val="2"/>
          <w:numId w:val="44"/>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劳动保护用品和装备</w:t>
      </w:r>
    </w:p>
    <w:p w14:paraId="4226F228">
      <w:pPr>
        <w:autoSpaceDE w:val="0"/>
        <w:autoSpaceDN w:val="0"/>
        <w:ind w:firstLine="420" w:firstLineChars="200"/>
        <w:rPr>
          <w:rFonts w:ascii="Times New Roman" w:hAnsi="Times New Roman" w:eastAsia="宋体" w:cs="Times New Roman"/>
        </w:rPr>
      </w:pPr>
      <w:r>
        <w:rPr>
          <w:rFonts w:ascii="Times New Roman" w:hAnsi="Times New Roman" w:eastAsia="宋体" w:cs="Times New Roman"/>
        </w:rPr>
        <w:t>包括头部，面部，视觉、呼吸、听觉器官，四肢，躯干防火、防毒、防灼烫、防腐蚀、防高处坠落、防砸击、防刺伤等免受作业场所物理、化学因素伤害的劳动防护用品和装备</w:t>
      </w:r>
      <w:r>
        <w:rPr>
          <w:rFonts w:hint="eastAsia" w:ascii="Times New Roman" w:hAnsi="Times New Roman" w:eastAsia="宋体" w:cs="Times New Roman"/>
        </w:rPr>
        <w:t>。</w:t>
      </w:r>
    </w:p>
    <w:p w14:paraId="0B12F7DE">
      <w:pPr>
        <w:numPr>
          <w:ilvl w:val="2"/>
          <w:numId w:val="44"/>
        </w:numPr>
        <w:autoSpaceDE w:val="0"/>
        <w:autoSpaceDN w:val="0"/>
        <w:adjustRightInd w:val="0"/>
        <w:snapToGrid w:val="0"/>
        <w:spacing w:before="156" w:beforeLines="50" w:after="156" w:afterLines="50"/>
        <w:outlineLvl w:val="2"/>
        <w:rPr>
          <w:rFonts w:hint="eastAsia" w:ascii="黑体" w:hAnsi="黑体" w:eastAsia="黑体" w:cs="黑体"/>
          <w:szCs w:val="22"/>
        </w:rPr>
      </w:pPr>
      <w:r>
        <w:rPr>
          <w:rFonts w:hint="eastAsia" w:ascii="黑体" w:hAnsi="黑体" w:eastAsia="黑体" w:cs="黑体"/>
          <w:szCs w:val="22"/>
        </w:rPr>
        <w:t>维抢修设备</w:t>
      </w:r>
    </w:p>
    <w:p w14:paraId="7DB7A9E8">
      <w:pPr>
        <w:autoSpaceDE w:val="0"/>
        <w:autoSpaceDN w:val="0"/>
        <w:ind w:firstLine="420" w:firstLineChars="200"/>
        <w:rPr>
          <w:rFonts w:ascii="Times New Roman" w:hAnsi="Times New Roman" w:eastAsia="宋体" w:cs="Times New Roman"/>
        </w:rPr>
      </w:pPr>
      <w:r>
        <w:rPr>
          <w:rFonts w:hint="eastAsia" w:ascii="Times New Roman" w:hAnsi="Times New Roman" w:eastAsia="宋体" w:cs="Times New Roman"/>
        </w:rPr>
        <w:t>维修、抢修所配备的洗消、破拆、输转、堵漏等设备。</w:t>
      </w:r>
    </w:p>
    <w:p w14:paraId="598A7FF2">
      <w:pPr>
        <w:autoSpaceDE w:val="0"/>
        <w:autoSpaceDN w:val="0"/>
        <w:adjustRightInd w:val="0"/>
        <w:ind w:left="357"/>
        <w:jc w:val="center"/>
      </w:pPr>
    </w:p>
    <w:p w14:paraId="066EDF9F">
      <w:pPr>
        <w:autoSpaceDE w:val="0"/>
        <w:autoSpaceDN w:val="0"/>
        <w:adjustRightInd w:val="0"/>
        <w:ind w:left="357"/>
        <w:jc w:val="center"/>
      </w:pPr>
    </w:p>
    <w:p w14:paraId="013BD365">
      <w:pPr>
        <w:autoSpaceDE w:val="0"/>
        <w:autoSpaceDN w:val="0"/>
        <w:adjustRightInd w:val="0"/>
        <w:ind w:left="357"/>
        <w:jc w:val="center"/>
        <w:rPr>
          <w:rFonts w:ascii="Times New Roman" w:hAnsi="Times New Roman" w:eastAsia="宋体" w:cs="Times New Roman"/>
          <w:szCs w:val="22"/>
        </w:rPr>
        <w:sectPr>
          <w:footerReference r:id="rId12" w:type="default"/>
          <w:footerReference r:id="rId13" w:type="even"/>
          <w:pgSz w:w="11906" w:h="16838"/>
          <w:pgMar w:top="1701" w:right="1474" w:bottom="1474" w:left="1587" w:header="851" w:footer="992" w:gutter="0"/>
          <w:pgNumType w:fmt="decimal" w:start="1"/>
          <w:cols w:space="720" w:num="1"/>
          <w:docGrid w:type="lines" w:linePitch="312" w:charSpace="0"/>
        </w:sectPr>
      </w:pPr>
    </w:p>
    <w:p w14:paraId="7B79E978">
      <w:pPr>
        <w:pageBreakBefore/>
        <w:numPr>
          <w:ilvl w:val="0"/>
          <w:numId w:val="6"/>
        </w:numPr>
        <w:shd w:val="clear" w:color="FFFFFF" w:fill="FFFFFF"/>
        <w:spacing w:before="560"/>
        <w:ind w:left="0"/>
        <w:jc w:val="center"/>
        <w:outlineLvl w:val="0"/>
        <w:rPr>
          <w:rFonts w:ascii="Times New Roman" w:hAnsi="Times New Roman" w:eastAsia="宋体" w:cs="Times New Roman"/>
        </w:rPr>
      </w:pPr>
      <w:bookmarkStart w:id="313" w:name="_Toc4468"/>
      <w:bookmarkEnd w:id="313"/>
      <w:bookmarkStart w:id="314" w:name="_Toc12857"/>
      <w:bookmarkStart w:id="315" w:name="_Toc6956"/>
      <w:bookmarkStart w:id="316" w:name="_Toc6784"/>
    </w:p>
    <w:p w14:paraId="1F1A55A7">
      <w:pPr>
        <w:shd w:val="clear" w:color="FFFFFF" w:fill="FFFFFF"/>
        <w:jc w:val="center"/>
        <w:outlineLvl w:val="0"/>
        <w:rPr>
          <w:rFonts w:ascii="黑体" w:hAnsi="Times New Roman" w:eastAsia="黑体" w:cs="Times New Roman"/>
          <w:kern w:val="0"/>
          <w:szCs w:val="20"/>
        </w:rPr>
      </w:pPr>
      <w:bookmarkStart w:id="317" w:name="_Toc14432"/>
      <w:bookmarkStart w:id="318" w:name="_Toc31315"/>
      <w:bookmarkStart w:id="319" w:name="_Toc9590"/>
      <w:bookmarkStart w:id="320" w:name="_Toc25715"/>
      <w:bookmarkStart w:id="321" w:name="_Toc11351"/>
      <w:r>
        <w:rPr>
          <w:rFonts w:ascii="黑体" w:hAnsi="Times New Roman" w:eastAsia="黑体" w:cs="Times New Roman"/>
          <w:kern w:val="0"/>
          <w:szCs w:val="20"/>
        </w:rPr>
        <w:t>（规范性）</w:t>
      </w:r>
      <w:bookmarkEnd w:id="314"/>
      <w:bookmarkEnd w:id="315"/>
      <w:bookmarkEnd w:id="316"/>
      <w:bookmarkEnd w:id="317"/>
      <w:bookmarkEnd w:id="318"/>
      <w:bookmarkEnd w:id="319"/>
      <w:bookmarkEnd w:id="320"/>
      <w:bookmarkEnd w:id="321"/>
    </w:p>
    <w:p w14:paraId="067F063E">
      <w:pPr>
        <w:shd w:val="clear" w:color="FFFFFF" w:fill="FFFFFF"/>
        <w:jc w:val="center"/>
        <w:outlineLvl w:val="0"/>
        <w:rPr>
          <w:rFonts w:ascii="Times New Roman" w:hAnsi="Times New Roman" w:eastAsia="黑体" w:cs="Times New Roman"/>
          <w:kern w:val="0"/>
          <w:szCs w:val="20"/>
        </w:rPr>
      </w:pPr>
      <w:bookmarkStart w:id="322" w:name="_Toc24638"/>
      <w:bookmarkStart w:id="323" w:name="_Toc1331"/>
      <w:bookmarkStart w:id="324" w:name="_Toc8744"/>
      <w:bookmarkStart w:id="325" w:name="_Toc23206"/>
      <w:bookmarkStart w:id="326" w:name="_Toc2192"/>
      <w:bookmarkStart w:id="327" w:name="_Toc14024"/>
      <w:r>
        <w:rPr>
          <w:rFonts w:ascii="Times New Roman" w:hAnsi="Times New Roman" w:eastAsia="黑体" w:cs="Times New Roman"/>
          <w:kern w:val="0"/>
          <w:szCs w:val="20"/>
        </w:rPr>
        <w:t>附表</w:t>
      </w:r>
      <w:bookmarkEnd w:id="322"/>
      <w:bookmarkEnd w:id="323"/>
      <w:bookmarkEnd w:id="324"/>
      <w:bookmarkEnd w:id="325"/>
      <w:bookmarkEnd w:id="326"/>
      <w:bookmarkEnd w:id="327"/>
    </w:p>
    <w:p w14:paraId="64054102">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气田开发指标预测</w:t>
      </w:r>
    </w:p>
    <w:tbl>
      <w:tblPr>
        <w:tblStyle w:val="24"/>
        <w:tblW w:w="99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9"/>
        <w:gridCol w:w="866"/>
        <w:gridCol w:w="2731"/>
        <w:gridCol w:w="2731"/>
        <w:gridCol w:w="2731"/>
      </w:tblGrid>
      <w:tr w14:paraId="0B4C7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jc w:val="center"/>
        </w:trPr>
        <w:tc>
          <w:tcPr>
            <w:tcW w:w="859" w:type="dxa"/>
            <w:vAlign w:val="center"/>
          </w:tcPr>
          <w:p w14:paraId="0407BED7">
            <w:pPr>
              <w:adjustRightInd w:val="0"/>
              <w:jc w:val="center"/>
              <w:rPr>
                <w:rFonts w:ascii="Times New Roman" w:hAnsi="Times New Roman" w:cs="Times New Roman"/>
                <w:sz w:val="18"/>
                <w:szCs w:val="18"/>
              </w:rPr>
            </w:pPr>
            <w:r>
              <w:rPr>
                <w:rFonts w:ascii="Times New Roman" w:hAnsi="Times New Roman" w:cs="Times New Roman"/>
                <w:sz w:val="18"/>
                <w:szCs w:val="18"/>
              </w:rPr>
              <w:t>序号</w:t>
            </w:r>
          </w:p>
        </w:tc>
        <w:tc>
          <w:tcPr>
            <w:tcW w:w="866" w:type="dxa"/>
            <w:vAlign w:val="center"/>
          </w:tcPr>
          <w:p w14:paraId="2ECA30A5">
            <w:pPr>
              <w:adjustRightInd w:val="0"/>
              <w:jc w:val="center"/>
              <w:rPr>
                <w:rFonts w:ascii="Times New Roman" w:hAnsi="Times New Roman" w:cs="Times New Roman"/>
                <w:sz w:val="18"/>
                <w:szCs w:val="18"/>
              </w:rPr>
            </w:pPr>
            <w:r>
              <w:rPr>
                <w:rFonts w:ascii="Times New Roman" w:hAnsi="Times New Roman" w:cs="Times New Roman"/>
                <w:sz w:val="18"/>
                <w:szCs w:val="18"/>
              </w:rPr>
              <w:t>年度</w:t>
            </w:r>
          </w:p>
        </w:tc>
        <w:tc>
          <w:tcPr>
            <w:tcW w:w="2731" w:type="dxa"/>
            <w:vAlign w:val="center"/>
          </w:tcPr>
          <w:p w14:paraId="693BC0A5">
            <w:pPr>
              <w:adjustRightInd w:val="0"/>
              <w:jc w:val="center"/>
              <w:rPr>
                <w:rFonts w:ascii="Times New Roman" w:hAnsi="Times New Roman" w:cs="Times New Roman"/>
                <w:sz w:val="18"/>
                <w:szCs w:val="18"/>
              </w:rPr>
            </w:pPr>
            <w:r>
              <w:rPr>
                <w:rFonts w:ascii="Times New Roman" w:hAnsi="Times New Roman" w:cs="Times New Roman"/>
                <w:sz w:val="18"/>
                <w:szCs w:val="18"/>
              </w:rPr>
              <w:t>年产气</w:t>
            </w:r>
          </w:p>
          <w:p w14:paraId="46EDCB4A">
            <w:pPr>
              <w:adjustRightInd w:val="0"/>
              <w:jc w:val="center"/>
              <w:rPr>
                <w:rFonts w:ascii="Times New Roman" w:hAnsi="Times New Roman" w:cs="Times New Roman"/>
                <w:sz w:val="18"/>
                <w:szCs w:val="18"/>
              </w:rPr>
            </w:pPr>
            <w:r>
              <w:rPr>
                <w:rFonts w:ascii="Times New Roman" w:hAnsi="Times New Roman" w:cs="Times New Roman"/>
                <w:sz w:val="18"/>
                <w:szCs w:val="18"/>
              </w:rPr>
              <w:t>10</w:t>
            </w:r>
            <w:r>
              <w:rPr>
                <w:rFonts w:ascii="Times New Roman" w:hAnsi="Times New Roman" w:cs="Times New Roman"/>
                <w:sz w:val="18"/>
                <w:szCs w:val="18"/>
                <w:vertAlign w:val="superscript"/>
              </w:rPr>
              <w:t>8</w:t>
            </w:r>
            <w:r>
              <w:rPr>
                <w:rFonts w:ascii="Times New Roman" w:hAnsi="Times New Roman" w:cs="Times New Roman"/>
                <w:sz w:val="18"/>
                <w:szCs w:val="18"/>
              </w:rPr>
              <w:t>m</w:t>
            </w:r>
            <w:r>
              <w:rPr>
                <w:rFonts w:ascii="Times New Roman" w:hAnsi="Times New Roman" w:cs="Times New Roman"/>
                <w:sz w:val="18"/>
                <w:szCs w:val="18"/>
                <w:vertAlign w:val="superscript"/>
              </w:rPr>
              <w:t>3</w:t>
            </w:r>
            <w:r>
              <w:rPr>
                <w:rFonts w:ascii="Times New Roman" w:hAnsi="Times New Roman" w:cs="Times New Roman"/>
                <w:sz w:val="18"/>
                <w:szCs w:val="18"/>
              </w:rPr>
              <w:t>/a</w:t>
            </w:r>
          </w:p>
        </w:tc>
        <w:tc>
          <w:tcPr>
            <w:tcW w:w="2731" w:type="dxa"/>
            <w:vAlign w:val="center"/>
          </w:tcPr>
          <w:p w14:paraId="16268C74">
            <w:pPr>
              <w:adjustRightInd w:val="0"/>
              <w:jc w:val="center"/>
              <w:rPr>
                <w:rFonts w:ascii="Times New Roman" w:hAnsi="Times New Roman" w:cs="Times New Roman"/>
                <w:sz w:val="18"/>
                <w:szCs w:val="18"/>
              </w:rPr>
            </w:pPr>
            <w:r>
              <w:rPr>
                <w:rFonts w:ascii="Times New Roman" w:hAnsi="Times New Roman" w:cs="Times New Roman"/>
                <w:sz w:val="18"/>
                <w:szCs w:val="18"/>
              </w:rPr>
              <w:t>年产油</w:t>
            </w:r>
          </w:p>
          <w:p w14:paraId="2BA97745">
            <w:pPr>
              <w:adjustRightInd w:val="0"/>
              <w:jc w:val="center"/>
              <w:rPr>
                <w:rFonts w:ascii="Times New Roman" w:hAnsi="Times New Roman" w:cs="Times New Roman"/>
                <w:sz w:val="18"/>
                <w:szCs w:val="18"/>
              </w:rPr>
            </w:pPr>
            <w:r>
              <w:rPr>
                <w:rFonts w:ascii="Times New Roman" w:hAnsi="Times New Roman" w:cs="Times New Roman"/>
                <w:sz w:val="18"/>
                <w:szCs w:val="18"/>
              </w:rPr>
              <w:t>t/a</w:t>
            </w:r>
          </w:p>
        </w:tc>
        <w:tc>
          <w:tcPr>
            <w:tcW w:w="2731" w:type="dxa"/>
            <w:vAlign w:val="center"/>
          </w:tcPr>
          <w:p w14:paraId="51D4FEC3">
            <w:pPr>
              <w:adjustRightInd w:val="0"/>
              <w:jc w:val="center"/>
              <w:rPr>
                <w:rFonts w:ascii="Times New Roman" w:hAnsi="Times New Roman" w:cs="Times New Roman"/>
                <w:sz w:val="18"/>
                <w:szCs w:val="18"/>
              </w:rPr>
            </w:pPr>
            <w:r>
              <w:rPr>
                <w:rFonts w:ascii="Times New Roman" w:hAnsi="Times New Roman" w:cs="Times New Roman"/>
                <w:sz w:val="18"/>
                <w:szCs w:val="18"/>
              </w:rPr>
              <w:t>年采出水</w:t>
            </w:r>
          </w:p>
          <w:p w14:paraId="219D597A">
            <w:pPr>
              <w:adjustRightInd w:val="0"/>
              <w:jc w:val="center"/>
              <w:rPr>
                <w:rFonts w:ascii="Times New Roman" w:hAnsi="Times New Roman" w:cs="Times New Roman"/>
                <w:sz w:val="18"/>
                <w:szCs w:val="18"/>
              </w:rPr>
            </w:pPr>
            <w:r>
              <w:rPr>
                <w:rFonts w:ascii="Times New Roman" w:hAnsi="Times New Roman" w:cs="Times New Roman"/>
                <w:sz w:val="18"/>
                <w:szCs w:val="18"/>
              </w:rPr>
              <w:t>10</w:t>
            </w:r>
            <w:r>
              <w:rPr>
                <w:rFonts w:ascii="Times New Roman" w:hAnsi="Times New Roman" w:cs="Times New Roman"/>
                <w:sz w:val="18"/>
                <w:szCs w:val="18"/>
                <w:vertAlign w:val="superscript"/>
              </w:rPr>
              <w:t>4</w:t>
            </w:r>
            <w:r>
              <w:rPr>
                <w:rFonts w:ascii="Times New Roman" w:hAnsi="Times New Roman" w:cs="Times New Roman"/>
                <w:sz w:val="18"/>
                <w:szCs w:val="18"/>
              </w:rPr>
              <w:t>m</w:t>
            </w:r>
            <w:r>
              <w:rPr>
                <w:rFonts w:ascii="Times New Roman" w:hAnsi="Times New Roman" w:cs="Times New Roman"/>
                <w:sz w:val="18"/>
                <w:szCs w:val="18"/>
                <w:vertAlign w:val="superscript"/>
              </w:rPr>
              <w:t>3</w:t>
            </w:r>
            <w:r>
              <w:rPr>
                <w:rFonts w:ascii="Times New Roman" w:hAnsi="Times New Roman" w:cs="Times New Roman"/>
                <w:sz w:val="18"/>
                <w:szCs w:val="18"/>
              </w:rPr>
              <w:t>/a</w:t>
            </w:r>
          </w:p>
        </w:tc>
      </w:tr>
      <w:tr w14:paraId="7C647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859" w:type="dxa"/>
            <w:vAlign w:val="center"/>
          </w:tcPr>
          <w:p w14:paraId="79111864">
            <w:pPr>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866" w:type="dxa"/>
            <w:vAlign w:val="center"/>
          </w:tcPr>
          <w:p w14:paraId="79F90668">
            <w:pPr>
              <w:adjustRightInd w:val="0"/>
              <w:jc w:val="center"/>
              <w:rPr>
                <w:rFonts w:ascii="Times New Roman" w:hAnsi="Times New Roman" w:cs="Times New Roman"/>
                <w:sz w:val="18"/>
                <w:szCs w:val="18"/>
              </w:rPr>
            </w:pPr>
          </w:p>
        </w:tc>
        <w:tc>
          <w:tcPr>
            <w:tcW w:w="2731" w:type="dxa"/>
            <w:vAlign w:val="center"/>
          </w:tcPr>
          <w:p w14:paraId="03C6A677">
            <w:pPr>
              <w:adjustRightInd w:val="0"/>
              <w:jc w:val="center"/>
              <w:rPr>
                <w:rFonts w:ascii="Times New Roman" w:hAnsi="Times New Roman" w:cs="Times New Roman"/>
                <w:sz w:val="18"/>
                <w:szCs w:val="18"/>
              </w:rPr>
            </w:pPr>
          </w:p>
        </w:tc>
        <w:tc>
          <w:tcPr>
            <w:tcW w:w="2731" w:type="dxa"/>
            <w:vAlign w:val="center"/>
          </w:tcPr>
          <w:p w14:paraId="0319153B">
            <w:pPr>
              <w:adjustRightInd w:val="0"/>
              <w:jc w:val="center"/>
              <w:rPr>
                <w:rFonts w:ascii="Times New Roman" w:hAnsi="Times New Roman" w:cs="Times New Roman"/>
                <w:sz w:val="18"/>
                <w:szCs w:val="18"/>
              </w:rPr>
            </w:pPr>
          </w:p>
        </w:tc>
        <w:tc>
          <w:tcPr>
            <w:tcW w:w="2731" w:type="dxa"/>
            <w:vAlign w:val="center"/>
          </w:tcPr>
          <w:p w14:paraId="58E300D1">
            <w:pPr>
              <w:adjustRightInd w:val="0"/>
              <w:jc w:val="center"/>
              <w:rPr>
                <w:rFonts w:ascii="Times New Roman" w:hAnsi="Times New Roman" w:cs="Times New Roman"/>
                <w:sz w:val="18"/>
                <w:szCs w:val="18"/>
              </w:rPr>
            </w:pPr>
          </w:p>
        </w:tc>
      </w:tr>
      <w:tr w14:paraId="25754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859" w:type="dxa"/>
            <w:vAlign w:val="center"/>
          </w:tcPr>
          <w:p w14:paraId="1FAAE0E8">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866" w:type="dxa"/>
            <w:vAlign w:val="center"/>
          </w:tcPr>
          <w:p w14:paraId="50D56879">
            <w:pPr>
              <w:adjustRightInd w:val="0"/>
              <w:jc w:val="center"/>
              <w:rPr>
                <w:rFonts w:ascii="Times New Roman" w:hAnsi="Times New Roman" w:cs="Times New Roman"/>
                <w:sz w:val="18"/>
                <w:szCs w:val="18"/>
              </w:rPr>
            </w:pPr>
          </w:p>
        </w:tc>
        <w:tc>
          <w:tcPr>
            <w:tcW w:w="2731" w:type="dxa"/>
            <w:vAlign w:val="center"/>
          </w:tcPr>
          <w:p w14:paraId="1585E6F2">
            <w:pPr>
              <w:adjustRightInd w:val="0"/>
              <w:jc w:val="center"/>
              <w:rPr>
                <w:rFonts w:ascii="Times New Roman" w:hAnsi="Times New Roman" w:cs="Times New Roman"/>
                <w:sz w:val="18"/>
                <w:szCs w:val="18"/>
              </w:rPr>
            </w:pPr>
          </w:p>
        </w:tc>
        <w:tc>
          <w:tcPr>
            <w:tcW w:w="2731" w:type="dxa"/>
            <w:vAlign w:val="center"/>
          </w:tcPr>
          <w:p w14:paraId="2F735DF8">
            <w:pPr>
              <w:adjustRightInd w:val="0"/>
              <w:jc w:val="center"/>
              <w:rPr>
                <w:rFonts w:ascii="Times New Roman" w:hAnsi="Times New Roman" w:cs="Times New Roman"/>
                <w:sz w:val="18"/>
                <w:szCs w:val="18"/>
              </w:rPr>
            </w:pPr>
          </w:p>
        </w:tc>
        <w:tc>
          <w:tcPr>
            <w:tcW w:w="2731" w:type="dxa"/>
            <w:vAlign w:val="center"/>
          </w:tcPr>
          <w:p w14:paraId="771E4AFB">
            <w:pPr>
              <w:adjustRightInd w:val="0"/>
              <w:jc w:val="center"/>
              <w:rPr>
                <w:rFonts w:ascii="Times New Roman" w:hAnsi="Times New Roman" w:cs="Times New Roman"/>
                <w:sz w:val="18"/>
                <w:szCs w:val="18"/>
              </w:rPr>
            </w:pPr>
          </w:p>
        </w:tc>
      </w:tr>
    </w:tbl>
    <w:p w14:paraId="19AC8376">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采出水物性表</w:t>
      </w:r>
    </w:p>
    <w:tbl>
      <w:tblPr>
        <w:tblStyle w:val="24"/>
        <w:tblW w:w="99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1065"/>
        <w:gridCol w:w="1304"/>
        <w:gridCol w:w="1277"/>
        <w:gridCol w:w="2079"/>
        <w:gridCol w:w="1065"/>
        <w:gridCol w:w="1573"/>
        <w:gridCol w:w="1574"/>
      </w:tblGrid>
      <w:tr w14:paraId="4D901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87" w:hRule="exact"/>
          <w:jc w:val="center"/>
        </w:trPr>
        <w:tc>
          <w:tcPr>
            <w:tcW w:w="1065" w:type="dxa"/>
            <w:shd w:val="clear" w:color="auto" w:fill="FFFFFF"/>
            <w:vAlign w:val="center"/>
          </w:tcPr>
          <w:p w14:paraId="72440009">
            <w:pPr>
              <w:adjustRightInd w:val="0"/>
              <w:jc w:val="center"/>
              <w:rPr>
                <w:rFonts w:ascii="Times New Roman" w:hAnsi="Times New Roman" w:cs="Times New Roman"/>
                <w:sz w:val="18"/>
                <w:szCs w:val="18"/>
              </w:rPr>
            </w:pPr>
            <w:r>
              <w:rPr>
                <w:rFonts w:ascii="Times New Roman" w:hAnsi="Times New Roman" w:cs="Times New Roman"/>
                <w:sz w:val="18"/>
                <w:szCs w:val="18"/>
              </w:rPr>
              <w:t>序号</w:t>
            </w:r>
          </w:p>
        </w:tc>
        <w:tc>
          <w:tcPr>
            <w:tcW w:w="1304" w:type="dxa"/>
            <w:shd w:val="clear" w:color="auto" w:fill="FFFFFF"/>
            <w:vAlign w:val="center"/>
          </w:tcPr>
          <w:p w14:paraId="475AB7CE">
            <w:pPr>
              <w:adjustRightInd w:val="0"/>
              <w:jc w:val="center"/>
              <w:rPr>
                <w:rFonts w:ascii="Times New Roman" w:hAnsi="Times New Roman" w:cs="Times New Roman"/>
                <w:sz w:val="18"/>
                <w:szCs w:val="18"/>
              </w:rPr>
            </w:pPr>
            <w:r>
              <w:rPr>
                <w:rFonts w:ascii="Times New Roman" w:hAnsi="Times New Roman" w:cs="Times New Roman"/>
                <w:sz w:val="18"/>
                <w:szCs w:val="18"/>
              </w:rPr>
              <w:t>pH值</w:t>
            </w:r>
          </w:p>
        </w:tc>
        <w:tc>
          <w:tcPr>
            <w:tcW w:w="1277" w:type="dxa"/>
            <w:shd w:val="clear" w:color="auto" w:fill="FFFFFF"/>
            <w:vAlign w:val="center"/>
          </w:tcPr>
          <w:p w14:paraId="15A24328">
            <w:pPr>
              <w:adjustRightInd w:val="0"/>
              <w:jc w:val="center"/>
              <w:rPr>
                <w:rFonts w:ascii="Times New Roman" w:hAnsi="Times New Roman" w:cs="Times New Roman"/>
                <w:sz w:val="18"/>
                <w:szCs w:val="18"/>
              </w:rPr>
            </w:pPr>
            <w:r>
              <w:rPr>
                <w:rFonts w:ascii="Times New Roman" w:hAnsi="Times New Roman" w:cs="Times New Roman"/>
                <w:sz w:val="18"/>
                <w:szCs w:val="18"/>
              </w:rPr>
              <w:t>Cl</w:t>
            </w:r>
            <w:r>
              <w:rPr>
                <w:rFonts w:ascii="Times New Roman" w:hAnsi="Times New Roman" w:cs="Times New Roman"/>
                <w:sz w:val="18"/>
                <w:szCs w:val="18"/>
                <w:vertAlign w:val="superscript"/>
              </w:rPr>
              <w:t>-</w:t>
            </w:r>
            <w:r>
              <w:rPr>
                <w:rFonts w:ascii="Times New Roman" w:hAnsi="Times New Roman" w:cs="Times New Roman"/>
                <w:sz w:val="18"/>
                <w:szCs w:val="18"/>
              </w:rPr>
              <w:t xml:space="preserve"> </w:t>
            </w:r>
          </w:p>
          <w:p w14:paraId="6E02E3B5">
            <w:pPr>
              <w:adjustRightInd w:val="0"/>
              <w:jc w:val="center"/>
              <w:rPr>
                <w:rFonts w:ascii="Times New Roman" w:hAnsi="Times New Roman" w:cs="Times New Roman"/>
                <w:sz w:val="18"/>
                <w:szCs w:val="18"/>
              </w:rPr>
            </w:pPr>
            <w:r>
              <w:rPr>
                <w:rFonts w:ascii="Times New Roman" w:hAnsi="Times New Roman" w:cs="Times New Roman"/>
                <w:sz w:val="18"/>
                <w:szCs w:val="18"/>
              </w:rPr>
              <w:t>mg/ L</w:t>
            </w:r>
          </w:p>
        </w:tc>
        <w:tc>
          <w:tcPr>
            <w:tcW w:w="2079" w:type="dxa"/>
            <w:shd w:val="clear" w:color="auto" w:fill="FFFFFF"/>
            <w:vAlign w:val="center"/>
          </w:tcPr>
          <w:p w14:paraId="730638FF">
            <w:pPr>
              <w:adjustRightInd w:val="0"/>
              <w:jc w:val="center"/>
              <w:rPr>
                <w:rFonts w:ascii="Times New Roman" w:hAnsi="Times New Roman" w:cs="Times New Roman"/>
                <w:sz w:val="18"/>
                <w:szCs w:val="18"/>
              </w:rPr>
            </w:pPr>
            <w:r>
              <w:rPr>
                <w:rFonts w:ascii="Times New Roman" w:hAnsi="Times New Roman" w:cs="Times New Roman"/>
                <w:sz w:val="18"/>
                <w:szCs w:val="18"/>
              </w:rPr>
              <w:t xml:space="preserve">总矿化度 </w:t>
            </w:r>
          </w:p>
          <w:p w14:paraId="5050486C">
            <w:pPr>
              <w:adjustRightInd w:val="0"/>
              <w:jc w:val="center"/>
              <w:rPr>
                <w:rFonts w:ascii="Times New Roman" w:hAnsi="Times New Roman" w:cs="Times New Roman"/>
                <w:sz w:val="18"/>
                <w:szCs w:val="18"/>
              </w:rPr>
            </w:pPr>
            <w:r>
              <w:rPr>
                <w:rFonts w:ascii="Times New Roman" w:hAnsi="Times New Roman" w:cs="Times New Roman"/>
                <w:sz w:val="18"/>
                <w:szCs w:val="18"/>
              </w:rPr>
              <w:t>mg/L</w:t>
            </w:r>
          </w:p>
        </w:tc>
        <w:tc>
          <w:tcPr>
            <w:tcW w:w="1065" w:type="dxa"/>
            <w:shd w:val="clear" w:color="auto" w:fill="FFFFFF"/>
            <w:vAlign w:val="center"/>
          </w:tcPr>
          <w:p w14:paraId="14A54832">
            <w:pPr>
              <w:adjustRightInd w:val="0"/>
              <w:jc w:val="center"/>
              <w:rPr>
                <w:rFonts w:ascii="Times New Roman" w:hAnsi="Times New Roman" w:cs="Times New Roman"/>
                <w:sz w:val="18"/>
                <w:szCs w:val="18"/>
              </w:rPr>
            </w:pPr>
            <w:r>
              <w:rPr>
                <w:rFonts w:ascii="Times New Roman" w:hAnsi="Times New Roman" w:cs="Times New Roman"/>
                <w:sz w:val="18"/>
                <w:szCs w:val="18"/>
              </w:rPr>
              <w:t>水型</w:t>
            </w:r>
          </w:p>
        </w:tc>
        <w:tc>
          <w:tcPr>
            <w:tcW w:w="1573" w:type="dxa"/>
            <w:shd w:val="clear" w:color="auto" w:fill="FFFFFF"/>
            <w:vAlign w:val="center"/>
          </w:tcPr>
          <w:p w14:paraId="317C9F33">
            <w:pPr>
              <w:adjustRightInd w:val="0"/>
              <w:jc w:val="center"/>
              <w:rPr>
                <w:rFonts w:ascii="Times New Roman" w:hAnsi="Times New Roman" w:cs="Times New Roman"/>
                <w:sz w:val="18"/>
                <w:szCs w:val="18"/>
              </w:rPr>
            </w:pPr>
            <w:r>
              <w:rPr>
                <w:rFonts w:ascii="Times New Roman" w:hAnsi="Times New Roman" w:cs="Times New Roman"/>
                <w:sz w:val="18"/>
                <w:szCs w:val="18"/>
              </w:rPr>
              <w:t>悬浮物</w:t>
            </w:r>
          </w:p>
          <w:p w14:paraId="0348BB86">
            <w:pPr>
              <w:adjustRightInd w:val="0"/>
              <w:jc w:val="center"/>
              <w:rPr>
                <w:rFonts w:ascii="Times New Roman" w:hAnsi="Times New Roman" w:cs="Times New Roman"/>
                <w:sz w:val="18"/>
                <w:szCs w:val="18"/>
              </w:rPr>
            </w:pPr>
            <w:r>
              <w:rPr>
                <w:rFonts w:ascii="Times New Roman" w:hAnsi="Times New Roman" w:cs="Times New Roman"/>
                <w:sz w:val="18"/>
                <w:szCs w:val="18"/>
              </w:rPr>
              <w:t>mg/ L</w:t>
            </w:r>
          </w:p>
        </w:tc>
        <w:tc>
          <w:tcPr>
            <w:tcW w:w="1574" w:type="dxa"/>
            <w:shd w:val="clear" w:color="auto" w:fill="FFFFFF"/>
            <w:vAlign w:val="center"/>
          </w:tcPr>
          <w:p w14:paraId="1084EC0D">
            <w:pPr>
              <w:adjustRightInd w:val="0"/>
              <w:jc w:val="center"/>
              <w:rPr>
                <w:rFonts w:ascii="Times New Roman" w:hAnsi="Times New Roman" w:cs="Times New Roman"/>
                <w:sz w:val="18"/>
                <w:szCs w:val="18"/>
              </w:rPr>
            </w:pPr>
            <w:r>
              <w:rPr>
                <w:rFonts w:ascii="Times New Roman" w:hAnsi="Times New Roman" w:cs="Times New Roman"/>
                <w:sz w:val="18"/>
                <w:szCs w:val="18"/>
              </w:rPr>
              <w:t>油含量</w:t>
            </w:r>
          </w:p>
          <w:p w14:paraId="24526603">
            <w:pPr>
              <w:adjustRightInd w:val="0"/>
              <w:jc w:val="center"/>
              <w:rPr>
                <w:rFonts w:ascii="Times New Roman" w:hAnsi="Times New Roman" w:cs="Times New Roman"/>
                <w:sz w:val="18"/>
                <w:szCs w:val="18"/>
              </w:rPr>
            </w:pPr>
            <w:r>
              <w:rPr>
                <w:rFonts w:ascii="Times New Roman" w:hAnsi="Times New Roman" w:cs="Times New Roman"/>
                <w:sz w:val="18"/>
                <w:szCs w:val="18"/>
              </w:rPr>
              <w:t>mg/ L</w:t>
            </w:r>
          </w:p>
        </w:tc>
      </w:tr>
      <w:tr w14:paraId="1944B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46" w:hRule="exact"/>
          <w:jc w:val="center"/>
        </w:trPr>
        <w:tc>
          <w:tcPr>
            <w:tcW w:w="1065" w:type="dxa"/>
            <w:shd w:val="clear" w:color="auto" w:fill="FFFFFF"/>
            <w:vAlign w:val="center"/>
          </w:tcPr>
          <w:p w14:paraId="352ABD45">
            <w:pPr>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1304" w:type="dxa"/>
            <w:shd w:val="clear" w:color="auto" w:fill="FFFFFF"/>
            <w:vAlign w:val="center"/>
          </w:tcPr>
          <w:p w14:paraId="017D3879">
            <w:pPr>
              <w:adjustRightInd w:val="0"/>
              <w:jc w:val="center"/>
              <w:rPr>
                <w:rFonts w:ascii="Times New Roman" w:hAnsi="Times New Roman" w:cs="Times New Roman"/>
                <w:sz w:val="18"/>
                <w:szCs w:val="18"/>
              </w:rPr>
            </w:pPr>
          </w:p>
        </w:tc>
        <w:tc>
          <w:tcPr>
            <w:tcW w:w="1277" w:type="dxa"/>
            <w:shd w:val="clear" w:color="auto" w:fill="FFFFFF"/>
            <w:vAlign w:val="center"/>
          </w:tcPr>
          <w:p w14:paraId="0308DC58">
            <w:pPr>
              <w:adjustRightInd w:val="0"/>
              <w:jc w:val="center"/>
              <w:rPr>
                <w:rFonts w:ascii="Times New Roman" w:hAnsi="Times New Roman" w:cs="Times New Roman"/>
                <w:sz w:val="18"/>
                <w:szCs w:val="18"/>
              </w:rPr>
            </w:pPr>
          </w:p>
        </w:tc>
        <w:tc>
          <w:tcPr>
            <w:tcW w:w="2079" w:type="dxa"/>
            <w:shd w:val="clear" w:color="auto" w:fill="FFFFFF"/>
            <w:vAlign w:val="center"/>
          </w:tcPr>
          <w:p w14:paraId="549FC5DF">
            <w:pPr>
              <w:adjustRightInd w:val="0"/>
              <w:jc w:val="center"/>
              <w:rPr>
                <w:rFonts w:ascii="Times New Roman" w:hAnsi="Times New Roman" w:cs="Times New Roman"/>
                <w:sz w:val="18"/>
                <w:szCs w:val="18"/>
              </w:rPr>
            </w:pPr>
          </w:p>
        </w:tc>
        <w:tc>
          <w:tcPr>
            <w:tcW w:w="1065" w:type="dxa"/>
            <w:shd w:val="clear" w:color="auto" w:fill="FFFFFF"/>
            <w:vAlign w:val="center"/>
          </w:tcPr>
          <w:p w14:paraId="0066708B">
            <w:pPr>
              <w:adjustRightInd w:val="0"/>
              <w:jc w:val="center"/>
              <w:rPr>
                <w:rFonts w:ascii="Times New Roman" w:hAnsi="Times New Roman" w:cs="Times New Roman"/>
                <w:sz w:val="18"/>
                <w:szCs w:val="18"/>
              </w:rPr>
            </w:pPr>
          </w:p>
        </w:tc>
        <w:tc>
          <w:tcPr>
            <w:tcW w:w="1573" w:type="dxa"/>
            <w:shd w:val="clear" w:color="auto" w:fill="FFFFFF"/>
            <w:vAlign w:val="center"/>
          </w:tcPr>
          <w:p w14:paraId="7AE522BC">
            <w:pPr>
              <w:adjustRightInd w:val="0"/>
              <w:jc w:val="center"/>
              <w:rPr>
                <w:rFonts w:ascii="Times New Roman" w:hAnsi="Times New Roman" w:cs="Times New Roman"/>
                <w:sz w:val="18"/>
                <w:szCs w:val="18"/>
              </w:rPr>
            </w:pPr>
          </w:p>
        </w:tc>
        <w:tc>
          <w:tcPr>
            <w:tcW w:w="1574" w:type="dxa"/>
            <w:shd w:val="clear" w:color="auto" w:fill="FFFFFF"/>
            <w:vAlign w:val="center"/>
          </w:tcPr>
          <w:p w14:paraId="418BB50B">
            <w:pPr>
              <w:adjustRightInd w:val="0"/>
              <w:jc w:val="center"/>
              <w:rPr>
                <w:rFonts w:ascii="Times New Roman" w:hAnsi="Times New Roman" w:cs="Times New Roman"/>
                <w:sz w:val="18"/>
                <w:szCs w:val="18"/>
              </w:rPr>
            </w:pPr>
          </w:p>
        </w:tc>
      </w:tr>
      <w:tr w14:paraId="569E7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56" w:hRule="exact"/>
          <w:jc w:val="center"/>
        </w:trPr>
        <w:tc>
          <w:tcPr>
            <w:tcW w:w="1065" w:type="dxa"/>
            <w:shd w:val="clear" w:color="auto" w:fill="FFFFFF"/>
            <w:vAlign w:val="center"/>
          </w:tcPr>
          <w:p w14:paraId="21397941">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1304" w:type="dxa"/>
            <w:shd w:val="clear" w:color="auto" w:fill="FFFFFF"/>
            <w:vAlign w:val="center"/>
          </w:tcPr>
          <w:p w14:paraId="4643C650">
            <w:pPr>
              <w:adjustRightInd w:val="0"/>
              <w:jc w:val="center"/>
              <w:rPr>
                <w:rFonts w:ascii="Times New Roman" w:hAnsi="Times New Roman" w:cs="Times New Roman"/>
                <w:sz w:val="18"/>
                <w:szCs w:val="18"/>
              </w:rPr>
            </w:pPr>
          </w:p>
        </w:tc>
        <w:tc>
          <w:tcPr>
            <w:tcW w:w="1277" w:type="dxa"/>
            <w:shd w:val="clear" w:color="auto" w:fill="FFFFFF"/>
            <w:vAlign w:val="center"/>
          </w:tcPr>
          <w:p w14:paraId="6FD4EEDA">
            <w:pPr>
              <w:adjustRightInd w:val="0"/>
              <w:jc w:val="center"/>
              <w:rPr>
                <w:rFonts w:ascii="Times New Roman" w:hAnsi="Times New Roman" w:cs="Times New Roman"/>
                <w:sz w:val="18"/>
                <w:szCs w:val="18"/>
              </w:rPr>
            </w:pPr>
          </w:p>
        </w:tc>
        <w:tc>
          <w:tcPr>
            <w:tcW w:w="2079" w:type="dxa"/>
            <w:shd w:val="clear" w:color="auto" w:fill="FFFFFF"/>
            <w:vAlign w:val="center"/>
          </w:tcPr>
          <w:p w14:paraId="0DB704C0">
            <w:pPr>
              <w:adjustRightInd w:val="0"/>
              <w:jc w:val="center"/>
              <w:rPr>
                <w:rFonts w:ascii="Times New Roman" w:hAnsi="Times New Roman" w:cs="Times New Roman"/>
                <w:sz w:val="18"/>
                <w:szCs w:val="18"/>
              </w:rPr>
            </w:pPr>
          </w:p>
        </w:tc>
        <w:tc>
          <w:tcPr>
            <w:tcW w:w="1065" w:type="dxa"/>
            <w:shd w:val="clear" w:color="auto" w:fill="FFFFFF"/>
            <w:vAlign w:val="center"/>
          </w:tcPr>
          <w:p w14:paraId="3F188878">
            <w:pPr>
              <w:adjustRightInd w:val="0"/>
              <w:jc w:val="center"/>
              <w:rPr>
                <w:rFonts w:ascii="Times New Roman" w:hAnsi="Times New Roman" w:cs="Times New Roman"/>
                <w:sz w:val="18"/>
                <w:szCs w:val="18"/>
              </w:rPr>
            </w:pPr>
          </w:p>
        </w:tc>
        <w:tc>
          <w:tcPr>
            <w:tcW w:w="1573" w:type="dxa"/>
            <w:shd w:val="clear" w:color="auto" w:fill="FFFFFF"/>
            <w:vAlign w:val="center"/>
          </w:tcPr>
          <w:p w14:paraId="3E9AD959">
            <w:pPr>
              <w:adjustRightInd w:val="0"/>
              <w:jc w:val="center"/>
              <w:rPr>
                <w:rFonts w:ascii="Times New Roman" w:hAnsi="Times New Roman" w:cs="Times New Roman"/>
                <w:sz w:val="18"/>
                <w:szCs w:val="18"/>
              </w:rPr>
            </w:pPr>
          </w:p>
        </w:tc>
        <w:tc>
          <w:tcPr>
            <w:tcW w:w="1574" w:type="dxa"/>
            <w:shd w:val="clear" w:color="auto" w:fill="FFFFFF"/>
            <w:vAlign w:val="center"/>
          </w:tcPr>
          <w:p w14:paraId="2332B01D">
            <w:pPr>
              <w:adjustRightInd w:val="0"/>
              <w:jc w:val="center"/>
              <w:rPr>
                <w:rFonts w:ascii="Times New Roman" w:hAnsi="Times New Roman" w:cs="Times New Roman"/>
                <w:sz w:val="18"/>
                <w:szCs w:val="18"/>
              </w:rPr>
            </w:pPr>
          </w:p>
        </w:tc>
      </w:tr>
    </w:tbl>
    <w:p w14:paraId="384E2678">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天然气物性及化学组成表</w:t>
      </w:r>
    </w:p>
    <w:tbl>
      <w:tblPr>
        <w:tblStyle w:val="24"/>
        <w:tblW w:w="99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9"/>
        <w:gridCol w:w="878"/>
        <w:gridCol w:w="488"/>
        <w:gridCol w:w="445"/>
        <w:gridCol w:w="359"/>
        <w:gridCol w:w="336"/>
        <w:gridCol w:w="434"/>
        <w:gridCol w:w="353"/>
        <w:gridCol w:w="348"/>
        <w:gridCol w:w="373"/>
        <w:gridCol w:w="467"/>
        <w:gridCol w:w="520"/>
        <w:gridCol w:w="607"/>
        <w:gridCol w:w="661"/>
        <w:gridCol w:w="760"/>
        <w:gridCol w:w="786"/>
        <w:gridCol w:w="690"/>
        <w:gridCol w:w="987"/>
      </w:tblGrid>
      <w:tr w14:paraId="1E9CE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jc w:val="center"/>
        </w:trPr>
        <w:tc>
          <w:tcPr>
            <w:tcW w:w="419" w:type="dxa"/>
            <w:vMerge w:val="restart"/>
            <w:vAlign w:val="center"/>
          </w:tcPr>
          <w:p w14:paraId="149CD39D">
            <w:pPr>
              <w:adjustRightInd w:val="0"/>
              <w:jc w:val="center"/>
              <w:rPr>
                <w:rFonts w:ascii="Times New Roman" w:hAnsi="Times New Roman" w:cs="Times New Roman"/>
                <w:sz w:val="18"/>
                <w:szCs w:val="18"/>
              </w:rPr>
            </w:pPr>
            <w:r>
              <w:rPr>
                <w:rFonts w:ascii="Times New Roman" w:hAnsi="Times New Roman" w:cs="Times New Roman"/>
                <w:sz w:val="18"/>
                <w:szCs w:val="18"/>
              </w:rPr>
              <w:t>序号</w:t>
            </w:r>
          </w:p>
        </w:tc>
        <w:tc>
          <w:tcPr>
            <w:tcW w:w="878" w:type="dxa"/>
            <w:vMerge w:val="restart"/>
            <w:vAlign w:val="center"/>
          </w:tcPr>
          <w:p w14:paraId="23080ACF">
            <w:pPr>
              <w:adjustRightInd w:val="0"/>
              <w:jc w:val="center"/>
              <w:rPr>
                <w:rFonts w:ascii="Times New Roman" w:hAnsi="Times New Roman" w:cs="Times New Roman"/>
                <w:sz w:val="18"/>
                <w:szCs w:val="18"/>
              </w:rPr>
            </w:pPr>
            <w:r>
              <w:rPr>
                <w:rFonts w:ascii="Times New Roman" w:hAnsi="Times New Roman" w:cs="Times New Roman"/>
                <w:sz w:val="18"/>
                <w:szCs w:val="18"/>
              </w:rPr>
              <w:t>气源</w:t>
            </w:r>
          </w:p>
        </w:tc>
        <w:tc>
          <w:tcPr>
            <w:tcW w:w="488" w:type="dxa"/>
            <w:vMerge w:val="restart"/>
            <w:vAlign w:val="center"/>
          </w:tcPr>
          <w:p w14:paraId="58E6CEC2">
            <w:pPr>
              <w:adjustRightInd w:val="0"/>
              <w:jc w:val="center"/>
              <w:rPr>
                <w:rFonts w:ascii="Times New Roman" w:hAnsi="Times New Roman" w:cs="Times New Roman"/>
                <w:sz w:val="18"/>
                <w:szCs w:val="18"/>
              </w:rPr>
            </w:pPr>
            <w:r>
              <w:rPr>
                <w:rFonts w:ascii="Times New Roman" w:hAnsi="Times New Roman" w:cs="Times New Roman"/>
                <w:sz w:val="18"/>
                <w:szCs w:val="18"/>
              </w:rPr>
              <w:t>相对</w:t>
            </w:r>
          </w:p>
          <w:p w14:paraId="5BE05EEE">
            <w:pPr>
              <w:adjustRightInd w:val="0"/>
              <w:jc w:val="center"/>
              <w:rPr>
                <w:rFonts w:ascii="Times New Roman" w:hAnsi="Times New Roman" w:cs="Times New Roman"/>
                <w:sz w:val="18"/>
                <w:szCs w:val="18"/>
              </w:rPr>
            </w:pPr>
            <w:r>
              <w:rPr>
                <w:rFonts w:ascii="Times New Roman" w:hAnsi="Times New Roman" w:cs="Times New Roman"/>
                <w:sz w:val="18"/>
                <w:szCs w:val="18"/>
              </w:rPr>
              <w:t>密度</w:t>
            </w:r>
          </w:p>
        </w:tc>
        <w:tc>
          <w:tcPr>
            <w:tcW w:w="445" w:type="dxa"/>
            <w:vAlign w:val="center"/>
          </w:tcPr>
          <w:p w14:paraId="7C348645">
            <w:pPr>
              <w:adjustRightInd w:val="0"/>
              <w:jc w:val="center"/>
              <w:rPr>
                <w:rFonts w:ascii="Times New Roman" w:hAnsi="Times New Roman" w:cs="Times New Roman"/>
                <w:sz w:val="18"/>
                <w:szCs w:val="18"/>
              </w:rPr>
            </w:pPr>
            <w:r>
              <w:rPr>
                <w:rFonts w:ascii="Times New Roman" w:hAnsi="Times New Roman" w:cs="Times New Roman"/>
                <w:sz w:val="18"/>
                <w:szCs w:val="18"/>
              </w:rPr>
              <w:t>C</w:t>
            </w:r>
            <w:r>
              <w:rPr>
                <w:rFonts w:ascii="Times New Roman" w:hAnsi="Times New Roman" w:cs="Times New Roman"/>
                <w:sz w:val="18"/>
                <w:szCs w:val="18"/>
                <w:vertAlign w:val="subscript"/>
              </w:rPr>
              <w:t>1</w:t>
            </w:r>
          </w:p>
        </w:tc>
        <w:tc>
          <w:tcPr>
            <w:tcW w:w="359" w:type="dxa"/>
            <w:vAlign w:val="center"/>
          </w:tcPr>
          <w:p w14:paraId="109EEA1A">
            <w:pPr>
              <w:adjustRightInd w:val="0"/>
              <w:jc w:val="center"/>
              <w:rPr>
                <w:rFonts w:ascii="Times New Roman" w:hAnsi="Times New Roman" w:cs="Times New Roman"/>
                <w:sz w:val="18"/>
                <w:szCs w:val="18"/>
              </w:rPr>
            </w:pPr>
            <w:r>
              <w:rPr>
                <w:rFonts w:ascii="Times New Roman" w:hAnsi="Times New Roman" w:cs="Times New Roman"/>
                <w:sz w:val="18"/>
                <w:szCs w:val="18"/>
              </w:rPr>
              <w:t>C</w:t>
            </w:r>
            <w:r>
              <w:rPr>
                <w:rFonts w:ascii="Times New Roman" w:hAnsi="Times New Roman" w:cs="Times New Roman"/>
                <w:sz w:val="18"/>
                <w:szCs w:val="18"/>
                <w:vertAlign w:val="subscript"/>
              </w:rPr>
              <w:t>2</w:t>
            </w:r>
          </w:p>
        </w:tc>
        <w:tc>
          <w:tcPr>
            <w:tcW w:w="336" w:type="dxa"/>
            <w:vAlign w:val="center"/>
          </w:tcPr>
          <w:p w14:paraId="36C79DB6">
            <w:pPr>
              <w:adjustRightInd w:val="0"/>
              <w:jc w:val="center"/>
              <w:rPr>
                <w:rFonts w:ascii="Times New Roman" w:hAnsi="Times New Roman" w:cs="Times New Roman"/>
                <w:sz w:val="18"/>
                <w:szCs w:val="18"/>
              </w:rPr>
            </w:pPr>
            <w:r>
              <w:rPr>
                <w:rFonts w:ascii="Times New Roman" w:hAnsi="Times New Roman" w:cs="Times New Roman"/>
                <w:sz w:val="18"/>
                <w:szCs w:val="18"/>
              </w:rPr>
              <w:t>C</w:t>
            </w:r>
            <w:r>
              <w:rPr>
                <w:rFonts w:ascii="Times New Roman" w:hAnsi="Times New Roman" w:cs="Times New Roman"/>
                <w:sz w:val="18"/>
                <w:szCs w:val="18"/>
                <w:vertAlign w:val="subscript"/>
              </w:rPr>
              <w:t>3</w:t>
            </w:r>
          </w:p>
        </w:tc>
        <w:tc>
          <w:tcPr>
            <w:tcW w:w="434" w:type="dxa"/>
            <w:vAlign w:val="center"/>
          </w:tcPr>
          <w:p w14:paraId="2D88058E">
            <w:pPr>
              <w:jc w:val="center"/>
              <w:rPr>
                <w:rFonts w:ascii="Times New Roman" w:hAnsi="Times New Roman" w:cs="Times New Roman"/>
                <w:sz w:val="18"/>
                <w:szCs w:val="18"/>
              </w:rPr>
            </w:pPr>
            <w:r>
              <w:rPr>
                <w:rFonts w:ascii="Times New Roman" w:hAnsi="Times New Roman" w:cs="Times New Roman"/>
                <w:sz w:val="18"/>
                <w:szCs w:val="18"/>
              </w:rPr>
              <w:t>iC</w:t>
            </w:r>
            <w:r>
              <w:rPr>
                <w:rFonts w:ascii="Times New Roman" w:hAnsi="Times New Roman" w:cs="Times New Roman"/>
                <w:sz w:val="18"/>
                <w:szCs w:val="18"/>
                <w:vertAlign w:val="subscript"/>
              </w:rPr>
              <w:t>4</w:t>
            </w:r>
          </w:p>
        </w:tc>
        <w:tc>
          <w:tcPr>
            <w:tcW w:w="353" w:type="dxa"/>
            <w:vAlign w:val="center"/>
          </w:tcPr>
          <w:p w14:paraId="2F5A4FCA">
            <w:pPr>
              <w:adjustRightInd w:val="0"/>
              <w:jc w:val="center"/>
              <w:rPr>
                <w:rFonts w:ascii="Times New Roman" w:hAnsi="Times New Roman" w:cs="Times New Roman"/>
                <w:sz w:val="18"/>
                <w:szCs w:val="18"/>
              </w:rPr>
            </w:pPr>
            <w:r>
              <w:rPr>
                <w:rFonts w:ascii="Times New Roman" w:hAnsi="Times New Roman" w:cs="Times New Roman"/>
                <w:sz w:val="18"/>
                <w:szCs w:val="18"/>
              </w:rPr>
              <w:t>C</w:t>
            </w:r>
            <w:r>
              <w:rPr>
                <w:rFonts w:ascii="Times New Roman" w:hAnsi="Times New Roman" w:cs="Times New Roman"/>
                <w:sz w:val="18"/>
                <w:szCs w:val="18"/>
                <w:vertAlign w:val="subscript"/>
              </w:rPr>
              <w:t>5+</w:t>
            </w:r>
          </w:p>
        </w:tc>
        <w:tc>
          <w:tcPr>
            <w:tcW w:w="348" w:type="dxa"/>
            <w:vAlign w:val="center"/>
          </w:tcPr>
          <w:p w14:paraId="5243F501">
            <w:pPr>
              <w:adjustRightInd w:val="0"/>
              <w:jc w:val="center"/>
              <w:rPr>
                <w:rFonts w:ascii="Times New Roman" w:hAnsi="Times New Roman" w:cs="Times New Roman"/>
                <w:sz w:val="18"/>
                <w:szCs w:val="18"/>
              </w:rPr>
            </w:pPr>
            <w:r>
              <w:rPr>
                <w:rFonts w:ascii="Times New Roman" w:hAnsi="Times New Roman" w:cs="Times New Roman"/>
                <w:sz w:val="18"/>
                <w:szCs w:val="18"/>
              </w:rPr>
              <w:t>CO</w:t>
            </w:r>
            <w:r>
              <w:rPr>
                <w:rFonts w:ascii="Times New Roman" w:hAnsi="Times New Roman" w:cs="Times New Roman"/>
                <w:sz w:val="18"/>
                <w:szCs w:val="18"/>
                <w:vertAlign w:val="subscript"/>
              </w:rPr>
              <w:t>2</w:t>
            </w:r>
          </w:p>
        </w:tc>
        <w:tc>
          <w:tcPr>
            <w:tcW w:w="373" w:type="dxa"/>
            <w:vAlign w:val="center"/>
          </w:tcPr>
          <w:p w14:paraId="1BFCC3D2">
            <w:pPr>
              <w:adjustRightInd w:val="0"/>
              <w:jc w:val="center"/>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z w:val="18"/>
                <w:szCs w:val="18"/>
                <w:vertAlign w:val="subscript"/>
              </w:rPr>
              <w:t>2</w:t>
            </w:r>
          </w:p>
        </w:tc>
        <w:tc>
          <w:tcPr>
            <w:tcW w:w="467" w:type="dxa"/>
            <w:vAlign w:val="center"/>
          </w:tcPr>
          <w:p w14:paraId="1A4A96F7">
            <w:pPr>
              <w:adjustRightInd w:val="0"/>
              <w:jc w:val="center"/>
              <w:rPr>
                <w:rFonts w:ascii="Times New Roman" w:hAnsi="Times New Roman" w:cs="Times New Roman"/>
                <w:sz w:val="18"/>
                <w:szCs w:val="18"/>
              </w:rPr>
            </w:pPr>
            <w:r>
              <w:rPr>
                <w:rFonts w:ascii="Times New Roman" w:hAnsi="Times New Roman" w:cs="Times New Roman"/>
                <w:sz w:val="18"/>
                <w:szCs w:val="18"/>
              </w:rPr>
              <w:t>其</w:t>
            </w:r>
            <w:r>
              <w:rPr>
                <w:rFonts w:hint="eastAsia" w:ascii="Times New Roman" w:hAnsi="Times New Roman" w:cs="Times New Roman"/>
                <w:sz w:val="18"/>
                <w:szCs w:val="18"/>
              </w:rPr>
              <w:t>他</w:t>
            </w:r>
          </w:p>
        </w:tc>
        <w:tc>
          <w:tcPr>
            <w:tcW w:w="520" w:type="dxa"/>
            <w:vAlign w:val="center"/>
          </w:tcPr>
          <w:p w14:paraId="31595737">
            <w:pPr>
              <w:adjustRightInd w:val="0"/>
              <w:jc w:val="center"/>
              <w:rPr>
                <w:rFonts w:ascii="Times New Roman" w:hAnsi="Times New Roman" w:cs="Times New Roman"/>
                <w:sz w:val="18"/>
                <w:szCs w:val="18"/>
              </w:rPr>
            </w:pPr>
            <w:r>
              <w:rPr>
                <w:rFonts w:ascii="Times New Roman" w:hAnsi="Times New Roman" w:cs="Times New Roman"/>
                <w:sz w:val="18"/>
                <w:szCs w:val="18"/>
              </w:rPr>
              <w:t>组分合计</w:t>
            </w:r>
          </w:p>
        </w:tc>
        <w:tc>
          <w:tcPr>
            <w:tcW w:w="607" w:type="dxa"/>
            <w:vAlign w:val="center"/>
          </w:tcPr>
          <w:p w14:paraId="4D67B189">
            <w:pPr>
              <w:adjustRightInd w:val="0"/>
              <w:jc w:val="center"/>
              <w:rPr>
                <w:rFonts w:ascii="Times New Roman" w:hAnsi="Times New Roman" w:cs="Times New Roman"/>
                <w:sz w:val="18"/>
                <w:szCs w:val="18"/>
              </w:rPr>
            </w:pPr>
            <w:r>
              <w:rPr>
                <w:rFonts w:ascii="Times New Roman" w:hAnsi="Times New Roman" w:cs="Times New Roman"/>
                <w:sz w:val="18"/>
                <w:szCs w:val="18"/>
              </w:rPr>
              <w:t>H</w:t>
            </w:r>
            <w:r>
              <w:rPr>
                <w:rFonts w:ascii="Times New Roman" w:hAnsi="Times New Roman" w:cs="Times New Roman"/>
                <w:sz w:val="18"/>
                <w:szCs w:val="18"/>
                <w:vertAlign w:val="subscript"/>
              </w:rPr>
              <w:t>2</w:t>
            </w:r>
            <w:r>
              <w:rPr>
                <w:rFonts w:ascii="Times New Roman" w:hAnsi="Times New Roman" w:cs="Times New Roman"/>
                <w:sz w:val="18"/>
                <w:szCs w:val="18"/>
              </w:rPr>
              <w:t>S</w:t>
            </w:r>
          </w:p>
        </w:tc>
        <w:tc>
          <w:tcPr>
            <w:tcW w:w="661" w:type="dxa"/>
            <w:vAlign w:val="center"/>
          </w:tcPr>
          <w:p w14:paraId="4147C2A0">
            <w:pPr>
              <w:adjustRightInd w:val="0"/>
              <w:jc w:val="center"/>
              <w:rPr>
                <w:rFonts w:ascii="Times New Roman" w:hAnsi="Times New Roman" w:cs="Times New Roman"/>
                <w:sz w:val="18"/>
                <w:szCs w:val="18"/>
              </w:rPr>
            </w:pPr>
            <w:r>
              <w:rPr>
                <w:rFonts w:ascii="Times New Roman" w:hAnsi="Times New Roman" w:cs="Times New Roman"/>
                <w:sz w:val="18"/>
                <w:szCs w:val="18"/>
              </w:rPr>
              <w:t>有机硫</w:t>
            </w:r>
          </w:p>
        </w:tc>
        <w:tc>
          <w:tcPr>
            <w:tcW w:w="760" w:type="dxa"/>
            <w:vAlign w:val="center"/>
          </w:tcPr>
          <w:p w14:paraId="718B1D2A">
            <w:pPr>
              <w:adjustRightInd w:val="0"/>
              <w:jc w:val="center"/>
              <w:rPr>
                <w:rFonts w:ascii="Times New Roman" w:hAnsi="Times New Roman" w:cs="Times New Roman"/>
                <w:sz w:val="18"/>
                <w:szCs w:val="18"/>
              </w:rPr>
            </w:pPr>
            <w:r>
              <w:rPr>
                <w:rFonts w:ascii="Times New Roman" w:hAnsi="Times New Roman" w:cs="Times New Roman"/>
                <w:sz w:val="18"/>
                <w:szCs w:val="18"/>
              </w:rPr>
              <w:t>高位</w:t>
            </w:r>
          </w:p>
          <w:p w14:paraId="6FA7BF05">
            <w:pPr>
              <w:adjustRightInd w:val="0"/>
              <w:jc w:val="center"/>
              <w:rPr>
                <w:rFonts w:ascii="Times New Roman" w:hAnsi="Times New Roman" w:cs="Times New Roman"/>
                <w:sz w:val="18"/>
                <w:szCs w:val="18"/>
              </w:rPr>
            </w:pPr>
            <w:r>
              <w:rPr>
                <w:rFonts w:ascii="Times New Roman" w:hAnsi="Times New Roman" w:cs="Times New Roman"/>
                <w:sz w:val="18"/>
                <w:szCs w:val="18"/>
              </w:rPr>
              <w:t>发热量</w:t>
            </w:r>
          </w:p>
        </w:tc>
        <w:tc>
          <w:tcPr>
            <w:tcW w:w="786" w:type="dxa"/>
            <w:vAlign w:val="center"/>
          </w:tcPr>
          <w:p w14:paraId="3F018380">
            <w:pPr>
              <w:adjustRightInd w:val="0"/>
              <w:jc w:val="center"/>
              <w:rPr>
                <w:rFonts w:ascii="Times New Roman" w:hAnsi="Times New Roman" w:cs="Times New Roman"/>
                <w:sz w:val="18"/>
                <w:szCs w:val="18"/>
              </w:rPr>
            </w:pPr>
            <w:r>
              <w:rPr>
                <w:rFonts w:ascii="Times New Roman" w:hAnsi="Times New Roman" w:cs="Times New Roman"/>
                <w:sz w:val="18"/>
                <w:szCs w:val="18"/>
              </w:rPr>
              <w:t>低位</w:t>
            </w:r>
          </w:p>
          <w:p w14:paraId="6D8453ED">
            <w:pPr>
              <w:adjustRightInd w:val="0"/>
              <w:jc w:val="center"/>
              <w:rPr>
                <w:rFonts w:ascii="Times New Roman" w:hAnsi="Times New Roman" w:cs="Times New Roman"/>
                <w:sz w:val="18"/>
                <w:szCs w:val="18"/>
              </w:rPr>
            </w:pPr>
            <w:r>
              <w:rPr>
                <w:rFonts w:ascii="Times New Roman" w:hAnsi="Times New Roman" w:cs="Times New Roman"/>
                <w:sz w:val="18"/>
                <w:szCs w:val="18"/>
              </w:rPr>
              <w:t>发热量</w:t>
            </w:r>
          </w:p>
        </w:tc>
        <w:tc>
          <w:tcPr>
            <w:tcW w:w="690" w:type="dxa"/>
            <w:vAlign w:val="center"/>
          </w:tcPr>
          <w:p w14:paraId="28F08A07">
            <w:pPr>
              <w:adjustRightInd w:val="0"/>
              <w:jc w:val="center"/>
              <w:rPr>
                <w:rFonts w:ascii="Times New Roman" w:hAnsi="Times New Roman" w:cs="Times New Roman"/>
                <w:sz w:val="18"/>
                <w:szCs w:val="18"/>
              </w:rPr>
            </w:pPr>
            <w:r>
              <w:rPr>
                <w:rFonts w:ascii="Times New Roman" w:hAnsi="Times New Roman" w:cs="Times New Roman"/>
                <w:sz w:val="18"/>
                <w:szCs w:val="18"/>
              </w:rPr>
              <w:t>烃露点</w:t>
            </w:r>
          </w:p>
        </w:tc>
        <w:tc>
          <w:tcPr>
            <w:tcW w:w="987" w:type="dxa"/>
            <w:vAlign w:val="center"/>
          </w:tcPr>
          <w:p w14:paraId="1C802D8D">
            <w:pPr>
              <w:adjustRightInd w:val="0"/>
              <w:jc w:val="center"/>
              <w:rPr>
                <w:rFonts w:ascii="Times New Roman" w:hAnsi="Times New Roman" w:cs="Times New Roman"/>
                <w:sz w:val="18"/>
                <w:szCs w:val="18"/>
              </w:rPr>
            </w:pPr>
            <w:r>
              <w:rPr>
                <w:rFonts w:ascii="Times New Roman" w:hAnsi="Times New Roman" w:cs="Times New Roman"/>
                <w:sz w:val="18"/>
                <w:szCs w:val="18"/>
              </w:rPr>
              <w:t>水露点</w:t>
            </w:r>
          </w:p>
        </w:tc>
      </w:tr>
      <w:tr w14:paraId="0EBD9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jc w:val="center"/>
        </w:trPr>
        <w:tc>
          <w:tcPr>
            <w:tcW w:w="419" w:type="dxa"/>
            <w:vMerge w:val="continue"/>
            <w:vAlign w:val="center"/>
          </w:tcPr>
          <w:p w14:paraId="45BC9ECE">
            <w:pPr>
              <w:adjustRightInd w:val="0"/>
              <w:jc w:val="center"/>
              <w:rPr>
                <w:rFonts w:ascii="Times New Roman" w:hAnsi="Times New Roman" w:cs="Times New Roman"/>
                <w:sz w:val="18"/>
                <w:szCs w:val="18"/>
              </w:rPr>
            </w:pPr>
          </w:p>
        </w:tc>
        <w:tc>
          <w:tcPr>
            <w:tcW w:w="878" w:type="dxa"/>
            <w:vMerge w:val="continue"/>
            <w:vAlign w:val="center"/>
          </w:tcPr>
          <w:p w14:paraId="7256A632">
            <w:pPr>
              <w:adjustRightInd w:val="0"/>
              <w:jc w:val="center"/>
              <w:rPr>
                <w:rFonts w:ascii="Times New Roman" w:hAnsi="Times New Roman" w:cs="Times New Roman"/>
                <w:sz w:val="18"/>
                <w:szCs w:val="18"/>
              </w:rPr>
            </w:pPr>
          </w:p>
        </w:tc>
        <w:tc>
          <w:tcPr>
            <w:tcW w:w="488" w:type="dxa"/>
            <w:vMerge w:val="continue"/>
            <w:vAlign w:val="center"/>
          </w:tcPr>
          <w:p w14:paraId="468EE204">
            <w:pPr>
              <w:adjustRightInd w:val="0"/>
              <w:jc w:val="center"/>
              <w:rPr>
                <w:rFonts w:ascii="Times New Roman" w:hAnsi="Times New Roman" w:cs="Times New Roman"/>
                <w:sz w:val="18"/>
                <w:szCs w:val="18"/>
              </w:rPr>
            </w:pPr>
          </w:p>
        </w:tc>
        <w:tc>
          <w:tcPr>
            <w:tcW w:w="3635" w:type="dxa"/>
            <w:gridSpan w:val="9"/>
            <w:vAlign w:val="center"/>
          </w:tcPr>
          <w:p w14:paraId="7763BB56">
            <w:pPr>
              <w:adjustRightInd w:val="0"/>
              <w:jc w:val="center"/>
              <w:rPr>
                <w:rFonts w:ascii="Times New Roman" w:hAnsi="Times New Roman" w:cs="Times New Roman"/>
                <w:sz w:val="18"/>
                <w:szCs w:val="18"/>
              </w:rPr>
            </w:pPr>
            <w:r>
              <w:rPr>
                <w:rFonts w:ascii="Times New Roman" w:hAnsi="Times New Roman" w:cs="Times New Roman"/>
                <w:sz w:val="18"/>
                <w:szCs w:val="18"/>
              </w:rPr>
              <w:t>摩尔分数，%</w:t>
            </w:r>
          </w:p>
        </w:tc>
        <w:tc>
          <w:tcPr>
            <w:tcW w:w="607" w:type="dxa"/>
            <w:vAlign w:val="center"/>
          </w:tcPr>
          <w:p w14:paraId="39F271A5">
            <w:pPr>
              <w:adjustRightInd w:val="0"/>
              <w:jc w:val="center"/>
              <w:rPr>
                <w:rFonts w:ascii="Times New Roman" w:hAnsi="Times New Roman" w:cs="Times New Roman"/>
                <w:sz w:val="18"/>
                <w:szCs w:val="18"/>
              </w:rPr>
            </w:pPr>
            <w:r>
              <w:rPr>
                <w:rFonts w:ascii="Times New Roman" w:hAnsi="Times New Roman" w:cs="Times New Roman"/>
                <w:sz w:val="18"/>
                <w:szCs w:val="18"/>
              </w:rPr>
              <w:t>ppm</w:t>
            </w:r>
          </w:p>
        </w:tc>
        <w:tc>
          <w:tcPr>
            <w:tcW w:w="661" w:type="dxa"/>
            <w:vAlign w:val="center"/>
          </w:tcPr>
          <w:p w14:paraId="1E067E2A">
            <w:pPr>
              <w:adjustRightInd w:val="0"/>
              <w:jc w:val="center"/>
              <w:rPr>
                <w:rFonts w:ascii="Times New Roman" w:hAnsi="Times New Roman" w:cs="Times New Roman"/>
                <w:sz w:val="18"/>
                <w:szCs w:val="18"/>
              </w:rPr>
            </w:pPr>
            <w:r>
              <w:rPr>
                <w:rFonts w:ascii="Times New Roman" w:hAnsi="Times New Roman" w:cs="Times New Roman"/>
                <w:sz w:val="18"/>
                <w:szCs w:val="18"/>
              </w:rPr>
              <w:t>mg/m</w:t>
            </w:r>
            <w:r>
              <w:rPr>
                <w:rFonts w:ascii="Times New Roman" w:hAnsi="Times New Roman" w:cs="Times New Roman"/>
                <w:sz w:val="18"/>
                <w:szCs w:val="18"/>
                <w:vertAlign w:val="superscript"/>
              </w:rPr>
              <w:t>3</w:t>
            </w:r>
          </w:p>
        </w:tc>
        <w:tc>
          <w:tcPr>
            <w:tcW w:w="760" w:type="dxa"/>
            <w:vAlign w:val="center"/>
          </w:tcPr>
          <w:p w14:paraId="74F7A4CA">
            <w:pPr>
              <w:adjustRightInd w:val="0"/>
              <w:jc w:val="center"/>
              <w:rPr>
                <w:rFonts w:ascii="Times New Roman" w:hAnsi="Times New Roman" w:cs="Times New Roman"/>
                <w:sz w:val="18"/>
                <w:szCs w:val="18"/>
              </w:rPr>
            </w:pPr>
            <w:r>
              <w:rPr>
                <w:rFonts w:ascii="Times New Roman" w:hAnsi="Times New Roman" w:cs="Times New Roman"/>
                <w:sz w:val="18"/>
                <w:szCs w:val="18"/>
              </w:rPr>
              <w:t>MJ/m</w:t>
            </w:r>
            <w:r>
              <w:rPr>
                <w:rFonts w:ascii="Times New Roman" w:hAnsi="Times New Roman" w:cs="Times New Roman"/>
                <w:sz w:val="18"/>
                <w:szCs w:val="18"/>
                <w:vertAlign w:val="superscript"/>
              </w:rPr>
              <w:t>3</w:t>
            </w:r>
          </w:p>
        </w:tc>
        <w:tc>
          <w:tcPr>
            <w:tcW w:w="786" w:type="dxa"/>
            <w:vAlign w:val="center"/>
          </w:tcPr>
          <w:p w14:paraId="4CE293F9">
            <w:pPr>
              <w:adjustRightInd w:val="0"/>
              <w:jc w:val="center"/>
              <w:rPr>
                <w:rFonts w:ascii="Times New Roman" w:hAnsi="Times New Roman" w:cs="Times New Roman"/>
                <w:sz w:val="18"/>
                <w:szCs w:val="18"/>
              </w:rPr>
            </w:pPr>
            <w:r>
              <w:rPr>
                <w:rFonts w:ascii="Times New Roman" w:hAnsi="Times New Roman" w:cs="Times New Roman"/>
                <w:sz w:val="18"/>
                <w:szCs w:val="18"/>
              </w:rPr>
              <w:t>MJ/m</w:t>
            </w:r>
            <w:r>
              <w:rPr>
                <w:rFonts w:ascii="Times New Roman" w:hAnsi="Times New Roman" w:cs="Times New Roman"/>
                <w:sz w:val="18"/>
                <w:szCs w:val="18"/>
                <w:vertAlign w:val="superscript"/>
              </w:rPr>
              <w:t>3</w:t>
            </w:r>
          </w:p>
        </w:tc>
        <w:tc>
          <w:tcPr>
            <w:tcW w:w="690" w:type="dxa"/>
            <w:vAlign w:val="center"/>
          </w:tcPr>
          <w:p w14:paraId="74706BE5">
            <w:pPr>
              <w:adjustRightInd w:val="0"/>
              <w:jc w:val="center"/>
              <w:rPr>
                <w:rFonts w:ascii="Times New Roman" w:hAnsi="Times New Roman" w:eastAsia="宋体" w:cs="Times New Roman"/>
                <w:sz w:val="18"/>
                <w:szCs w:val="18"/>
              </w:rPr>
            </w:pPr>
            <w:r>
              <w:rPr>
                <w:rFonts w:ascii="Times New Roman" w:hAnsi="Times New Roman" w:cs="Times New Roman"/>
                <w:sz w:val="18"/>
                <w:szCs w:val="18"/>
              </w:rPr>
              <w:t>℃</w:t>
            </w:r>
          </w:p>
        </w:tc>
        <w:tc>
          <w:tcPr>
            <w:tcW w:w="987" w:type="dxa"/>
            <w:vAlign w:val="center"/>
          </w:tcPr>
          <w:p w14:paraId="2549C619">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0FDF6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jc w:val="center"/>
        </w:trPr>
        <w:tc>
          <w:tcPr>
            <w:tcW w:w="419" w:type="dxa"/>
            <w:vAlign w:val="center"/>
          </w:tcPr>
          <w:p w14:paraId="1E5DE727">
            <w:pPr>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878" w:type="dxa"/>
            <w:vAlign w:val="center"/>
          </w:tcPr>
          <w:p w14:paraId="55F1D898">
            <w:pPr>
              <w:adjustRightInd w:val="0"/>
              <w:jc w:val="center"/>
              <w:rPr>
                <w:rFonts w:ascii="Times New Roman" w:hAnsi="Times New Roman" w:cs="Times New Roman"/>
                <w:sz w:val="18"/>
                <w:szCs w:val="18"/>
              </w:rPr>
            </w:pPr>
            <w:r>
              <w:rPr>
                <w:rFonts w:ascii="Times New Roman" w:hAnsi="Times New Roman" w:cs="Times New Roman"/>
                <w:sz w:val="18"/>
                <w:szCs w:val="21"/>
              </w:rPr>
              <w:t>××气源</w:t>
            </w:r>
          </w:p>
        </w:tc>
        <w:tc>
          <w:tcPr>
            <w:tcW w:w="488" w:type="dxa"/>
            <w:vAlign w:val="center"/>
          </w:tcPr>
          <w:p w14:paraId="45364BD6">
            <w:pPr>
              <w:adjustRightInd w:val="0"/>
              <w:jc w:val="center"/>
              <w:rPr>
                <w:rFonts w:ascii="Times New Roman" w:hAnsi="Times New Roman" w:cs="Times New Roman"/>
                <w:sz w:val="18"/>
                <w:szCs w:val="18"/>
              </w:rPr>
            </w:pPr>
          </w:p>
        </w:tc>
        <w:tc>
          <w:tcPr>
            <w:tcW w:w="445" w:type="dxa"/>
            <w:vAlign w:val="center"/>
          </w:tcPr>
          <w:p w14:paraId="66A80D52">
            <w:pPr>
              <w:adjustRightInd w:val="0"/>
              <w:jc w:val="center"/>
              <w:rPr>
                <w:rFonts w:ascii="Times New Roman" w:hAnsi="Times New Roman" w:cs="Times New Roman"/>
                <w:sz w:val="18"/>
                <w:szCs w:val="18"/>
              </w:rPr>
            </w:pPr>
          </w:p>
        </w:tc>
        <w:tc>
          <w:tcPr>
            <w:tcW w:w="359" w:type="dxa"/>
            <w:vAlign w:val="center"/>
          </w:tcPr>
          <w:p w14:paraId="1A7E37B5">
            <w:pPr>
              <w:adjustRightInd w:val="0"/>
              <w:jc w:val="center"/>
              <w:rPr>
                <w:rFonts w:ascii="Times New Roman" w:hAnsi="Times New Roman" w:cs="Times New Roman"/>
                <w:sz w:val="18"/>
                <w:szCs w:val="18"/>
              </w:rPr>
            </w:pPr>
          </w:p>
        </w:tc>
        <w:tc>
          <w:tcPr>
            <w:tcW w:w="336" w:type="dxa"/>
            <w:vAlign w:val="center"/>
          </w:tcPr>
          <w:p w14:paraId="5C57AC43">
            <w:pPr>
              <w:adjustRightInd w:val="0"/>
              <w:jc w:val="center"/>
              <w:rPr>
                <w:rFonts w:ascii="Times New Roman" w:hAnsi="Times New Roman" w:cs="Times New Roman"/>
                <w:sz w:val="18"/>
                <w:szCs w:val="18"/>
              </w:rPr>
            </w:pPr>
          </w:p>
        </w:tc>
        <w:tc>
          <w:tcPr>
            <w:tcW w:w="434" w:type="dxa"/>
            <w:vAlign w:val="center"/>
          </w:tcPr>
          <w:p w14:paraId="01C83E95">
            <w:pPr>
              <w:jc w:val="center"/>
              <w:rPr>
                <w:rFonts w:ascii="Times New Roman" w:hAnsi="Times New Roman" w:cs="Times New Roman"/>
                <w:sz w:val="18"/>
                <w:szCs w:val="18"/>
              </w:rPr>
            </w:pPr>
          </w:p>
        </w:tc>
        <w:tc>
          <w:tcPr>
            <w:tcW w:w="353" w:type="dxa"/>
            <w:vAlign w:val="center"/>
          </w:tcPr>
          <w:p w14:paraId="09386EDF">
            <w:pPr>
              <w:adjustRightInd w:val="0"/>
              <w:jc w:val="center"/>
              <w:rPr>
                <w:rFonts w:ascii="Times New Roman" w:hAnsi="Times New Roman" w:cs="Times New Roman"/>
                <w:sz w:val="18"/>
                <w:szCs w:val="18"/>
              </w:rPr>
            </w:pPr>
          </w:p>
        </w:tc>
        <w:tc>
          <w:tcPr>
            <w:tcW w:w="348" w:type="dxa"/>
            <w:vAlign w:val="center"/>
          </w:tcPr>
          <w:p w14:paraId="790A3A6C">
            <w:pPr>
              <w:adjustRightInd w:val="0"/>
              <w:jc w:val="center"/>
              <w:rPr>
                <w:rFonts w:ascii="Times New Roman" w:hAnsi="Times New Roman" w:cs="Times New Roman"/>
                <w:sz w:val="18"/>
                <w:szCs w:val="18"/>
              </w:rPr>
            </w:pPr>
          </w:p>
        </w:tc>
        <w:tc>
          <w:tcPr>
            <w:tcW w:w="373" w:type="dxa"/>
            <w:vAlign w:val="center"/>
          </w:tcPr>
          <w:p w14:paraId="14C36452">
            <w:pPr>
              <w:adjustRightInd w:val="0"/>
              <w:jc w:val="center"/>
              <w:rPr>
                <w:rFonts w:ascii="Times New Roman" w:hAnsi="Times New Roman" w:cs="Times New Roman"/>
                <w:sz w:val="18"/>
                <w:szCs w:val="18"/>
              </w:rPr>
            </w:pPr>
          </w:p>
        </w:tc>
        <w:tc>
          <w:tcPr>
            <w:tcW w:w="467" w:type="dxa"/>
            <w:vAlign w:val="center"/>
          </w:tcPr>
          <w:p w14:paraId="50ADF89A">
            <w:pPr>
              <w:adjustRightInd w:val="0"/>
              <w:jc w:val="center"/>
              <w:rPr>
                <w:rFonts w:ascii="Times New Roman" w:hAnsi="Times New Roman" w:cs="Times New Roman"/>
                <w:sz w:val="18"/>
                <w:szCs w:val="18"/>
              </w:rPr>
            </w:pPr>
          </w:p>
        </w:tc>
        <w:tc>
          <w:tcPr>
            <w:tcW w:w="520" w:type="dxa"/>
            <w:vAlign w:val="center"/>
          </w:tcPr>
          <w:p w14:paraId="0D067B4A">
            <w:pPr>
              <w:adjustRightInd w:val="0"/>
              <w:jc w:val="center"/>
              <w:rPr>
                <w:rFonts w:ascii="Times New Roman" w:hAnsi="Times New Roman" w:cs="Times New Roman"/>
                <w:sz w:val="18"/>
                <w:szCs w:val="18"/>
              </w:rPr>
            </w:pPr>
          </w:p>
        </w:tc>
        <w:tc>
          <w:tcPr>
            <w:tcW w:w="607" w:type="dxa"/>
            <w:vAlign w:val="center"/>
          </w:tcPr>
          <w:p w14:paraId="00D09B72">
            <w:pPr>
              <w:adjustRightInd w:val="0"/>
              <w:jc w:val="center"/>
              <w:rPr>
                <w:rFonts w:ascii="Times New Roman" w:hAnsi="Times New Roman" w:cs="Times New Roman"/>
                <w:sz w:val="18"/>
                <w:szCs w:val="18"/>
              </w:rPr>
            </w:pPr>
          </w:p>
        </w:tc>
        <w:tc>
          <w:tcPr>
            <w:tcW w:w="661" w:type="dxa"/>
            <w:vAlign w:val="center"/>
          </w:tcPr>
          <w:p w14:paraId="2EBCB27E">
            <w:pPr>
              <w:adjustRightInd w:val="0"/>
              <w:jc w:val="center"/>
              <w:rPr>
                <w:rFonts w:ascii="Times New Roman" w:hAnsi="Times New Roman" w:cs="Times New Roman"/>
                <w:sz w:val="18"/>
                <w:szCs w:val="18"/>
              </w:rPr>
            </w:pPr>
          </w:p>
        </w:tc>
        <w:tc>
          <w:tcPr>
            <w:tcW w:w="760" w:type="dxa"/>
            <w:vAlign w:val="center"/>
          </w:tcPr>
          <w:p w14:paraId="6B364A38">
            <w:pPr>
              <w:adjustRightInd w:val="0"/>
              <w:jc w:val="center"/>
              <w:rPr>
                <w:rFonts w:ascii="Times New Roman" w:hAnsi="Times New Roman" w:cs="Times New Roman"/>
                <w:sz w:val="18"/>
                <w:szCs w:val="18"/>
              </w:rPr>
            </w:pPr>
          </w:p>
        </w:tc>
        <w:tc>
          <w:tcPr>
            <w:tcW w:w="786" w:type="dxa"/>
            <w:vAlign w:val="center"/>
          </w:tcPr>
          <w:p w14:paraId="341AC4E3">
            <w:pPr>
              <w:adjustRightInd w:val="0"/>
              <w:jc w:val="center"/>
              <w:rPr>
                <w:rFonts w:ascii="Times New Roman" w:hAnsi="Times New Roman" w:cs="Times New Roman"/>
                <w:sz w:val="18"/>
                <w:szCs w:val="18"/>
              </w:rPr>
            </w:pPr>
          </w:p>
        </w:tc>
        <w:tc>
          <w:tcPr>
            <w:tcW w:w="690" w:type="dxa"/>
            <w:vAlign w:val="center"/>
          </w:tcPr>
          <w:p w14:paraId="732DA708">
            <w:pPr>
              <w:adjustRightInd w:val="0"/>
              <w:jc w:val="center"/>
              <w:rPr>
                <w:rFonts w:ascii="Times New Roman" w:hAnsi="Times New Roman" w:cs="Times New Roman"/>
                <w:sz w:val="18"/>
                <w:szCs w:val="18"/>
              </w:rPr>
            </w:pPr>
          </w:p>
        </w:tc>
        <w:tc>
          <w:tcPr>
            <w:tcW w:w="987" w:type="dxa"/>
            <w:vAlign w:val="center"/>
          </w:tcPr>
          <w:p w14:paraId="2C78B24E">
            <w:pPr>
              <w:adjustRightInd w:val="0"/>
              <w:jc w:val="center"/>
              <w:rPr>
                <w:rFonts w:ascii="Times New Roman" w:hAnsi="Times New Roman" w:cs="Times New Roman"/>
                <w:sz w:val="18"/>
                <w:szCs w:val="18"/>
              </w:rPr>
            </w:pPr>
          </w:p>
        </w:tc>
      </w:tr>
      <w:tr w14:paraId="73623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419" w:type="dxa"/>
            <w:vAlign w:val="center"/>
          </w:tcPr>
          <w:p w14:paraId="7C3C138B">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878" w:type="dxa"/>
            <w:vAlign w:val="center"/>
          </w:tcPr>
          <w:p w14:paraId="1CC8C83D">
            <w:pPr>
              <w:adjustRightInd w:val="0"/>
              <w:jc w:val="center"/>
              <w:rPr>
                <w:rFonts w:ascii="Times New Roman" w:hAnsi="Times New Roman" w:cs="Times New Roman"/>
                <w:sz w:val="18"/>
                <w:szCs w:val="18"/>
              </w:rPr>
            </w:pPr>
          </w:p>
        </w:tc>
        <w:tc>
          <w:tcPr>
            <w:tcW w:w="488" w:type="dxa"/>
            <w:vAlign w:val="center"/>
          </w:tcPr>
          <w:p w14:paraId="35E947DA">
            <w:pPr>
              <w:adjustRightInd w:val="0"/>
              <w:jc w:val="center"/>
              <w:rPr>
                <w:rFonts w:ascii="Times New Roman" w:hAnsi="Times New Roman" w:cs="Times New Roman"/>
                <w:sz w:val="18"/>
                <w:szCs w:val="18"/>
              </w:rPr>
            </w:pPr>
          </w:p>
        </w:tc>
        <w:tc>
          <w:tcPr>
            <w:tcW w:w="445" w:type="dxa"/>
            <w:vAlign w:val="center"/>
          </w:tcPr>
          <w:p w14:paraId="3F256150">
            <w:pPr>
              <w:adjustRightInd w:val="0"/>
              <w:jc w:val="center"/>
              <w:rPr>
                <w:rFonts w:ascii="Times New Roman" w:hAnsi="Times New Roman" w:cs="Times New Roman"/>
                <w:sz w:val="18"/>
                <w:szCs w:val="18"/>
              </w:rPr>
            </w:pPr>
          </w:p>
        </w:tc>
        <w:tc>
          <w:tcPr>
            <w:tcW w:w="359" w:type="dxa"/>
            <w:vAlign w:val="center"/>
          </w:tcPr>
          <w:p w14:paraId="21B9D96D">
            <w:pPr>
              <w:adjustRightInd w:val="0"/>
              <w:jc w:val="center"/>
              <w:rPr>
                <w:rFonts w:ascii="Times New Roman" w:hAnsi="Times New Roman" w:cs="Times New Roman"/>
                <w:sz w:val="18"/>
                <w:szCs w:val="18"/>
              </w:rPr>
            </w:pPr>
          </w:p>
        </w:tc>
        <w:tc>
          <w:tcPr>
            <w:tcW w:w="336" w:type="dxa"/>
            <w:vAlign w:val="center"/>
          </w:tcPr>
          <w:p w14:paraId="2FC736BF">
            <w:pPr>
              <w:adjustRightInd w:val="0"/>
              <w:jc w:val="center"/>
              <w:rPr>
                <w:rFonts w:ascii="Times New Roman" w:hAnsi="Times New Roman" w:cs="Times New Roman"/>
                <w:sz w:val="18"/>
                <w:szCs w:val="18"/>
              </w:rPr>
            </w:pPr>
          </w:p>
        </w:tc>
        <w:tc>
          <w:tcPr>
            <w:tcW w:w="434" w:type="dxa"/>
            <w:vAlign w:val="center"/>
          </w:tcPr>
          <w:p w14:paraId="19D8068D">
            <w:pPr>
              <w:adjustRightInd w:val="0"/>
              <w:jc w:val="center"/>
              <w:rPr>
                <w:rFonts w:ascii="Times New Roman" w:hAnsi="Times New Roman" w:cs="Times New Roman"/>
                <w:sz w:val="18"/>
                <w:szCs w:val="18"/>
              </w:rPr>
            </w:pPr>
          </w:p>
        </w:tc>
        <w:tc>
          <w:tcPr>
            <w:tcW w:w="353" w:type="dxa"/>
            <w:vAlign w:val="center"/>
          </w:tcPr>
          <w:p w14:paraId="2B38BC25">
            <w:pPr>
              <w:adjustRightInd w:val="0"/>
              <w:jc w:val="center"/>
              <w:rPr>
                <w:rFonts w:ascii="Times New Roman" w:hAnsi="Times New Roman" w:cs="Times New Roman"/>
                <w:sz w:val="18"/>
                <w:szCs w:val="18"/>
              </w:rPr>
            </w:pPr>
          </w:p>
        </w:tc>
        <w:tc>
          <w:tcPr>
            <w:tcW w:w="348" w:type="dxa"/>
            <w:vAlign w:val="center"/>
          </w:tcPr>
          <w:p w14:paraId="4CECF083">
            <w:pPr>
              <w:adjustRightInd w:val="0"/>
              <w:jc w:val="center"/>
              <w:rPr>
                <w:rFonts w:ascii="Times New Roman" w:hAnsi="Times New Roman" w:cs="Times New Roman"/>
                <w:sz w:val="18"/>
                <w:szCs w:val="18"/>
              </w:rPr>
            </w:pPr>
          </w:p>
        </w:tc>
        <w:tc>
          <w:tcPr>
            <w:tcW w:w="373" w:type="dxa"/>
            <w:vAlign w:val="center"/>
          </w:tcPr>
          <w:p w14:paraId="602DCA3D">
            <w:pPr>
              <w:adjustRightInd w:val="0"/>
              <w:jc w:val="center"/>
              <w:rPr>
                <w:rFonts w:ascii="Times New Roman" w:hAnsi="Times New Roman" w:cs="Times New Roman"/>
                <w:sz w:val="18"/>
                <w:szCs w:val="18"/>
              </w:rPr>
            </w:pPr>
          </w:p>
        </w:tc>
        <w:tc>
          <w:tcPr>
            <w:tcW w:w="467" w:type="dxa"/>
            <w:vAlign w:val="center"/>
          </w:tcPr>
          <w:p w14:paraId="1AD6D83C">
            <w:pPr>
              <w:adjustRightInd w:val="0"/>
              <w:jc w:val="center"/>
              <w:rPr>
                <w:rFonts w:ascii="Times New Roman" w:hAnsi="Times New Roman" w:cs="Times New Roman"/>
                <w:sz w:val="18"/>
                <w:szCs w:val="18"/>
              </w:rPr>
            </w:pPr>
          </w:p>
        </w:tc>
        <w:tc>
          <w:tcPr>
            <w:tcW w:w="520" w:type="dxa"/>
            <w:vAlign w:val="center"/>
          </w:tcPr>
          <w:p w14:paraId="66225850">
            <w:pPr>
              <w:adjustRightInd w:val="0"/>
              <w:jc w:val="center"/>
              <w:rPr>
                <w:rFonts w:ascii="Times New Roman" w:hAnsi="Times New Roman" w:cs="Times New Roman"/>
                <w:sz w:val="18"/>
                <w:szCs w:val="18"/>
              </w:rPr>
            </w:pPr>
          </w:p>
        </w:tc>
        <w:tc>
          <w:tcPr>
            <w:tcW w:w="607" w:type="dxa"/>
            <w:vAlign w:val="center"/>
          </w:tcPr>
          <w:p w14:paraId="738C552C">
            <w:pPr>
              <w:adjustRightInd w:val="0"/>
              <w:jc w:val="center"/>
              <w:rPr>
                <w:rFonts w:ascii="Times New Roman" w:hAnsi="Times New Roman" w:cs="Times New Roman"/>
                <w:sz w:val="18"/>
                <w:szCs w:val="18"/>
              </w:rPr>
            </w:pPr>
          </w:p>
        </w:tc>
        <w:tc>
          <w:tcPr>
            <w:tcW w:w="661" w:type="dxa"/>
            <w:vAlign w:val="center"/>
          </w:tcPr>
          <w:p w14:paraId="49194579">
            <w:pPr>
              <w:adjustRightInd w:val="0"/>
              <w:jc w:val="center"/>
              <w:rPr>
                <w:rFonts w:ascii="Times New Roman" w:hAnsi="Times New Roman" w:cs="Times New Roman"/>
                <w:sz w:val="18"/>
                <w:szCs w:val="18"/>
              </w:rPr>
            </w:pPr>
          </w:p>
        </w:tc>
        <w:tc>
          <w:tcPr>
            <w:tcW w:w="760" w:type="dxa"/>
            <w:vAlign w:val="center"/>
          </w:tcPr>
          <w:p w14:paraId="39D7AFB1">
            <w:pPr>
              <w:adjustRightInd w:val="0"/>
              <w:jc w:val="center"/>
              <w:rPr>
                <w:rFonts w:ascii="Times New Roman" w:hAnsi="Times New Roman" w:cs="Times New Roman"/>
                <w:sz w:val="18"/>
                <w:szCs w:val="18"/>
              </w:rPr>
            </w:pPr>
          </w:p>
        </w:tc>
        <w:tc>
          <w:tcPr>
            <w:tcW w:w="786" w:type="dxa"/>
            <w:vAlign w:val="center"/>
          </w:tcPr>
          <w:p w14:paraId="6C66A987">
            <w:pPr>
              <w:adjustRightInd w:val="0"/>
              <w:jc w:val="center"/>
              <w:rPr>
                <w:rFonts w:ascii="Times New Roman" w:hAnsi="Times New Roman" w:cs="Times New Roman"/>
                <w:sz w:val="18"/>
                <w:szCs w:val="18"/>
              </w:rPr>
            </w:pPr>
          </w:p>
        </w:tc>
        <w:tc>
          <w:tcPr>
            <w:tcW w:w="690" w:type="dxa"/>
            <w:vAlign w:val="center"/>
          </w:tcPr>
          <w:p w14:paraId="75008DCC">
            <w:pPr>
              <w:adjustRightInd w:val="0"/>
              <w:jc w:val="center"/>
              <w:rPr>
                <w:rFonts w:ascii="Times New Roman" w:hAnsi="Times New Roman" w:cs="Times New Roman"/>
                <w:sz w:val="18"/>
                <w:szCs w:val="18"/>
              </w:rPr>
            </w:pPr>
          </w:p>
        </w:tc>
        <w:tc>
          <w:tcPr>
            <w:tcW w:w="987" w:type="dxa"/>
            <w:vAlign w:val="center"/>
          </w:tcPr>
          <w:p w14:paraId="0F543EA0">
            <w:pPr>
              <w:adjustRightInd w:val="0"/>
              <w:jc w:val="center"/>
              <w:rPr>
                <w:rFonts w:ascii="Times New Roman" w:hAnsi="Times New Roman" w:cs="Times New Roman"/>
                <w:sz w:val="18"/>
                <w:szCs w:val="18"/>
              </w:rPr>
            </w:pPr>
          </w:p>
        </w:tc>
      </w:tr>
    </w:tbl>
    <w:p w14:paraId="22BC2403">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危险物质或化学药剂统计表</w:t>
      </w:r>
    </w:p>
    <w:tbl>
      <w:tblPr>
        <w:tblStyle w:val="24"/>
        <w:tblW w:w="98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1097"/>
        <w:gridCol w:w="1637"/>
        <w:gridCol w:w="2023"/>
        <w:gridCol w:w="1713"/>
        <w:gridCol w:w="1713"/>
        <w:gridCol w:w="1713"/>
      </w:tblGrid>
      <w:tr w14:paraId="0D9ED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0" w:hRule="exact"/>
          <w:jc w:val="center"/>
        </w:trPr>
        <w:tc>
          <w:tcPr>
            <w:tcW w:w="1097" w:type="dxa"/>
            <w:shd w:val="clear" w:color="auto" w:fill="FFFFFF"/>
            <w:vAlign w:val="center"/>
          </w:tcPr>
          <w:p w14:paraId="7C05F2BB">
            <w:pPr>
              <w:adjustRightInd w:val="0"/>
              <w:jc w:val="center"/>
              <w:rPr>
                <w:rFonts w:ascii="Times New Roman" w:hAnsi="Times New Roman" w:cs="Times New Roman"/>
                <w:sz w:val="18"/>
                <w:szCs w:val="18"/>
              </w:rPr>
            </w:pPr>
            <w:r>
              <w:rPr>
                <w:rFonts w:ascii="Times New Roman" w:hAnsi="Times New Roman" w:cs="Times New Roman"/>
                <w:sz w:val="18"/>
                <w:szCs w:val="18"/>
              </w:rPr>
              <w:t>序号</w:t>
            </w:r>
          </w:p>
        </w:tc>
        <w:tc>
          <w:tcPr>
            <w:tcW w:w="1637" w:type="dxa"/>
            <w:shd w:val="clear" w:color="auto" w:fill="FFFFFF"/>
            <w:vAlign w:val="center"/>
          </w:tcPr>
          <w:p w14:paraId="072A085C">
            <w:pPr>
              <w:adjustRightInd w:val="0"/>
              <w:jc w:val="center"/>
              <w:rPr>
                <w:rFonts w:ascii="Times New Roman" w:hAnsi="Times New Roman" w:cs="Times New Roman"/>
                <w:sz w:val="18"/>
                <w:szCs w:val="18"/>
              </w:rPr>
            </w:pPr>
            <w:r>
              <w:rPr>
                <w:rFonts w:ascii="Times New Roman" w:hAnsi="Times New Roman" w:cs="Times New Roman"/>
                <w:sz w:val="18"/>
                <w:szCs w:val="18"/>
              </w:rPr>
              <w:t>药剂种类</w:t>
            </w:r>
          </w:p>
        </w:tc>
        <w:tc>
          <w:tcPr>
            <w:tcW w:w="2023" w:type="dxa"/>
            <w:shd w:val="clear" w:color="auto" w:fill="FFFFFF"/>
            <w:vAlign w:val="center"/>
          </w:tcPr>
          <w:p w14:paraId="45A4A523">
            <w:pPr>
              <w:adjustRightInd w:val="0"/>
              <w:jc w:val="center"/>
              <w:rPr>
                <w:rFonts w:ascii="Times New Roman" w:hAnsi="Times New Roman" w:cs="Times New Roman"/>
                <w:sz w:val="18"/>
                <w:szCs w:val="18"/>
              </w:rPr>
            </w:pPr>
            <w:r>
              <w:rPr>
                <w:rFonts w:ascii="Times New Roman" w:hAnsi="Times New Roman" w:cs="Times New Roman"/>
                <w:sz w:val="18"/>
                <w:szCs w:val="18"/>
              </w:rPr>
              <w:t>名称</w:t>
            </w:r>
          </w:p>
        </w:tc>
        <w:tc>
          <w:tcPr>
            <w:tcW w:w="1713" w:type="dxa"/>
            <w:shd w:val="clear" w:color="auto" w:fill="FFFFFF"/>
            <w:vAlign w:val="center"/>
          </w:tcPr>
          <w:p w14:paraId="66EC736D">
            <w:pPr>
              <w:adjustRightInd w:val="0"/>
              <w:jc w:val="center"/>
              <w:rPr>
                <w:rFonts w:ascii="Times New Roman" w:hAnsi="Times New Roman" w:cs="Times New Roman"/>
                <w:sz w:val="18"/>
                <w:szCs w:val="18"/>
              </w:rPr>
            </w:pPr>
            <w:r>
              <w:rPr>
                <w:rFonts w:ascii="Times New Roman" w:hAnsi="Times New Roman" w:cs="Times New Roman"/>
                <w:sz w:val="18"/>
                <w:szCs w:val="18"/>
              </w:rPr>
              <w:t>火灾危险性分类</w:t>
            </w:r>
          </w:p>
        </w:tc>
        <w:tc>
          <w:tcPr>
            <w:tcW w:w="1713" w:type="dxa"/>
            <w:shd w:val="clear" w:color="auto" w:fill="FFFFFF"/>
            <w:vAlign w:val="center"/>
          </w:tcPr>
          <w:p w14:paraId="31C767E6">
            <w:pPr>
              <w:adjustRightInd w:val="0"/>
              <w:jc w:val="center"/>
              <w:rPr>
                <w:rFonts w:ascii="Times New Roman" w:hAnsi="Times New Roman" w:cs="Times New Roman"/>
                <w:sz w:val="18"/>
                <w:szCs w:val="18"/>
              </w:rPr>
            </w:pPr>
            <w:r>
              <w:rPr>
                <w:rFonts w:ascii="Times New Roman" w:hAnsi="Times New Roman" w:cs="Times New Roman"/>
                <w:sz w:val="18"/>
                <w:szCs w:val="18"/>
              </w:rPr>
              <w:t>爆炸极限</w:t>
            </w:r>
          </w:p>
        </w:tc>
        <w:tc>
          <w:tcPr>
            <w:tcW w:w="1713" w:type="dxa"/>
            <w:shd w:val="clear" w:color="auto" w:fill="FFFFFF"/>
            <w:vAlign w:val="center"/>
          </w:tcPr>
          <w:p w14:paraId="119FFD59">
            <w:pPr>
              <w:adjustRightInd w:val="0"/>
              <w:jc w:val="center"/>
              <w:rPr>
                <w:rFonts w:ascii="Times New Roman" w:hAnsi="Times New Roman" w:cs="Times New Roman"/>
                <w:sz w:val="18"/>
                <w:szCs w:val="18"/>
              </w:rPr>
            </w:pPr>
            <w:r>
              <w:rPr>
                <w:rFonts w:ascii="Times New Roman" w:hAnsi="Times New Roman" w:cs="Times New Roman"/>
                <w:sz w:val="18"/>
                <w:szCs w:val="18"/>
              </w:rPr>
              <w:t>用量</w:t>
            </w:r>
          </w:p>
        </w:tc>
      </w:tr>
      <w:tr w14:paraId="3D4D1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20" w:hRule="exact"/>
          <w:jc w:val="center"/>
        </w:trPr>
        <w:tc>
          <w:tcPr>
            <w:tcW w:w="1097" w:type="dxa"/>
            <w:shd w:val="clear" w:color="auto" w:fill="FFFFFF"/>
            <w:vAlign w:val="center"/>
          </w:tcPr>
          <w:p w14:paraId="7AB64D17">
            <w:pPr>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1637" w:type="dxa"/>
            <w:shd w:val="clear" w:color="auto" w:fill="FFFFFF"/>
            <w:vAlign w:val="center"/>
          </w:tcPr>
          <w:p w14:paraId="0B8EF94F">
            <w:pPr>
              <w:adjustRightInd w:val="0"/>
              <w:jc w:val="center"/>
              <w:rPr>
                <w:rFonts w:ascii="Times New Roman" w:hAnsi="Times New Roman" w:cs="Times New Roman"/>
                <w:sz w:val="18"/>
                <w:szCs w:val="18"/>
              </w:rPr>
            </w:pPr>
          </w:p>
        </w:tc>
        <w:tc>
          <w:tcPr>
            <w:tcW w:w="2023" w:type="dxa"/>
            <w:shd w:val="clear" w:color="auto" w:fill="FFFFFF"/>
            <w:vAlign w:val="center"/>
          </w:tcPr>
          <w:p w14:paraId="29056CE0">
            <w:pPr>
              <w:adjustRightInd w:val="0"/>
              <w:jc w:val="center"/>
              <w:rPr>
                <w:rFonts w:ascii="Times New Roman" w:hAnsi="Times New Roman" w:cs="Times New Roman"/>
                <w:sz w:val="18"/>
                <w:szCs w:val="18"/>
              </w:rPr>
            </w:pPr>
          </w:p>
        </w:tc>
        <w:tc>
          <w:tcPr>
            <w:tcW w:w="1713" w:type="dxa"/>
            <w:shd w:val="clear" w:color="auto" w:fill="FFFFFF"/>
            <w:vAlign w:val="center"/>
          </w:tcPr>
          <w:p w14:paraId="0C2EE990">
            <w:pPr>
              <w:adjustRightInd w:val="0"/>
              <w:jc w:val="center"/>
              <w:rPr>
                <w:rFonts w:ascii="Times New Roman" w:hAnsi="Times New Roman" w:cs="Times New Roman"/>
                <w:sz w:val="18"/>
                <w:szCs w:val="18"/>
              </w:rPr>
            </w:pPr>
          </w:p>
        </w:tc>
        <w:tc>
          <w:tcPr>
            <w:tcW w:w="1713" w:type="dxa"/>
            <w:shd w:val="clear" w:color="auto" w:fill="FFFFFF"/>
            <w:vAlign w:val="center"/>
          </w:tcPr>
          <w:p w14:paraId="4470B0AB">
            <w:pPr>
              <w:adjustRightInd w:val="0"/>
              <w:jc w:val="center"/>
              <w:rPr>
                <w:rFonts w:ascii="Times New Roman" w:hAnsi="Times New Roman" w:cs="Times New Roman"/>
                <w:sz w:val="18"/>
                <w:szCs w:val="18"/>
              </w:rPr>
            </w:pPr>
          </w:p>
        </w:tc>
        <w:tc>
          <w:tcPr>
            <w:tcW w:w="1713" w:type="dxa"/>
            <w:shd w:val="clear" w:color="auto" w:fill="FFFFFF"/>
            <w:vAlign w:val="center"/>
          </w:tcPr>
          <w:p w14:paraId="1399440C">
            <w:pPr>
              <w:adjustRightInd w:val="0"/>
              <w:jc w:val="center"/>
              <w:rPr>
                <w:rFonts w:ascii="Times New Roman" w:hAnsi="Times New Roman" w:cs="Times New Roman"/>
                <w:sz w:val="18"/>
                <w:szCs w:val="18"/>
              </w:rPr>
            </w:pPr>
          </w:p>
        </w:tc>
      </w:tr>
      <w:tr w14:paraId="2B892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68" w:hRule="exact"/>
          <w:jc w:val="center"/>
        </w:trPr>
        <w:tc>
          <w:tcPr>
            <w:tcW w:w="1097" w:type="dxa"/>
            <w:shd w:val="clear" w:color="auto" w:fill="FFFFFF"/>
            <w:vAlign w:val="center"/>
          </w:tcPr>
          <w:p w14:paraId="3500C201">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1637" w:type="dxa"/>
            <w:shd w:val="clear" w:color="auto" w:fill="FFFFFF"/>
            <w:vAlign w:val="center"/>
          </w:tcPr>
          <w:p w14:paraId="32FDE993">
            <w:pPr>
              <w:adjustRightInd w:val="0"/>
              <w:jc w:val="center"/>
              <w:rPr>
                <w:rFonts w:ascii="Times New Roman" w:hAnsi="Times New Roman" w:cs="Times New Roman"/>
                <w:sz w:val="18"/>
                <w:szCs w:val="18"/>
              </w:rPr>
            </w:pPr>
          </w:p>
        </w:tc>
        <w:tc>
          <w:tcPr>
            <w:tcW w:w="2023" w:type="dxa"/>
            <w:shd w:val="clear" w:color="auto" w:fill="FFFFFF"/>
            <w:vAlign w:val="center"/>
          </w:tcPr>
          <w:p w14:paraId="4BAC2888">
            <w:pPr>
              <w:adjustRightInd w:val="0"/>
              <w:jc w:val="center"/>
              <w:rPr>
                <w:rFonts w:ascii="Times New Roman" w:hAnsi="Times New Roman" w:cs="Times New Roman"/>
                <w:sz w:val="18"/>
                <w:szCs w:val="18"/>
              </w:rPr>
            </w:pPr>
          </w:p>
        </w:tc>
        <w:tc>
          <w:tcPr>
            <w:tcW w:w="1713" w:type="dxa"/>
            <w:shd w:val="clear" w:color="auto" w:fill="FFFFFF"/>
            <w:vAlign w:val="center"/>
          </w:tcPr>
          <w:p w14:paraId="1ACF5321">
            <w:pPr>
              <w:adjustRightInd w:val="0"/>
              <w:jc w:val="center"/>
              <w:rPr>
                <w:rFonts w:ascii="Times New Roman" w:hAnsi="Times New Roman" w:cs="Times New Roman"/>
                <w:sz w:val="18"/>
                <w:szCs w:val="18"/>
              </w:rPr>
            </w:pPr>
          </w:p>
        </w:tc>
        <w:tc>
          <w:tcPr>
            <w:tcW w:w="1713" w:type="dxa"/>
            <w:shd w:val="clear" w:color="auto" w:fill="FFFFFF"/>
            <w:vAlign w:val="center"/>
          </w:tcPr>
          <w:p w14:paraId="08F7B9B2">
            <w:pPr>
              <w:adjustRightInd w:val="0"/>
              <w:jc w:val="center"/>
              <w:rPr>
                <w:rFonts w:ascii="Times New Roman" w:hAnsi="Times New Roman" w:cs="Times New Roman"/>
                <w:sz w:val="18"/>
                <w:szCs w:val="18"/>
              </w:rPr>
            </w:pPr>
          </w:p>
        </w:tc>
        <w:tc>
          <w:tcPr>
            <w:tcW w:w="1713" w:type="dxa"/>
            <w:shd w:val="clear" w:color="auto" w:fill="FFFFFF"/>
            <w:vAlign w:val="center"/>
          </w:tcPr>
          <w:p w14:paraId="1D9F4A88">
            <w:pPr>
              <w:adjustRightInd w:val="0"/>
              <w:jc w:val="center"/>
              <w:rPr>
                <w:rFonts w:ascii="Times New Roman" w:hAnsi="Times New Roman" w:cs="Times New Roman"/>
                <w:sz w:val="18"/>
                <w:szCs w:val="18"/>
              </w:rPr>
            </w:pPr>
          </w:p>
        </w:tc>
      </w:tr>
    </w:tbl>
    <w:p w14:paraId="1393F48D">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产品统计表</w:t>
      </w:r>
    </w:p>
    <w:tbl>
      <w:tblPr>
        <w:tblStyle w:val="24"/>
        <w:tblW w:w="52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793"/>
        <w:gridCol w:w="1598"/>
        <w:gridCol w:w="1360"/>
        <w:gridCol w:w="1725"/>
        <w:gridCol w:w="1256"/>
        <w:gridCol w:w="1683"/>
        <w:gridCol w:w="1499"/>
      </w:tblGrid>
      <w:tr w14:paraId="20F63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10" w:hRule="exact"/>
          <w:jc w:val="center"/>
        </w:trPr>
        <w:tc>
          <w:tcPr>
            <w:tcW w:w="400" w:type="pct"/>
            <w:shd w:val="clear" w:color="auto" w:fill="FFFFFF"/>
            <w:vAlign w:val="center"/>
          </w:tcPr>
          <w:p w14:paraId="1BDCFE73">
            <w:pPr>
              <w:adjustRightInd w:val="0"/>
              <w:jc w:val="center"/>
              <w:rPr>
                <w:rFonts w:ascii="Times New Roman" w:hAnsi="Times New Roman" w:cs="Times New Roman"/>
                <w:sz w:val="18"/>
                <w:szCs w:val="18"/>
              </w:rPr>
            </w:pPr>
            <w:r>
              <w:rPr>
                <w:rFonts w:ascii="Times New Roman" w:hAnsi="Times New Roman" w:cs="Times New Roman"/>
                <w:sz w:val="18"/>
                <w:szCs w:val="18"/>
              </w:rPr>
              <w:t>序号</w:t>
            </w:r>
          </w:p>
        </w:tc>
        <w:tc>
          <w:tcPr>
            <w:tcW w:w="805" w:type="pct"/>
            <w:shd w:val="clear" w:color="auto" w:fill="FFFFFF"/>
            <w:vAlign w:val="center"/>
          </w:tcPr>
          <w:p w14:paraId="372C6FB5">
            <w:pPr>
              <w:adjustRightInd w:val="0"/>
              <w:jc w:val="center"/>
              <w:rPr>
                <w:rFonts w:ascii="Times New Roman" w:hAnsi="Times New Roman" w:cs="Times New Roman"/>
                <w:sz w:val="18"/>
                <w:szCs w:val="18"/>
              </w:rPr>
            </w:pPr>
            <w:r>
              <w:rPr>
                <w:rFonts w:ascii="Times New Roman" w:hAnsi="Times New Roman" w:cs="Times New Roman"/>
                <w:sz w:val="18"/>
                <w:szCs w:val="18"/>
              </w:rPr>
              <w:t>产品名称</w:t>
            </w:r>
          </w:p>
        </w:tc>
        <w:tc>
          <w:tcPr>
            <w:tcW w:w="685" w:type="pct"/>
            <w:shd w:val="clear" w:color="auto" w:fill="FFFFFF"/>
            <w:vAlign w:val="center"/>
          </w:tcPr>
          <w:p w14:paraId="3D953A7A">
            <w:pPr>
              <w:adjustRightInd w:val="0"/>
              <w:jc w:val="center"/>
              <w:rPr>
                <w:rFonts w:ascii="Times New Roman" w:hAnsi="Times New Roman" w:cs="Times New Roman"/>
                <w:sz w:val="18"/>
                <w:szCs w:val="18"/>
              </w:rPr>
            </w:pPr>
            <w:r>
              <w:rPr>
                <w:rFonts w:ascii="Times New Roman" w:hAnsi="Times New Roman" w:cs="Times New Roman"/>
                <w:sz w:val="18"/>
                <w:szCs w:val="18"/>
              </w:rPr>
              <w:t>闪点</w:t>
            </w:r>
          </w:p>
        </w:tc>
        <w:tc>
          <w:tcPr>
            <w:tcW w:w="869" w:type="pct"/>
            <w:shd w:val="clear" w:color="auto" w:fill="FFFFFF"/>
            <w:vAlign w:val="center"/>
          </w:tcPr>
          <w:p w14:paraId="20017958">
            <w:pPr>
              <w:adjustRightInd w:val="0"/>
              <w:jc w:val="center"/>
              <w:rPr>
                <w:rFonts w:ascii="Times New Roman" w:hAnsi="Times New Roman" w:cs="Times New Roman"/>
                <w:sz w:val="18"/>
                <w:szCs w:val="18"/>
              </w:rPr>
            </w:pPr>
            <w:r>
              <w:rPr>
                <w:rFonts w:ascii="Times New Roman" w:hAnsi="Times New Roman" w:cs="Times New Roman"/>
                <w:sz w:val="18"/>
                <w:szCs w:val="18"/>
              </w:rPr>
              <w:t>燃点</w:t>
            </w:r>
          </w:p>
        </w:tc>
        <w:tc>
          <w:tcPr>
            <w:tcW w:w="633" w:type="pct"/>
            <w:shd w:val="clear" w:color="auto" w:fill="FFFFFF"/>
            <w:vAlign w:val="center"/>
          </w:tcPr>
          <w:p w14:paraId="7F622B57">
            <w:pPr>
              <w:adjustRightInd w:val="0"/>
              <w:jc w:val="center"/>
              <w:rPr>
                <w:rFonts w:ascii="Times New Roman" w:hAnsi="Times New Roman" w:cs="Times New Roman"/>
                <w:sz w:val="18"/>
                <w:szCs w:val="18"/>
              </w:rPr>
            </w:pPr>
            <w:r>
              <w:rPr>
                <w:rFonts w:ascii="Times New Roman" w:hAnsi="Times New Roman" w:cs="Times New Roman"/>
                <w:sz w:val="18"/>
                <w:szCs w:val="18"/>
              </w:rPr>
              <w:t>饱和蒸气压</w:t>
            </w:r>
          </w:p>
        </w:tc>
        <w:tc>
          <w:tcPr>
            <w:tcW w:w="848" w:type="pct"/>
            <w:shd w:val="clear" w:color="auto" w:fill="FFFFFF"/>
            <w:vAlign w:val="center"/>
          </w:tcPr>
          <w:p w14:paraId="785F3314">
            <w:pPr>
              <w:adjustRightInd w:val="0"/>
              <w:jc w:val="center"/>
              <w:rPr>
                <w:rFonts w:ascii="Times New Roman" w:hAnsi="Times New Roman" w:cs="Times New Roman"/>
                <w:sz w:val="18"/>
                <w:szCs w:val="18"/>
              </w:rPr>
            </w:pPr>
            <w:r>
              <w:rPr>
                <w:rFonts w:ascii="Times New Roman" w:hAnsi="Times New Roman" w:cs="Times New Roman"/>
                <w:sz w:val="18"/>
                <w:szCs w:val="18"/>
              </w:rPr>
              <w:t>爆炸极限</w:t>
            </w:r>
          </w:p>
        </w:tc>
        <w:tc>
          <w:tcPr>
            <w:tcW w:w="755" w:type="pct"/>
            <w:shd w:val="clear" w:color="auto" w:fill="FFFFFF"/>
            <w:vAlign w:val="center"/>
          </w:tcPr>
          <w:p w14:paraId="6D7AFB37">
            <w:pPr>
              <w:adjustRightInd w:val="0"/>
              <w:jc w:val="center"/>
              <w:rPr>
                <w:rFonts w:ascii="Times New Roman" w:hAnsi="Times New Roman" w:cs="Times New Roman"/>
                <w:sz w:val="18"/>
                <w:szCs w:val="18"/>
              </w:rPr>
            </w:pPr>
            <w:r>
              <w:rPr>
                <w:rFonts w:ascii="Times New Roman" w:hAnsi="Times New Roman" w:cs="Times New Roman"/>
                <w:sz w:val="18"/>
                <w:szCs w:val="18"/>
              </w:rPr>
              <w:t>火灾危险性分类</w:t>
            </w:r>
          </w:p>
        </w:tc>
      </w:tr>
      <w:tr w14:paraId="394D4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10" w:hRule="exact"/>
          <w:jc w:val="center"/>
        </w:trPr>
        <w:tc>
          <w:tcPr>
            <w:tcW w:w="400" w:type="pct"/>
            <w:shd w:val="clear" w:color="auto" w:fill="FFFFFF"/>
            <w:vAlign w:val="center"/>
          </w:tcPr>
          <w:p w14:paraId="772FA1BA">
            <w:pPr>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805" w:type="pct"/>
            <w:shd w:val="clear" w:color="auto" w:fill="FFFFFF"/>
            <w:vAlign w:val="center"/>
          </w:tcPr>
          <w:p w14:paraId="1B575DBE">
            <w:pPr>
              <w:adjustRightInd w:val="0"/>
              <w:jc w:val="center"/>
              <w:rPr>
                <w:rFonts w:ascii="Times New Roman" w:hAnsi="Times New Roman" w:cs="Times New Roman"/>
                <w:sz w:val="18"/>
                <w:szCs w:val="18"/>
              </w:rPr>
            </w:pPr>
          </w:p>
        </w:tc>
        <w:tc>
          <w:tcPr>
            <w:tcW w:w="685" w:type="pct"/>
            <w:shd w:val="clear" w:color="auto" w:fill="FFFFFF"/>
            <w:vAlign w:val="center"/>
          </w:tcPr>
          <w:p w14:paraId="1C81363C">
            <w:pPr>
              <w:adjustRightInd w:val="0"/>
              <w:jc w:val="center"/>
              <w:rPr>
                <w:rFonts w:ascii="Times New Roman" w:hAnsi="Times New Roman" w:cs="Times New Roman"/>
                <w:sz w:val="18"/>
                <w:szCs w:val="18"/>
              </w:rPr>
            </w:pPr>
          </w:p>
        </w:tc>
        <w:tc>
          <w:tcPr>
            <w:tcW w:w="869" w:type="pct"/>
            <w:shd w:val="clear" w:color="auto" w:fill="FFFFFF"/>
            <w:vAlign w:val="center"/>
          </w:tcPr>
          <w:p w14:paraId="40FD20BB">
            <w:pPr>
              <w:adjustRightInd w:val="0"/>
              <w:jc w:val="center"/>
              <w:rPr>
                <w:rFonts w:ascii="Times New Roman" w:hAnsi="Times New Roman" w:cs="Times New Roman"/>
                <w:sz w:val="18"/>
                <w:szCs w:val="18"/>
              </w:rPr>
            </w:pPr>
          </w:p>
        </w:tc>
        <w:tc>
          <w:tcPr>
            <w:tcW w:w="633" w:type="pct"/>
            <w:shd w:val="clear" w:color="auto" w:fill="FFFFFF"/>
            <w:vAlign w:val="center"/>
          </w:tcPr>
          <w:p w14:paraId="6FD32186">
            <w:pPr>
              <w:adjustRightInd w:val="0"/>
              <w:jc w:val="center"/>
              <w:rPr>
                <w:rFonts w:ascii="Times New Roman" w:hAnsi="Times New Roman" w:cs="Times New Roman"/>
                <w:sz w:val="18"/>
                <w:szCs w:val="18"/>
              </w:rPr>
            </w:pPr>
          </w:p>
        </w:tc>
        <w:tc>
          <w:tcPr>
            <w:tcW w:w="848" w:type="pct"/>
            <w:shd w:val="clear" w:color="auto" w:fill="FFFFFF"/>
            <w:vAlign w:val="center"/>
          </w:tcPr>
          <w:p w14:paraId="5B6000E1">
            <w:pPr>
              <w:adjustRightInd w:val="0"/>
              <w:jc w:val="center"/>
              <w:rPr>
                <w:rFonts w:ascii="Times New Roman" w:hAnsi="Times New Roman" w:cs="Times New Roman"/>
                <w:sz w:val="18"/>
                <w:szCs w:val="18"/>
              </w:rPr>
            </w:pPr>
          </w:p>
        </w:tc>
        <w:tc>
          <w:tcPr>
            <w:tcW w:w="755" w:type="pct"/>
            <w:shd w:val="clear" w:color="auto" w:fill="FFFFFF"/>
            <w:vAlign w:val="center"/>
          </w:tcPr>
          <w:p w14:paraId="5932137B">
            <w:pPr>
              <w:adjustRightInd w:val="0"/>
              <w:jc w:val="center"/>
              <w:rPr>
                <w:rFonts w:ascii="Times New Roman" w:hAnsi="Times New Roman" w:cs="Times New Roman"/>
                <w:sz w:val="18"/>
                <w:szCs w:val="18"/>
              </w:rPr>
            </w:pPr>
          </w:p>
        </w:tc>
      </w:tr>
      <w:tr w14:paraId="674F1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346" w:hRule="exact"/>
          <w:jc w:val="center"/>
        </w:trPr>
        <w:tc>
          <w:tcPr>
            <w:tcW w:w="400" w:type="pct"/>
            <w:shd w:val="clear" w:color="auto" w:fill="FFFFFF"/>
            <w:vAlign w:val="center"/>
          </w:tcPr>
          <w:p w14:paraId="2505D42E">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805" w:type="pct"/>
            <w:shd w:val="clear" w:color="auto" w:fill="FFFFFF"/>
            <w:vAlign w:val="center"/>
          </w:tcPr>
          <w:p w14:paraId="4F1F74B0">
            <w:pPr>
              <w:adjustRightInd w:val="0"/>
              <w:jc w:val="center"/>
              <w:rPr>
                <w:rFonts w:ascii="Times New Roman" w:hAnsi="Times New Roman" w:cs="Times New Roman"/>
                <w:sz w:val="18"/>
                <w:szCs w:val="18"/>
              </w:rPr>
            </w:pPr>
          </w:p>
        </w:tc>
        <w:tc>
          <w:tcPr>
            <w:tcW w:w="685" w:type="pct"/>
            <w:shd w:val="clear" w:color="auto" w:fill="FFFFFF"/>
            <w:vAlign w:val="center"/>
          </w:tcPr>
          <w:p w14:paraId="5C8ED291">
            <w:pPr>
              <w:adjustRightInd w:val="0"/>
              <w:jc w:val="center"/>
              <w:rPr>
                <w:rFonts w:ascii="Times New Roman" w:hAnsi="Times New Roman" w:cs="Times New Roman"/>
                <w:sz w:val="18"/>
                <w:szCs w:val="18"/>
              </w:rPr>
            </w:pPr>
          </w:p>
        </w:tc>
        <w:tc>
          <w:tcPr>
            <w:tcW w:w="869" w:type="pct"/>
            <w:shd w:val="clear" w:color="auto" w:fill="FFFFFF"/>
            <w:vAlign w:val="center"/>
          </w:tcPr>
          <w:p w14:paraId="666CDF79">
            <w:pPr>
              <w:adjustRightInd w:val="0"/>
              <w:jc w:val="center"/>
              <w:rPr>
                <w:rFonts w:ascii="Times New Roman" w:hAnsi="Times New Roman" w:cs="Times New Roman"/>
                <w:sz w:val="18"/>
                <w:szCs w:val="18"/>
              </w:rPr>
            </w:pPr>
          </w:p>
        </w:tc>
        <w:tc>
          <w:tcPr>
            <w:tcW w:w="633" w:type="pct"/>
            <w:shd w:val="clear" w:color="auto" w:fill="FFFFFF"/>
            <w:vAlign w:val="center"/>
          </w:tcPr>
          <w:p w14:paraId="716FCD6F">
            <w:pPr>
              <w:adjustRightInd w:val="0"/>
              <w:jc w:val="center"/>
              <w:rPr>
                <w:rFonts w:ascii="Times New Roman" w:hAnsi="Times New Roman" w:cs="Times New Roman"/>
                <w:sz w:val="18"/>
                <w:szCs w:val="18"/>
              </w:rPr>
            </w:pPr>
          </w:p>
        </w:tc>
        <w:tc>
          <w:tcPr>
            <w:tcW w:w="848" w:type="pct"/>
            <w:shd w:val="clear" w:color="auto" w:fill="FFFFFF"/>
            <w:vAlign w:val="center"/>
          </w:tcPr>
          <w:p w14:paraId="2DA35A79">
            <w:pPr>
              <w:adjustRightInd w:val="0"/>
              <w:jc w:val="center"/>
              <w:rPr>
                <w:rFonts w:ascii="Times New Roman" w:hAnsi="Times New Roman" w:cs="Times New Roman"/>
                <w:sz w:val="18"/>
                <w:szCs w:val="18"/>
              </w:rPr>
            </w:pPr>
          </w:p>
        </w:tc>
        <w:tc>
          <w:tcPr>
            <w:tcW w:w="755" w:type="pct"/>
            <w:shd w:val="clear" w:color="auto" w:fill="FFFFFF"/>
            <w:vAlign w:val="center"/>
          </w:tcPr>
          <w:p w14:paraId="59425404">
            <w:pPr>
              <w:adjustRightInd w:val="0"/>
              <w:jc w:val="center"/>
              <w:rPr>
                <w:rFonts w:ascii="Times New Roman" w:hAnsi="Times New Roman" w:cs="Times New Roman"/>
                <w:sz w:val="18"/>
                <w:szCs w:val="18"/>
              </w:rPr>
            </w:pPr>
          </w:p>
        </w:tc>
      </w:tr>
    </w:tbl>
    <w:p w14:paraId="7624F92B">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建筑物一览表</w:t>
      </w:r>
    </w:p>
    <w:tbl>
      <w:tblPr>
        <w:tblStyle w:val="24"/>
        <w:tblW w:w="5282" w:type="pct"/>
        <w:jc w:val="center"/>
        <w:tblLayout w:type="autofit"/>
        <w:tblCellMar>
          <w:top w:w="0" w:type="dxa"/>
          <w:left w:w="0" w:type="dxa"/>
          <w:bottom w:w="0" w:type="dxa"/>
          <w:right w:w="0" w:type="dxa"/>
        </w:tblCellMar>
      </w:tblPr>
      <w:tblGrid>
        <w:gridCol w:w="812"/>
        <w:gridCol w:w="2005"/>
        <w:gridCol w:w="1770"/>
        <w:gridCol w:w="1770"/>
        <w:gridCol w:w="1770"/>
        <w:gridCol w:w="1776"/>
      </w:tblGrid>
      <w:tr w14:paraId="7BB442A8">
        <w:tblPrEx>
          <w:tblCellMar>
            <w:top w:w="0" w:type="dxa"/>
            <w:left w:w="0" w:type="dxa"/>
            <w:bottom w:w="0" w:type="dxa"/>
            <w:right w:w="0" w:type="dxa"/>
          </w:tblCellMar>
        </w:tblPrEx>
        <w:trPr>
          <w:trHeight w:val="540" w:hRule="atLeast"/>
          <w:jc w:val="center"/>
        </w:trPr>
        <w:tc>
          <w:tcPr>
            <w:tcW w:w="41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10085F">
            <w:pPr>
              <w:pStyle w:val="81"/>
              <w:adjustRightInd w:val="0"/>
              <w:snapToGrid w:val="0"/>
              <w:rPr>
                <w:rFonts w:ascii="Times New Roman" w:eastAsia="宋体"/>
                <w:sz w:val="18"/>
                <w:szCs w:val="18"/>
                <w:lang w:bidi="ar"/>
              </w:rPr>
            </w:pPr>
            <w:r>
              <w:rPr>
                <w:rFonts w:ascii="Times New Roman" w:eastAsia="宋体"/>
                <w:spacing w:val="0"/>
                <w:sz w:val="18"/>
                <w:szCs w:val="18"/>
              </w:rPr>
              <w:t>序号</w:t>
            </w:r>
          </w:p>
        </w:tc>
        <w:tc>
          <w:tcPr>
            <w:tcW w:w="101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C55F67">
            <w:pPr>
              <w:pStyle w:val="81"/>
              <w:adjustRightInd w:val="0"/>
              <w:snapToGrid w:val="0"/>
              <w:rPr>
                <w:rFonts w:ascii="Times New Roman" w:eastAsia="宋体"/>
                <w:sz w:val="18"/>
                <w:szCs w:val="18"/>
                <w:lang w:bidi="ar"/>
              </w:rPr>
            </w:pPr>
            <w:r>
              <w:rPr>
                <w:rFonts w:ascii="Times New Roman" w:eastAsia="宋体"/>
                <w:spacing w:val="0"/>
                <w:sz w:val="18"/>
                <w:szCs w:val="18"/>
              </w:rPr>
              <w:t>建筑名称</w:t>
            </w:r>
          </w:p>
        </w:tc>
        <w:tc>
          <w:tcPr>
            <w:tcW w:w="8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9B15AA">
            <w:pPr>
              <w:pStyle w:val="81"/>
              <w:adjustRightInd w:val="0"/>
              <w:snapToGrid w:val="0"/>
              <w:rPr>
                <w:rFonts w:ascii="Times New Roman" w:eastAsia="宋体"/>
                <w:spacing w:val="0"/>
                <w:sz w:val="18"/>
                <w:szCs w:val="18"/>
              </w:rPr>
            </w:pPr>
            <w:r>
              <w:rPr>
                <w:rFonts w:ascii="Times New Roman" w:eastAsia="宋体"/>
                <w:spacing w:val="0"/>
                <w:sz w:val="18"/>
                <w:szCs w:val="18"/>
              </w:rPr>
              <w:t>建筑面积</w:t>
            </w:r>
          </w:p>
          <w:p w14:paraId="463D7C43">
            <w:pPr>
              <w:pStyle w:val="81"/>
              <w:adjustRightInd w:val="0"/>
              <w:snapToGrid w:val="0"/>
              <w:rPr>
                <w:rFonts w:ascii="Times New Roman" w:eastAsia="宋体"/>
                <w:sz w:val="18"/>
                <w:szCs w:val="18"/>
                <w:lang w:bidi="ar"/>
              </w:rPr>
            </w:pPr>
            <w:r>
              <w:rPr>
                <w:rFonts w:ascii="Times New Roman" w:eastAsia="宋体"/>
                <w:spacing w:val="0"/>
                <w:sz w:val="18"/>
                <w:szCs w:val="18"/>
              </w:rPr>
              <w:t>m</w:t>
            </w:r>
            <w:r>
              <w:rPr>
                <w:rFonts w:ascii="Times New Roman" w:eastAsia="宋体"/>
                <w:spacing w:val="0"/>
                <w:sz w:val="18"/>
                <w:szCs w:val="18"/>
                <w:vertAlign w:val="superscript"/>
              </w:rPr>
              <w:t>2</w:t>
            </w:r>
          </w:p>
        </w:tc>
        <w:tc>
          <w:tcPr>
            <w:tcW w:w="8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393149">
            <w:pPr>
              <w:pStyle w:val="81"/>
              <w:adjustRightInd w:val="0"/>
              <w:snapToGrid w:val="0"/>
              <w:rPr>
                <w:rFonts w:ascii="Times New Roman" w:eastAsia="宋体"/>
                <w:sz w:val="18"/>
                <w:szCs w:val="18"/>
                <w:lang w:bidi="ar"/>
              </w:rPr>
            </w:pPr>
            <w:r>
              <w:rPr>
                <w:rFonts w:ascii="Times New Roman" w:eastAsia="宋体"/>
                <w:spacing w:val="0"/>
                <w:sz w:val="18"/>
                <w:szCs w:val="18"/>
              </w:rPr>
              <w:t>结构形式</w:t>
            </w:r>
          </w:p>
        </w:tc>
        <w:tc>
          <w:tcPr>
            <w:tcW w:w="8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C6DA7">
            <w:pPr>
              <w:pStyle w:val="81"/>
              <w:adjustRightInd w:val="0"/>
              <w:snapToGrid w:val="0"/>
              <w:rPr>
                <w:rFonts w:ascii="Times New Roman" w:eastAsia="宋体"/>
                <w:sz w:val="18"/>
                <w:szCs w:val="18"/>
                <w:lang w:bidi="ar"/>
              </w:rPr>
            </w:pPr>
            <w:r>
              <w:rPr>
                <w:rFonts w:ascii="Times New Roman" w:eastAsia="宋体"/>
                <w:spacing w:val="0"/>
                <w:sz w:val="18"/>
                <w:szCs w:val="18"/>
              </w:rPr>
              <w:t>层数</w:t>
            </w:r>
          </w:p>
        </w:tc>
        <w:tc>
          <w:tcPr>
            <w:tcW w:w="896" w:type="pct"/>
            <w:tcBorders>
              <w:top w:val="single" w:color="000000" w:sz="4" w:space="0"/>
              <w:left w:val="single" w:color="000000" w:sz="4" w:space="0"/>
              <w:bottom w:val="single" w:color="000000" w:sz="4" w:space="0"/>
              <w:right w:val="single" w:color="000000" w:sz="4" w:space="0"/>
            </w:tcBorders>
            <w:vAlign w:val="center"/>
          </w:tcPr>
          <w:p w14:paraId="7BF478C2">
            <w:pPr>
              <w:pStyle w:val="81"/>
              <w:adjustRightInd w:val="0"/>
              <w:snapToGrid w:val="0"/>
              <w:rPr>
                <w:rFonts w:ascii="Times New Roman" w:eastAsia="宋体"/>
                <w:spacing w:val="0"/>
                <w:sz w:val="18"/>
                <w:szCs w:val="18"/>
              </w:rPr>
            </w:pPr>
            <w:r>
              <w:rPr>
                <w:rFonts w:ascii="Times New Roman" w:eastAsia="宋体"/>
                <w:spacing w:val="0"/>
                <w:sz w:val="18"/>
                <w:szCs w:val="18"/>
              </w:rPr>
              <w:t>通风形式</w:t>
            </w:r>
          </w:p>
        </w:tc>
      </w:tr>
      <w:tr w14:paraId="0838D47B">
        <w:tblPrEx>
          <w:tblCellMar>
            <w:top w:w="0" w:type="dxa"/>
            <w:left w:w="0" w:type="dxa"/>
            <w:bottom w:w="0" w:type="dxa"/>
            <w:right w:w="0" w:type="dxa"/>
          </w:tblCellMar>
        </w:tblPrEx>
        <w:trPr>
          <w:trHeight w:val="440" w:hRule="atLeast"/>
          <w:jc w:val="center"/>
        </w:trPr>
        <w:tc>
          <w:tcPr>
            <w:tcW w:w="41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894868">
            <w:pPr>
              <w:jc w:val="center"/>
              <w:textAlignment w:val="center"/>
              <w:rPr>
                <w:rFonts w:ascii="Times New Roman" w:hAnsi="Times New Roman" w:cs="Times New Roman"/>
                <w:sz w:val="18"/>
                <w:szCs w:val="18"/>
                <w:lang w:bidi="ar"/>
              </w:rPr>
            </w:pPr>
            <w:r>
              <w:rPr>
                <w:rFonts w:ascii="Times New Roman" w:hAnsi="Times New Roman" w:cs="Times New Roman"/>
                <w:sz w:val="18"/>
                <w:szCs w:val="18"/>
                <w:lang w:bidi="ar"/>
              </w:rPr>
              <w:t>1</w:t>
            </w:r>
          </w:p>
        </w:tc>
        <w:tc>
          <w:tcPr>
            <w:tcW w:w="101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DB73E0">
            <w:pPr>
              <w:jc w:val="center"/>
              <w:textAlignment w:val="center"/>
              <w:rPr>
                <w:rFonts w:ascii="Times New Roman" w:hAnsi="Times New Roman" w:cs="Times New Roman"/>
                <w:sz w:val="18"/>
                <w:szCs w:val="18"/>
                <w:lang w:bidi="ar"/>
              </w:rPr>
            </w:pPr>
          </w:p>
        </w:tc>
        <w:tc>
          <w:tcPr>
            <w:tcW w:w="8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0BF85B">
            <w:pPr>
              <w:jc w:val="center"/>
              <w:textAlignment w:val="center"/>
              <w:rPr>
                <w:rFonts w:ascii="Times New Roman" w:hAnsi="Times New Roman" w:cs="Times New Roman"/>
                <w:sz w:val="18"/>
                <w:szCs w:val="18"/>
                <w:lang w:bidi="ar"/>
              </w:rPr>
            </w:pPr>
          </w:p>
        </w:tc>
        <w:tc>
          <w:tcPr>
            <w:tcW w:w="8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A4B190">
            <w:pPr>
              <w:jc w:val="center"/>
              <w:textAlignment w:val="center"/>
              <w:rPr>
                <w:rFonts w:ascii="Times New Roman" w:hAnsi="Times New Roman" w:cs="Times New Roman"/>
                <w:sz w:val="18"/>
                <w:szCs w:val="18"/>
                <w:lang w:bidi="ar"/>
              </w:rPr>
            </w:pPr>
          </w:p>
        </w:tc>
        <w:tc>
          <w:tcPr>
            <w:tcW w:w="8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F9472D">
            <w:pPr>
              <w:jc w:val="center"/>
              <w:textAlignment w:val="center"/>
              <w:rPr>
                <w:rFonts w:ascii="Times New Roman" w:hAnsi="Times New Roman" w:cs="Times New Roman"/>
                <w:sz w:val="18"/>
                <w:szCs w:val="18"/>
                <w:lang w:bidi="ar"/>
              </w:rPr>
            </w:pPr>
          </w:p>
        </w:tc>
        <w:tc>
          <w:tcPr>
            <w:tcW w:w="896" w:type="pct"/>
            <w:tcBorders>
              <w:top w:val="single" w:color="000000" w:sz="4" w:space="0"/>
              <w:left w:val="single" w:color="000000" w:sz="4" w:space="0"/>
              <w:bottom w:val="single" w:color="000000" w:sz="4" w:space="0"/>
              <w:right w:val="single" w:color="000000" w:sz="4" w:space="0"/>
            </w:tcBorders>
            <w:vAlign w:val="center"/>
          </w:tcPr>
          <w:p w14:paraId="56139DEF">
            <w:pPr>
              <w:jc w:val="center"/>
              <w:rPr>
                <w:rFonts w:ascii="Times New Roman" w:hAnsi="Times New Roman" w:cs="Times New Roman"/>
                <w:sz w:val="18"/>
                <w:szCs w:val="18"/>
              </w:rPr>
            </w:pPr>
          </w:p>
        </w:tc>
      </w:tr>
      <w:tr w14:paraId="67F6E29F">
        <w:tblPrEx>
          <w:tblCellMar>
            <w:top w:w="0" w:type="dxa"/>
            <w:left w:w="0" w:type="dxa"/>
            <w:bottom w:w="0" w:type="dxa"/>
            <w:right w:w="0" w:type="dxa"/>
          </w:tblCellMar>
        </w:tblPrEx>
        <w:trPr>
          <w:trHeight w:val="480" w:hRule="atLeast"/>
          <w:jc w:val="center"/>
        </w:trPr>
        <w:tc>
          <w:tcPr>
            <w:tcW w:w="41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E532A2">
            <w:pPr>
              <w:jc w:val="center"/>
              <w:textAlignment w:val="center"/>
              <w:rPr>
                <w:rFonts w:ascii="Times New Roman" w:hAnsi="Times New Roman" w:cs="Times New Roman"/>
                <w:sz w:val="18"/>
                <w:szCs w:val="18"/>
                <w:lang w:bidi="ar"/>
              </w:rPr>
            </w:pPr>
            <w:r>
              <w:rPr>
                <w:rFonts w:ascii="Times New Roman" w:hAnsi="Times New Roman" w:cs="Times New Roman"/>
                <w:snapToGrid w:val="0"/>
                <w:kern w:val="0"/>
                <w:sz w:val="18"/>
                <w:szCs w:val="18"/>
              </w:rPr>
              <w:t>...</w:t>
            </w:r>
          </w:p>
        </w:tc>
        <w:tc>
          <w:tcPr>
            <w:tcW w:w="101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2B9D55">
            <w:pPr>
              <w:jc w:val="center"/>
              <w:textAlignment w:val="center"/>
              <w:rPr>
                <w:rFonts w:ascii="Times New Roman" w:hAnsi="Times New Roman" w:cs="Times New Roman"/>
                <w:sz w:val="18"/>
                <w:szCs w:val="18"/>
                <w:lang w:bidi="ar"/>
              </w:rPr>
            </w:pPr>
          </w:p>
        </w:tc>
        <w:tc>
          <w:tcPr>
            <w:tcW w:w="8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4EDC91">
            <w:pPr>
              <w:jc w:val="center"/>
              <w:textAlignment w:val="center"/>
              <w:rPr>
                <w:rFonts w:ascii="Times New Roman" w:hAnsi="Times New Roman" w:cs="Times New Roman"/>
                <w:sz w:val="18"/>
                <w:szCs w:val="18"/>
                <w:lang w:bidi="ar"/>
              </w:rPr>
            </w:pPr>
          </w:p>
        </w:tc>
        <w:tc>
          <w:tcPr>
            <w:tcW w:w="8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E815E2">
            <w:pPr>
              <w:jc w:val="center"/>
              <w:textAlignment w:val="center"/>
              <w:rPr>
                <w:rFonts w:ascii="Times New Roman" w:hAnsi="Times New Roman" w:cs="Times New Roman"/>
                <w:sz w:val="18"/>
                <w:szCs w:val="18"/>
                <w:lang w:bidi="ar"/>
              </w:rPr>
            </w:pPr>
          </w:p>
        </w:tc>
        <w:tc>
          <w:tcPr>
            <w:tcW w:w="8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A620E5">
            <w:pPr>
              <w:jc w:val="center"/>
              <w:textAlignment w:val="center"/>
              <w:rPr>
                <w:rFonts w:ascii="Times New Roman" w:hAnsi="Times New Roman" w:cs="Times New Roman"/>
                <w:sz w:val="18"/>
                <w:szCs w:val="18"/>
                <w:lang w:bidi="ar"/>
              </w:rPr>
            </w:pPr>
          </w:p>
        </w:tc>
        <w:tc>
          <w:tcPr>
            <w:tcW w:w="896" w:type="pct"/>
            <w:tcBorders>
              <w:top w:val="single" w:color="000000" w:sz="4" w:space="0"/>
              <w:left w:val="single" w:color="000000" w:sz="4" w:space="0"/>
              <w:bottom w:val="single" w:color="000000" w:sz="4" w:space="0"/>
              <w:right w:val="single" w:color="000000" w:sz="4" w:space="0"/>
            </w:tcBorders>
            <w:vAlign w:val="center"/>
          </w:tcPr>
          <w:p w14:paraId="66650C07">
            <w:pPr>
              <w:jc w:val="center"/>
              <w:rPr>
                <w:rFonts w:ascii="Times New Roman" w:hAnsi="Times New Roman" w:cs="Times New Roman"/>
                <w:sz w:val="18"/>
                <w:szCs w:val="18"/>
              </w:rPr>
            </w:pPr>
          </w:p>
        </w:tc>
      </w:tr>
    </w:tbl>
    <w:p w14:paraId="1BEEE355">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构筑物一览表</w:t>
      </w:r>
    </w:p>
    <w:tbl>
      <w:tblPr>
        <w:tblStyle w:val="24"/>
        <w:tblW w:w="5289" w:type="pct"/>
        <w:jc w:val="center"/>
        <w:tblLayout w:type="autofit"/>
        <w:tblCellMar>
          <w:top w:w="0" w:type="dxa"/>
          <w:left w:w="0" w:type="dxa"/>
          <w:bottom w:w="0" w:type="dxa"/>
          <w:right w:w="0" w:type="dxa"/>
        </w:tblCellMar>
      </w:tblPr>
      <w:tblGrid>
        <w:gridCol w:w="769"/>
        <w:gridCol w:w="4818"/>
        <w:gridCol w:w="4318"/>
      </w:tblGrid>
      <w:tr w14:paraId="51CD3ABC">
        <w:tblPrEx>
          <w:tblCellMar>
            <w:top w:w="0" w:type="dxa"/>
            <w:left w:w="0" w:type="dxa"/>
            <w:bottom w:w="0" w:type="dxa"/>
            <w:right w:w="0" w:type="dxa"/>
          </w:tblCellMar>
        </w:tblPrEx>
        <w:trPr>
          <w:trHeight w:val="352" w:hRule="atLeast"/>
          <w:tblHeader/>
          <w:jc w:val="center"/>
        </w:trPr>
        <w:tc>
          <w:tcPr>
            <w:tcW w:w="388" w:type="pct"/>
            <w:tcBorders>
              <w:top w:val="single" w:color="000000" w:sz="4" w:space="0"/>
              <w:left w:val="single" w:color="000000" w:sz="4" w:space="0"/>
              <w:bottom w:val="single" w:color="000000" w:sz="4" w:space="0"/>
              <w:right w:val="single" w:color="000000" w:sz="4" w:space="0"/>
            </w:tcBorders>
            <w:noWrap/>
            <w:vAlign w:val="center"/>
          </w:tcPr>
          <w:p w14:paraId="2A7234F6">
            <w:pPr>
              <w:snapToGrid w:val="0"/>
              <w:jc w:val="center"/>
              <w:textAlignment w:val="center"/>
              <w:rPr>
                <w:rFonts w:ascii="Times New Roman" w:hAnsi="Times New Roman" w:cs="Times New Roman"/>
                <w:snapToGrid w:val="0"/>
                <w:kern w:val="21"/>
                <w:sz w:val="18"/>
                <w:szCs w:val="18"/>
                <w:lang w:bidi="ar"/>
              </w:rPr>
            </w:pPr>
            <w:r>
              <w:rPr>
                <w:rFonts w:ascii="Times New Roman" w:hAnsi="Times New Roman" w:cs="Times New Roman"/>
                <w:snapToGrid w:val="0"/>
                <w:kern w:val="21"/>
                <w:sz w:val="18"/>
                <w:szCs w:val="18"/>
                <w:lang w:bidi="ar"/>
              </w:rPr>
              <w:t>序号</w:t>
            </w:r>
          </w:p>
        </w:tc>
        <w:tc>
          <w:tcPr>
            <w:tcW w:w="2431" w:type="pct"/>
            <w:tcBorders>
              <w:top w:val="single" w:color="000000" w:sz="4" w:space="0"/>
              <w:left w:val="single" w:color="000000" w:sz="4" w:space="0"/>
              <w:bottom w:val="single" w:color="000000" w:sz="4" w:space="0"/>
              <w:right w:val="single" w:color="000000" w:sz="4" w:space="0"/>
            </w:tcBorders>
            <w:noWrap/>
            <w:vAlign w:val="center"/>
          </w:tcPr>
          <w:p w14:paraId="578A27D2">
            <w:pPr>
              <w:snapToGrid w:val="0"/>
              <w:jc w:val="center"/>
              <w:textAlignment w:val="center"/>
              <w:rPr>
                <w:rFonts w:ascii="Times New Roman" w:hAnsi="Times New Roman" w:cs="Times New Roman"/>
                <w:snapToGrid w:val="0"/>
                <w:kern w:val="21"/>
                <w:sz w:val="18"/>
                <w:szCs w:val="18"/>
                <w:lang w:bidi="ar"/>
              </w:rPr>
            </w:pPr>
            <w:r>
              <w:rPr>
                <w:rFonts w:ascii="Times New Roman" w:hAnsi="Times New Roman" w:cs="Times New Roman"/>
                <w:snapToGrid w:val="0"/>
                <w:kern w:val="21"/>
                <w:sz w:val="18"/>
                <w:szCs w:val="18"/>
                <w:lang w:bidi="ar"/>
              </w:rPr>
              <w:t>构筑物名称</w:t>
            </w:r>
          </w:p>
        </w:tc>
        <w:tc>
          <w:tcPr>
            <w:tcW w:w="2179" w:type="pct"/>
            <w:tcBorders>
              <w:top w:val="single" w:color="000000" w:sz="4" w:space="0"/>
              <w:left w:val="single" w:color="000000" w:sz="4" w:space="0"/>
              <w:bottom w:val="single" w:color="000000" w:sz="4" w:space="0"/>
              <w:right w:val="single" w:color="000000" w:sz="4" w:space="0"/>
            </w:tcBorders>
            <w:noWrap/>
            <w:vAlign w:val="center"/>
          </w:tcPr>
          <w:p w14:paraId="1F9DDD54">
            <w:pPr>
              <w:snapToGrid w:val="0"/>
              <w:jc w:val="center"/>
              <w:textAlignment w:val="center"/>
              <w:rPr>
                <w:rFonts w:ascii="Times New Roman" w:hAnsi="Times New Roman" w:cs="Times New Roman"/>
                <w:snapToGrid w:val="0"/>
                <w:kern w:val="21"/>
                <w:sz w:val="18"/>
                <w:szCs w:val="18"/>
                <w:lang w:bidi="ar"/>
              </w:rPr>
            </w:pPr>
            <w:r>
              <w:rPr>
                <w:rFonts w:ascii="Times New Roman" w:hAnsi="Times New Roman" w:cs="Times New Roman"/>
                <w:sz w:val="18"/>
                <w:szCs w:val="18"/>
              </w:rPr>
              <w:t>主要材料及做法</w:t>
            </w:r>
          </w:p>
        </w:tc>
      </w:tr>
      <w:tr w14:paraId="6B4C658B">
        <w:tblPrEx>
          <w:tblCellMar>
            <w:top w:w="0" w:type="dxa"/>
            <w:left w:w="0" w:type="dxa"/>
            <w:bottom w:w="0" w:type="dxa"/>
            <w:right w:w="0" w:type="dxa"/>
          </w:tblCellMar>
        </w:tblPrEx>
        <w:trPr>
          <w:cantSplit/>
          <w:trHeight w:val="352" w:hRule="atLeast"/>
          <w:jc w:val="center"/>
        </w:trPr>
        <w:tc>
          <w:tcPr>
            <w:tcW w:w="388" w:type="pct"/>
            <w:tcBorders>
              <w:top w:val="single" w:color="000000" w:sz="4" w:space="0"/>
              <w:left w:val="single" w:color="000000" w:sz="4" w:space="0"/>
              <w:bottom w:val="single" w:color="000000" w:sz="4" w:space="0"/>
              <w:right w:val="single" w:color="000000" w:sz="4" w:space="0"/>
            </w:tcBorders>
            <w:noWrap/>
            <w:vAlign w:val="center"/>
          </w:tcPr>
          <w:p w14:paraId="1EC6EC1D">
            <w:pPr>
              <w:jc w:val="center"/>
              <w:textAlignment w:val="center"/>
              <w:rPr>
                <w:rFonts w:ascii="Times New Roman" w:hAnsi="Times New Roman" w:cs="Times New Roman"/>
                <w:sz w:val="18"/>
                <w:szCs w:val="18"/>
                <w:lang w:bidi="ar"/>
              </w:rPr>
            </w:pPr>
            <w:r>
              <w:rPr>
                <w:rFonts w:ascii="Times New Roman" w:hAnsi="Times New Roman" w:cs="Times New Roman"/>
                <w:sz w:val="18"/>
                <w:szCs w:val="18"/>
                <w:lang w:bidi="ar"/>
              </w:rPr>
              <w:t>1</w:t>
            </w:r>
          </w:p>
        </w:tc>
        <w:tc>
          <w:tcPr>
            <w:tcW w:w="2431" w:type="pct"/>
            <w:tcBorders>
              <w:top w:val="single" w:color="000000" w:sz="4" w:space="0"/>
              <w:left w:val="single" w:color="000000" w:sz="4" w:space="0"/>
              <w:bottom w:val="single" w:color="000000" w:sz="4" w:space="0"/>
              <w:right w:val="single" w:color="000000" w:sz="4" w:space="0"/>
            </w:tcBorders>
            <w:vAlign w:val="center"/>
          </w:tcPr>
          <w:p w14:paraId="17658CE9">
            <w:pPr>
              <w:snapToGrid w:val="0"/>
              <w:jc w:val="center"/>
              <w:textAlignment w:val="center"/>
              <w:rPr>
                <w:rFonts w:ascii="Times New Roman" w:hAnsi="Times New Roman" w:cs="Times New Roman"/>
                <w:snapToGrid w:val="0"/>
                <w:kern w:val="21"/>
                <w:sz w:val="18"/>
                <w:szCs w:val="18"/>
                <w:lang w:bidi="ar"/>
              </w:rPr>
            </w:pPr>
          </w:p>
        </w:tc>
        <w:tc>
          <w:tcPr>
            <w:tcW w:w="2179" w:type="pct"/>
            <w:tcBorders>
              <w:top w:val="single" w:color="000000" w:sz="4" w:space="0"/>
              <w:left w:val="single" w:color="000000" w:sz="4" w:space="0"/>
              <w:bottom w:val="single" w:color="000000" w:sz="4" w:space="0"/>
              <w:right w:val="single" w:color="000000" w:sz="4" w:space="0"/>
            </w:tcBorders>
            <w:noWrap/>
            <w:vAlign w:val="center"/>
          </w:tcPr>
          <w:p w14:paraId="10078F0F">
            <w:pPr>
              <w:snapToGrid w:val="0"/>
              <w:jc w:val="center"/>
              <w:textAlignment w:val="center"/>
              <w:rPr>
                <w:rFonts w:ascii="Times New Roman" w:hAnsi="Times New Roman" w:cs="Times New Roman"/>
                <w:snapToGrid w:val="0"/>
                <w:kern w:val="21"/>
                <w:sz w:val="18"/>
                <w:szCs w:val="18"/>
                <w:lang w:bidi="ar"/>
              </w:rPr>
            </w:pPr>
          </w:p>
        </w:tc>
      </w:tr>
      <w:tr w14:paraId="1560014B">
        <w:tblPrEx>
          <w:tblCellMar>
            <w:top w:w="0" w:type="dxa"/>
            <w:left w:w="0" w:type="dxa"/>
            <w:bottom w:w="0" w:type="dxa"/>
            <w:right w:w="0" w:type="dxa"/>
          </w:tblCellMar>
        </w:tblPrEx>
        <w:trPr>
          <w:cantSplit/>
          <w:trHeight w:val="388" w:hRule="atLeast"/>
          <w:jc w:val="center"/>
        </w:trPr>
        <w:tc>
          <w:tcPr>
            <w:tcW w:w="388" w:type="pct"/>
            <w:tcBorders>
              <w:top w:val="single" w:color="000000" w:sz="4" w:space="0"/>
              <w:left w:val="single" w:color="000000" w:sz="4" w:space="0"/>
              <w:bottom w:val="single" w:color="000000" w:sz="4" w:space="0"/>
              <w:right w:val="single" w:color="000000" w:sz="4" w:space="0"/>
            </w:tcBorders>
            <w:noWrap/>
            <w:vAlign w:val="center"/>
          </w:tcPr>
          <w:p w14:paraId="7DC345C0">
            <w:pPr>
              <w:jc w:val="center"/>
              <w:textAlignment w:val="center"/>
              <w:rPr>
                <w:rFonts w:ascii="Times New Roman" w:hAnsi="Times New Roman" w:cs="Times New Roman"/>
                <w:sz w:val="18"/>
                <w:szCs w:val="18"/>
                <w:lang w:bidi="ar"/>
              </w:rPr>
            </w:pPr>
            <w:r>
              <w:rPr>
                <w:rFonts w:ascii="Times New Roman" w:hAnsi="Times New Roman" w:cs="Times New Roman"/>
                <w:snapToGrid w:val="0"/>
                <w:kern w:val="0"/>
                <w:sz w:val="18"/>
                <w:szCs w:val="18"/>
              </w:rPr>
              <w:t>...</w:t>
            </w:r>
          </w:p>
        </w:tc>
        <w:tc>
          <w:tcPr>
            <w:tcW w:w="2431" w:type="pct"/>
            <w:tcBorders>
              <w:top w:val="single" w:color="000000" w:sz="4" w:space="0"/>
              <w:left w:val="single" w:color="000000" w:sz="4" w:space="0"/>
              <w:bottom w:val="single" w:color="000000" w:sz="4" w:space="0"/>
              <w:right w:val="single" w:color="000000" w:sz="4" w:space="0"/>
            </w:tcBorders>
            <w:vAlign w:val="center"/>
          </w:tcPr>
          <w:p w14:paraId="4CC4FE0E">
            <w:pPr>
              <w:snapToGrid w:val="0"/>
              <w:jc w:val="center"/>
              <w:textAlignment w:val="center"/>
              <w:rPr>
                <w:rFonts w:ascii="Times New Roman" w:hAnsi="Times New Roman" w:cs="Times New Roman"/>
                <w:snapToGrid w:val="0"/>
                <w:kern w:val="21"/>
                <w:sz w:val="18"/>
                <w:szCs w:val="18"/>
                <w:lang w:bidi="ar"/>
              </w:rPr>
            </w:pPr>
          </w:p>
        </w:tc>
        <w:tc>
          <w:tcPr>
            <w:tcW w:w="2179" w:type="pct"/>
            <w:tcBorders>
              <w:top w:val="single" w:color="000000" w:sz="4" w:space="0"/>
              <w:left w:val="single" w:color="000000" w:sz="4" w:space="0"/>
              <w:bottom w:val="single" w:color="000000" w:sz="4" w:space="0"/>
              <w:right w:val="single" w:color="000000" w:sz="4" w:space="0"/>
            </w:tcBorders>
            <w:noWrap/>
            <w:vAlign w:val="center"/>
          </w:tcPr>
          <w:p w14:paraId="0AC56217">
            <w:pPr>
              <w:snapToGrid w:val="0"/>
              <w:jc w:val="center"/>
              <w:textAlignment w:val="center"/>
              <w:rPr>
                <w:rFonts w:ascii="Times New Roman" w:hAnsi="Times New Roman" w:cs="Times New Roman"/>
                <w:snapToGrid w:val="0"/>
                <w:kern w:val="21"/>
                <w:sz w:val="18"/>
                <w:szCs w:val="18"/>
                <w:lang w:bidi="ar"/>
              </w:rPr>
            </w:pPr>
          </w:p>
        </w:tc>
      </w:tr>
    </w:tbl>
    <w:p w14:paraId="5CACF2DE">
      <w:pPr>
        <w:rPr>
          <w:rFonts w:ascii="Times New Roman" w:hAnsi="Times New Roman" w:eastAsia="黑体" w:cs="Times New Roman"/>
          <w:szCs w:val="21"/>
        </w:rPr>
      </w:pPr>
      <w:r>
        <w:rPr>
          <w:rFonts w:ascii="Times New Roman" w:hAnsi="Times New Roman" w:eastAsia="黑体" w:cs="Times New Roman"/>
          <w:szCs w:val="21"/>
        </w:rPr>
        <w:br w:type="page"/>
      </w:r>
    </w:p>
    <w:p w14:paraId="187BC8B5">
      <w:pPr>
        <w:numPr>
          <w:ilvl w:val="0"/>
          <w:numId w:val="45"/>
        </w:numPr>
        <w:jc w:val="center"/>
        <w:rPr>
          <w:rFonts w:ascii="Times New Roman" w:hAnsi="Times New Roman" w:eastAsia="黑体" w:cs="Times New Roman"/>
          <w:szCs w:val="21"/>
        </w:rPr>
      </w:pPr>
      <w:r>
        <w:rPr>
          <w:rFonts w:hint="eastAsia" w:ascii="Times New Roman" w:hAnsi="Times New Roman" w:eastAsia="黑体" w:cs="Times New Roman"/>
          <w:szCs w:val="21"/>
        </w:rPr>
        <w:t xml:space="preserve">  </w:t>
      </w:r>
      <w:r>
        <w:rPr>
          <w:rFonts w:ascii="Times New Roman" w:hAnsi="Times New Roman" w:eastAsia="黑体" w:cs="Times New Roman"/>
          <w:szCs w:val="21"/>
        </w:rPr>
        <w:t>主要工艺设备汇总</w:t>
      </w:r>
    </w:p>
    <w:tbl>
      <w:tblPr>
        <w:tblStyle w:val="24"/>
        <w:tblW w:w="527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1026"/>
        <w:gridCol w:w="1350"/>
        <w:gridCol w:w="1871"/>
        <w:gridCol w:w="1841"/>
        <w:gridCol w:w="899"/>
        <w:gridCol w:w="1257"/>
        <w:gridCol w:w="1652"/>
      </w:tblGrid>
      <w:tr w14:paraId="43E6A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66" w:hRule="atLeast"/>
          <w:jc w:val="center"/>
        </w:trPr>
        <w:tc>
          <w:tcPr>
            <w:tcW w:w="518" w:type="pct"/>
            <w:vAlign w:val="center"/>
          </w:tcPr>
          <w:p w14:paraId="72642804">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序号</w:t>
            </w:r>
          </w:p>
        </w:tc>
        <w:tc>
          <w:tcPr>
            <w:tcW w:w="1627" w:type="pct"/>
            <w:gridSpan w:val="2"/>
            <w:tcBorders>
              <w:right w:val="single" w:color="auto" w:sz="4" w:space="0"/>
            </w:tcBorders>
            <w:vAlign w:val="center"/>
          </w:tcPr>
          <w:p w14:paraId="48BEBA20">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设备名称</w:t>
            </w:r>
          </w:p>
        </w:tc>
        <w:tc>
          <w:tcPr>
            <w:tcW w:w="930" w:type="pct"/>
            <w:tcBorders>
              <w:left w:val="single" w:color="auto" w:sz="4" w:space="0"/>
              <w:right w:val="single" w:color="auto" w:sz="4" w:space="0"/>
            </w:tcBorders>
            <w:vAlign w:val="center"/>
          </w:tcPr>
          <w:p w14:paraId="5CEE3C44">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规格型号</w:t>
            </w:r>
          </w:p>
        </w:tc>
        <w:tc>
          <w:tcPr>
            <w:tcW w:w="454" w:type="pct"/>
            <w:tcBorders>
              <w:left w:val="single" w:color="auto" w:sz="4" w:space="0"/>
            </w:tcBorders>
            <w:vAlign w:val="center"/>
          </w:tcPr>
          <w:p w14:paraId="6E21C424">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数量</w:t>
            </w:r>
          </w:p>
        </w:tc>
        <w:tc>
          <w:tcPr>
            <w:tcW w:w="635" w:type="pct"/>
            <w:vAlign w:val="center"/>
          </w:tcPr>
          <w:p w14:paraId="25DAF5DF">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主要介质</w:t>
            </w:r>
          </w:p>
        </w:tc>
        <w:tc>
          <w:tcPr>
            <w:tcW w:w="834" w:type="pct"/>
            <w:vAlign w:val="center"/>
          </w:tcPr>
          <w:p w14:paraId="5B08A92A">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主体材质</w:t>
            </w:r>
          </w:p>
        </w:tc>
      </w:tr>
      <w:tr w14:paraId="40A35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restart"/>
            <w:vAlign w:val="center"/>
          </w:tcPr>
          <w:p w14:paraId="7F228BF9">
            <w:pPr>
              <w:jc w:val="center"/>
              <w:rPr>
                <w:rFonts w:ascii="Times New Roman" w:hAnsi="Times New Roman" w:eastAsia="宋体" w:cs="Times New Roman"/>
                <w:snapToGrid w:val="0"/>
                <w:kern w:val="0"/>
                <w:sz w:val="18"/>
                <w:szCs w:val="18"/>
              </w:rPr>
            </w:pPr>
            <w:r>
              <w:rPr>
                <w:rFonts w:hint="eastAsia" w:ascii="Times New Roman" w:hAnsi="Times New Roman" w:eastAsia="宋体" w:cs="Times New Roman"/>
                <w:snapToGrid w:val="0"/>
                <w:kern w:val="0"/>
                <w:sz w:val="18"/>
                <w:szCs w:val="18"/>
              </w:rPr>
              <w:t>1</w:t>
            </w:r>
          </w:p>
        </w:tc>
        <w:tc>
          <w:tcPr>
            <w:tcW w:w="682" w:type="pct"/>
            <w:vMerge w:val="restart"/>
            <w:vAlign w:val="center"/>
          </w:tcPr>
          <w:p w14:paraId="6C2D9B93">
            <w:pPr>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储罐</w:t>
            </w:r>
          </w:p>
        </w:tc>
        <w:tc>
          <w:tcPr>
            <w:tcW w:w="944" w:type="pct"/>
            <w:tcBorders>
              <w:right w:val="single" w:color="auto" w:sz="4" w:space="0"/>
            </w:tcBorders>
            <w:vAlign w:val="center"/>
          </w:tcPr>
          <w:p w14:paraId="27BB475B">
            <w:pPr>
              <w:jc w:val="center"/>
              <w:rPr>
                <w:rFonts w:ascii="Times New Roman" w:hAnsi="Times New Roman" w:eastAsia="宋体" w:cs="Times New Roman"/>
                <w:snapToGrid w:val="0"/>
                <w:kern w:val="0"/>
                <w:sz w:val="18"/>
                <w:szCs w:val="18"/>
              </w:rPr>
            </w:pPr>
          </w:p>
        </w:tc>
        <w:tc>
          <w:tcPr>
            <w:tcW w:w="930" w:type="pct"/>
            <w:tcBorders>
              <w:right w:val="single" w:color="auto" w:sz="4" w:space="0"/>
            </w:tcBorders>
            <w:vAlign w:val="center"/>
          </w:tcPr>
          <w:p w14:paraId="728A6F60">
            <w:pPr>
              <w:jc w:val="center"/>
              <w:rPr>
                <w:rFonts w:ascii="Times New Roman" w:hAnsi="Times New Roman" w:eastAsia="宋体" w:cs="Times New Roman"/>
                <w:snapToGrid w:val="0"/>
                <w:kern w:val="0"/>
                <w:sz w:val="18"/>
                <w:szCs w:val="18"/>
              </w:rPr>
            </w:pPr>
          </w:p>
        </w:tc>
        <w:tc>
          <w:tcPr>
            <w:tcW w:w="454" w:type="pct"/>
            <w:tcBorders>
              <w:left w:val="single" w:color="auto" w:sz="4" w:space="0"/>
            </w:tcBorders>
            <w:vAlign w:val="center"/>
          </w:tcPr>
          <w:p w14:paraId="4808536E">
            <w:pPr>
              <w:jc w:val="center"/>
              <w:rPr>
                <w:rFonts w:ascii="Times New Roman" w:hAnsi="Times New Roman" w:eastAsia="宋体" w:cs="Times New Roman"/>
                <w:snapToGrid w:val="0"/>
                <w:kern w:val="0"/>
                <w:sz w:val="18"/>
                <w:szCs w:val="18"/>
              </w:rPr>
            </w:pPr>
          </w:p>
        </w:tc>
        <w:tc>
          <w:tcPr>
            <w:tcW w:w="635" w:type="pct"/>
            <w:tcBorders>
              <w:right w:val="single" w:color="auto" w:sz="4" w:space="0"/>
            </w:tcBorders>
            <w:vAlign w:val="center"/>
          </w:tcPr>
          <w:p w14:paraId="62DC9097">
            <w:pPr>
              <w:jc w:val="center"/>
              <w:rPr>
                <w:rFonts w:ascii="Times New Roman" w:hAnsi="Times New Roman" w:eastAsia="宋体" w:cs="Times New Roman"/>
                <w:snapToGrid w:val="0"/>
                <w:kern w:val="0"/>
                <w:sz w:val="18"/>
                <w:szCs w:val="18"/>
              </w:rPr>
            </w:pPr>
          </w:p>
        </w:tc>
        <w:tc>
          <w:tcPr>
            <w:tcW w:w="834" w:type="pct"/>
            <w:tcBorders>
              <w:left w:val="single" w:color="auto" w:sz="4" w:space="0"/>
            </w:tcBorders>
            <w:vAlign w:val="center"/>
          </w:tcPr>
          <w:p w14:paraId="731F4DBD">
            <w:pPr>
              <w:jc w:val="center"/>
              <w:rPr>
                <w:rFonts w:ascii="Times New Roman" w:hAnsi="Times New Roman" w:eastAsia="宋体" w:cs="Times New Roman"/>
                <w:snapToGrid w:val="0"/>
                <w:kern w:val="0"/>
                <w:sz w:val="18"/>
                <w:szCs w:val="18"/>
              </w:rPr>
            </w:pPr>
          </w:p>
        </w:tc>
      </w:tr>
      <w:tr w14:paraId="0D3E3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continue"/>
            <w:vAlign w:val="center"/>
          </w:tcPr>
          <w:p w14:paraId="1848EFF8">
            <w:pPr>
              <w:jc w:val="center"/>
              <w:rPr>
                <w:rFonts w:ascii="Times New Roman" w:hAnsi="Times New Roman" w:eastAsia="宋体" w:cs="Times New Roman"/>
                <w:snapToGrid w:val="0"/>
                <w:kern w:val="0"/>
                <w:sz w:val="18"/>
                <w:szCs w:val="18"/>
              </w:rPr>
            </w:pPr>
          </w:p>
        </w:tc>
        <w:tc>
          <w:tcPr>
            <w:tcW w:w="682" w:type="pct"/>
            <w:vMerge w:val="continue"/>
            <w:vAlign w:val="center"/>
          </w:tcPr>
          <w:p w14:paraId="4A9FB005">
            <w:pPr>
              <w:jc w:val="center"/>
              <w:rPr>
                <w:rFonts w:ascii="Times New Roman" w:hAnsi="Times New Roman" w:eastAsia="宋体" w:cs="Times New Roman"/>
                <w:snapToGrid w:val="0"/>
                <w:kern w:val="0"/>
                <w:sz w:val="18"/>
                <w:szCs w:val="18"/>
              </w:rPr>
            </w:pPr>
          </w:p>
        </w:tc>
        <w:tc>
          <w:tcPr>
            <w:tcW w:w="944" w:type="pct"/>
            <w:tcBorders>
              <w:right w:val="single" w:color="auto" w:sz="4" w:space="0"/>
            </w:tcBorders>
            <w:vAlign w:val="center"/>
          </w:tcPr>
          <w:p w14:paraId="08A31D68">
            <w:pPr>
              <w:jc w:val="center"/>
              <w:rPr>
                <w:rFonts w:ascii="Times New Roman" w:hAnsi="Times New Roman" w:eastAsia="宋体" w:cs="Times New Roman"/>
                <w:snapToGrid w:val="0"/>
                <w:kern w:val="0"/>
                <w:sz w:val="18"/>
                <w:szCs w:val="18"/>
              </w:rPr>
            </w:pPr>
          </w:p>
        </w:tc>
        <w:tc>
          <w:tcPr>
            <w:tcW w:w="930" w:type="pct"/>
            <w:tcBorders>
              <w:right w:val="single" w:color="auto" w:sz="4" w:space="0"/>
            </w:tcBorders>
            <w:vAlign w:val="center"/>
          </w:tcPr>
          <w:p w14:paraId="42D139E8">
            <w:pPr>
              <w:jc w:val="center"/>
              <w:rPr>
                <w:rFonts w:ascii="Times New Roman" w:hAnsi="Times New Roman" w:eastAsia="宋体" w:cs="Times New Roman"/>
                <w:snapToGrid w:val="0"/>
                <w:kern w:val="0"/>
                <w:sz w:val="18"/>
                <w:szCs w:val="18"/>
              </w:rPr>
            </w:pPr>
          </w:p>
        </w:tc>
        <w:tc>
          <w:tcPr>
            <w:tcW w:w="454" w:type="pct"/>
            <w:tcBorders>
              <w:left w:val="single" w:color="auto" w:sz="4" w:space="0"/>
            </w:tcBorders>
            <w:vAlign w:val="center"/>
          </w:tcPr>
          <w:p w14:paraId="70DE6A76">
            <w:pPr>
              <w:jc w:val="center"/>
              <w:rPr>
                <w:rFonts w:ascii="Times New Roman" w:hAnsi="Times New Roman" w:eastAsia="宋体" w:cs="Times New Roman"/>
                <w:snapToGrid w:val="0"/>
                <w:kern w:val="0"/>
                <w:sz w:val="18"/>
                <w:szCs w:val="18"/>
              </w:rPr>
            </w:pPr>
          </w:p>
        </w:tc>
        <w:tc>
          <w:tcPr>
            <w:tcW w:w="635" w:type="pct"/>
            <w:tcBorders>
              <w:right w:val="single" w:color="auto" w:sz="4" w:space="0"/>
            </w:tcBorders>
            <w:vAlign w:val="center"/>
          </w:tcPr>
          <w:p w14:paraId="669352EF">
            <w:pPr>
              <w:jc w:val="center"/>
              <w:rPr>
                <w:rFonts w:ascii="Times New Roman" w:hAnsi="Times New Roman" w:eastAsia="宋体" w:cs="Times New Roman"/>
                <w:snapToGrid w:val="0"/>
                <w:kern w:val="0"/>
                <w:sz w:val="18"/>
                <w:szCs w:val="18"/>
              </w:rPr>
            </w:pPr>
          </w:p>
        </w:tc>
        <w:tc>
          <w:tcPr>
            <w:tcW w:w="834" w:type="pct"/>
            <w:tcBorders>
              <w:left w:val="single" w:color="auto" w:sz="4" w:space="0"/>
            </w:tcBorders>
            <w:vAlign w:val="center"/>
          </w:tcPr>
          <w:p w14:paraId="2EFD0404">
            <w:pPr>
              <w:jc w:val="center"/>
              <w:rPr>
                <w:rFonts w:ascii="Times New Roman" w:hAnsi="Times New Roman" w:eastAsia="宋体" w:cs="Times New Roman"/>
                <w:snapToGrid w:val="0"/>
                <w:kern w:val="0"/>
                <w:sz w:val="18"/>
                <w:szCs w:val="18"/>
              </w:rPr>
            </w:pPr>
          </w:p>
        </w:tc>
      </w:tr>
      <w:tr w14:paraId="6D04E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continue"/>
            <w:vAlign w:val="center"/>
          </w:tcPr>
          <w:p w14:paraId="05639F52">
            <w:pPr>
              <w:jc w:val="center"/>
              <w:rPr>
                <w:rFonts w:ascii="Times New Roman" w:hAnsi="Times New Roman" w:eastAsia="宋体" w:cs="Times New Roman"/>
                <w:snapToGrid w:val="0"/>
                <w:kern w:val="0"/>
                <w:sz w:val="18"/>
                <w:szCs w:val="18"/>
              </w:rPr>
            </w:pPr>
          </w:p>
        </w:tc>
        <w:tc>
          <w:tcPr>
            <w:tcW w:w="682" w:type="pct"/>
            <w:vMerge w:val="continue"/>
            <w:vAlign w:val="center"/>
          </w:tcPr>
          <w:p w14:paraId="387F4D79">
            <w:pPr>
              <w:jc w:val="center"/>
              <w:rPr>
                <w:rFonts w:ascii="Times New Roman" w:hAnsi="Times New Roman" w:eastAsia="宋体" w:cs="Times New Roman"/>
                <w:snapToGrid w:val="0"/>
                <w:kern w:val="0"/>
                <w:sz w:val="18"/>
                <w:szCs w:val="18"/>
              </w:rPr>
            </w:pPr>
          </w:p>
        </w:tc>
        <w:tc>
          <w:tcPr>
            <w:tcW w:w="944" w:type="pct"/>
            <w:tcBorders>
              <w:right w:val="single" w:color="auto" w:sz="4" w:space="0"/>
            </w:tcBorders>
            <w:vAlign w:val="center"/>
          </w:tcPr>
          <w:p w14:paraId="12165AEE">
            <w:pPr>
              <w:jc w:val="center"/>
              <w:rPr>
                <w:rFonts w:ascii="Times New Roman" w:hAnsi="Times New Roman" w:eastAsia="宋体" w:cs="Times New Roman"/>
                <w:snapToGrid w:val="0"/>
                <w:kern w:val="0"/>
                <w:sz w:val="18"/>
                <w:szCs w:val="18"/>
              </w:rPr>
            </w:pPr>
          </w:p>
        </w:tc>
        <w:tc>
          <w:tcPr>
            <w:tcW w:w="930" w:type="pct"/>
            <w:tcBorders>
              <w:right w:val="single" w:color="auto" w:sz="4" w:space="0"/>
            </w:tcBorders>
            <w:vAlign w:val="center"/>
          </w:tcPr>
          <w:p w14:paraId="32844C9D">
            <w:pPr>
              <w:jc w:val="center"/>
              <w:rPr>
                <w:rFonts w:ascii="Times New Roman" w:hAnsi="Times New Roman" w:eastAsia="宋体" w:cs="Times New Roman"/>
                <w:snapToGrid w:val="0"/>
                <w:kern w:val="0"/>
                <w:sz w:val="18"/>
                <w:szCs w:val="18"/>
              </w:rPr>
            </w:pPr>
          </w:p>
        </w:tc>
        <w:tc>
          <w:tcPr>
            <w:tcW w:w="454" w:type="pct"/>
            <w:tcBorders>
              <w:left w:val="single" w:color="auto" w:sz="4" w:space="0"/>
            </w:tcBorders>
            <w:vAlign w:val="center"/>
          </w:tcPr>
          <w:p w14:paraId="5A0C21FA">
            <w:pPr>
              <w:jc w:val="center"/>
              <w:rPr>
                <w:rFonts w:ascii="Times New Roman" w:hAnsi="Times New Roman" w:eastAsia="宋体" w:cs="Times New Roman"/>
                <w:snapToGrid w:val="0"/>
                <w:kern w:val="0"/>
                <w:sz w:val="18"/>
                <w:szCs w:val="18"/>
              </w:rPr>
            </w:pPr>
          </w:p>
        </w:tc>
        <w:tc>
          <w:tcPr>
            <w:tcW w:w="635" w:type="pct"/>
            <w:tcBorders>
              <w:right w:val="single" w:color="auto" w:sz="4" w:space="0"/>
            </w:tcBorders>
            <w:vAlign w:val="center"/>
          </w:tcPr>
          <w:p w14:paraId="13FBA7D8">
            <w:pPr>
              <w:jc w:val="center"/>
              <w:rPr>
                <w:rFonts w:ascii="Times New Roman" w:hAnsi="Times New Roman" w:eastAsia="宋体" w:cs="Times New Roman"/>
                <w:snapToGrid w:val="0"/>
                <w:kern w:val="0"/>
                <w:sz w:val="18"/>
                <w:szCs w:val="18"/>
              </w:rPr>
            </w:pPr>
          </w:p>
        </w:tc>
        <w:tc>
          <w:tcPr>
            <w:tcW w:w="834" w:type="pct"/>
            <w:tcBorders>
              <w:left w:val="single" w:color="auto" w:sz="4" w:space="0"/>
            </w:tcBorders>
            <w:vAlign w:val="center"/>
          </w:tcPr>
          <w:p w14:paraId="457B41E6">
            <w:pPr>
              <w:jc w:val="center"/>
              <w:rPr>
                <w:rFonts w:ascii="Times New Roman" w:hAnsi="Times New Roman" w:eastAsia="宋体" w:cs="Times New Roman"/>
                <w:snapToGrid w:val="0"/>
                <w:kern w:val="0"/>
                <w:sz w:val="18"/>
                <w:szCs w:val="18"/>
              </w:rPr>
            </w:pPr>
          </w:p>
        </w:tc>
      </w:tr>
      <w:tr w14:paraId="5437E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66" w:hRule="atLeast"/>
          <w:jc w:val="center"/>
        </w:trPr>
        <w:tc>
          <w:tcPr>
            <w:tcW w:w="518" w:type="pct"/>
            <w:vMerge w:val="restart"/>
            <w:vAlign w:val="center"/>
          </w:tcPr>
          <w:p w14:paraId="3844D85A">
            <w:pPr>
              <w:jc w:val="center"/>
              <w:rPr>
                <w:rFonts w:ascii="Times New Roman" w:hAnsi="Times New Roman" w:eastAsia="宋体" w:cs="Times New Roman"/>
                <w:snapToGrid w:val="0"/>
                <w:kern w:val="0"/>
                <w:sz w:val="18"/>
                <w:szCs w:val="18"/>
              </w:rPr>
            </w:pPr>
            <w:r>
              <w:rPr>
                <w:rFonts w:hint="eastAsia" w:ascii="Times New Roman" w:hAnsi="Times New Roman" w:eastAsia="宋体" w:cs="Times New Roman"/>
                <w:snapToGrid w:val="0"/>
                <w:kern w:val="0"/>
                <w:sz w:val="18"/>
                <w:szCs w:val="18"/>
              </w:rPr>
              <w:t>2</w:t>
            </w:r>
          </w:p>
        </w:tc>
        <w:tc>
          <w:tcPr>
            <w:tcW w:w="682" w:type="pct"/>
            <w:vMerge w:val="restart"/>
            <w:vAlign w:val="center"/>
          </w:tcPr>
          <w:p w14:paraId="2B7A2449">
            <w:pPr>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压力容器</w:t>
            </w:r>
          </w:p>
        </w:tc>
        <w:tc>
          <w:tcPr>
            <w:tcW w:w="944" w:type="pct"/>
            <w:vAlign w:val="center"/>
          </w:tcPr>
          <w:p w14:paraId="0F2798E6">
            <w:pPr>
              <w:jc w:val="center"/>
              <w:rPr>
                <w:rFonts w:ascii="Times New Roman" w:hAnsi="Times New Roman" w:eastAsia="宋体" w:cs="Times New Roman"/>
                <w:snapToGrid w:val="0"/>
                <w:kern w:val="0"/>
                <w:sz w:val="18"/>
                <w:szCs w:val="18"/>
              </w:rPr>
            </w:pPr>
          </w:p>
        </w:tc>
        <w:tc>
          <w:tcPr>
            <w:tcW w:w="930" w:type="pct"/>
            <w:vAlign w:val="center"/>
          </w:tcPr>
          <w:p w14:paraId="6D028BE6">
            <w:pPr>
              <w:jc w:val="center"/>
              <w:rPr>
                <w:rFonts w:ascii="Times New Roman" w:hAnsi="Times New Roman" w:eastAsia="宋体" w:cs="Times New Roman"/>
                <w:snapToGrid w:val="0"/>
                <w:kern w:val="0"/>
                <w:sz w:val="18"/>
                <w:szCs w:val="18"/>
              </w:rPr>
            </w:pPr>
          </w:p>
        </w:tc>
        <w:tc>
          <w:tcPr>
            <w:tcW w:w="454" w:type="pct"/>
            <w:vAlign w:val="center"/>
          </w:tcPr>
          <w:p w14:paraId="693BD40E">
            <w:pPr>
              <w:jc w:val="center"/>
              <w:rPr>
                <w:rFonts w:ascii="Times New Roman" w:hAnsi="Times New Roman" w:eastAsia="宋体" w:cs="Times New Roman"/>
                <w:snapToGrid w:val="0"/>
                <w:kern w:val="0"/>
                <w:sz w:val="18"/>
                <w:szCs w:val="18"/>
              </w:rPr>
            </w:pPr>
          </w:p>
        </w:tc>
        <w:tc>
          <w:tcPr>
            <w:tcW w:w="635" w:type="pct"/>
            <w:vAlign w:val="center"/>
          </w:tcPr>
          <w:p w14:paraId="673F376D">
            <w:pPr>
              <w:jc w:val="center"/>
              <w:rPr>
                <w:rFonts w:ascii="Times New Roman" w:hAnsi="Times New Roman" w:eastAsia="宋体" w:cs="Times New Roman"/>
                <w:snapToGrid w:val="0"/>
                <w:kern w:val="0"/>
                <w:sz w:val="18"/>
                <w:szCs w:val="18"/>
              </w:rPr>
            </w:pPr>
          </w:p>
        </w:tc>
        <w:tc>
          <w:tcPr>
            <w:tcW w:w="834" w:type="pct"/>
            <w:vAlign w:val="center"/>
          </w:tcPr>
          <w:p w14:paraId="55BA90E8">
            <w:pPr>
              <w:jc w:val="center"/>
              <w:rPr>
                <w:rFonts w:ascii="Times New Roman" w:hAnsi="Times New Roman" w:eastAsia="宋体" w:cs="Times New Roman"/>
                <w:snapToGrid w:val="0"/>
                <w:kern w:val="0"/>
                <w:sz w:val="18"/>
                <w:szCs w:val="18"/>
              </w:rPr>
            </w:pPr>
          </w:p>
        </w:tc>
      </w:tr>
      <w:tr w14:paraId="11241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continue"/>
            <w:vAlign w:val="center"/>
          </w:tcPr>
          <w:p w14:paraId="32988153">
            <w:pPr>
              <w:jc w:val="center"/>
              <w:rPr>
                <w:rFonts w:ascii="Times New Roman" w:hAnsi="Times New Roman" w:eastAsia="宋体" w:cs="Times New Roman"/>
                <w:snapToGrid w:val="0"/>
                <w:kern w:val="0"/>
                <w:sz w:val="18"/>
                <w:szCs w:val="18"/>
              </w:rPr>
            </w:pPr>
          </w:p>
        </w:tc>
        <w:tc>
          <w:tcPr>
            <w:tcW w:w="682" w:type="pct"/>
            <w:vMerge w:val="continue"/>
            <w:vAlign w:val="center"/>
          </w:tcPr>
          <w:p w14:paraId="1988FA84">
            <w:pPr>
              <w:jc w:val="center"/>
              <w:rPr>
                <w:rFonts w:ascii="Times New Roman" w:hAnsi="Times New Roman" w:eastAsia="宋体" w:cs="Times New Roman"/>
                <w:snapToGrid w:val="0"/>
                <w:kern w:val="0"/>
                <w:sz w:val="18"/>
                <w:szCs w:val="18"/>
              </w:rPr>
            </w:pPr>
          </w:p>
        </w:tc>
        <w:tc>
          <w:tcPr>
            <w:tcW w:w="944" w:type="pct"/>
            <w:vAlign w:val="center"/>
          </w:tcPr>
          <w:p w14:paraId="45D742AD">
            <w:pPr>
              <w:jc w:val="center"/>
              <w:rPr>
                <w:rFonts w:ascii="Times New Roman" w:hAnsi="Times New Roman" w:eastAsia="宋体" w:cs="Times New Roman"/>
                <w:snapToGrid w:val="0"/>
                <w:kern w:val="0"/>
                <w:sz w:val="18"/>
                <w:szCs w:val="18"/>
              </w:rPr>
            </w:pPr>
          </w:p>
        </w:tc>
        <w:tc>
          <w:tcPr>
            <w:tcW w:w="930" w:type="pct"/>
            <w:vAlign w:val="center"/>
          </w:tcPr>
          <w:p w14:paraId="5E57D5D0">
            <w:pPr>
              <w:jc w:val="center"/>
              <w:rPr>
                <w:rFonts w:ascii="Times New Roman" w:hAnsi="Times New Roman" w:eastAsia="宋体" w:cs="Times New Roman"/>
                <w:snapToGrid w:val="0"/>
                <w:kern w:val="0"/>
                <w:sz w:val="18"/>
                <w:szCs w:val="18"/>
              </w:rPr>
            </w:pPr>
          </w:p>
        </w:tc>
        <w:tc>
          <w:tcPr>
            <w:tcW w:w="454" w:type="pct"/>
            <w:vAlign w:val="center"/>
          </w:tcPr>
          <w:p w14:paraId="51DFAAE3">
            <w:pPr>
              <w:jc w:val="center"/>
              <w:rPr>
                <w:rFonts w:ascii="Times New Roman" w:hAnsi="Times New Roman" w:eastAsia="宋体" w:cs="Times New Roman"/>
                <w:snapToGrid w:val="0"/>
                <w:kern w:val="0"/>
                <w:sz w:val="18"/>
                <w:szCs w:val="18"/>
              </w:rPr>
            </w:pPr>
          </w:p>
        </w:tc>
        <w:tc>
          <w:tcPr>
            <w:tcW w:w="635" w:type="pct"/>
            <w:vAlign w:val="center"/>
          </w:tcPr>
          <w:p w14:paraId="0197FB55">
            <w:pPr>
              <w:jc w:val="center"/>
              <w:rPr>
                <w:rFonts w:ascii="Times New Roman" w:hAnsi="Times New Roman" w:eastAsia="宋体" w:cs="Times New Roman"/>
                <w:snapToGrid w:val="0"/>
                <w:kern w:val="0"/>
                <w:sz w:val="18"/>
                <w:szCs w:val="18"/>
              </w:rPr>
            </w:pPr>
          </w:p>
        </w:tc>
        <w:tc>
          <w:tcPr>
            <w:tcW w:w="834" w:type="pct"/>
            <w:vAlign w:val="center"/>
          </w:tcPr>
          <w:p w14:paraId="3F3661B0">
            <w:pPr>
              <w:jc w:val="center"/>
              <w:rPr>
                <w:rFonts w:ascii="Times New Roman" w:hAnsi="Times New Roman" w:eastAsia="宋体" w:cs="Times New Roman"/>
                <w:snapToGrid w:val="0"/>
                <w:kern w:val="0"/>
                <w:sz w:val="18"/>
                <w:szCs w:val="18"/>
              </w:rPr>
            </w:pPr>
          </w:p>
        </w:tc>
      </w:tr>
      <w:tr w14:paraId="2403F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continue"/>
            <w:vAlign w:val="center"/>
          </w:tcPr>
          <w:p w14:paraId="58A4535E">
            <w:pPr>
              <w:jc w:val="center"/>
              <w:rPr>
                <w:rFonts w:ascii="Times New Roman" w:hAnsi="Times New Roman" w:eastAsia="宋体" w:cs="Times New Roman"/>
                <w:snapToGrid w:val="0"/>
                <w:kern w:val="0"/>
                <w:sz w:val="18"/>
                <w:szCs w:val="18"/>
              </w:rPr>
            </w:pPr>
          </w:p>
        </w:tc>
        <w:tc>
          <w:tcPr>
            <w:tcW w:w="682" w:type="pct"/>
            <w:vMerge w:val="continue"/>
            <w:vAlign w:val="center"/>
          </w:tcPr>
          <w:p w14:paraId="399D4437">
            <w:pPr>
              <w:jc w:val="center"/>
              <w:rPr>
                <w:rFonts w:ascii="Times New Roman" w:hAnsi="Times New Roman" w:eastAsia="宋体" w:cs="Times New Roman"/>
                <w:snapToGrid w:val="0"/>
                <w:kern w:val="0"/>
                <w:sz w:val="18"/>
                <w:szCs w:val="18"/>
              </w:rPr>
            </w:pPr>
          </w:p>
        </w:tc>
        <w:tc>
          <w:tcPr>
            <w:tcW w:w="944" w:type="pct"/>
            <w:vAlign w:val="center"/>
          </w:tcPr>
          <w:p w14:paraId="1C9E529B">
            <w:pPr>
              <w:jc w:val="center"/>
              <w:rPr>
                <w:rFonts w:ascii="Times New Roman" w:hAnsi="Times New Roman" w:eastAsia="宋体" w:cs="Times New Roman"/>
                <w:snapToGrid w:val="0"/>
                <w:kern w:val="0"/>
                <w:sz w:val="18"/>
                <w:szCs w:val="18"/>
              </w:rPr>
            </w:pPr>
          </w:p>
        </w:tc>
        <w:tc>
          <w:tcPr>
            <w:tcW w:w="930" w:type="pct"/>
            <w:vAlign w:val="center"/>
          </w:tcPr>
          <w:p w14:paraId="4187A215">
            <w:pPr>
              <w:jc w:val="center"/>
              <w:rPr>
                <w:rFonts w:ascii="Times New Roman" w:hAnsi="Times New Roman" w:eastAsia="宋体" w:cs="Times New Roman"/>
                <w:snapToGrid w:val="0"/>
                <w:kern w:val="0"/>
                <w:sz w:val="18"/>
                <w:szCs w:val="18"/>
              </w:rPr>
            </w:pPr>
          </w:p>
        </w:tc>
        <w:tc>
          <w:tcPr>
            <w:tcW w:w="454" w:type="pct"/>
            <w:vAlign w:val="center"/>
          </w:tcPr>
          <w:p w14:paraId="7341A681">
            <w:pPr>
              <w:jc w:val="center"/>
              <w:rPr>
                <w:rFonts w:ascii="Times New Roman" w:hAnsi="Times New Roman" w:eastAsia="宋体" w:cs="Times New Roman"/>
                <w:snapToGrid w:val="0"/>
                <w:kern w:val="0"/>
                <w:sz w:val="18"/>
                <w:szCs w:val="18"/>
              </w:rPr>
            </w:pPr>
          </w:p>
        </w:tc>
        <w:tc>
          <w:tcPr>
            <w:tcW w:w="635" w:type="pct"/>
            <w:vAlign w:val="center"/>
          </w:tcPr>
          <w:p w14:paraId="194A2046">
            <w:pPr>
              <w:jc w:val="center"/>
              <w:rPr>
                <w:rFonts w:ascii="Times New Roman" w:hAnsi="Times New Roman" w:eastAsia="宋体" w:cs="Times New Roman"/>
                <w:snapToGrid w:val="0"/>
                <w:kern w:val="0"/>
                <w:sz w:val="18"/>
                <w:szCs w:val="18"/>
              </w:rPr>
            </w:pPr>
          </w:p>
        </w:tc>
        <w:tc>
          <w:tcPr>
            <w:tcW w:w="834" w:type="pct"/>
            <w:vAlign w:val="center"/>
          </w:tcPr>
          <w:p w14:paraId="7724DCB6">
            <w:pPr>
              <w:jc w:val="center"/>
              <w:rPr>
                <w:rFonts w:ascii="Times New Roman" w:hAnsi="Times New Roman" w:eastAsia="宋体" w:cs="Times New Roman"/>
                <w:snapToGrid w:val="0"/>
                <w:kern w:val="0"/>
                <w:sz w:val="18"/>
                <w:szCs w:val="18"/>
              </w:rPr>
            </w:pPr>
          </w:p>
        </w:tc>
      </w:tr>
      <w:tr w14:paraId="198A0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66" w:hRule="atLeast"/>
          <w:jc w:val="center"/>
        </w:trPr>
        <w:tc>
          <w:tcPr>
            <w:tcW w:w="518" w:type="pct"/>
            <w:vMerge w:val="restart"/>
            <w:vAlign w:val="center"/>
          </w:tcPr>
          <w:p w14:paraId="0B985157">
            <w:pPr>
              <w:jc w:val="center"/>
              <w:rPr>
                <w:rFonts w:ascii="Times New Roman" w:hAnsi="Times New Roman" w:eastAsia="宋体" w:cs="Times New Roman"/>
                <w:snapToGrid w:val="0"/>
                <w:kern w:val="0"/>
                <w:sz w:val="18"/>
                <w:szCs w:val="18"/>
              </w:rPr>
            </w:pPr>
            <w:r>
              <w:rPr>
                <w:rFonts w:hint="eastAsia" w:ascii="Times New Roman" w:hAnsi="Times New Roman" w:eastAsia="宋体" w:cs="Times New Roman"/>
                <w:snapToGrid w:val="0"/>
                <w:kern w:val="0"/>
                <w:sz w:val="18"/>
                <w:szCs w:val="18"/>
              </w:rPr>
              <w:t>3</w:t>
            </w:r>
          </w:p>
        </w:tc>
        <w:tc>
          <w:tcPr>
            <w:tcW w:w="682" w:type="pct"/>
            <w:vMerge w:val="restart"/>
            <w:vAlign w:val="center"/>
          </w:tcPr>
          <w:p w14:paraId="2479C522">
            <w:pPr>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泵</w:t>
            </w:r>
          </w:p>
        </w:tc>
        <w:tc>
          <w:tcPr>
            <w:tcW w:w="944" w:type="pct"/>
            <w:vAlign w:val="center"/>
          </w:tcPr>
          <w:p w14:paraId="4E69E728">
            <w:pPr>
              <w:jc w:val="center"/>
              <w:rPr>
                <w:rFonts w:ascii="Times New Roman" w:hAnsi="Times New Roman" w:eastAsia="宋体" w:cs="Times New Roman"/>
                <w:snapToGrid w:val="0"/>
                <w:kern w:val="0"/>
                <w:sz w:val="18"/>
                <w:szCs w:val="18"/>
              </w:rPr>
            </w:pPr>
          </w:p>
        </w:tc>
        <w:tc>
          <w:tcPr>
            <w:tcW w:w="930" w:type="pct"/>
            <w:vAlign w:val="center"/>
          </w:tcPr>
          <w:p w14:paraId="7986AF4E">
            <w:pPr>
              <w:jc w:val="center"/>
              <w:rPr>
                <w:rFonts w:ascii="Times New Roman" w:hAnsi="Times New Roman" w:eastAsia="宋体" w:cs="Times New Roman"/>
                <w:snapToGrid w:val="0"/>
                <w:kern w:val="0"/>
                <w:sz w:val="18"/>
                <w:szCs w:val="18"/>
              </w:rPr>
            </w:pPr>
          </w:p>
        </w:tc>
        <w:tc>
          <w:tcPr>
            <w:tcW w:w="454" w:type="pct"/>
            <w:vAlign w:val="center"/>
          </w:tcPr>
          <w:p w14:paraId="77E806A8">
            <w:pPr>
              <w:jc w:val="center"/>
              <w:rPr>
                <w:rFonts w:ascii="Times New Roman" w:hAnsi="Times New Roman" w:eastAsia="宋体" w:cs="Times New Roman"/>
                <w:snapToGrid w:val="0"/>
                <w:kern w:val="0"/>
                <w:sz w:val="18"/>
                <w:szCs w:val="18"/>
              </w:rPr>
            </w:pPr>
          </w:p>
        </w:tc>
        <w:tc>
          <w:tcPr>
            <w:tcW w:w="635" w:type="pct"/>
            <w:vAlign w:val="center"/>
          </w:tcPr>
          <w:p w14:paraId="34F06947">
            <w:pPr>
              <w:jc w:val="center"/>
              <w:rPr>
                <w:rFonts w:ascii="Times New Roman" w:hAnsi="Times New Roman" w:eastAsia="宋体" w:cs="Times New Roman"/>
                <w:snapToGrid w:val="0"/>
                <w:kern w:val="0"/>
                <w:sz w:val="18"/>
                <w:szCs w:val="18"/>
              </w:rPr>
            </w:pPr>
          </w:p>
        </w:tc>
        <w:tc>
          <w:tcPr>
            <w:tcW w:w="834" w:type="pct"/>
            <w:vAlign w:val="center"/>
          </w:tcPr>
          <w:p w14:paraId="07CD552B">
            <w:pPr>
              <w:jc w:val="center"/>
              <w:rPr>
                <w:rFonts w:ascii="Times New Roman" w:hAnsi="Times New Roman" w:eastAsia="宋体" w:cs="Times New Roman"/>
                <w:snapToGrid w:val="0"/>
                <w:kern w:val="0"/>
                <w:sz w:val="18"/>
                <w:szCs w:val="18"/>
              </w:rPr>
            </w:pPr>
          </w:p>
        </w:tc>
      </w:tr>
      <w:tr w14:paraId="711B3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continue"/>
            <w:vAlign w:val="center"/>
          </w:tcPr>
          <w:p w14:paraId="09A36244">
            <w:pPr>
              <w:jc w:val="center"/>
              <w:rPr>
                <w:rFonts w:ascii="Times New Roman" w:hAnsi="Times New Roman" w:eastAsia="宋体" w:cs="Times New Roman"/>
                <w:snapToGrid w:val="0"/>
                <w:kern w:val="0"/>
                <w:sz w:val="18"/>
                <w:szCs w:val="18"/>
              </w:rPr>
            </w:pPr>
          </w:p>
        </w:tc>
        <w:tc>
          <w:tcPr>
            <w:tcW w:w="682" w:type="pct"/>
            <w:vMerge w:val="continue"/>
            <w:vAlign w:val="center"/>
          </w:tcPr>
          <w:p w14:paraId="60D50366">
            <w:pPr>
              <w:jc w:val="center"/>
              <w:rPr>
                <w:rFonts w:ascii="Times New Roman" w:hAnsi="Times New Roman" w:eastAsia="宋体" w:cs="Times New Roman"/>
                <w:snapToGrid w:val="0"/>
                <w:kern w:val="0"/>
                <w:sz w:val="18"/>
                <w:szCs w:val="18"/>
              </w:rPr>
            </w:pPr>
          </w:p>
        </w:tc>
        <w:tc>
          <w:tcPr>
            <w:tcW w:w="944" w:type="pct"/>
            <w:vAlign w:val="center"/>
          </w:tcPr>
          <w:p w14:paraId="2274BC81">
            <w:pPr>
              <w:jc w:val="center"/>
              <w:rPr>
                <w:rFonts w:ascii="Times New Roman" w:hAnsi="Times New Roman" w:eastAsia="宋体" w:cs="Times New Roman"/>
                <w:snapToGrid w:val="0"/>
                <w:kern w:val="0"/>
                <w:sz w:val="18"/>
                <w:szCs w:val="18"/>
              </w:rPr>
            </w:pPr>
          </w:p>
        </w:tc>
        <w:tc>
          <w:tcPr>
            <w:tcW w:w="930" w:type="pct"/>
            <w:vAlign w:val="center"/>
          </w:tcPr>
          <w:p w14:paraId="3114D749">
            <w:pPr>
              <w:jc w:val="center"/>
              <w:rPr>
                <w:rFonts w:ascii="Times New Roman" w:hAnsi="Times New Roman" w:eastAsia="宋体" w:cs="Times New Roman"/>
                <w:snapToGrid w:val="0"/>
                <w:kern w:val="0"/>
                <w:sz w:val="18"/>
                <w:szCs w:val="18"/>
              </w:rPr>
            </w:pPr>
          </w:p>
        </w:tc>
        <w:tc>
          <w:tcPr>
            <w:tcW w:w="454" w:type="pct"/>
            <w:vAlign w:val="center"/>
          </w:tcPr>
          <w:p w14:paraId="3BFC9958">
            <w:pPr>
              <w:jc w:val="center"/>
              <w:rPr>
                <w:rFonts w:ascii="Times New Roman" w:hAnsi="Times New Roman" w:eastAsia="宋体" w:cs="Times New Roman"/>
                <w:snapToGrid w:val="0"/>
                <w:kern w:val="0"/>
                <w:sz w:val="18"/>
                <w:szCs w:val="18"/>
              </w:rPr>
            </w:pPr>
          </w:p>
        </w:tc>
        <w:tc>
          <w:tcPr>
            <w:tcW w:w="635" w:type="pct"/>
            <w:vAlign w:val="center"/>
          </w:tcPr>
          <w:p w14:paraId="5B59ED62">
            <w:pPr>
              <w:jc w:val="center"/>
              <w:rPr>
                <w:rFonts w:ascii="Times New Roman" w:hAnsi="Times New Roman" w:eastAsia="宋体" w:cs="Times New Roman"/>
                <w:snapToGrid w:val="0"/>
                <w:kern w:val="0"/>
                <w:sz w:val="18"/>
                <w:szCs w:val="18"/>
              </w:rPr>
            </w:pPr>
          </w:p>
        </w:tc>
        <w:tc>
          <w:tcPr>
            <w:tcW w:w="834" w:type="pct"/>
            <w:vAlign w:val="center"/>
          </w:tcPr>
          <w:p w14:paraId="78DDB74B">
            <w:pPr>
              <w:jc w:val="center"/>
              <w:rPr>
                <w:rFonts w:ascii="Times New Roman" w:hAnsi="Times New Roman" w:eastAsia="宋体" w:cs="Times New Roman"/>
                <w:snapToGrid w:val="0"/>
                <w:kern w:val="0"/>
                <w:sz w:val="18"/>
                <w:szCs w:val="18"/>
              </w:rPr>
            </w:pPr>
          </w:p>
        </w:tc>
      </w:tr>
      <w:tr w14:paraId="1087B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continue"/>
            <w:vAlign w:val="center"/>
          </w:tcPr>
          <w:p w14:paraId="14B19294">
            <w:pPr>
              <w:jc w:val="center"/>
              <w:rPr>
                <w:rFonts w:ascii="Times New Roman" w:hAnsi="Times New Roman" w:eastAsia="宋体" w:cs="Times New Roman"/>
                <w:snapToGrid w:val="0"/>
                <w:kern w:val="0"/>
                <w:sz w:val="18"/>
                <w:szCs w:val="18"/>
              </w:rPr>
            </w:pPr>
          </w:p>
        </w:tc>
        <w:tc>
          <w:tcPr>
            <w:tcW w:w="682" w:type="pct"/>
            <w:vMerge w:val="continue"/>
            <w:vAlign w:val="center"/>
          </w:tcPr>
          <w:p w14:paraId="6A9F0803">
            <w:pPr>
              <w:jc w:val="center"/>
              <w:rPr>
                <w:rFonts w:ascii="Times New Roman" w:hAnsi="Times New Roman" w:eastAsia="宋体" w:cs="Times New Roman"/>
                <w:snapToGrid w:val="0"/>
                <w:kern w:val="0"/>
                <w:sz w:val="18"/>
                <w:szCs w:val="18"/>
              </w:rPr>
            </w:pPr>
          </w:p>
        </w:tc>
        <w:tc>
          <w:tcPr>
            <w:tcW w:w="944" w:type="pct"/>
            <w:vAlign w:val="center"/>
          </w:tcPr>
          <w:p w14:paraId="54E57D57">
            <w:pPr>
              <w:jc w:val="center"/>
              <w:rPr>
                <w:rFonts w:ascii="Times New Roman" w:hAnsi="Times New Roman" w:eastAsia="宋体" w:cs="Times New Roman"/>
                <w:snapToGrid w:val="0"/>
                <w:kern w:val="0"/>
                <w:sz w:val="18"/>
                <w:szCs w:val="18"/>
              </w:rPr>
            </w:pPr>
          </w:p>
        </w:tc>
        <w:tc>
          <w:tcPr>
            <w:tcW w:w="930" w:type="pct"/>
            <w:vAlign w:val="center"/>
          </w:tcPr>
          <w:p w14:paraId="3B90572E">
            <w:pPr>
              <w:jc w:val="center"/>
              <w:rPr>
                <w:rFonts w:ascii="Times New Roman" w:hAnsi="Times New Roman" w:eastAsia="宋体" w:cs="Times New Roman"/>
                <w:snapToGrid w:val="0"/>
                <w:kern w:val="0"/>
                <w:sz w:val="18"/>
                <w:szCs w:val="18"/>
              </w:rPr>
            </w:pPr>
          </w:p>
        </w:tc>
        <w:tc>
          <w:tcPr>
            <w:tcW w:w="454" w:type="pct"/>
            <w:vAlign w:val="center"/>
          </w:tcPr>
          <w:p w14:paraId="7370FA06">
            <w:pPr>
              <w:jc w:val="center"/>
              <w:rPr>
                <w:rFonts w:ascii="Times New Roman" w:hAnsi="Times New Roman" w:eastAsia="宋体" w:cs="Times New Roman"/>
                <w:snapToGrid w:val="0"/>
                <w:kern w:val="0"/>
                <w:sz w:val="18"/>
                <w:szCs w:val="18"/>
              </w:rPr>
            </w:pPr>
          </w:p>
        </w:tc>
        <w:tc>
          <w:tcPr>
            <w:tcW w:w="635" w:type="pct"/>
            <w:vAlign w:val="center"/>
          </w:tcPr>
          <w:p w14:paraId="05C3451C">
            <w:pPr>
              <w:jc w:val="center"/>
              <w:rPr>
                <w:rFonts w:ascii="Times New Roman" w:hAnsi="Times New Roman" w:eastAsia="宋体" w:cs="Times New Roman"/>
                <w:snapToGrid w:val="0"/>
                <w:kern w:val="0"/>
                <w:sz w:val="18"/>
                <w:szCs w:val="18"/>
              </w:rPr>
            </w:pPr>
          </w:p>
        </w:tc>
        <w:tc>
          <w:tcPr>
            <w:tcW w:w="834" w:type="pct"/>
            <w:vAlign w:val="center"/>
          </w:tcPr>
          <w:p w14:paraId="1B547235">
            <w:pPr>
              <w:jc w:val="center"/>
              <w:rPr>
                <w:rFonts w:ascii="Times New Roman" w:hAnsi="Times New Roman" w:eastAsia="宋体" w:cs="Times New Roman"/>
                <w:snapToGrid w:val="0"/>
                <w:kern w:val="0"/>
                <w:sz w:val="18"/>
                <w:szCs w:val="18"/>
              </w:rPr>
            </w:pPr>
          </w:p>
        </w:tc>
      </w:tr>
      <w:tr w14:paraId="2F4D9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restart"/>
            <w:vAlign w:val="center"/>
          </w:tcPr>
          <w:p w14:paraId="6E53A28A">
            <w:pPr>
              <w:jc w:val="center"/>
              <w:rPr>
                <w:rFonts w:ascii="Times New Roman" w:hAnsi="Times New Roman" w:eastAsia="宋体" w:cs="Times New Roman"/>
                <w:snapToGrid w:val="0"/>
                <w:kern w:val="0"/>
                <w:sz w:val="18"/>
                <w:szCs w:val="18"/>
              </w:rPr>
            </w:pPr>
            <w:r>
              <w:rPr>
                <w:rFonts w:hint="eastAsia" w:ascii="Times New Roman" w:hAnsi="Times New Roman" w:eastAsia="宋体" w:cs="Times New Roman"/>
                <w:snapToGrid w:val="0"/>
                <w:kern w:val="0"/>
                <w:sz w:val="18"/>
                <w:szCs w:val="18"/>
              </w:rPr>
              <w:t>4</w:t>
            </w:r>
          </w:p>
        </w:tc>
        <w:tc>
          <w:tcPr>
            <w:tcW w:w="682" w:type="pct"/>
            <w:vMerge w:val="restart"/>
            <w:vAlign w:val="center"/>
          </w:tcPr>
          <w:p w14:paraId="208E1E88">
            <w:pPr>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压缩机</w:t>
            </w:r>
          </w:p>
        </w:tc>
        <w:tc>
          <w:tcPr>
            <w:tcW w:w="944" w:type="pct"/>
            <w:vAlign w:val="center"/>
          </w:tcPr>
          <w:p w14:paraId="7031FAF6">
            <w:pPr>
              <w:jc w:val="center"/>
              <w:rPr>
                <w:rFonts w:ascii="Times New Roman" w:hAnsi="Times New Roman" w:eastAsia="宋体" w:cs="Times New Roman"/>
                <w:snapToGrid w:val="0"/>
                <w:kern w:val="0"/>
                <w:sz w:val="18"/>
                <w:szCs w:val="18"/>
              </w:rPr>
            </w:pPr>
          </w:p>
        </w:tc>
        <w:tc>
          <w:tcPr>
            <w:tcW w:w="930" w:type="pct"/>
            <w:vAlign w:val="center"/>
          </w:tcPr>
          <w:p w14:paraId="6CFA36F4">
            <w:pPr>
              <w:jc w:val="center"/>
              <w:rPr>
                <w:rFonts w:ascii="Times New Roman" w:hAnsi="Times New Roman" w:eastAsia="宋体" w:cs="Times New Roman"/>
                <w:snapToGrid w:val="0"/>
                <w:kern w:val="0"/>
                <w:sz w:val="18"/>
                <w:szCs w:val="18"/>
              </w:rPr>
            </w:pPr>
          </w:p>
        </w:tc>
        <w:tc>
          <w:tcPr>
            <w:tcW w:w="454" w:type="pct"/>
            <w:vAlign w:val="center"/>
          </w:tcPr>
          <w:p w14:paraId="1A6BDB4A">
            <w:pPr>
              <w:jc w:val="center"/>
              <w:rPr>
                <w:rFonts w:ascii="Times New Roman" w:hAnsi="Times New Roman" w:eastAsia="宋体" w:cs="Times New Roman"/>
                <w:snapToGrid w:val="0"/>
                <w:kern w:val="0"/>
                <w:sz w:val="18"/>
                <w:szCs w:val="18"/>
              </w:rPr>
            </w:pPr>
          </w:p>
        </w:tc>
        <w:tc>
          <w:tcPr>
            <w:tcW w:w="635" w:type="pct"/>
            <w:vAlign w:val="center"/>
          </w:tcPr>
          <w:p w14:paraId="4950BEB9">
            <w:pPr>
              <w:jc w:val="center"/>
              <w:rPr>
                <w:rFonts w:ascii="Times New Roman" w:hAnsi="Times New Roman" w:eastAsia="宋体" w:cs="Times New Roman"/>
                <w:snapToGrid w:val="0"/>
                <w:kern w:val="0"/>
                <w:sz w:val="18"/>
                <w:szCs w:val="18"/>
              </w:rPr>
            </w:pPr>
          </w:p>
        </w:tc>
        <w:tc>
          <w:tcPr>
            <w:tcW w:w="834" w:type="pct"/>
            <w:vAlign w:val="center"/>
          </w:tcPr>
          <w:p w14:paraId="43CD584F">
            <w:pPr>
              <w:jc w:val="center"/>
              <w:rPr>
                <w:rFonts w:ascii="Times New Roman" w:hAnsi="Times New Roman" w:eastAsia="宋体" w:cs="Times New Roman"/>
                <w:snapToGrid w:val="0"/>
                <w:kern w:val="0"/>
                <w:sz w:val="18"/>
                <w:szCs w:val="18"/>
              </w:rPr>
            </w:pPr>
          </w:p>
        </w:tc>
      </w:tr>
      <w:tr w14:paraId="1F730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66" w:hRule="atLeast"/>
          <w:jc w:val="center"/>
        </w:trPr>
        <w:tc>
          <w:tcPr>
            <w:tcW w:w="518" w:type="pct"/>
            <w:vMerge w:val="continue"/>
            <w:vAlign w:val="center"/>
          </w:tcPr>
          <w:p w14:paraId="692DFF0D">
            <w:pPr>
              <w:jc w:val="center"/>
              <w:rPr>
                <w:rFonts w:ascii="Times New Roman" w:hAnsi="Times New Roman" w:eastAsia="宋体" w:cs="Times New Roman"/>
                <w:snapToGrid w:val="0"/>
                <w:kern w:val="0"/>
                <w:sz w:val="18"/>
                <w:szCs w:val="18"/>
              </w:rPr>
            </w:pPr>
          </w:p>
        </w:tc>
        <w:tc>
          <w:tcPr>
            <w:tcW w:w="682" w:type="pct"/>
            <w:vMerge w:val="continue"/>
            <w:vAlign w:val="center"/>
          </w:tcPr>
          <w:p w14:paraId="19AECAEA">
            <w:pPr>
              <w:jc w:val="center"/>
              <w:rPr>
                <w:rFonts w:ascii="Times New Roman" w:hAnsi="Times New Roman" w:eastAsia="宋体" w:cs="Times New Roman"/>
                <w:snapToGrid w:val="0"/>
                <w:kern w:val="0"/>
                <w:sz w:val="18"/>
                <w:szCs w:val="18"/>
              </w:rPr>
            </w:pPr>
          </w:p>
        </w:tc>
        <w:tc>
          <w:tcPr>
            <w:tcW w:w="944" w:type="pct"/>
            <w:vAlign w:val="center"/>
          </w:tcPr>
          <w:p w14:paraId="0C4DD1F2">
            <w:pPr>
              <w:jc w:val="center"/>
              <w:rPr>
                <w:rFonts w:ascii="Times New Roman" w:hAnsi="Times New Roman" w:eastAsia="宋体" w:cs="Times New Roman"/>
                <w:snapToGrid w:val="0"/>
                <w:kern w:val="0"/>
                <w:sz w:val="18"/>
                <w:szCs w:val="18"/>
              </w:rPr>
            </w:pPr>
          </w:p>
        </w:tc>
        <w:tc>
          <w:tcPr>
            <w:tcW w:w="930" w:type="pct"/>
            <w:vAlign w:val="center"/>
          </w:tcPr>
          <w:p w14:paraId="3C852DF1">
            <w:pPr>
              <w:jc w:val="center"/>
              <w:rPr>
                <w:rFonts w:ascii="Times New Roman" w:hAnsi="Times New Roman" w:eastAsia="宋体" w:cs="Times New Roman"/>
                <w:snapToGrid w:val="0"/>
                <w:kern w:val="0"/>
                <w:sz w:val="18"/>
                <w:szCs w:val="18"/>
              </w:rPr>
            </w:pPr>
          </w:p>
        </w:tc>
        <w:tc>
          <w:tcPr>
            <w:tcW w:w="454" w:type="pct"/>
            <w:vAlign w:val="center"/>
          </w:tcPr>
          <w:p w14:paraId="5C0B6DFF">
            <w:pPr>
              <w:jc w:val="center"/>
              <w:rPr>
                <w:rFonts w:ascii="Times New Roman" w:hAnsi="Times New Roman" w:eastAsia="宋体" w:cs="Times New Roman"/>
                <w:snapToGrid w:val="0"/>
                <w:kern w:val="0"/>
                <w:sz w:val="18"/>
                <w:szCs w:val="18"/>
              </w:rPr>
            </w:pPr>
          </w:p>
        </w:tc>
        <w:tc>
          <w:tcPr>
            <w:tcW w:w="635" w:type="pct"/>
            <w:vAlign w:val="center"/>
          </w:tcPr>
          <w:p w14:paraId="46104F43">
            <w:pPr>
              <w:jc w:val="center"/>
              <w:rPr>
                <w:rFonts w:ascii="Times New Roman" w:hAnsi="Times New Roman" w:eastAsia="宋体" w:cs="Times New Roman"/>
                <w:snapToGrid w:val="0"/>
                <w:kern w:val="0"/>
                <w:sz w:val="18"/>
                <w:szCs w:val="18"/>
              </w:rPr>
            </w:pPr>
          </w:p>
        </w:tc>
        <w:tc>
          <w:tcPr>
            <w:tcW w:w="834" w:type="pct"/>
            <w:vAlign w:val="center"/>
          </w:tcPr>
          <w:p w14:paraId="6831DBDE">
            <w:pPr>
              <w:jc w:val="center"/>
              <w:rPr>
                <w:rFonts w:ascii="Times New Roman" w:hAnsi="Times New Roman" w:eastAsia="宋体" w:cs="Times New Roman"/>
                <w:snapToGrid w:val="0"/>
                <w:kern w:val="0"/>
                <w:sz w:val="18"/>
                <w:szCs w:val="18"/>
              </w:rPr>
            </w:pPr>
          </w:p>
        </w:tc>
      </w:tr>
      <w:tr w14:paraId="64B02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continue"/>
            <w:vAlign w:val="center"/>
          </w:tcPr>
          <w:p w14:paraId="5CF52C50">
            <w:pPr>
              <w:jc w:val="center"/>
              <w:rPr>
                <w:rFonts w:ascii="Times New Roman" w:hAnsi="Times New Roman" w:eastAsia="宋体" w:cs="Times New Roman"/>
                <w:snapToGrid w:val="0"/>
                <w:kern w:val="0"/>
                <w:sz w:val="18"/>
                <w:szCs w:val="18"/>
              </w:rPr>
            </w:pPr>
          </w:p>
        </w:tc>
        <w:tc>
          <w:tcPr>
            <w:tcW w:w="682" w:type="pct"/>
            <w:vMerge w:val="continue"/>
            <w:vAlign w:val="center"/>
          </w:tcPr>
          <w:p w14:paraId="486D4CC5">
            <w:pPr>
              <w:jc w:val="center"/>
              <w:rPr>
                <w:rFonts w:ascii="Times New Roman" w:hAnsi="Times New Roman" w:eastAsia="宋体" w:cs="Times New Roman"/>
                <w:snapToGrid w:val="0"/>
                <w:kern w:val="0"/>
                <w:sz w:val="18"/>
                <w:szCs w:val="18"/>
              </w:rPr>
            </w:pPr>
          </w:p>
        </w:tc>
        <w:tc>
          <w:tcPr>
            <w:tcW w:w="944" w:type="pct"/>
            <w:vAlign w:val="center"/>
          </w:tcPr>
          <w:p w14:paraId="39C67A89">
            <w:pPr>
              <w:jc w:val="center"/>
              <w:rPr>
                <w:rFonts w:ascii="Times New Roman" w:hAnsi="Times New Roman" w:eastAsia="宋体" w:cs="Times New Roman"/>
                <w:snapToGrid w:val="0"/>
                <w:kern w:val="0"/>
                <w:sz w:val="18"/>
                <w:szCs w:val="18"/>
              </w:rPr>
            </w:pPr>
          </w:p>
        </w:tc>
        <w:tc>
          <w:tcPr>
            <w:tcW w:w="930" w:type="pct"/>
            <w:vAlign w:val="center"/>
          </w:tcPr>
          <w:p w14:paraId="62E45233">
            <w:pPr>
              <w:jc w:val="center"/>
              <w:rPr>
                <w:rFonts w:ascii="Times New Roman" w:hAnsi="Times New Roman" w:eastAsia="宋体" w:cs="Times New Roman"/>
                <w:snapToGrid w:val="0"/>
                <w:kern w:val="0"/>
                <w:sz w:val="18"/>
                <w:szCs w:val="18"/>
              </w:rPr>
            </w:pPr>
          </w:p>
        </w:tc>
        <w:tc>
          <w:tcPr>
            <w:tcW w:w="454" w:type="pct"/>
            <w:vAlign w:val="center"/>
          </w:tcPr>
          <w:p w14:paraId="1D31FEDE">
            <w:pPr>
              <w:jc w:val="center"/>
              <w:rPr>
                <w:rFonts w:ascii="Times New Roman" w:hAnsi="Times New Roman" w:eastAsia="宋体" w:cs="Times New Roman"/>
                <w:snapToGrid w:val="0"/>
                <w:kern w:val="0"/>
                <w:sz w:val="18"/>
                <w:szCs w:val="18"/>
              </w:rPr>
            </w:pPr>
          </w:p>
        </w:tc>
        <w:tc>
          <w:tcPr>
            <w:tcW w:w="635" w:type="pct"/>
            <w:vAlign w:val="center"/>
          </w:tcPr>
          <w:p w14:paraId="4E6FE5F1">
            <w:pPr>
              <w:jc w:val="center"/>
              <w:rPr>
                <w:rFonts w:ascii="Times New Roman" w:hAnsi="Times New Roman" w:eastAsia="宋体" w:cs="Times New Roman"/>
                <w:snapToGrid w:val="0"/>
                <w:kern w:val="0"/>
                <w:sz w:val="18"/>
                <w:szCs w:val="18"/>
              </w:rPr>
            </w:pPr>
          </w:p>
        </w:tc>
        <w:tc>
          <w:tcPr>
            <w:tcW w:w="834" w:type="pct"/>
            <w:vAlign w:val="center"/>
          </w:tcPr>
          <w:p w14:paraId="4BC16E2B">
            <w:pPr>
              <w:jc w:val="center"/>
              <w:rPr>
                <w:rFonts w:ascii="Times New Roman" w:hAnsi="Times New Roman" w:eastAsia="宋体" w:cs="Times New Roman"/>
                <w:snapToGrid w:val="0"/>
                <w:kern w:val="0"/>
                <w:sz w:val="18"/>
                <w:szCs w:val="18"/>
              </w:rPr>
            </w:pPr>
          </w:p>
        </w:tc>
      </w:tr>
      <w:tr w14:paraId="21C92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66" w:hRule="atLeast"/>
          <w:jc w:val="center"/>
        </w:trPr>
        <w:tc>
          <w:tcPr>
            <w:tcW w:w="518" w:type="pct"/>
            <w:vMerge w:val="restart"/>
            <w:vAlign w:val="center"/>
          </w:tcPr>
          <w:p w14:paraId="2A212F45">
            <w:pPr>
              <w:jc w:val="center"/>
              <w:rPr>
                <w:rFonts w:ascii="Times New Roman" w:hAnsi="Times New Roman" w:eastAsia="宋体" w:cs="Times New Roman"/>
                <w:snapToGrid w:val="0"/>
                <w:kern w:val="0"/>
                <w:sz w:val="18"/>
                <w:szCs w:val="18"/>
              </w:rPr>
            </w:pPr>
            <w:r>
              <w:rPr>
                <w:rFonts w:hint="eastAsia" w:ascii="Times New Roman" w:hAnsi="Times New Roman" w:eastAsia="宋体" w:cs="Times New Roman"/>
                <w:snapToGrid w:val="0"/>
                <w:kern w:val="0"/>
                <w:sz w:val="18"/>
                <w:szCs w:val="18"/>
              </w:rPr>
              <w:t>5</w:t>
            </w:r>
          </w:p>
        </w:tc>
        <w:tc>
          <w:tcPr>
            <w:tcW w:w="682" w:type="pct"/>
            <w:vMerge w:val="restart"/>
            <w:vAlign w:val="center"/>
          </w:tcPr>
          <w:p w14:paraId="6FDD4EDD">
            <w:pPr>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加热炉</w:t>
            </w:r>
          </w:p>
        </w:tc>
        <w:tc>
          <w:tcPr>
            <w:tcW w:w="944" w:type="pct"/>
            <w:vAlign w:val="center"/>
          </w:tcPr>
          <w:p w14:paraId="18F98632">
            <w:pPr>
              <w:jc w:val="center"/>
              <w:rPr>
                <w:rFonts w:ascii="Times New Roman" w:hAnsi="Times New Roman" w:eastAsia="宋体" w:cs="Times New Roman"/>
                <w:snapToGrid w:val="0"/>
                <w:kern w:val="0"/>
                <w:sz w:val="18"/>
                <w:szCs w:val="18"/>
              </w:rPr>
            </w:pPr>
          </w:p>
        </w:tc>
        <w:tc>
          <w:tcPr>
            <w:tcW w:w="930" w:type="pct"/>
            <w:vAlign w:val="center"/>
          </w:tcPr>
          <w:p w14:paraId="24AB6DB3">
            <w:pPr>
              <w:jc w:val="center"/>
              <w:rPr>
                <w:rFonts w:ascii="Times New Roman" w:hAnsi="Times New Roman" w:eastAsia="宋体" w:cs="Times New Roman"/>
                <w:snapToGrid w:val="0"/>
                <w:kern w:val="0"/>
                <w:sz w:val="18"/>
                <w:szCs w:val="18"/>
              </w:rPr>
            </w:pPr>
          </w:p>
        </w:tc>
        <w:tc>
          <w:tcPr>
            <w:tcW w:w="454" w:type="pct"/>
            <w:vAlign w:val="center"/>
          </w:tcPr>
          <w:p w14:paraId="61CC3551">
            <w:pPr>
              <w:jc w:val="center"/>
              <w:rPr>
                <w:rFonts w:ascii="Times New Roman" w:hAnsi="Times New Roman" w:eastAsia="宋体" w:cs="Times New Roman"/>
                <w:snapToGrid w:val="0"/>
                <w:kern w:val="0"/>
                <w:sz w:val="18"/>
                <w:szCs w:val="18"/>
              </w:rPr>
            </w:pPr>
          </w:p>
        </w:tc>
        <w:tc>
          <w:tcPr>
            <w:tcW w:w="635" w:type="pct"/>
            <w:vAlign w:val="center"/>
          </w:tcPr>
          <w:p w14:paraId="355B9D82">
            <w:pPr>
              <w:jc w:val="center"/>
              <w:rPr>
                <w:rFonts w:ascii="Times New Roman" w:hAnsi="Times New Roman" w:eastAsia="宋体" w:cs="Times New Roman"/>
                <w:snapToGrid w:val="0"/>
                <w:kern w:val="0"/>
                <w:sz w:val="18"/>
                <w:szCs w:val="18"/>
              </w:rPr>
            </w:pPr>
          </w:p>
        </w:tc>
        <w:tc>
          <w:tcPr>
            <w:tcW w:w="834" w:type="pct"/>
            <w:vAlign w:val="center"/>
          </w:tcPr>
          <w:p w14:paraId="032385CA">
            <w:pPr>
              <w:jc w:val="center"/>
              <w:rPr>
                <w:rFonts w:ascii="Times New Roman" w:hAnsi="Times New Roman" w:eastAsia="宋体" w:cs="Times New Roman"/>
                <w:snapToGrid w:val="0"/>
                <w:kern w:val="0"/>
                <w:sz w:val="18"/>
                <w:szCs w:val="18"/>
              </w:rPr>
            </w:pPr>
          </w:p>
        </w:tc>
      </w:tr>
      <w:tr w14:paraId="63CA5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continue"/>
            <w:vAlign w:val="center"/>
          </w:tcPr>
          <w:p w14:paraId="63A667C4">
            <w:pPr>
              <w:jc w:val="center"/>
              <w:rPr>
                <w:rFonts w:ascii="Times New Roman" w:hAnsi="Times New Roman" w:eastAsia="宋体" w:cs="Times New Roman"/>
                <w:snapToGrid w:val="0"/>
                <w:kern w:val="0"/>
                <w:sz w:val="18"/>
                <w:szCs w:val="18"/>
              </w:rPr>
            </w:pPr>
          </w:p>
        </w:tc>
        <w:tc>
          <w:tcPr>
            <w:tcW w:w="682" w:type="pct"/>
            <w:vMerge w:val="continue"/>
            <w:vAlign w:val="center"/>
          </w:tcPr>
          <w:p w14:paraId="25091678">
            <w:pPr>
              <w:jc w:val="center"/>
              <w:rPr>
                <w:rFonts w:ascii="Times New Roman" w:hAnsi="Times New Roman" w:eastAsia="宋体" w:cs="Times New Roman"/>
                <w:snapToGrid w:val="0"/>
                <w:kern w:val="0"/>
                <w:sz w:val="18"/>
                <w:szCs w:val="18"/>
              </w:rPr>
            </w:pPr>
          </w:p>
        </w:tc>
        <w:tc>
          <w:tcPr>
            <w:tcW w:w="944" w:type="pct"/>
            <w:vAlign w:val="center"/>
          </w:tcPr>
          <w:p w14:paraId="3D5FA5C2">
            <w:pPr>
              <w:jc w:val="center"/>
              <w:rPr>
                <w:rFonts w:ascii="Times New Roman" w:hAnsi="Times New Roman" w:eastAsia="宋体" w:cs="Times New Roman"/>
                <w:snapToGrid w:val="0"/>
                <w:kern w:val="0"/>
                <w:sz w:val="18"/>
                <w:szCs w:val="18"/>
              </w:rPr>
            </w:pPr>
          </w:p>
        </w:tc>
        <w:tc>
          <w:tcPr>
            <w:tcW w:w="930" w:type="pct"/>
            <w:vAlign w:val="center"/>
          </w:tcPr>
          <w:p w14:paraId="5BFEAEDA">
            <w:pPr>
              <w:jc w:val="center"/>
              <w:rPr>
                <w:rFonts w:ascii="Times New Roman" w:hAnsi="Times New Roman" w:eastAsia="宋体" w:cs="Times New Roman"/>
                <w:snapToGrid w:val="0"/>
                <w:kern w:val="0"/>
                <w:sz w:val="18"/>
                <w:szCs w:val="18"/>
              </w:rPr>
            </w:pPr>
          </w:p>
        </w:tc>
        <w:tc>
          <w:tcPr>
            <w:tcW w:w="454" w:type="pct"/>
            <w:vAlign w:val="center"/>
          </w:tcPr>
          <w:p w14:paraId="7121F2F6">
            <w:pPr>
              <w:jc w:val="center"/>
              <w:rPr>
                <w:rFonts w:ascii="Times New Roman" w:hAnsi="Times New Roman" w:eastAsia="宋体" w:cs="Times New Roman"/>
                <w:snapToGrid w:val="0"/>
                <w:kern w:val="0"/>
                <w:sz w:val="18"/>
                <w:szCs w:val="18"/>
              </w:rPr>
            </w:pPr>
          </w:p>
        </w:tc>
        <w:tc>
          <w:tcPr>
            <w:tcW w:w="635" w:type="pct"/>
            <w:vAlign w:val="center"/>
          </w:tcPr>
          <w:p w14:paraId="0182896B">
            <w:pPr>
              <w:jc w:val="center"/>
              <w:rPr>
                <w:rFonts w:ascii="Times New Roman" w:hAnsi="Times New Roman" w:eastAsia="宋体" w:cs="Times New Roman"/>
                <w:snapToGrid w:val="0"/>
                <w:kern w:val="0"/>
                <w:sz w:val="18"/>
                <w:szCs w:val="18"/>
              </w:rPr>
            </w:pPr>
          </w:p>
        </w:tc>
        <w:tc>
          <w:tcPr>
            <w:tcW w:w="834" w:type="pct"/>
            <w:vAlign w:val="center"/>
          </w:tcPr>
          <w:p w14:paraId="38302C42">
            <w:pPr>
              <w:jc w:val="center"/>
              <w:rPr>
                <w:rFonts w:ascii="Times New Roman" w:hAnsi="Times New Roman" w:eastAsia="宋体" w:cs="Times New Roman"/>
                <w:snapToGrid w:val="0"/>
                <w:kern w:val="0"/>
                <w:sz w:val="18"/>
                <w:szCs w:val="18"/>
              </w:rPr>
            </w:pPr>
          </w:p>
        </w:tc>
      </w:tr>
      <w:tr w14:paraId="48CCA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32" w:hRule="atLeast"/>
          <w:jc w:val="center"/>
        </w:trPr>
        <w:tc>
          <w:tcPr>
            <w:tcW w:w="518" w:type="pct"/>
            <w:vMerge w:val="continue"/>
            <w:vAlign w:val="center"/>
          </w:tcPr>
          <w:p w14:paraId="4E3E62E7">
            <w:pPr>
              <w:jc w:val="center"/>
              <w:rPr>
                <w:rFonts w:ascii="Times New Roman" w:hAnsi="Times New Roman" w:eastAsia="宋体" w:cs="Times New Roman"/>
                <w:snapToGrid w:val="0"/>
                <w:kern w:val="0"/>
                <w:sz w:val="18"/>
                <w:szCs w:val="18"/>
              </w:rPr>
            </w:pPr>
          </w:p>
        </w:tc>
        <w:tc>
          <w:tcPr>
            <w:tcW w:w="682" w:type="pct"/>
            <w:vMerge w:val="continue"/>
            <w:vAlign w:val="center"/>
          </w:tcPr>
          <w:p w14:paraId="7B07872D">
            <w:pPr>
              <w:jc w:val="center"/>
              <w:rPr>
                <w:rFonts w:ascii="Times New Roman" w:hAnsi="Times New Roman" w:eastAsia="宋体" w:cs="Times New Roman"/>
                <w:snapToGrid w:val="0"/>
                <w:kern w:val="0"/>
                <w:sz w:val="18"/>
                <w:szCs w:val="18"/>
              </w:rPr>
            </w:pPr>
          </w:p>
        </w:tc>
        <w:tc>
          <w:tcPr>
            <w:tcW w:w="944" w:type="pct"/>
            <w:vAlign w:val="center"/>
          </w:tcPr>
          <w:p w14:paraId="7733B277">
            <w:pPr>
              <w:jc w:val="center"/>
              <w:rPr>
                <w:rFonts w:ascii="Times New Roman" w:hAnsi="Times New Roman" w:eastAsia="宋体" w:cs="Times New Roman"/>
                <w:snapToGrid w:val="0"/>
                <w:kern w:val="0"/>
                <w:sz w:val="18"/>
                <w:szCs w:val="18"/>
              </w:rPr>
            </w:pPr>
          </w:p>
        </w:tc>
        <w:tc>
          <w:tcPr>
            <w:tcW w:w="930" w:type="pct"/>
            <w:vAlign w:val="center"/>
          </w:tcPr>
          <w:p w14:paraId="794EAED3">
            <w:pPr>
              <w:jc w:val="center"/>
              <w:rPr>
                <w:rFonts w:ascii="Times New Roman" w:hAnsi="Times New Roman" w:eastAsia="宋体" w:cs="Times New Roman"/>
                <w:snapToGrid w:val="0"/>
                <w:kern w:val="0"/>
                <w:sz w:val="18"/>
                <w:szCs w:val="18"/>
              </w:rPr>
            </w:pPr>
          </w:p>
        </w:tc>
        <w:tc>
          <w:tcPr>
            <w:tcW w:w="454" w:type="pct"/>
            <w:vAlign w:val="center"/>
          </w:tcPr>
          <w:p w14:paraId="2044CACF">
            <w:pPr>
              <w:jc w:val="center"/>
              <w:rPr>
                <w:rFonts w:ascii="Times New Roman" w:hAnsi="Times New Roman" w:eastAsia="宋体" w:cs="Times New Roman"/>
                <w:snapToGrid w:val="0"/>
                <w:kern w:val="0"/>
                <w:sz w:val="18"/>
                <w:szCs w:val="18"/>
              </w:rPr>
            </w:pPr>
          </w:p>
        </w:tc>
        <w:tc>
          <w:tcPr>
            <w:tcW w:w="635" w:type="pct"/>
            <w:vAlign w:val="center"/>
          </w:tcPr>
          <w:p w14:paraId="08BC90A6">
            <w:pPr>
              <w:jc w:val="center"/>
              <w:rPr>
                <w:rFonts w:ascii="Times New Roman" w:hAnsi="Times New Roman" w:eastAsia="宋体" w:cs="Times New Roman"/>
                <w:snapToGrid w:val="0"/>
                <w:kern w:val="0"/>
                <w:sz w:val="18"/>
                <w:szCs w:val="18"/>
              </w:rPr>
            </w:pPr>
          </w:p>
        </w:tc>
        <w:tc>
          <w:tcPr>
            <w:tcW w:w="834" w:type="pct"/>
            <w:vAlign w:val="center"/>
          </w:tcPr>
          <w:p w14:paraId="1D01B768">
            <w:pPr>
              <w:jc w:val="center"/>
              <w:rPr>
                <w:rFonts w:ascii="Times New Roman" w:hAnsi="Times New Roman" w:eastAsia="宋体" w:cs="Times New Roman"/>
                <w:snapToGrid w:val="0"/>
                <w:kern w:val="0"/>
                <w:sz w:val="18"/>
                <w:szCs w:val="18"/>
              </w:rPr>
            </w:pPr>
          </w:p>
        </w:tc>
      </w:tr>
      <w:tr w14:paraId="687D2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597" w:hRule="atLeast"/>
          <w:jc w:val="center"/>
        </w:trPr>
        <w:tc>
          <w:tcPr>
            <w:tcW w:w="518" w:type="pct"/>
            <w:vAlign w:val="center"/>
          </w:tcPr>
          <w:p w14:paraId="3575CA0C">
            <w:pPr>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w:t>
            </w:r>
          </w:p>
        </w:tc>
        <w:tc>
          <w:tcPr>
            <w:tcW w:w="682" w:type="pct"/>
            <w:vAlign w:val="center"/>
          </w:tcPr>
          <w:p w14:paraId="641A1228">
            <w:pPr>
              <w:jc w:val="center"/>
              <w:rPr>
                <w:rFonts w:ascii="Times New Roman" w:hAnsi="Times New Roman" w:eastAsia="宋体" w:cs="Times New Roman"/>
                <w:snapToGrid w:val="0"/>
                <w:kern w:val="0"/>
                <w:sz w:val="18"/>
                <w:szCs w:val="18"/>
              </w:rPr>
            </w:pPr>
          </w:p>
        </w:tc>
        <w:tc>
          <w:tcPr>
            <w:tcW w:w="944" w:type="pct"/>
            <w:vAlign w:val="center"/>
          </w:tcPr>
          <w:p w14:paraId="57BDE09C">
            <w:pPr>
              <w:jc w:val="center"/>
              <w:rPr>
                <w:rFonts w:ascii="Times New Roman" w:hAnsi="Times New Roman" w:eastAsia="宋体" w:cs="Times New Roman"/>
                <w:snapToGrid w:val="0"/>
                <w:kern w:val="0"/>
                <w:sz w:val="18"/>
                <w:szCs w:val="18"/>
              </w:rPr>
            </w:pPr>
          </w:p>
        </w:tc>
        <w:tc>
          <w:tcPr>
            <w:tcW w:w="930" w:type="pct"/>
            <w:vAlign w:val="center"/>
          </w:tcPr>
          <w:p w14:paraId="598CE3FB">
            <w:pPr>
              <w:jc w:val="center"/>
              <w:rPr>
                <w:rFonts w:ascii="Times New Roman" w:hAnsi="Times New Roman" w:eastAsia="宋体" w:cs="Times New Roman"/>
                <w:snapToGrid w:val="0"/>
                <w:kern w:val="0"/>
                <w:sz w:val="18"/>
                <w:szCs w:val="18"/>
              </w:rPr>
            </w:pPr>
          </w:p>
        </w:tc>
        <w:tc>
          <w:tcPr>
            <w:tcW w:w="454" w:type="pct"/>
            <w:vAlign w:val="center"/>
          </w:tcPr>
          <w:p w14:paraId="1ECEE6F3">
            <w:pPr>
              <w:jc w:val="center"/>
              <w:rPr>
                <w:rFonts w:ascii="Times New Roman" w:hAnsi="Times New Roman" w:eastAsia="宋体" w:cs="Times New Roman"/>
                <w:snapToGrid w:val="0"/>
                <w:kern w:val="0"/>
                <w:sz w:val="18"/>
                <w:szCs w:val="18"/>
              </w:rPr>
            </w:pPr>
          </w:p>
        </w:tc>
        <w:tc>
          <w:tcPr>
            <w:tcW w:w="635" w:type="pct"/>
            <w:vAlign w:val="center"/>
          </w:tcPr>
          <w:p w14:paraId="6E5476F0">
            <w:pPr>
              <w:jc w:val="center"/>
              <w:rPr>
                <w:rFonts w:ascii="Times New Roman" w:hAnsi="Times New Roman" w:eastAsia="宋体" w:cs="Times New Roman"/>
                <w:snapToGrid w:val="0"/>
                <w:kern w:val="0"/>
                <w:sz w:val="18"/>
                <w:szCs w:val="18"/>
              </w:rPr>
            </w:pPr>
          </w:p>
        </w:tc>
        <w:tc>
          <w:tcPr>
            <w:tcW w:w="834" w:type="pct"/>
            <w:vAlign w:val="center"/>
          </w:tcPr>
          <w:p w14:paraId="24FA82C4">
            <w:pPr>
              <w:jc w:val="center"/>
              <w:rPr>
                <w:rFonts w:ascii="Times New Roman" w:hAnsi="Times New Roman" w:eastAsia="宋体" w:cs="Times New Roman"/>
                <w:snapToGrid w:val="0"/>
                <w:kern w:val="0"/>
                <w:sz w:val="18"/>
                <w:szCs w:val="18"/>
              </w:rPr>
            </w:pPr>
          </w:p>
        </w:tc>
      </w:tr>
    </w:tbl>
    <w:p w14:paraId="56537D26">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设计变更情况分析</w:t>
      </w:r>
    </w:p>
    <w:tbl>
      <w:tblPr>
        <w:tblStyle w:val="24"/>
        <w:tblW w:w="51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996"/>
        <w:gridCol w:w="1507"/>
        <w:gridCol w:w="1429"/>
        <w:gridCol w:w="3292"/>
        <w:gridCol w:w="1919"/>
      </w:tblGrid>
      <w:tr w14:paraId="18D2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380" w:type="pct"/>
            <w:vAlign w:val="center"/>
          </w:tcPr>
          <w:p w14:paraId="70422C86">
            <w:pPr>
              <w:widowControl/>
              <w:jc w:val="center"/>
              <w:textAlignment w:val="baseline"/>
              <w:rPr>
                <w:rFonts w:ascii="Times New Roman" w:hAnsi="Times New Roman" w:eastAsia="宋体" w:cs="Times New Roman"/>
                <w:kern w:val="0"/>
                <w:sz w:val="18"/>
                <w:szCs w:val="18"/>
                <w:u w:color="000000"/>
              </w:rPr>
            </w:pPr>
            <w:r>
              <w:rPr>
                <w:rFonts w:ascii="Times New Roman" w:hAnsi="Times New Roman" w:eastAsia="宋体" w:cs="Times New Roman"/>
                <w:kern w:val="0"/>
                <w:sz w:val="18"/>
                <w:szCs w:val="18"/>
                <w:u w:color="000000"/>
              </w:rPr>
              <w:t>序号</w:t>
            </w:r>
          </w:p>
        </w:tc>
        <w:tc>
          <w:tcPr>
            <w:tcW w:w="503" w:type="pct"/>
            <w:vAlign w:val="center"/>
          </w:tcPr>
          <w:p w14:paraId="6E2D345D">
            <w:pPr>
              <w:widowControl/>
              <w:jc w:val="center"/>
              <w:textAlignment w:val="baseline"/>
              <w:rPr>
                <w:rFonts w:ascii="Times New Roman" w:hAnsi="Times New Roman" w:eastAsia="宋体" w:cs="Times New Roman"/>
                <w:kern w:val="0"/>
                <w:sz w:val="18"/>
                <w:szCs w:val="18"/>
                <w:u w:color="000000"/>
              </w:rPr>
            </w:pPr>
            <w:r>
              <w:rPr>
                <w:rFonts w:ascii="Times New Roman" w:hAnsi="Times New Roman" w:eastAsia="宋体" w:cs="Times New Roman"/>
                <w:kern w:val="0"/>
                <w:sz w:val="18"/>
                <w:szCs w:val="18"/>
                <w:u w:color="000000"/>
              </w:rPr>
              <w:t>变更项</w:t>
            </w:r>
          </w:p>
        </w:tc>
        <w:tc>
          <w:tcPr>
            <w:tcW w:w="761" w:type="pct"/>
            <w:vAlign w:val="center"/>
          </w:tcPr>
          <w:p w14:paraId="4622C5E0">
            <w:pPr>
              <w:widowControl/>
              <w:jc w:val="center"/>
              <w:textAlignment w:val="baseline"/>
              <w:rPr>
                <w:rFonts w:ascii="Times New Roman" w:hAnsi="Times New Roman" w:eastAsia="宋体" w:cs="Times New Roman"/>
                <w:kern w:val="0"/>
                <w:sz w:val="18"/>
                <w:szCs w:val="18"/>
                <w:u w:color="000000"/>
              </w:rPr>
            </w:pPr>
            <w:r>
              <w:rPr>
                <w:rFonts w:ascii="Times New Roman" w:hAnsi="Times New Roman" w:eastAsia="宋体" w:cs="Times New Roman"/>
                <w:kern w:val="0"/>
                <w:sz w:val="18"/>
                <w:szCs w:val="18"/>
                <w:u w:color="000000"/>
              </w:rPr>
              <w:t>变更方案描述</w:t>
            </w:r>
          </w:p>
        </w:tc>
        <w:tc>
          <w:tcPr>
            <w:tcW w:w="722" w:type="pct"/>
            <w:vAlign w:val="center"/>
          </w:tcPr>
          <w:p w14:paraId="21D7BF39">
            <w:pPr>
              <w:widowControl/>
              <w:jc w:val="center"/>
              <w:textAlignment w:val="baseline"/>
              <w:rPr>
                <w:rFonts w:ascii="Times New Roman" w:hAnsi="Times New Roman" w:eastAsia="宋体" w:cs="Times New Roman"/>
                <w:kern w:val="0"/>
                <w:sz w:val="18"/>
                <w:szCs w:val="18"/>
                <w:u w:color="000000"/>
              </w:rPr>
            </w:pPr>
            <w:r>
              <w:rPr>
                <w:rFonts w:ascii="Times New Roman" w:hAnsi="Times New Roman" w:eastAsia="宋体" w:cs="Times New Roman"/>
                <w:kern w:val="0"/>
                <w:sz w:val="18"/>
                <w:szCs w:val="18"/>
                <w:u w:color="000000"/>
              </w:rPr>
              <w:t>变更原因</w:t>
            </w:r>
          </w:p>
        </w:tc>
        <w:tc>
          <w:tcPr>
            <w:tcW w:w="1663" w:type="pct"/>
            <w:vAlign w:val="center"/>
          </w:tcPr>
          <w:p w14:paraId="169BC93F">
            <w:pPr>
              <w:widowControl/>
              <w:jc w:val="center"/>
              <w:textAlignment w:val="baseline"/>
              <w:rPr>
                <w:rFonts w:ascii="Times New Roman" w:hAnsi="Times New Roman" w:eastAsia="宋体" w:cs="Times New Roman"/>
                <w:kern w:val="0"/>
                <w:sz w:val="18"/>
                <w:szCs w:val="18"/>
                <w:u w:color="000000"/>
              </w:rPr>
            </w:pPr>
            <w:r>
              <w:rPr>
                <w:rFonts w:ascii="Times New Roman" w:hAnsi="Times New Roman" w:eastAsia="宋体" w:cs="Times New Roman"/>
                <w:kern w:val="0"/>
                <w:sz w:val="18"/>
                <w:szCs w:val="18"/>
                <w:u w:color="000000"/>
              </w:rPr>
              <w:t>危险有害因素辨识</w:t>
            </w:r>
          </w:p>
        </w:tc>
        <w:tc>
          <w:tcPr>
            <w:tcW w:w="969" w:type="pct"/>
            <w:vAlign w:val="center"/>
          </w:tcPr>
          <w:p w14:paraId="1EC6A757">
            <w:pPr>
              <w:widowControl/>
              <w:jc w:val="center"/>
              <w:textAlignment w:val="baseline"/>
              <w:rPr>
                <w:rFonts w:ascii="Times New Roman" w:hAnsi="Times New Roman" w:eastAsia="宋体" w:cs="Times New Roman"/>
                <w:kern w:val="0"/>
                <w:sz w:val="18"/>
                <w:szCs w:val="18"/>
                <w:u w:color="000000"/>
              </w:rPr>
            </w:pPr>
            <w:r>
              <w:rPr>
                <w:rFonts w:ascii="Times New Roman" w:hAnsi="Times New Roman" w:eastAsia="宋体" w:cs="Times New Roman"/>
                <w:kern w:val="0"/>
                <w:sz w:val="18"/>
                <w:szCs w:val="18"/>
                <w:u w:color="000000"/>
              </w:rPr>
              <w:t>安全措施</w:t>
            </w:r>
          </w:p>
        </w:tc>
      </w:tr>
      <w:tr w14:paraId="3F9B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jc w:val="center"/>
        </w:trPr>
        <w:tc>
          <w:tcPr>
            <w:tcW w:w="380" w:type="pct"/>
            <w:vAlign w:val="center"/>
          </w:tcPr>
          <w:p w14:paraId="1B22D928">
            <w:pPr>
              <w:pStyle w:val="82"/>
              <w:spacing w:line="240" w:lineRule="exact"/>
              <w:ind w:left="-80" w:right="-69"/>
              <w:rPr>
                <w:sz w:val="18"/>
                <w:szCs w:val="18"/>
              </w:rPr>
            </w:pPr>
            <w:r>
              <w:rPr>
                <w:sz w:val="18"/>
                <w:szCs w:val="18"/>
              </w:rPr>
              <w:t>1</w:t>
            </w:r>
          </w:p>
        </w:tc>
        <w:tc>
          <w:tcPr>
            <w:tcW w:w="503" w:type="pct"/>
            <w:vAlign w:val="center"/>
          </w:tcPr>
          <w:p w14:paraId="1DC31F3C">
            <w:pPr>
              <w:pStyle w:val="83"/>
              <w:adjustRightInd w:val="0"/>
              <w:snapToGrid w:val="0"/>
              <w:spacing w:line="240" w:lineRule="exact"/>
              <w:rPr>
                <w:i/>
                <w:iCs/>
              </w:rPr>
            </w:pPr>
          </w:p>
        </w:tc>
        <w:tc>
          <w:tcPr>
            <w:tcW w:w="761" w:type="pct"/>
            <w:vAlign w:val="center"/>
          </w:tcPr>
          <w:p w14:paraId="32EE4A90">
            <w:pPr>
              <w:pStyle w:val="83"/>
              <w:adjustRightInd w:val="0"/>
              <w:snapToGrid w:val="0"/>
              <w:spacing w:line="240" w:lineRule="exact"/>
              <w:rPr>
                <w:i/>
                <w:iCs/>
              </w:rPr>
            </w:pPr>
          </w:p>
        </w:tc>
        <w:tc>
          <w:tcPr>
            <w:tcW w:w="722" w:type="pct"/>
            <w:vAlign w:val="center"/>
          </w:tcPr>
          <w:p w14:paraId="35D92490">
            <w:pPr>
              <w:pStyle w:val="83"/>
              <w:adjustRightInd w:val="0"/>
              <w:snapToGrid w:val="0"/>
              <w:spacing w:line="240" w:lineRule="exact"/>
              <w:jc w:val="left"/>
              <w:rPr>
                <w:i/>
                <w:iCs/>
              </w:rPr>
            </w:pPr>
          </w:p>
        </w:tc>
        <w:tc>
          <w:tcPr>
            <w:tcW w:w="1663" w:type="pct"/>
            <w:vAlign w:val="center"/>
          </w:tcPr>
          <w:p w14:paraId="69E05AF7">
            <w:pPr>
              <w:pStyle w:val="83"/>
              <w:adjustRightInd w:val="0"/>
              <w:snapToGrid w:val="0"/>
              <w:spacing w:line="240" w:lineRule="exact"/>
              <w:jc w:val="left"/>
              <w:rPr>
                <w:i/>
                <w:iCs/>
              </w:rPr>
            </w:pPr>
          </w:p>
        </w:tc>
        <w:tc>
          <w:tcPr>
            <w:tcW w:w="969" w:type="pct"/>
            <w:vAlign w:val="center"/>
          </w:tcPr>
          <w:p w14:paraId="706B7052">
            <w:pPr>
              <w:pStyle w:val="83"/>
              <w:adjustRightInd w:val="0"/>
              <w:snapToGrid w:val="0"/>
              <w:spacing w:line="240" w:lineRule="exact"/>
              <w:jc w:val="left"/>
              <w:rPr>
                <w:i/>
                <w:iCs/>
              </w:rPr>
            </w:pPr>
          </w:p>
        </w:tc>
      </w:tr>
      <w:tr w14:paraId="1FC5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380" w:type="pct"/>
            <w:vAlign w:val="center"/>
          </w:tcPr>
          <w:p w14:paraId="4FA12C89">
            <w:pPr>
              <w:pStyle w:val="82"/>
              <w:spacing w:line="240" w:lineRule="exact"/>
              <w:ind w:left="-80" w:right="-69"/>
              <w:rPr>
                <w:sz w:val="18"/>
                <w:szCs w:val="18"/>
              </w:rPr>
            </w:pPr>
            <w:r>
              <w:rPr>
                <w:kern w:val="0"/>
                <w:sz w:val="18"/>
                <w:szCs w:val="18"/>
              </w:rPr>
              <w:t>…</w:t>
            </w:r>
          </w:p>
        </w:tc>
        <w:tc>
          <w:tcPr>
            <w:tcW w:w="503" w:type="pct"/>
            <w:vAlign w:val="center"/>
          </w:tcPr>
          <w:p w14:paraId="16A7A193">
            <w:pPr>
              <w:pStyle w:val="82"/>
              <w:spacing w:line="240" w:lineRule="exact"/>
              <w:ind w:left="-80" w:right="-69"/>
              <w:rPr>
                <w:sz w:val="18"/>
                <w:szCs w:val="18"/>
              </w:rPr>
            </w:pPr>
          </w:p>
        </w:tc>
        <w:tc>
          <w:tcPr>
            <w:tcW w:w="761" w:type="pct"/>
            <w:vAlign w:val="center"/>
          </w:tcPr>
          <w:p w14:paraId="68AD025A">
            <w:pPr>
              <w:pStyle w:val="82"/>
              <w:spacing w:line="240" w:lineRule="exact"/>
              <w:ind w:left="-80" w:right="-69"/>
              <w:rPr>
                <w:sz w:val="18"/>
                <w:szCs w:val="18"/>
              </w:rPr>
            </w:pPr>
          </w:p>
        </w:tc>
        <w:tc>
          <w:tcPr>
            <w:tcW w:w="722" w:type="pct"/>
            <w:vAlign w:val="center"/>
          </w:tcPr>
          <w:p w14:paraId="67A99529">
            <w:pPr>
              <w:pStyle w:val="82"/>
              <w:spacing w:line="240" w:lineRule="exact"/>
              <w:ind w:left="-80" w:right="-69"/>
              <w:rPr>
                <w:sz w:val="18"/>
                <w:szCs w:val="18"/>
              </w:rPr>
            </w:pPr>
          </w:p>
        </w:tc>
        <w:tc>
          <w:tcPr>
            <w:tcW w:w="1663" w:type="pct"/>
            <w:vAlign w:val="center"/>
          </w:tcPr>
          <w:p w14:paraId="0388557D">
            <w:pPr>
              <w:pStyle w:val="82"/>
              <w:spacing w:line="240" w:lineRule="exact"/>
              <w:ind w:left="-80" w:right="-69"/>
              <w:rPr>
                <w:sz w:val="18"/>
                <w:szCs w:val="18"/>
              </w:rPr>
            </w:pPr>
          </w:p>
        </w:tc>
        <w:tc>
          <w:tcPr>
            <w:tcW w:w="969" w:type="pct"/>
            <w:vAlign w:val="center"/>
          </w:tcPr>
          <w:p w14:paraId="29A73EBA">
            <w:pPr>
              <w:pStyle w:val="82"/>
              <w:spacing w:line="240" w:lineRule="exact"/>
              <w:ind w:left="-80" w:right="-69"/>
              <w:rPr>
                <w:sz w:val="18"/>
                <w:szCs w:val="18"/>
              </w:rPr>
            </w:pPr>
          </w:p>
        </w:tc>
      </w:tr>
    </w:tbl>
    <w:p w14:paraId="78FBF92C">
      <w:pPr>
        <w:rPr>
          <w:rFonts w:ascii="Times New Roman" w:hAnsi="Times New Roman" w:eastAsia="黑体" w:cs="Times New Roman"/>
          <w:szCs w:val="21"/>
        </w:rPr>
      </w:pPr>
      <w:r>
        <w:rPr>
          <w:rFonts w:ascii="Times New Roman" w:hAnsi="Times New Roman" w:eastAsia="黑体" w:cs="Times New Roman"/>
          <w:szCs w:val="21"/>
        </w:rPr>
        <w:br w:type="page"/>
      </w:r>
    </w:p>
    <w:p w14:paraId="575B12B3">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站场与周边设施防火间距合规性一览表（单位：m）</w:t>
      </w:r>
    </w:p>
    <w:tbl>
      <w:tblPr>
        <w:tblStyle w:val="24"/>
        <w:tblW w:w="9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322"/>
        <w:gridCol w:w="1459"/>
        <w:gridCol w:w="1121"/>
        <w:gridCol w:w="1009"/>
        <w:gridCol w:w="626"/>
        <w:gridCol w:w="1151"/>
        <w:gridCol w:w="1171"/>
        <w:gridCol w:w="793"/>
      </w:tblGrid>
      <w:tr w14:paraId="4156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blHeader/>
          <w:jc w:val="center"/>
        </w:trPr>
        <w:tc>
          <w:tcPr>
            <w:tcW w:w="923" w:type="dxa"/>
            <w:vAlign w:val="center"/>
          </w:tcPr>
          <w:p w14:paraId="1A0008DE">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站场</w:t>
            </w:r>
          </w:p>
          <w:p w14:paraId="5EB86D2E">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名称</w:t>
            </w:r>
          </w:p>
        </w:tc>
        <w:tc>
          <w:tcPr>
            <w:tcW w:w="1322" w:type="dxa"/>
            <w:vAlign w:val="center"/>
          </w:tcPr>
          <w:p w14:paraId="1A44825E">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类型</w:t>
            </w:r>
          </w:p>
        </w:tc>
        <w:tc>
          <w:tcPr>
            <w:tcW w:w="1459" w:type="dxa"/>
            <w:vAlign w:val="center"/>
          </w:tcPr>
          <w:p w14:paraId="3AB442EF">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100人以上居住区、村镇、公共福利设施</w:t>
            </w:r>
          </w:p>
        </w:tc>
        <w:tc>
          <w:tcPr>
            <w:tcW w:w="1121" w:type="dxa"/>
            <w:vAlign w:val="center"/>
          </w:tcPr>
          <w:p w14:paraId="158E9732">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100人以下的散居房屋</w:t>
            </w:r>
          </w:p>
        </w:tc>
        <w:tc>
          <w:tcPr>
            <w:tcW w:w="1009" w:type="dxa"/>
            <w:vAlign w:val="center"/>
          </w:tcPr>
          <w:p w14:paraId="7FC4D9DC">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相邻</w:t>
            </w:r>
          </w:p>
          <w:p w14:paraId="1FFD8C34">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厂矿企业</w:t>
            </w:r>
          </w:p>
        </w:tc>
        <w:tc>
          <w:tcPr>
            <w:tcW w:w="626" w:type="dxa"/>
            <w:vAlign w:val="center"/>
          </w:tcPr>
          <w:p w14:paraId="710F7C86">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公路/</w:t>
            </w:r>
          </w:p>
          <w:p w14:paraId="6A0EFA6C">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铁路</w:t>
            </w:r>
          </w:p>
        </w:tc>
        <w:tc>
          <w:tcPr>
            <w:tcW w:w="1151" w:type="dxa"/>
            <w:vAlign w:val="center"/>
          </w:tcPr>
          <w:p w14:paraId="6FB5A034">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架空电力线</w:t>
            </w:r>
          </w:p>
        </w:tc>
        <w:tc>
          <w:tcPr>
            <w:tcW w:w="1171" w:type="dxa"/>
            <w:vAlign w:val="center"/>
          </w:tcPr>
          <w:p w14:paraId="37A4FD69">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其他通信线</w:t>
            </w:r>
          </w:p>
        </w:tc>
        <w:tc>
          <w:tcPr>
            <w:tcW w:w="793" w:type="dxa"/>
            <w:vAlign w:val="center"/>
          </w:tcPr>
          <w:p w14:paraId="13B3D3D0">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危险品仓库/</w:t>
            </w:r>
          </w:p>
          <w:p w14:paraId="3D9E1A64">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爆炸作业场地</w:t>
            </w:r>
          </w:p>
        </w:tc>
      </w:tr>
      <w:tr w14:paraId="3FF8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923" w:type="dxa"/>
            <w:vMerge w:val="restart"/>
            <w:vAlign w:val="center"/>
          </w:tcPr>
          <w:p w14:paraId="5633A0EE">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XX处理厂</w:t>
            </w:r>
          </w:p>
        </w:tc>
        <w:tc>
          <w:tcPr>
            <w:tcW w:w="1322" w:type="dxa"/>
            <w:vAlign w:val="center"/>
          </w:tcPr>
          <w:p w14:paraId="63B63480">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标准规范要求</w:t>
            </w:r>
          </w:p>
        </w:tc>
        <w:tc>
          <w:tcPr>
            <w:tcW w:w="1459" w:type="dxa"/>
            <w:vAlign w:val="center"/>
          </w:tcPr>
          <w:p w14:paraId="152E6364">
            <w:pPr>
              <w:adjustRightInd w:val="0"/>
              <w:snapToGrid w:val="0"/>
              <w:jc w:val="center"/>
              <w:textAlignment w:val="baseline"/>
              <w:rPr>
                <w:rFonts w:ascii="Times New Roman" w:hAnsi="Times New Roman" w:eastAsia="宋体" w:cs="Times New Roman"/>
                <w:snapToGrid w:val="0"/>
                <w:kern w:val="0"/>
                <w:sz w:val="18"/>
                <w:szCs w:val="18"/>
              </w:rPr>
            </w:pPr>
          </w:p>
        </w:tc>
        <w:tc>
          <w:tcPr>
            <w:tcW w:w="1121" w:type="dxa"/>
            <w:vAlign w:val="center"/>
          </w:tcPr>
          <w:p w14:paraId="7ABECBDD">
            <w:pPr>
              <w:adjustRightInd w:val="0"/>
              <w:snapToGrid w:val="0"/>
              <w:jc w:val="center"/>
              <w:textAlignment w:val="baseline"/>
              <w:rPr>
                <w:rFonts w:ascii="Times New Roman" w:hAnsi="Times New Roman" w:eastAsia="宋体" w:cs="Times New Roman"/>
                <w:snapToGrid w:val="0"/>
                <w:kern w:val="0"/>
                <w:sz w:val="18"/>
                <w:szCs w:val="18"/>
              </w:rPr>
            </w:pPr>
          </w:p>
        </w:tc>
        <w:tc>
          <w:tcPr>
            <w:tcW w:w="1009" w:type="dxa"/>
            <w:vAlign w:val="center"/>
          </w:tcPr>
          <w:p w14:paraId="32B1C26A">
            <w:pPr>
              <w:adjustRightInd w:val="0"/>
              <w:snapToGrid w:val="0"/>
              <w:jc w:val="center"/>
              <w:textAlignment w:val="baseline"/>
              <w:rPr>
                <w:rFonts w:ascii="Times New Roman" w:hAnsi="Times New Roman" w:eastAsia="宋体" w:cs="Times New Roman"/>
                <w:snapToGrid w:val="0"/>
                <w:kern w:val="0"/>
                <w:sz w:val="18"/>
                <w:szCs w:val="18"/>
              </w:rPr>
            </w:pPr>
          </w:p>
        </w:tc>
        <w:tc>
          <w:tcPr>
            <w:tcW w:w="626" w:type="dxa"/>
            <w:vAlign w:val="center"/>
          </w:tcPr>
          <w:p w14:paraId="552D97A0">
            <w:pPr>
              <w:adjustRightInd w:val="0"/>
              <w:snapToGrid w:val="0"/>
              <w:jc w:val="center"/>
              <w:textAlignment w:val="baseline"/>
              <w:rPr>
                <w:rFonts w:ascii="Times New Roman" w:hAnsi="Times New Roman" w:eastAsia="宋体" w:cs="Times New Roman"/>
                <w:snapToGrid w:val="0"/>
                <w:kern w:val="0"/>
                <w:sz w:val="18"/>
                <w:szCs w:val="18"/>
              </w:rPr>
            </w:pPr>
          </w:p>
        </w:tc>
        <w:tc>
          <w:tcPr>
            <w:tcW w:w="1151" w:type="dxa"/>
            <w:vAlign w:val="center"/>
          </w:tcPr>
          <w:p w14:paraId="3DA8056A">
            <w:pPr>
              <w:adjustRightInd w:val="0"/>
              <w:snapToGrid w:val="0"/>
              <w:jc w:val="center"/>
              <w:textAlignment w:val="baseline"/>
              <w:rPr>
                <w:rFonts w:ascii="Times New Roman" w:hAnsi="Times New Roman" w:eastAsia="宋体" w:cs="Times New Roman"/>
                <w:snapToGrid w:val="0"/>
                <w:kern w:val="0"/>
                <w:sz w:val="18"/>
                <w:szCs w:val="18"/>
              </w:rPr>
            </w:pPr>
          </w:p>
        </w:tc>
        <w:tc>
          <w:tcPr>
            <w:tcW w:w="1171" w:type="dxa"/>
            <w:vAlign w:val="center"/>
          </w:tcPr>
          <w:p w14:paraId="44CC0A24">
            <w:pPr>
              <w:adjustRightInd w:val="0"/>
              <w:snapToGrid w:val="0"/>
              <w:jc w:val="center"/>
              <w:textAlignment w:val="baseline"/>
              <w:rPr>
                <w:rFonts w:ascii="Times New Roman" w:hAnsi="Times New Roman" w:eastAsia="宋体" w:cs="Times New Roman"/>
                <w:snapToGrid w:val="0"/>
                <w:kern w:val="0"/>
                <w:sz w:val="18"/>
                <w:szCs w:val="18"/>
              </w:rPr>
            </w:pPr>
          </w:p>
        </w:tc>
        <w:tc>
          <w:tcPr>
            <w:tcW w:w="793" w:type="dxa"/>
            <w:vAlign w:val="center"/>
          </w:tcPr>
          <w:p w14:paraId="50C11C02">
            <w:pPr>
              <w:adjustRightInd w:val="0"/>
              <w:snapToGrid w:val="0"/>
              <w:jc w:val="center"/>
              <w:textAlignment w:val="baseline"/>
              <w:rPr>
                <w:rFonts w:ascii="Times New Roman" w:hAnsi="Times New Roman" w:eastAsia="宋体" w:cs="Times New Roman"/>
                <w:snapToGrid w:val="0"/>
                <w:kern w:val="0"/>
                <w:sz w:val="18"/>
                <w:szCs w:val="18"/>
              </w:rPr>
            </w:pPr>
          </w:p>
        </w:tc>
      </w:tr>
      <w:tr w14:paraId="6EDF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23" w:type="dxa"/>
            <w:vMerge w:val="continue"/>
            <w:vAlign w:val="center"/>
          </w:tcPr>
          <w:p w14:paraId="5CE19F35">
            <w:pPr>
              <w:adjustRightInd w:val="0"/>
              <w:snapToGrid w:val="0"/>
              <w:jc w:val="center"/>
              <w:textAlignment w:val="baseline"/>
              <w:rPr>
                <w:rFonts w:ascii="Times New Roman" w:hAnsi="Times New Roman" w:eastAsia="宋体" w:cs="Times New Roman"/>
                <w:snapToGrid w:val="0"/>
                <w:kern w:val="0"/>
                <w:sz w:val="18"/>
                <w:szCs w:val="18"/>
              </w:rPr>
            </w:pPr>
          </w:p>
        </w:tc>
        <w:tc>
          <w:tcPr>
            <w:tcW w:w="1322" w:type="dxa"/>
            <w:vAlign w:val="center"/>
          </w:tcPr>
          <w:p w14:paraId="6323D24E">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现状距离</w:t>
            </w:r>
          </w:p>
        </w:tc>
        <w:tc>
          <w:tcPr>
            <w:tcW w:w="1459" w:type="dxa"/>
            <w:vAlign w:val="center"/>
          </w:tcPr>
          <w:p w14:paraId="5C133955">
            <w:pPr>
              <w:adjustRightInd w:val="0"/>
              <w:snapToGrid w:val="0"/>
              <w:jc w:val="center"/>
              <w:textAlignment w:val="baseline"/>
              <w:rPr>
                <w:rFonts w:ascii="Times New Roman" w:hAnsi="Times New Roman" w:eastAsia="宋体" w:cs="Times New Roman"/>
                <w:snapToGrid w:val="0"/>
                <w:kern w:val="0"/>
                <w:sz w:val="18"/>
                <w:szCs w:val="18"/>
              </w:rPr>
            </w:pPr>
          </w:p>
        </w:tc>
        <w:tc>
          <w:tcPr>
            <w:tcW w:w="1121" w:type="dxa"/>
            <w:vAlign w:val="center"/>
          </w:tcPr>
          <w:p w14:paraId="35910130">
            <w:pPr>
              <w:adjustRightInd w:val="0"/>
              <w:snapToGrid w:val="0"/>
              <w:jc w:val="center"/>
              <w:textAlignment w:val="baseline"/>
              <w:rPr>
                <w:rFonts w:ascii="Times New Roman" w:hAnsi="Times New Roman" w:eastAsia="宋体" w:cs="Times New Roman"/>
                <w:snapToGrid w:val="0"/>
                <w:kern w:val="0"/>
                <w:sz w:val="18"/>
                <w:szCs w:val="18"/>
              </w:rPr>
            </w:pPr>
          </w:p>
        </w:tc>
        <w:tc>
          <w:tcPr>
            <w:tcW w:w="1009" w:type="dxa"/>
            <w:vAlign w:val="center"/>
          </w:tcPr>
          <w:p w14:paraId="3A7232EE">
            <w:pPr>
              <w:adjustRightInd w:val="0"/>
              <w:snapToGrid w:val="0"/>
              <w:jc w:val="center"/>
              <w:textAlignment w:val="baseline"/>
              <w:rPr>
                <w:rFonts w:ascii="Times New Roman" w:hAnsi="Times New Roman" w:eastAsia="宋体" w:cs="Times New Roman"/>
                <w:snapToGrid w:val="0"/>
                <w:kern w:val="0"/>
                <w:sz w:val="18"/>
                <w:szCs w:val="18"/>
              </w:rPr>
            </w:pPr>
          </w:p>
        </w:tc>
        <w:tc>
          <w:tcPr>
            <w:tcW w:w="626" w:type="dxa"/>
            <w:vAlign w:val="center"/>
          </w:tcPr>
          <w:p w14:paraId="79BCA355">
            <w:pPr>
              <w:adjustRightInd w:val="0"/>
              <w:snapToGrid w:val="0"/>
              <w:jc w:val="center"/>
              <w:textAlignment w:val="baseline"/>
              <w:rPr>
                <w:rFonts w:ascii="Times New Roman" w:hAnsi="Times New Roman" w:eastAsia="宋体" w:cs="Times New Roman"/>
                <w:snapToGrid w:val="0"/>
                <w:kern w:val="0"/>
                <w:sz w:val="18"/>
                <w:szCs w:val="18"/>
              </w:rPr>
            </w:pPr>
          </w:p>
        </w:tc>
        <w:tc>
          <w:tcPr>
            <w:tcW w:w="1151" w:type="dxa"/>
            <w:vAlign w:val="center"/>
          </w:tcPr>
          <w:p w14:paraId="6CC25996">
            <w:pPr>
              <w:adjustRightInd w:val="0"/>
              <w:snapToGrid w:val="0"/>
              <w:jc w:val="center"/>
              <w:textAlignment w:val="baseline"/>
              <w:rPr>
                <w:rFonts w:ascii="Times New Roman" w:hAnsi="Times New Roman" w:eastAsia="宋体" w:cs="Times New Roman"/>
                <w:snapToGrid w:val="0"/>
                <w:kern w:val="0"/>
                <w:sz w:val="18"/>
                <w:szCs w:val="18"/>
              </w:rPr>
            </w:pPr>
          </w:p>
        </w:tc>
        <w:tc>
          <w:tcPr>
            <w:tcW w:w="1171" w:type="dxa"/>
            <w:vAlign w:val="center"/>
          </w:tcPr>
          <w:p w14:paraId="1533DDA6">
            <w:pPr>
              <w:adjustRightInd w:val="0"/>
              <w:snapToGrid w:val="0"/>
              <w:jc w:val="center"/>
              <w:textAlignment w:val="baseline"/>
              <w:rPr>
                <w:rFonts w:ascii="Times New Roman" w:hAnsi="Times New Roman" w:eastAsia="宋体" w:cs="Times New Roman"/>
                <w:snapToGrid w:val="0"/>
                <w:kern w:val="0"/>
                <w:sz w:val="18"/>
                <w:szCs w:val="18"/>
              </w:rPr>
            </w:pPr>
          </w:p>
        </w:tc>
        <w:tc>
          <w:tcPr>
            <w:tcW w:w="793" w:type="dxa"/>
            <w:vAlign w:val="center"/>
          </w:tcPr>
          <w:p w14:paraId="03FBF66C">
            <w:pPr>
              <w:adjustRightInd w:val="0"/>
              <w:snapToGrid w:val="0"/>
              <w:jc w:val="center"/>
              <w:textAlignment w:val="baseline"/>
              <w:rPr>
                <w:rFonts w:ascii="Times New Roman" w:hAnsi="Times New Roman" w:eastAsia="宋体" w:cs="Times New Roman"/>
                <w:snapToGrid w:val="0"/>
                <w:kern w:val="0"/>
                <w:sz w:val="18"/>
                <w:szCs w:val="18"/>
              </w:rPr>
            </w:pPr>
          </w:p>
        </w:tc>
      </w:tr>
      <w:tr w14:paraId="0724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23" w:type="dxa"/>
            <w:vMerge w:val="continue"/>
            <w:vAlign w:val="center"/>
          </w:tcPr>
          <w:p w14:paraId="41EFE0BF">
            <w:pPr>
              <w:adjustRightInd w:val="0"/>
              <w:snapToGrid w:val="0"/>
              <w:jc w:val="center"/>
              <w:textAlignment w:val="baseline"/>
              <w:rPr>
                <w:rFonts w:ascii="Times New Roman" w:hAnsi="Times New Roman" w:eastAsia="宋体" w:cs="Times New Roman"/>
                <w:snapToGrid w:val="0"/>
                <w:kern w:val="0"/>
                <w:sz w:val="18"/>
                <w:szCs w:val="18"/>
              </w:rPr>
            </w:pPr>
          </w:p>
        </w:tc>
        <w:tc>
          <w:tcPr>
            <w:tcW w:w="1322" w:type="dxa"/>
            <w:vAlign w:val="center"/>
          </w:tcPr>
          <w:p w14:paraId="38C1A80C">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z w:val="18"/>
                <w:szCs w:val="18"/>
              </w:rPr>
              <w:t>设计最小间距</w:t>
            </w:r>
          </w:p>
        </w:tc>
        <w:tc>
          <w:tcPr>
            <w:tcW w:w="1459" w:type="dxa"/>
            <w:vAlign w:val="center"/>
          </w:tcPr>
          <w:p w14:paraId="37CFA8A8">
            <w:pPr>
              <w:adjustRightInd w:val="0"/>
              <w:snapToGrid w:val="0"/>
              <w:jc w:val="center"/>
              <w:textAlignment w:val="baseline"/>
              <w:rPr>
                <w:rFonts w:ascii="Times New Roman" w:hAnsi="Times New Roman" w:eastAsia="宋体" w:cs="Times New Roman"/>
                <w:snapToGrid w:val="0"/>
                <w:kern w:val="0"/>
                <w:sz w:val="18"/>
                <w:szCs w:val="18"/>
              </w:rPr>
            </w:pPr>
          </w:p>
        </w:tc>
        <w:tc>
          <w:tcPr>
            <w:tcW w:w="1121" w:type="dxa"/>
            <w:vAlign w:val="center"/>
          </w:tcPr>
          <w:p w14:paraId="019148B7">
            <w:pPr>
              <w:adjustRightInd w:val="0"/>
              <w:snapToGrid w:val="0"/>
              <w:jc w:val="center"/>
              <w:textAlignment w:val="baseline"/>
              <w:rPr>
                <w:rFonts w:ascii="Times New Roman" w:hAnsi="Times New Roman" w:eastAsia="宋体" w:cs="Times New Roman"/>
                <w:snapToGrid w:val="0"/>
                <w:kern w:val="0"/>
                <w:sz w:val="18"/>
                <w:szCs w:val="18"/>
              </w:rPr>
            </w:pPr>
          </w:p>
        </w:tc>
        <w:tc>
          <w:tcPr>
            <w:tcW w:w="1009" w:type="dxa"/>
            <w:vAlign w:val="center"/>
          </w:tcPr>
          <w:p w14:paraId="726E2920">
            <w:pPr>
              <w:adjustRightInd w:val="0"/>
              <w:snapToGrid w:val="0"/>
              <w:jc w:val="center"/>
              <w:textAlignment w:val="baseline"/>
              <w:rPr>
                <w:rFonts w:ascii="Times New Roman" w:hAnsi="Times New Roman" w:eastAsia="宋体" w:cs="Times New Roman"/>
                <w:snapToGrid w:val="0"/>
                <w:kern w:val="0"/>
                <w:sz w:val="18"/>
                <w:szCs w:val="18"/>
              </w:rPr>
            </w:pPr>
          </w:p>
        </w:tc>
        <w:tc>
          <w:tcPr>
            <w:tcW w:w="626" w:type="dxa"/>
            <w:vAlign w:val="center"/>
          </w:tcPr>
          <w:p w14:paraId="0E09F47C">
            <w:pPr>
              <w:adjustRightInd w:val="0"/>
              <w:snapToGrid w:val="0"/>
              <w:jc w:val="center"/>
              <w:textAlignment w:val="baseline"/>
              <w:rPr>
                <w:rFonts w:ascii="Times New Roman" w:hAnsi="Times New Roman" w:eastAsia="宋体" w:cs="Times New Roman"/>
                <w:snapToGrid w:val="0"/>
                <w:kern w:val="0"/>
                <w:sz w:val="18"/>
                <w:szCs w:val="18"/>
              </w:rPr>
            </w:pPr>
          </w:p>
        </w:tc>
        <w:tc>
          <w:tcPr>
            <w:tcW w:w="1151" w:type="dxa"/>
            <w:vAlign w:val="center"/>
          </w:tcPr>
          <w:p w14:paraId="695B4006">
            <w:pPr>
              <w:adjustRightInd w:val="0"/>
              <w:snapToGrid w:val="0"/>
              <w:jc w:val="center"/>
              <w:textAlignment w:val="baseline"/>
              <w:rPr>
                <w:rFonts w:ascii="Times New Roman" w:hAnsi="Times New Roman" w:eastAsia="宋体" w:cs="Times New Roman"/>
                <w:snapToGrid w:val="0"/>
                <w:kern w:val="0"/>
                <w:sz w:val="18"/>
                <w:szCs w:val="18"/>
              </w:rPr>
            </w:pPr>
          </w:p>
        </w:tc>
        <w:tc>
          <w:tcPr>
            <w:tcW w:w="1171" w:type="dxa"/>
            <w:vAlign w:val="center"/>
          </w:tcPr>
          <w:p w14:paraId="686D19E9">
            <w:pPr>
              <w:adjustRightInd w:val="0"/>
              <w:snapToGrid w:val="0"/>
              <w:jc w:val="center"/>
              <w:textAlignment w:val="baseline"/>
              <w:rPr>
                <w:rFonts w:ascii="Times New Roman" w:hAnsi="Times New Roman" w:eastAsia="宋体" w:cs="Times New Roman"/>
                <w:snapToGrid w:val="0"/>
                <w:kern w:val="0"/>
                <w:sz w:val="18"/>
                <w:szCs w:val="18"/>
              </w:rPr>
            </w:pPr>
          </w:p>
        </w:tc>
        <w:tc>
          <w:tcPr>
            <w:tcW w:w="793" w:type="dxa"/>
            <w:vAlign w:val="center"/>
          </w:tcPr>
          <w:p w14:paraId="0B4CBC2B">
            <w:pPr>
              <w:adjustRightInd w:val="0"/>
              <w:snapToGrid w:val="0"/>
              <w:jc w:val="center"/>
              <w:textAlignment w:val="baseline"/>
              <w:rPr>
                <w:rFonts w:ascii="Times New Roman" w:hAnsi="Times New Roman" w:eastAsia="宋体" w:cs="Times New Roman"/>
                <w:snapToGrid w:val="0"/>
                <w:kern w:val="0"/>
                <w:sz w:val="18"/>
                <w:szCs w:val="18"/>
              </w:rPr>
            </w:pPr>
          </w:p>
        </w:tc>
      </w:tr>
      <w:tr w14:paraId="073F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23" w:type="dxa"/>
            <w:vMerge w:val="continue"/>
            <w:vAlign w:val="center"/>
          </w:tcPr>
          <w:p w14:paraId="1A6F85AB">
            <w:pPr>
              <w:adjustRightInd w:val="0"/>
              <w:snapToGrid w:val="0"/>
              <w:jc w:val="center"/>
              <w:textAlignment w:val="baseline"/>
              <w:rPr>
                <w:rFonts w:ascii="Times New Roman" w:hAnsi="Times New Roman" w:eastAsia="宋体" w:cs="Times New Roman"/>
                <w:snapToGrid w:val="0"/>
                <w:kern w:val="0"/>
                <w:sz w:val="18"/>
                <w:szCs w:val="18"/>
              </w:rPr>
            </w:pPr>
          </w:p>
        </w:tc>
        <w:tc>
          <w:tcPr>
            <w:tcW w:w="1322" w:type="dxa"/>
            <w:vAlign w:val="center"/>
          </w:tcPr>
          <w:p w14:paraId="0B52A557">
            <w:pPr>
              <w:adjustRightInd w:val="0"/>
              <w:snapToGrid w:val="0"/>
              <w:jc w:val="center"/>
              <w:textAlignment w:val="baseline"/>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拆迁情况</w:t>
            </w:r>
          </w:p>
        </w:tc>
        <w:tc>
          <w:tcPr>
            <w:tcW w:w="1459" w:type="dxa"/>
            <w:vAlign w:val="center"/>
          </w:tcPr>
          <w:p w14:paraId="1B019E9B">
            <w:pPr>
              <w:adjustRightInd w:val="0"/>
              <w:snapToGrid w:val="0"/>
              <w:jc w:val="center"/>
              <w:textAlignment w:val="baseline"/>
              <w:rPr>
                <w:rFonts w:ascii="Times New Roman" w:hAnsi="Times New Roman" w:eastAsia="宋体" w:cs="Times New Roman"/>
                <w:snapToGrid w:val="0"/>
                <w:kern w:val="0"/>
                <w:sz w:val="18"/>
                <w:szCs w:val="18"/>
              </w:rPr>
            </w:pPr>
          </w:p>
        </w:tc>
        <w:tc>
          <w:tcPr>
            <w:tcW w:w="1121" w:type="dxa"/>
            <w:vAlign w:val="center"/>
          </w:tcPr>
          <w:p w14:paraId="5965177E">
            <w:pPr>
              <w:adjustRightInd w:val="0"/>
              <w:snapToGrid w:val="0"/>
              <w:jc w:val="center"/>
              <w:textAlignment w:val="baseline"/>
              <w:rPr>
                <w:rFonts w:ascii="Times New Roman" w:hAnsi="Times New Roman" w:eastAsia="宋体" w:cs="Times New Roman"/>
                <w:snapToGrid w:val="0"/>
                <w:kern w:val="0"/>
                <w:sz w:val="18"/>
                <w:szCs w:val="18"/>
              </w:rPr>
            </w:pPr>
          </w:p>
        </w:tc>
        <w:tc>
          <w:tcPr>
            <w:tcW w:w="1009" w:type="dxa"/>
            <w:vAlign w:val="center"/>
          </w:tcPr>
          <w:p w14:paraId="404DE292">
            <w:pPr>
              <w:adjustRightInd w:val="0"/>
              <w:snapToGrid w:val="0"/>
              <w:jc w:val="center"/>
              <w:textAlignment w:val="baseline"/>
              <w:rPr>
                <w:rFonts w:ascii="Times New Roman" w:hAnsi="Times New Roman" w:eastAsia="宋体" w:cs="Times New Roman"/>
                <w:snapToGrid w:val="0"/>
                <w:kern w:val="0"/>
                <w:sz w:val="18"/>
                <w:szCs w:val="18"/>
              </w:rPr>
            </w:pPr>
          </w:p>
        </w:tc>
        <w:tc>
          <w:tcPr>
            <w:tcW w:w="626" w:type="dxa"/>
            <w:vAlign w:val="center"/>
          </w:tcPr>
          <w:p w14:paraId="0D685F2F">
            <w:pPr>
              <w:adjustRightInd w:val="0"/>
              <w:snapToGrid w:val="0"/>
              <w:jc w:val="center"/>
              <w:textAlignment w:val="baseline"/>
              <w:rPr>
                <w:rFonts w:ascii="Times New Roman" w:hAnsi="Times New Roman" w:eastAsia="宋体" w:cs="Times New Roman"/>
                <w:snapToGrid w:val="0"/>
                <w:kern w:val="0"/>
                <w:sz w:val="18"/>
                <w:szCs w:val="18"/>
              </w:rPr>
            </w:pPr>
          </w:p>
        </w:tc>
        <w:tc>
          <w:tcPr>
            <w:tcW w:w="1151" w:type="dxa"/>
            <w:vAlign w:val="center"/>
          </w:tcPr>
          <w:p w14:paraId="4A0BDA88">
            <w:pPr>
              <w:adjustRightInd w:val="0"/>
              <w:snapToGrid w:val="0"/>
              <w:jc w:val="center"/>
              <w:textAlignment w:val="baseline"/>
              <w:rPr>
                <w:rFonts w:ascii="Times New Roman" w:hAnsi="Times New Roman" w:eastAsia="宋体" w:cs="Times New Roman"/>
                <w:snapToGrid w:val="0"/>
                <w:kern w:val="0"/>
                <w:sz w:val="18"/>
                <w:szCs w:val="18"/>
              </w:rPr>
            </w:pPr>
          </w:p>
        </w:tc>
        <w:tc>
          <w:tcPr>
            <w:tcW w:w="1171" w:type="dxa"/>
            <w:vAlign w:val="center"/>
          </w:tcPr>
          <w:p w14:paraId="7614277A">
            <w:pPr>
              <w:adjustRightInd w:val="0"/>
              <w:snapToGrid w:val="0"/>
              <w:jc w:val="center"/>
              <w:textAlignment w:val="baseline"/>
              <w:rPr>
                <w:rFonts w:ascii="Times New Roman" w:hAnsi="Times New Roman" w:eastAsia="宋体" w:cs="Times New Roman"/>
                <w:snapToGrid w:val="0"/>
                <w:kern w:val="0"/>
                <w:sz w:val="18"/>
                <w:szCs w:val="18"/>
              </w:rPr>
            </w:pPr>
          </w:p>
        </w:tc>
        <w:tc>
          <w:tcPr>
            <w:tcW w:w="793" w:type="dxa"/>
            <w:vAlign w:val="center"/>
          </w:tcPr>
          <w:p w14:paraId="51B1E105">
            <w:pPr>
              <w:adjustRightInd w:val="0"/>
              <w:snapToGrid w:val="0"/>
              <w:jc w:val="center"/>
              <w:textAlignment w:val="baseline"/>
              <w:rPr>
                <w:rFonts w:ascii="Times New Roman" w:hAnsi="Times New Roman" w:eastAsia="宋体" w:cs="Times New Roman"/>
                <w:snapToGrid w:val="0"/>
                <w:kern w:val="0"/>
                <w:sz w:val="18"/>
                <w:szCs w:val="18"/>
              </w:rPr>
            </w:pPr>
          </w:p>
        </w:tc>
      </w:tr>
    </w:tbl>
    <w:p w14:paraId="6D1C2BF7">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站场平面布置间距（m）</w:t>
      </w:r>
    </w:p>
    <w:tbl>
      <w:tblPr>
        <w:tblStyle w:val="24"/>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218"/>
        <w:gridCol w:w="1064"/>
        <w:gridCol w:w="1033"/>
        <w:gridCol w:w="1658"/>
        <w:gridCol w:w="1544"/>
        <w:gridCol w:w="1233"/>
        <w:gridCol w:w="1867"/>
      </w:tblGrid>
      <w:tr w14:paraId="33CF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1" w:hRule="atLeast"/>
          <w:tblHeader/>
          <w:jc w:val="center"/>
        </w:trPr>
        <w:tc>
          <w:tcPr>
            <w:tcW w:w="1218" w:type="dxa"/>
            <w:vMerge w:val="restart"/>
            <w:shd w:val="clear" w:color="auto" w:fill="auto"/>
            <w:vAlign w:val="center"/>
          </w:tcPr>
          <w:p w14:paraId="188C2D71">
            <w:pPr>
              <w:jc w:val="center"/>
              <w:rPr>
                <w:rFonts w:ascii="Times New Roman" w:hAnsi="Times New Roman" w:eastAsia="宋体" w:cs="Times New Roman"/>
                <w:sz w:val="18"/>
                <w:szCs w:val="18"/>
              </w:rPr>
            </w:pPr>
            <w:r>
              <w:rPr>
                <w:rFonts w:ascii="Times New Roman" w:hAnsi="Times New Roman" w:eastAsia="宋体" w:cs="Times New Roman"/>
                <w:sz w:val="18"/>
                <w:szCs w:val="18"/>
              </w:rPr>
              <w:t>装置/设施</w:t>
            </w:r>
          </w:p>
        </w:tc>
        <w:tc>
          <w:tcPr>
            <w:tcW w:w="2097" w:type="dxa"/>
            <w:gridSpan w:val="2"/>
            <w:vMerge w:val="restart"/>
            <w:shd w:val="clear" w:color="auto" w:fill="auto"/>
            <w:vAlign w:val="center"/>
          </w:tcPr>
          <w:p w14:paraId="5A6216BE">
            <w:pPr>
              <w:jc w:val="center"/>
              <w:rPr>
                <w:rFonts w:ascii="Times New Roman" w:hAnsi="Times New Roman" w:eastAsia="宋体" w:cs="Times New Roman"/>
                <w:sz w:val="18"/>
                <w:szCs w:val="18"/>
              </w:rPr>
            </w:pPr>
            <w:r>
              <w:rPr>
                <w:rFonts w:ascii="Times New Roman" w:hAnsi="Times New Roman" w:eastAsia="宋体" w:cs="Times New Roman"/>
                <w:sz w:val="18"/>
                <w:szCs w:val="18"/>
              </w:rPr>
              <w:t>相邻装置/设施</w:t>
            </w:r>
          </w:p>
        </w:tc>
        <w:tc>
          <w:tcPr>
            <w:tcW w:w="1658" w:type="dxa"/>
            <w:vMerge w:val="restart"/>
            <w:shd w:val="clear" w:color="auto" w:fill="auto"/>
            <w:vAlign w:val="center"/>
          </w:tcPr>
          <w:p w14:paraId="19F9C753">
            <w:pPr>
              <w:jc w:val="center"/>
              <w:rPr>
                <w:rFonts w:ascii="Times New Roman" w:hAnsi="Times New Roman" w:eastAsia="宋体" w:cs="Times New Roman"/>
                <w:sz w:val="18"/>
                <w:szCs w:val="18"/>
              </w:rPr>
            </w:pPr>
            <w:r>
              <w:rPr>
                <w:rFonts w:ascii="Times New Roman" w:hAnsi="Times New Roman" w:eastAsia="宋体" w:cs="Times New Roman"/>
                <w:sz w:val="18"/>
                <w:szCs w:val="18"/>
              </w:rPr>
              <w:t>规范要求的间距</w:t>
            </w:r>
          </w:p>
          <w:p w14:paraId="56396342">
            <w:pPr>
              <w:jc w:val="center"/>
              <w:rPr>
                <w:rFonts w:ascii="Times New Roman" w:hAnsi="Times New Roman" w:eastAsia="宋体" w:cs="Times New Roman"/>
                <w:sz w:val="18"/>
                <w:szCs w:val="18"/>
              </w:rPr>
            </w:pPr>
            <w:r>
              <w:rPr>
                <w:rFonts w:ascii="Times New Roman" w:hAnsi="Times New Roman" w:eastAsia="宋体" w:cs="Times New Roman"/>
                <w:sz w:val="18"/>
                <w:szCs w:val="18"/>
              </w:rPr>
              <w:t>m</w:t>
            </w:r>
          </w:p>
        </w:tc>
        <w:tc>
          <w:tcPr>
            <w:tcW w:w="1544" w:type="dxa"/>
            <w:vMerge w:val="restart"/>
            <w:shd w:val="clear" w:color="auto" w:fill="auto"/>
            <w:vAlign w:val="center"/>
          </w:tcPr>
          <w:p w14:paraId="49328C01">
            <w:pPr>
              <w:jc w:val="center"/>
              <w:rPr>
                <w:rFonts w:ascii="Times New Roman" w:hAnsi="Times New Roman" w:eastAsia="宋体" w:cs="Times New Roman"/>
                <w:sz w:val="18"/>
                <w:szCs w:val="18"/>
              </w:rPr>
            </w:pPr>
            <w:r>
              <w:rPr>
                <w:rFonts w:ascii="Times New Roman" w:hAnsi="Times New Roman" w:eastAsia="宋体" w:cs="Times New Roman"/>
                <w:sz w:val="18"/>
                <w:szCs w:val="18"/>
              </w:rPr>
              <w:t>设计最小间距</w:t>
            </w:r>
          </w:p>
          <w:p w14:paraId="1ACBAA60">
            <w:pPr>
              <w:jc w:val="center"/>
              <w:rPr>
                <w:rFonts w:ascii="Times New Roman" w:hAnsi="Times New Roman" w:eastAsia="宋体" w:cs="Times New Roman"/>
                <w:sz w:val="18"/>
                <w:szCs w:val="18"/>
              </w:rPr>
            </w:pPr>
            <w:r>
              <w:rPr>
                <w:rFonts w:ascii="Times New Roman" w:hAnsi="Times New Roman" w:eastAsia="宋体" w:cs="Times New Roman"/>
                <w:sz w:val="18"/>
                <w:szCs w:val="18"/>
              </w:rPr>
              <w:t>m</w:t>
            </w:r>
          </w:p>
        </w:tc>
        <w:tc>
          <w:tcPr>
            <w:tcW w:w="1233" w:type="dxa"/>
            <w:vMerge w:val="restart"/>
            <w:shd w:val="clear" w:color="auto" w:fill="auto"/>
            <w:vAlign w:val="center"/>
          </w:tcPr>
          <w:p w14:paraId="7CA07F5B">
            <w:pPr>
              <w:jc w:val="center"/>
              <w:rPr>
                <w:rFonts w:ascii="Times New Roman" w:hAnsi="Times New Roman" w:eastAsia="宋体" w:cs="Times New Roman"/>
                <w:sz w:val="18"/>
                <w:szCs w:val="18"/>
              </w:rPr>
            </w:pPr>
            <w:r>
              <w:rPr>
                <w:rFonts w:ascii="Times New Roman" w:hAnsi="Times New Roman" w:eastAsia="宋体" w:cs="Times New Roman"/>
                <w:sz w:val="18"/>
                <w:szCs w:val="18"/>
              </w:rPr>
              <w:t>对比结果</w:t>
            </w:r>
          </w:p>
        </w:tc>
        <w:tc>
          <w:tcPr>
            <w:tcW w:w="1867" w:type="dxa"/>
            <w:vMerge w:val="restart"/>
            <w:shd w:val="clear" w:color="auto" w:fill="auto"/>
            <w:vAlign w:val="center"/>
          </w:tcPr>
          <w:p w14:paraId="4A183A96">
            <w:pPr>
              <w:jc w:val="center"/>
              <w:rPr>
                <w:rFonts w:ascii="Times New Roman" w:hAnsi="Times New Roman" w:eastAsia="宋体" w:cs="Times New Roman"/>
                <w:sz w:val="18"/>
                <w:szCs w:val="18"/>
              </w:rPr>
            </w:pPr>
            <w:r>
              <w:rPr>
                <w:rFonts w:ascii="Times New Roman" w:hAnsi="Times New Roman" w:eastAsia="宋体" w:cs="Times New Roman"/>
                <w:sz w:val="18"/>
                <w:szCs w:val="18"/>
              </w:rPr>
              <w:t>遵循标准规范及条款</w:t>
            </w:r>
          </w:p>
        </w:tc>
      </w:tr>
      <w:tr w14:paraId="3ABB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1218" w:type="dxa"/>
            <w:vMerge w:val="continue"/>
            <w:shd w:val="clear" w:color="auto" w:fill="auto"/>
            <w:vAlign w:val="center"/>
          </w:tcPr>
          <w:p w14:paraId="727DAED3">
            <w:pPr>
              <w:jc w:val="center"/>
              <w:rPr>
                <w:rFonts w:ascii="Times New Roman" w:hAnsi="Times New Roman" w:eastAsia="宋体" w:cs="Times New Roman"/>
                <w:sz w:val="18"/>
                <w:szCs w:val="18"/>
              </w:rPr>
            </w:pPr>
          </w:p>
        </w:tc>
        <w:tc>
          <w:tcPr>
            <w:tcW w:w="2097" w:type="dxa"/>
            <w:gridSpan w:val="2"/>
            <w:vMerge w:val="continue"/>
            <w:shd w:val="clear" w:color="auto" w:fill="auto"/>
            <w:vAlign w:val="center"/>
          </w:tcPr>
          <w:p w14:paraId="0D612EBF">
            <w:pPr>
              <w:jc w:val="center"/>
              <w:rPr>
                <w:rFonts w:ascii="Times New Roman" w:hAnsi="Times New Roman" w:eastAsia="宋体" w:cs="Times New Roman"/>
                <w:sz w:val="18"/>
                <w:szCs w:val="18"/>
              </w:rPr>
            </w:pPr>
          </w:p>
        </w:tc>
        <w:tc>
          <w:tcPr>
            <w:tcW w:w="1658" w:type="dxa"/>
            <w:vMerge w:val="continue"/>
            <w:shd w:val="clear" w:color="auto" w:fill="auto"/>
            <w:vAlign w:val="center"/>
          </w:tcPr>
          <w:p w14:paraId="0E2DCD7E">
            <w:pPr>
              <w:jc w:val="center"/>
              <w:rPr>
                <w:rFonts w:ascii="Times New Roman" w:hAnsi="Times New Roman" w:eastAsia="宋体" w:cs="Times New Roman"/>
                <w:sz w:val="18"/>
                <w:szCs w:val="18"/>
              </w:rPr>
            </w:pPr>
          </w:p>
        </w:tc>
        <w:tc>
          <w:tcPr>
            <w:tcW w:w="1544" w:type="dxa"/>
            <w:vMerge w:val="continue"/>
            <w:shd w:val="clear" w:color="auto" w:fill="auto"/>
            <w:vAlign w:val="center"/>
          </w:tcPr>
          <w:p w14:paraId="2EE51A61">
            <w:pPr>
              <w:jc w:val="center"/>
              <w:rPr>
                <w:rFonts w:ascii="Times New Roman" w:hAnsi="Times New Roman" w:eastAsia="宋体" w:cs="Times New Roman"/>
                <w:sz w:val="18"/>
                <w:szCs w:val="18"/>
              </w:rPr>
            </w:pPr>
          </w:p>
        </w:tc>
        <w:tc>
          <w:tcPr>
            <w:tcW w:w="1233" w:type="dxa"/>
            <w:vMerge w:val="continue"/>
            <w:shd w:val="clear" w:color="auto" w:fill="auto"/>
            <w:vAlign w:val="center"/>
          </w:tcPr>
          <w:p w14:paraId="36EE1991">
            <w:pPr>
              <w:jc w:val="center"/>
              <w:rPr>
                <w:rFonts w:ascii="Times New Roman" w:hAnsi="Times New Roman" w:eastAsia="宋体" w:cs="Times New Roman"/>
                <w:sz w:val="18"/>
                <w:szCs w:val="18"/>
              </w:rPr>
            </w:pPr>
          </w:p>
        </w:tc>
        <w:tc>
          <w:tcPr>
            <w:tcW w:w="1867" w:type="dxa"/>
            <w:vMerge w:val="continue"/>
            <w:shd w:val="clear" w:color="auto" w:fill="auto"/>
            <w:vAlign w:val="center"/>
          </w:tcPr>
          <w:p w14:paraId="2B52F894">
            <w:pPr>
              <w:jc w:val="center"/>
              <w:rPr>
                <w:rFonts w:ascii="Times New Roman" w:hAnsi="Times New Roman" w:eastAsia="宋体" w:cs="Times New Roman"/>
                <w:sz w:val="18"/>
                <w:szCs w:val="18"/>
              </w:rPr>
            </w:pPr>
          </w:p>
        </w:tc>
      </w:tr>
      <w:tr w14:paraId="3954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1218" w:type="dxa"/>
            <w:vMerge w:val="continue"/>
            <w:shd w:val="clear" w:color="auto" w:fill="auto"/>
            <w:vAlign w:val="center"/>
          </w:tcPr>
          <w:p w14:paraId="20E1084F">
            <w:pPr>
              <w:jc w:val="center"/>
              <w:rPr>
                <w:rFonts w:ascii="Times New Roman" w:hAnsi="Times New Roman" w:eastAsia="宋体" w:cs="Times New Roman"/>
                <w:sz w:val="18"/>
                <w:szCs w:val="18"/>
              </w:rPr>
            </w:pPr>
          </w:p>
        </w:tc>
        <w:tc>
          <w:tcPr>
            <w:tcW w:w="1064" w:type="dxa"/>
            <w:shd w:val="clear" w:color="auto" w:fill="auto"/>
            <w:vAlign w:val="center"/>
          </w:tcPr>
          <w:p w14:paraId="737B0024">
            <w:pPr>
              <w:jc w:val="center"/>
              <w:rPr>
                <w:rFonts w:ascii="Times New Roman" w:hAnsi="Times New Roman" w:eastAsia="宋体" w:cs="Times New Roman"/>
                <w:sz w:val="18"/>
                <w:szCs w:val="18"/>
              </w:rPr>
            </w:pPr>
            <w:r>
              <w:rPr>
                <w:rFonts w:ascii="Times New Roman" w:hAnsi="Times New Roman" w:eastAsia="宋体" w:cs="Times New Roman"/>
                <w:sz w:val="18"/>
                <w:szCs w:val="18"/>
              </w:rPr>
              <w:t>名称</w:t>
            </w:r>
          </w:p>
        </w:tc>
        <w:tc>
          <w:tcPr>
            <w:tcW w:w="1033" w:type="dxa"/>
            <w:shd w:val="clear" w:color="auto" w:fill="auto"/>
            <w:vAlign w:val="center"/>
          </w:tcPr>
          <w:p w14:paraId="47701142">
            <w:pPr>
              <w:jc w:val="center"/>
              <w:rPr>
                <w:rFonts w:ascii="Times New Roman" w:hAnsi="Times New Roman" w:eastAsia="宋体" w:cs="Times New Roman"/>
                <w:sz w:val="18"/>
                <w:szCs w:val="18"/>
              </w:rPr>
            </w:pPr>
            <w:r>
              <w:rPr>
                <w:rFonts w:ascii="Times New Roman" w:hAnsi="Times New Roman" w:eastAsia="宋体" w:cs="Times New Roman"/>
                <w:sz w:val="18"/>
                <w:szCs w:val="18"/>
              </w:rPr>
              <w:t>属性</w:t>
            </w:r>
          </w:p>
        </w:tc>
        <w:tc>
          <w:tcPr>
            <w:tcW w:w="1658" w:type="dxa"/>
            <w:vMerge w:val="continue"/>
            <w:shd w:val="clear" w:color="auto" w:fill="auto"/>
            <w:vAlign w:val="center"/>
          </w:tcPr>
          <w:p w14:paraId="015B9663">
            <w:pPr>
              <w:jc w:val="center"/>
              <w:rPr>
                <w:rFonts w:ascii="Times New Roman" w:hAnsi="Times New Roman" w:eastAsia="宋体" w:cs="Times New Roman"/>
                <w:sz w:val="18"/>
                <w:szCs w:val="18"/>
              </w:rPr>
            </w:pPr>
          </w:p>
        </w:tc>
        <w:tc>
          <w:tcPr>
            <w:tcW w:w="1544" w:type="dxa"/>
            <w:vMerge w:val="continue"/>
            <w:shd w:val="clear" w:color="auto" w:fill="auto"/>
            <w:vAlign w:val="center"/>
          </w:tcPr>
          <w:p w14:paraId="59C7EE35">
            <w:pPr>
              <w:jc w:val="center"/>
              <w:rPr>
                <w:rFonts w:ascii="Times New Roman" w:hAnsi="Times New Roman" w:eastAsia="宋体" w:cs="Times New Roman"/>
                <w:sz w:val="18"/>
                <w:szCs w:val="18"/>
              </w:rPr>
            </w:pPr>
          </w:p>
        </w:tc>
        <w:tc>
          <w:tcPr>
            <w:tcW w:w="1233" w:type="dxa"/>
            <w:vMerge w:val="continue"/>
            <w:shd w:val="clear" w:color="auto" w:fill="auto"/>
            <w:vAlign w:val="center"/>
          </w:tcPr>
          <w:p w14:paraId="195808A1">
            <w:pPr>
              <w:jc w:val="center"/>
              <w:rPr>
                <w:rFonts w:ascii="Times New Roman" w:hAnsi="Times New Roman" w:eastAsia="宋体" w:cs="Times New Roman"/>
                <w:sz w:val="18"/>
                <w:szCs w:val="18"/>
              </w:rPr>
            </w:pPr>
          </w:p>
        </w:tc>
        <w:tc>
          <w:tcPr>
            <w:tcW w:w="1867" w:type="dxa"/>
            <w:vMerge w:val="continue"/>
            <w:shd w:val="clear" w:color="auto" w:fill="auto"/>
            <w:vAlign w:val="center"/>
          </w:tcPr>
          <w:p w14:paraId="3EB88491">
            <w:pPr>
              <w:jc w:val="center"/>
              <w:rPr>
                <w:rFonts w:ascii="Times New Roman" w:hAnsi="Times New Roman" w:eastAsia="宋体" w:cs="Times New Roman"/>
                <w:sz w:val="18"/>
                <w:szCs w:val="18"/>
              </w:rPr>
            </w:pPr>
          </w:p>
        </w:tc>
      </w:tr>
      <w:tr w14:paraId="1497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218" w:type="dxa"/>
            <w:shd w:val="clear" w:color="auto" w:fill="auto"/>
            <w:vAlign w:val="center"/>
          </w:tcPr>
          <w:p w14:paraId="716EEF18">
            <w:pPr>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1064" w:type="dxa"/>
            <w:shd w:val="clear" w:color="auto" w:fill="auto"/>
            <w:vAlign w:val="center"/>
          </w:tcPr>
          <w:p w14:paraId="08FC646E">
            <w:pPr>
              <w:jc w:val="center"/>
              <w:rPr>
                <w:rFonts w:ascii="Times New Roman" w:hAnsi="Times New Roman" w:eastAsia="宋体" w:cs="Times New Roman"/>
                <w:sz w:val="18"/>
                <w:szCs w:val="18"/>
              </w:rPr>
            </w:pPr>
          </w:p>
        </w:tc>
        <w:tc>
          <w:tcPr>
            <w:tcW w:w="1033" w:type="dxa"/>
            <w:shd w:val="clear" w:color="auto" w:fill="auto"/>
            <w:vAlign w:val="center"/>
          </w:tcPr>
          <w:p w14:paraId="2DF3BD5F">
            <w:pPr>
              <w:jc w:val="center"/>
              <w:rPr>
                <w:rFonts w:ascii="Times New Roman" w:hAnsi="Times New Roman" w:eastAsia="宋体" w:cs="Times New Roman"/>
                <w:sz w:val="18"/>
                <w:szCs w:val="18"/>
              </w:rPr>
            </w:pPr>
          </w:p>
        </w:tc>
        <w:tc>
          <w:tcPr>
            <w:tcW w:w="1658" w:type="dxa"/>
            <w:shd w:val="clear" w:color="auto" w:fill="auto"/>
            <w:vAlign w:val="center"/>
          </w:tcPr>
          <w:p w14:paraId="595F15D9">
            <w:pPr>
              <w:jc w:val="center"/>
              <w:rPr>
                <w:rFonts w:ascii="Times New Roman" w:hAnsi="Times New Roman" w:eastAsia="宋体" w:cs="Times New Roman"/>
                <w:sz w:val="18"/>
                <w:szCs w:val="18"/>
              </w:rPr>
            </w:pPr>
          </w:p>
        </w:tc>
        <w:tc>
          <w:tcPr>
            <w:tcW w:w="1544" w:type="dxa"/>
            <w:shd w:val="clear" w:color="auto" w:fill="auto"/>
            <w:vAlign w:val="center"/>
          </w:tcPr>
          <w:p w14:paraId="51FE4BBB">
            <w:pPr>
              <w:jc w:val="center"/>
              <w:rPr>
                <w:rFonts w:ascii="Times New Roman" w:hAnsi="Times New Roman" w:eastAsia="宋体" w:cs="Times New Roman"/>
                <w:sz w:val="18"/>
                <w:szCs w:val="18"/>
              </w:rPr>
            </w:pPr>
          </w:p>
        </w:tc>
        <w:tc>
          <w:tcPr>
            <w:tcW w:w="1233" w:type="dxa"/>
            <w:shd w:val="clear" w:color="auto" w:fill="auto"/>
            <w:vAlign w:val="center"/>
          </w:tcPr>
          <w:p w14:paraId="04216BE0">
            <w:pPr>
              <w:jc w:val="center"/>
              <w:rPr>
                <w:rFonts w:ascii="Times New Roman" w:hAnsi="Times New Roman" w:eastAsia="宋体" w:cs="Times New Roman"/>
                <w:sz w:val="18"/>
                <w:szCs w:val="18"/>
              </w:rPr>
            </w:pPr>
          </w:p>
        </w:tc>
        <w:tc>
          <w:tcPr>
            <w:tcW w:w="1867" w:type="dxa"/>
            <w:shd w:val="clear" w:color="auto" w:fill="auto"/>
            <w:vAlign w:val="center"/>
          </w:tcPr>
          <w:p w14:paraId="54455DB3">
            <w:pPr>
              <w:jc w:val="center"/>
              <w:rPr>
                <w:rFonts w:ascii="Times New Roman" w:hAnsi="Times New Roman" w:eastAsia="宋体" w:cs="Times New Roman"/>
                <w:sz w:val="18"/>
                <w:szCs w:val="18"/>
              </w:rPr>
            </w:pPr>
          </w:p>
        </w:tc>
      </w:tr>
      <w:tr w14:paraId="0942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218" w:type="dxa"/>
            <w:shd w:val="clear" w:color="auto" w:fill="auto"/>
            <w:vAlign w:val="center"/>
          </w:tcPr>
          <w:p w14:paraId="3B2767CD">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w:t>
            </w:r>
          </w:p>
        </w:tc>
        <w:tc>
          <w:tcPr>
            <w:tcW w:w="1064" w:type="dxa"/>
            <w:shd w:val="clear" w:color="auto" w:fill="auto"/>
            <w:vAlign w:val="center"/>
          </w:tcPr>
          <w:p w14:paraId="689989BC">
            <w:pPr>
              <w:jc w:val="center"/>
              <w:rPr>
                <w:rFonts w:ascii="Times New Roman" w:hAnsi="Times New Roman" w:eastAsia="宋体" w:cs="Times New Roman"/>
                <w:sz w:val="18"/>
                <w:szCs w:val="18"/>
              </w:rPr>
            </w:pPr>
          </w:p>
        </w:tc>
        <w:tc>
          <w:tcPr>
            <w:tcW w:w="1033" w:type="dxa"/>
            <w:shd w:val="clear" w:color="auto" w:fill="auto"/>
            <w:vAlign w:val="center"/>
          </w:tcPr>
          <w:p w14:paraId="5D679837">
            <w:pPr>
              <w:jc w:val="center"/>
              <w:rPr>
                <w:rFonts w:ascii="Times New Roman" w:hAnsi="Times New Roman" w:eastAsia="宋体" w:cs="Times New Roman"/>
                <w:sz w:val="18"/>
                <w:szCs w:val="18"/>
              </w:rPr>
            </w:pPr>
          </w:p>
        </w:tc>
        <w:tc>
          <w:tcPr>
            <w:tcW w:w="1658" w:type="dxa"/>
            <w:shd w:val="clear" w:color="auto" w:fill="auto"/>
            <w:vAlign w:val="center"/>
          </w:tcPr>
          <w:p w14:paraId="3A40967E">
            <w:pPr>
              <w:jc w:val="center"/>
              <w:rPr>
                <w:rFonts w:ascii="Times New Roman" w:hAnsi="Times New Roman" w:eastAsia="宋体" w:cs="Times New Roman"/>
                <w:sz w:val="18"/>
                <w:szCs w:val="18"/>
              </w:rPr>
            </w:pPr>
          </w:p>
        </w:tc>
        <w:tc>
          <w:tcPr>
            <w:tcW w:w="1544" w:type="dxa"/>
            <w:shd w:val="clear" w:color="auto" w:fill="auto"/>
            <w:vAlign w:val="center"/>
          </w:tcPr>
          <w:p w14:paraId="46F2C928">
            <w:pPr>
              <w:jc w:val="center"/>
              <w:rPr>
                <w:rFonts w:ascii="Times New Roman" w:hAnsi="Times New Roman" w:eastAsia="宋体" w:cs="Times New Roman"/>
                <w:sz w:val="18"/>
                <w:szCs w:val="18"/>
              </w:rPr>
            </w:pPr>
          </w:p>
        </w:tc>
        <w:tc>
          <w:tcPr>
            <w:tcW w:w="1233" w:type="dxa"/>
            <w:shd w:val="clear" w:color="auto" w:fill="auto"/>
            <w:vAlign w:val="center"/>
          </w:tcPr>
          <w:p w14:paraId="231CBDC4">
            <w:pPr>
              <w:jc w:val="center"/>
              <w:rPr>
                <w:rFonts w:ascii="Times New Roman" w:hAnsi="Times New Roman" w:eastAsia="宋体" w:cs="Times New Roman"/>
                <w:sz w:val="18"/>
                <w:szCs w:val="18"/>
              </w:rPr>
            </w:pPr>
          </w:p>
        </w:tc>
        <w:tc>
          <w:tcPr>
            <w:tcW w:w="1867" w:type="dxa"/>
            <w:shd w:val="clear" w:color="auto" w:fill="auto"/>
            <w:vAlign w:val="center"/>
          </w:tcPr>
          <w:p w14:paraId="038A7596">
            <w:pPr>
              <w:jc w:val="center"/>
              <w:rPr>
                <w:rFonts w:ascii="Times New Roman" w:hAnsi="Times New Roman" w:eastAsia="宋体" w:cs="Times New Roman"/>
                <w:sz w:val="18"/>
                <w:szCs w:val="18"/>
              </w:rPr>
            </w:pPr>
          </w:p>
        </w:tc>
      </w:tr>
      <w:tr w14:paraId="7F82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617" w:type="dxa"/>
            <w:gridSpan w:val="7"/>
            <w:shd w:val="clear" w:color="auto" w:fill="auto"/>
            <w:vAlign w:val="center"/>
          </w:tcPr>
          <w:p w14:paraId="7EDD6B19">
            <w:pPr>
              <w:autoSpaceDE w:val="0"/>
              <w:autoSpaceDN w:val="0"/>
              <w:rPr>
                <w:rFonts w:ascii="Times New Roman" w:hAnsi="Times New Roman" w:eastAsia="宋体" w:cs="Times New Roman"/>
                <w:sz w:val="18"/>
                <w:szCs w:val="18"/>
              </w:rPr>
            </w:pPr>
            <w:r>
              <w:rPr>
                <w:rFonts w:ascii="Times New Roman" w:hAnsi="Times New Roman" w:eastAsia="宋体" w:cs="Times New Roman"/>
                <w:sz w:val="18"/>
                <w:szCs w:val="18"/>
              </w:rPr>
              <w:t>注1：说明</w:t>
            </w:r>
            <w:r>
              <w:rPr>
                <w:rFonts w:ascii="Times New Roman" w:hAnsi="Times New Roman" w:eastAsia="宋体" w:cs="Times New Roman"/>
                <w:snapToGrid w:val="0"/>
                <w:sz w:val="18"/>
                <w:szCs w:val="18"/>
              </w:rPr>
              <w:t>装置/</w:t>
            </w:r>
            <w:r>
              <w:rPr>
                <w:rFonts w:ascii="Times New Roman" w:hAnsi="Times New Roman" w:eastAsia="宋体" w:cs="Times New Roman"/>
                <w:sz w:val="18"/>
                <w:szCs w:val="18"/>
              </w:rPr>
              <w:t>设施的火灾危险性或属于站场重要设施还是辅助生产设施。</w:t>
            </w:r>
          </w:p>
        </w:tc>
      </w:tr>
    </w:tbl>
    <w:p w14:paraId="5C2CFD7E">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安全阀、BDV设定值表</w:t>
      </w:r>
    </w:p>
    <w:tbl>
      <w:tblPr>
        <w:tblStyle w:val="24"/>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1279"/>
        <w:gridCol w:w="1267"/>
        <w:gridCol w:w="919"/>
        <w:gridCol w:w="2535"/>
        <w:gridCol w:w="2535"/>
      </w:tblGrid>
      <w:tr w14:paraId="35CC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blHeader/>
          <w:jc w:val="center"/>
        </w:trPr>
        <w:tc>
          <w:tcPr>
            <w:tcW w:w="568" w:type="pct"/>
            <w:vAlign w:val="center"/>
          </w:tcPr>
          <w:p w14:paraId="3F74B527">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序号</w:t>
            </w:r>
          </w:p>
        </w:tc>
        <w:tc>
          <w:tcPr>
            <w:tcW w:w="664" w:type="pct"/>
            <w:vAlign w:val="center"/>
          </w:tcPr>
          <w:p w14:paraId="72A17078">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压力等级</w:t>
            </w:r>
          </w:p>
          <w:p w14:paraId="07634165">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MPa</w:t>
            </w:r>
          </w:p>
        </w:tc>
        <w:tc>
          <w:tcPr>
            <w:tcW w:w="658" w:type="pct"/>
            <w:vAlign w:val="center"/>
          </w:tcPr>
          <w:p w14:paraId="294A0EDE">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阀门口径</w:t>
            </w:r>
          </w:p>
          <w:p w14:paraId="412A539B">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mm</w:t>
            </w:r>
          </w:p>
        </w:tc>
        <w:tc>
          <w:tcPr>
            <w:tcW w:w="477" w:type="pct"/>
            <w:vAlign w:val="center"/>
          </w:tcPr>
          <w:p w14:paraId="567BC419">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数量</w:t>
            </w:r>
          </w:p>
          <w:p w14:paraId="2D114A7B">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个</w:t>
            </w:r>
          </w:p>
        </w:tc>
        <w:tc>
          <w:tcPr>
            <w:tcW w:w="1316" w:type="pct"/>
            <w:vAlign w:val="center"/>
          </w:tcPr>
          <w:p w14:paraId="109F8482">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设定压力</w:t>
            </w:r>
          </w:p>
          <w:p w14:paraId="5675BF94">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MPa</w:t>
            </w:r>
          </w:p>
        </w:tc>
        <w:tc>
          <w:tcPr>
            <w:tcW w:w="1316" w:type="pct"/>
            <w:vAlign w:val="center"/>
          </w:tcPr>
          <w:p w14:paraId="652EB2AD">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安装位置</w:t>
            </w:r>
          </w:p>
        </w:tc>
      </w:tr>
      <w:tr w14:paraId="4D33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568" w:type="pct"/>
            <w:vAlign w:val="center"/>
          </w:tcPr>
          <w:p w14:paraId="0502EEF8">
            <w:pPr>
              <w:adjustRightInd w:val="0"/>
              <w:snapToGrid w:val="0"/>
              <w:jc w:val="center"/>
              <w:rPr>
                <w:rFonts w:ascii="Times New Roman" w:hAnsi="Times New Roman" w:eastAsia="宋体" w:cs="Times New Roman"/>
                <w:snapToGrid w:val="0"/>
                <w:szCs w:val="21"/>
              </w:rPr>
            </w:pPr>
            <w:r>
              <w:rPr>
                <w:rFonts w:ascii="Times New Roman" w:hAnsi="Times New Roman" w:eastAsia="宋体" w:cs="Times New Roman"/>
                <w:snapToGrid w:val="0"/>
                <w:kern w:val="0"/>
                <w:sz w:val="18"/>
                <w:szCs w:val="18"/>
              </w:rPr>
              <w:t>1</w:t>
            </w:r>
          </w:p>
        </w:tc>
        <w:tc>
          <w:tcPr>
            <w:tcW w:w="664" w:type="pct"/>
            <w:vAlign w:val="center"/>
          </w:tcPr>
          <w:p w14:paraId="439DB30C">
            <w:pPr>
              <w:adjustRightInd w:val="0"/>
              <w:snapToGrid w:val="0"/>
              <w:jc w:val="center"/>
              <w:rPr>
                <w:rFonts w:ascii="Times New Roman" w:hAnsi="Times New Roman" w:eastAsia="宋体" w:cs="Times New Roman"/>
                <w:snapToGrid w:val="0"/>
                <w:szCs w:val="21"/>
              </w:rPr>
            </w:pPr>
          </w:p>
        </w:tc>
        <w:tc>
          <w:tcPr>
            <w:tcW w:w="658" w:type="pct"/>
            <w:vAlign w:val="center"/>
          </w:tcPr>
          <w:p w14:paraId="61130FD3">
            <w:pPr>
              <w:adjustRightInd w:val="0"/>
              <w:snapToGrid w:val="0"/>
              <w:jc w:val="center"/>
              <w:rPr>
                <w:rFonts w:ascii="Times New Roman" w:hAnsi="Times New Roman" w:eastAsia="宋体" w:cs="Times New Roman"/>
                <w:snapToGrid w:val="0"/>
                <w:szCs w:val="21"/>
              </w:rPr>
            </w:pPr>
          </w:p>
        </w:tc>
        <w:tc>
          <w:tcPr>
            <w:tcW w:w="477" w:type="pct"/>
            <w:vAlign w:val="center"/>
          </w:tcPr>
          <w:p w14:paraId="6095D5B7">
            <w:pPr>
              <w:adjustRightInd w:val="0"/>
              <w:snapToGrid w:val="0"/>
              <w:jc w:val="center"/>
              <w:rPr>
                <w:rFonts w:ascii="Times New Roman" w:hAnsi="Times New Roman" w:eastAsia="宋体" w:cs="Times New Roman"/>
                <w:snapToGrid w:val="0"/>
                <w:szCs w:val="21"/>
              </w:rPr>
            </w:pPr>
          </w:p>
        </w:tc>
        <w:tc>
          <w:tcPr>
            <w:tcW w:w="1316" w:type="pct"/>
            <w:vAlign w:val="center"/>
          </w:tcPr>
          <w:p w14:paraId="516F0724">
            <w:pPr>
              <w:adjustRightInd w:val="0"/>
              <w:snapToGrid w:val="0"/>
              <w:jc w:val="center"/>
              <w:rPr>
                <w:rFonts w:ascii="Times New Roman" w:hAnsi="Times New Roman" w:eastAsia="宋体" w:cs="Times New Roman"/>
                <w:snapToGrid w:val="0"/>
                <w:szCs w:val="21"/>
              </w:rPr>
            </w:pPr>
          </w:p>
        </w:tc>
        <w:tc>
          <w:tcPr>
            <w:tcW w:w="1316" w:type="pct"/>
            <w:vAlign w:val="center"/>
          </w:tcPr>
          <w:p w14:paraId="21490A0C">
            <w:pPr>
              <w:adjustRightInd w:val="0"/>
              <w:snapToGrid w:val="0"/>
              <w:jc w:val="center"/>
              <w:rPr>
                <w:rFonts w:ascii="Times New Roman" w:hAnsi="Times New Roman" w:eastAsia="宋体" w:cs="Times New Roman"/>
                <w:snapToGrid w:val="0"/>
                <w:szCs w:val="21"/>
              </w:rPr>
            </w:pPr>
          </w:p>
        </w:tc>
      </w:tr>
      <w:tr w14:paraId="6396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blHeader/>
          <w:jc w:val="center"/>
        </w:trPr>
        <w:tc>
          <w:tcPr>
            <w:tcW w:w="568" w:type="pct"/>
            <w:vAlign w:val="center"/>
          </w:tcPr>
          <w:p w14:paraId="0E78E9BF">
            <w:pPr>
              <w:adjustRightInd w:val="0"/>
              <w:snapToGrid w:val="0"/>
              <w:jc w:val="center"/>
              <w:rPr>
                <w:rFonts w:ascii="Times New Roman" w:hAnsi="Times New Roman" w:eastAsia="宋体" w:cs="Times New Roman"/>
                <w:snapToGrid w:val="0"/>
                <w:szCs w:val="21"/>
              </w:rPr>
            </w:pPr>
            <w:r>
              <w:rPr>
                <w:rFonts w:ascii="Times New Roman" w:hAnsi="Times New Roman" w:eastAsia="宋体" w:cs="Times New Roman"/>
                <w:snapToGrid w:val="0"/>
                <w:szCs w:val="21"/>
              </w:rPr>
              <w:t>...</w:t>
            </w:r>
          </w:p>
        </w:tc>
        <w:tc>
          <w:tcPr>
            <w:tcW w:w="664" w:type="pct"/>
            <w:vAlign w:val="center"/>
          </w:tcPr>
          <w:p w14:paraId="6D2245E4">
            <w:pPr>
              <w:adjustRightInd w:val="0"/>
              <w:snapToGrid w:val="0"/>
              <w:jc w:val="center"/>
              <w:rPr>
                <w:rFonts w:ascii="Times New Roman" w:hAnsi="Times New Roman" w:eastAsia="宋体" w:cs="Times New Roman"/>
                <w:snapToGrid w:val="0"/>
                <w:szCs w:val="21"/>
              </w:rPr>
            </w:pPr>
          </w:p>
        </w:tc>
        <w:tc>
          <w:tcPr>
            <w:tcW w:w="658" w:type="pct"/>
            <w:vAlign w:val="center"/>
          </w:tcPr>
          <w:p w14:paraId="72278D37">
            <w:pPr>
              <w:adjustRightInd w:val="0"/>
              <w:snapToGrid w:val="0"/>
              <w:jc w:val="center"/>
              <w:rPr>
                <w:rFonts w:ascii="Times New Roman" w:hAnsi="Times New Roman" w:eastAsia="宋体" w:cs="Times New Roman"/>
                <w:snapToGrid w:val="0"/>
                <w:szCs w:val="21"/>
              </w:rPr>
            </w:pPr>
          </w:p>
        </w:tc>
        <w:tc>
          <w:tcPr>
            <w:tcW w:w="477" w:type="pct"/>
            <w:vAlign w:val="center"/>
          </w:tcPr>
          <w:p w14:paraId="53EEF794">
            <w:pPr>
              <w:adjustRightInd w:val="0"/>
              <w:snapToGrid w:val="0"/>
              <w:jc w:val="center"/>
              <w:rPr>
                <w:rFonts w:ascii="Times New Roman" w:hAnsi="Times New Roman" w:eastAsia="宋体" w:cs="Times New Roman"/>
                <w:snapToGrid w:val="0"/>
                <w:szCs w:val="21"/>
              </w:rPr>
            </w:pPr>
          </w:p>
        </w:tc>
        <w:tc>
          <w:tcPr>
            <w:tcW w:w="1316" w:type="pct"/>
            <w:vAlign w:val="center"/>
          </w:tcPr>
          <w:p w14:paraId="562452D3">
            <w:pPr>
              <w:adjustRightInd w:val="0"/>
              <w:snapToGrid w:val="0"/>
              <w:jc w:val="center"/>
              <w:rPr>
                <w:rFonts w:ascii="Times New Roman" w:hAnsi="Times New Roman" w:eastAsia="宋体" w:cs="Times New Roman"/>
                <w:snapToGrid w:val="0"/>
                <w:szCs w:val="21"/>
              </w:rPr>
            </w:pPr>
          </w:p>
        </w:tc>
        <w:tc>
          <w:tcPr>
            <w:tcW w:w="1316" w:type="pct"/>
            <w:vAlign w:val="center"/>
          </w:tcPr>
          <w:p w14:paraId="59B61754">
            <w:pPr>
              <w:adjustRightInd w:val="0"/>
              <w:snapToGrid w:val="0"/>
              <w:jc w:val="center"/>
              <w:rPr>
                <w:rFonts w:ascii="Times New Roman" w:hAnsi="Times New Roman" w:eastAsia="宋体" w:cs="Times New Roman"/>
                <w:snapToGrid w:val="0"/>
                <w:szCs w:val="21"/>
              </w:rPr>
            </w:pPr>
          </w:p>
        </w:tc>
      </w:tr>
    </w:tbl>
    <w:p w14:paraId="3959830A">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HAZOP分析结果落实情况</w:t>
      </w:r>
    </w:p>
    <w:tbl>
      <w:tblPr>
        <w:tblStyle w:val="24"/>
        <w:tblW w:w="50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4569"/>
        <w:gridCol w:w="1081"/>
        <w:gridCol w:w="3283"/>
      </w:tblGrid>
      <w:tr w14:paraId="469A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381" w:type="pct"/>
            <w:vAlign w:val="center"/>
          </w:tcPr>
          <w:p w14:paraId="1D3459D4">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序号</w:t>
            </w:r>
          </w:p>
        </w:tc>
        <w:tc>
          <w:tcPr>
            <w:tcW w:w="2362" w:type="pct"/>
            <w:vAlign w:val="center"/>
          </w:tcPr>
          <w:p w14:paraId="2CEF8ACB">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建议内容</w:t>
            </w:r>
          </w:p>
        </w:tc>
        <w:tc>
          <w:tcPr>
            <w:tcW w:w="559" w:type="pct"/>
            <w:vAlign w:val="center"/>
          </w:tcPr>
          <w:p w14:paraId="2351B03A">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是否采纳</w:t>
            </w:r>
          </w:p>
        </w:tc>
        <w:tc>
          <w:tcPr>
            <w:tcW w:w="1697" w:type="pct"/>
            <w:vAlign w:val="center"/>
          </w:tcPr>
          <w:p w14:paraId="65454F21">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落实情况</w:t>
            </w:r>
          </w:p>
        </w:tc>
      </w:tr>
      <w:tr w14:paraId="2EE5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381" w:type="pct"/>
            <w:vAlign w:val="center"/>
          </w:tcPr>
          <w:p w14:paraId="1AB2AA3B">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2362" w:type="pct"/>
            <w:vAlign w:val="center"/>
          </w:tcPr>
          <w:p w14:paraId="22FD1A53">
            <w:pPr>
              <w:adjustRightInd w:val="0"/>
              <w:jc w:val="center"/>
              <w:rPr>
                <w:rFonts w:ascii="Times New Roman" w:hAnsi="Times New Roman" w:eastAsia="宋体" w:cs="Times New Roman"/>
                <w:sz w:val="18"/>
                <w:szCs w:val="18"/>
              </w:rPr>
            </w:pPr>
          </w:p>
        </w:tc>
        <w:tc>
          <w:tcPr>
            <w:tcW w:w="559" w:type="pct"/>
            <w:vAlign w:val="center"/>
          </w:tcPr>
          <w:p w14:paraId="5CD37D55">
            <w:pPr>
              <w:adjustRightInd w:val="0"/>
              <w:jc w:val="center"/>
              <w:rPr>
                <w:rFonts w:ascii="Times New Roman" w:hAnsi="Times New Roman" w:eastAsia="宋体" w:cs="Times New Roman"/>
                <w:sz w:val="18"/>
                <w:szCs w:val="18"/>
              </w:rPr>
            </w:pPr>
          </w:p>
        </w:tc>
        <w:tc>
          <w:tcPr>
            <w:tcW w:w="1697" w:type="pct"/>
            <w:vAlign w:val="center"/>
          </w:tcPr>
          <w:p w14:paraId="227207EE">
            <w:pPr>
              <w:adjustRightInd w:val="0"/>
              <w:jc w:val="center"/>
              <w:rPr>
                <w:rFonts w:ascii="Times New Roman" w:hAnsi="Times New Roman" w:eastAsia="宋体" w:cs="Times New Roman"/>
                <w:sz w:val="18"/>
                <w:szCs w:val="18"/>
              </w:rPr>
            </w:pPr>
          </w:p>
        </w:tc>
      </w:tr>
      <w:tr w14:paraId="1937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381" w:type="pct"/>
            <w:vAlign w:val="center"/>
          </w:tcPr>
          <w:p w14:paraId="70621FB9">
            <w:pPr>
              <w:adjustRightInd w:val="0"/>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2362" w:type="pct"/>
            <w:vAlign w:val="center"/>
          </w:tcPr>
          <w:p w14:paraId="0D6D4D4C">
            <w:pPr>
              <w:adjustRightInd w:val="0"/>
              <w:jc w:val="center"/>
              <w:rPr>
                <w:rFonts w:ascii="Times New Roman" w:hAnsi="Times New Roman" w:eastAsia="宋体" w:cs="Times New Roman"/>
                <w:sz w:val="18"/>
                <w:szCs w:val="18"/>
              </w:rPr>
            </w:pPr>
          </w:p>
        </w:tc>
        <w:tc>
          <w:tcPr>
            <w:tcW w:w="559" w:type="pct"/>
            <w:vAlign w:val="center"/>
          </w:tcPr>
          <w:p w14:paraId="52694246">
            <w:pPr>
              <w:adjustRightInd w:val="0"/>
              <w:jc w:val="center"/>
              <w:rPr>
                <w:rFonts w:ascii="Times New Roman" w:hAnsi="Times New Roman" w:eastAsia="宋体" w:cs="Times New Roman"/>
                <w:sz w:val="18"/>
                <w:szCs w:val="18"/>
              </w:rPr>
            </w:pPr>
          </w:p>
        </w:tc>
        <w:tc>
          <w:tcPr>
            <w:tcW w:w="1697" w:type="pct"/>
            <w:vAlign w:val="center"/>
          </w:tcPr>
          <w:p w14:paraId="2BF394FB">
            <w:pPr>
              <w:adjustRightInd w:val="0"/>
              <w:jc w:val="center"/>
              <w:rPr>
                <w:rFonts w:ascii="Times New Roman" w:hAnsi="Times New Roman" w:eastAsia="宋体" w:cs="Times New Roman"/>
                <w:sz w:val="18"/>
                <w:szCs w:val="18"/>
              </w:rPr>
            </w:pPr>
          </w:p>
        </w:tc>
      </w:tr>
    </w:tbl>
    <w:p w14:paraId="4F0E7103">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SIL定级表</w:t>
      </w:r>
    </w:p>
    <w:tbl>
      <w:tblPr>
        <w:tblStyle w:val="24"/>
        <w:tblW w:w="50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4651"/>
        <w:gridCol w:w="3232"/>
      </w:tblGrid>
      <w:tr w14:paraId="3937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33" w:type="pct"/>
          </w:tcPr>
          <w:p w14:paraId="14DCDC54">
            <w:pPr>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回路序号</w:t>
            </w:r>
          </w:p>
        </w:tc>
        <w:tc>
          <w:tcPr>
            <w:tcW w:w="2399" w:type="pct"/>
          </w:tcPr>
          <w:p w14:paraId="6AB90E48">
            <w:pPr>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回路描述</w:t>
            </w:r>
          </w:p>
        </w:tc>
        <w:tc>
          <w:tcPr>
            <w:tcW w:w="1667" w:type="pct"/>
          </w:tcPr>
          <w:p w14:paraId="4F93BC08">
            <w:pPr>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定级结果</w:t>
            </w:r>
          </w:p>
        </w:tc>
      </w:tr>
      <w:tr w14:paraId="751C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33" w:type="pct"/>
          </w:tcPr>
          <w:p w14:paraId="5546ECA5">
            <w:pPr>
              <w:jc w:val="center"/>
              <w:rPr>
                <w:rFonts w:ascii="Times New Roman" w:hAnsi="Times New Roman" w:eastAsia="宋体" w:cs="Times New Roman"/>
                <w:color w:val="FF0000"/>
              </w:rPr>
            </w:pPr>
            <w:r>
              <w:rPr>
                <w:rFonts w:ascii="Times New Roman" w:hAnsi="Times New Roman" w:eastAsia="宋体" w:cs="Times New Roman"/>
                <w:snapToGrid w:val="0"/>
                <w:kern w:val="0"/>
                <w:sz w:val="18"/>
                <w:szCs w:val="18"/>
              </w:rPr>
              <w:t>1</w:t>
            </w:r>
          </w:p>
        </w:tc>
        <w:tc>
          <w:tcPr>
            <w:tcW w:w="2399" w:type="pct"/>
          </w:tcPr>
          <w:p w14:paraId="25002958">
            <w:pPr>
              <w:rPr>
                <w:rFonts w:ascii="Times New Roman" w:hAnsi="Times New Roman" w:eastAsia="宋体" w:cs="Times New Roman"/>
                <w:color w:val="FF0000"/>
              </w:rPr>
            </w:pPr>
          </w:p>
        </w:tc>
        <w:tc>
          <w:tcPr>
            <w:tcW w:w="1667" w:type="pct"/>
          </w:tcPr>
          <w:p w14:paraId="0894F3FF">
            <w:pPr>
              <w:rPr>
                <w:rFonts w:ascii="Times New Roman" w:hAnsi="Times New Roman" w:eastAsia="宋体" w:cs="Times New Roman"/>
                <w:color w:val="FF0000"/>
              </w:rPr>
            </w:pPr>
          </w:p>
        </w:tc>
      </w:tr>
      <w:tr w14:paraId="7546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933" w:type="pct"/>
          </w:tcPr>
          <w:p w14:paraId="11450DF0">
            <w:pPr>
              <w:jc w:val="center"/>
              <w:rPr>
                <w:rFonts w:ascii="Times New Roman" w:hAnsi="Times New Roman" w:eastAsia="宋体" w:cs="Times New Roman"/>
              </w:rPr>
            </w:pPr>
            <w:r>
              <w:rPr>
                <w:rFonts w:ascii="Times New Roman" w:hAnsi="Times New Roman" w:eastAsia="宋体" w:cs="Times New Roman"/>
                <w:snapToGrid w:val="0"/>
                <w:kern w:val="0"/>
                <w:sz w:val="18"/>
                <w:szCs w:val="18"/>
              </w:rPr>
              <w:t>...</w:t>
            </w:r>
          </w:p>
        </w:tc>
        <w:tc>
          <w:tcPr>
            <w:tcW w:w="2399" w:type="pct"/>
          </w:tcPr>
          <w:p w14:paraId="5DD0B8EF">
            <w:pPr>
              <w:rPr>
                <w:rFonts w:ascii="Times New Roman" w:hAnsi="Times New Roman" w:eastAsia="宋体" w:cs="Times New Roman"/>
              </w:rPr>
            </w:pPr>
          </w:p>
        </w:tc>
        <w:tc>
          <w:tcPr>
            <w:tcW w:w="1667" w:type="pct"/>
          </w:tcPr>
          <w:p w14:paraId="5C4E1A2F">
            <w:pPr>
              <w:rPr>
                <w:rFonts w:ascii="Times New Roman" w:hAnsi="Times New Roman" w:eastAsia="宋体" w:cs="Times New Roman"/>
              </w:rPr>
            </w:pPr>
          </w:p>
        </w:tc>
      </w:tr>
    </w:tbl>
    <w:p w14:paraId="582C839C">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建筑物汇总</w:t>
      </w:r>
    </w:p>
    <w:tbl>
      <w:tblPr>
        <w:tblStyle w:val="24"/>
        <w:tblW w:w="51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3"/>
        <w:gridCol w:w="1415"/>
        <w:gridCol w:w="1224"/>
        <w:gridCol w:w="1021"/>
        <w:gridCol w:w="1013"/>
        <w:gridCol w:w="1162"/>
        <w:gridCol w:w="1162"/>
        <w:gridCol w:w="906"/>
        <w:gridCol w:w="1279"/>
      </w:tblGrid>
      <w:tr w14:paraId="42C5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9" w:hRule="atLeast"/>
          <w:jc w:val="center"/>
        </w:trPr>
        <w:tc>
          <w:tcPr>
            <w:tcW w:w="284" w:type="pct"/>
            <w:vAlign w:val="center"/>
          </w:tcPr>
          <w:p w14:paraId="6B734209">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序号</w:t>
            </w:r>
          </w:p>
        </w:tc>
        <w:tc>
          <w:tcPr>
            <w:tcW w:w="726" w:type="pct"/>
            <w:vAlign w:val="center"/>
          </w:tcPr>
          <w:p w14:paraId="0647C81C">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建筑物名称</w:t>
            </w:r>
          </w:p>
        </w:tc>
        <w:tc>
          <w:tcPr>
            <w:tcW w:w="628" w:type="pct"/>
            <w:vAlign w:val="center"/>
          </w:tcPr>
          <w:p w14:paraId="425AB181">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建筑物高度</w:t>
            </w:r>
          </w:p>
        </w:tc>
        <w:tc>
          <w:tcPr>
            <w:tcW w:w="524" w:type="pct"/>
            <w:vAlign w:val="center"/>
          </w:tcPr>
          <w:p w14:paraId="25CA432F">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建筑面积</w:t>
            </w:r>
          </w:p>
          <w:p w14:paraId="1350B070">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m</w:t>
            </w:r>
            <w:r>
              <w:rPr>
                <w:rFonts w:ascii="Times New Roman" w:hAnsi="Times New Roman" w:eastAsia="宋体" w:cs="Times New Roman"/>
                <w:sz w:val="18"/>
                <w:szCs w:val="18"/>
                <w:vertAlign w:val="superscript"/>
              </w:rPr>
              <w:t>2</w:t>
            </w:r>
          </w:p>
        </w:tc>
        <w:tc>
          <w:tcPr>
            <w:tcW w:w="520" w:type="pct"/>
            <w:vAlign w:val="center"/>
          </w:tcPr>
          <w:p w14:paraId="740FE292">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建筑结构</w:t>
            </w:r>
          </w:p>
        </w:tc>
        <w:tc>
          <w:tcPr>
            <w:tcW w:w="596" w:type="pct"/>
            <w:vAlign w:val="center"/>
          </w:tcPr>
          <w:p w14:paraId="04FCCCB5">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火灾危险性</w:t>
            </w:r>
          </w:p>
        </w:tc>
        <w:tc>
          <w:tcPr>
            <w:tcW w:w="596" w:type="pct"/>
            <w:vAlign w:val="center"/>
          </w:tcPr>
          <w:p w14:paraId="7622F823">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耐火等级</w:t>
            </w:r>
          </w:p>
        </w:tc>
        <w:tc>
          <w:tcPr>
            <w:tcW w:w="465" w:type="pct"/>
            <w:vAlign w:val="center"/>
          </w:tcPr>
          <w:p w14:paraId="78791A00">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层数</w:t>
            </w:r>
          </w:p>
        </w:tc>
        <w:tc>
          <w:tcPr>
            <w:tcW w:w="656" w:type="pct"/>
            <w:vAlign w:val="center"/>
          </w:tcPr>
          <w:p w14:paraId="2EA7AA73">
            <w:pPr>
              <w:spacing w:before="120" w:beforeLines="50" w:line="30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泄压比值</w:t>
            </w:r>
          </w:p>
        </w:tc>
      </w:tr>
      <w:tr w14:paraId="654E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atLeast"/>
          <w:jc w:val="center"/>
        </w:trPr>
        <w:tc>
          <w:tcPr>
            <w:tcW w:w="284" w:type="pct"/>
            <w:vAlign w:val="center"/>
          </w:tcPr>
          <w:p w14:paraId="00366509">
            <w:pPr>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726" w:type="pct"/>
            <w:vAlign w:val="center"/>
          </w:tcPr>
          <w:p w14:paraId="1D718359">
            <w:pPr>
              <w:jc w:val="center"/>
              <w:rPr>
                <w:rFonts w:ascii="Times New Roman" w:hAnsi="Times New Roman" w:eastAsia="宋体" w:cs="Times New Roman"/>
                <w:sz w:val="18"/>
                <w:szCs w:val="18"/>
              </w:rPr>
            </w:pPr>
          </w:p>
        </w:tc>
        <w:tc>
          <w:tcPr>
            <w:tcW w:w="628" w:type="pct"/>
            <w:vAlign w:val="center"/>
          </w:tcPr>
          <w:p w14:paraId="3FF221EB">
            <w:pPr>
              <w:rPr>
                <w:rFonts w:ascii="Times New Roman" w:hAnsi="Times New Roman" w:eastAsia="宋体" w:cs="Times New Roman"/>
                <w:sz w:val="18"/>
                <w:szCs w:val="18"/>
              </w:rPr>
            </w:pPr>
          </w:p>
        </w:tc>
        <w:tc>
          <w:tcPr>
            <w:tcW w:w="524" w:type="pct"/>
            <w:vAlign w:val="center"/>
          </w:tcPr>
          <w:p w14:paraId="3312F7FD">
            <w:pPr>
              <w:rPr>
                <w:rFonts w:ascii="Times New Roman" w:hAnsi="Times New Roman" w:eastAsia="宋体" w:cs="Times New Roman"/>
                <w:sz w:val="18"/>
                <w:szCs w:val="18"/>
              </w:rPr>
            </w:pPr>
          </w:p>
        </w:tc>
        <w:tc>
          <w:tcPr>
            <w:tcW w:w="520" w:type="pct"/>
            <w:vAlign w:val="center"/>
          </w:tcPr>
          <w:p w14:paraId="67D4C891">
            <w:pPr>
              <w:rPr>
                <w:rFonts w:ascii="Times New Roman" w:hAnsi="Times New Roman" w:eastAsia="宋体" w:cs="Times New Roman"/>
                <w:sz w:val="18"/>
                <w:szCs w:val="18"/>
              </w:rPr>
            </w:pPr>
          </w:p>
        </w:tc>
        <w:tc>
          <w:tcPr>
            <w:tcW w:w="596" w:type="pct"/>
            <w:vAlign w:val="center"/>
          </w:tcPr>
          <w:p w14:paraId="1BDF0F7F">
            <w:pPr>
              <w:rPr>
                <w:rFonts w:ascii="Times New Roman" w:hAnsi="Times New Roman" w:eastAsia="宋体" w:cs="Times New Roman"/>
                <w:sz w:val="18"/>
                <w:szCs w:val="18"/>
              </w:rPr>
            </w:pPr>
          </w:p>
        </w:tc>
        <w:tc>
          <w:tcPr>
            <w:tcW w:w="596" w:type="pct"/>
            <w:vAlign w:val="center"/>
          </w:tcPr>
          <w:p w14:paraId="585BD516">
            <w:pPr>
              <w:rPr>
                <w:rFonts w:ascii="Times New Roman" w:hAnsi="Times New Roman" w:eastAsia="宋体" w:cs="Times New Roman"/>
                <w:sz w:val="18"/>
                <w:szCs w:val="18"/>
              </w:rPr>
            </w:pPr>
          </w:p>
        </w:tc>
        <w:tc>
          <w:tcPr>
            <w:tcW w:w="465" w:type="pct"/>
            <w:vAlign w:val="center"/>
          </w:tcPr>
          <w:p w14:paraId="2B22EC24">
            <w:pPr>
              <w:rPr>
                <w:rFonts w:ascii="Times New Roman" w:hAnsi="Times New Roman" w:eastAsia="宋体" w:cs="Times New Roman"/>
                <w:sz w:val="18"/>
                <w:szCs w:val="18"/>
              </w:rPr>
            </w:pPr>
          </w:p>
        </w:tc>
        <w:tc>
          <w:tcPr>
            <w:tcW w:w="656" w:type="pct"/>
            <w:vAlign w:val="center"/>
          </w:tcPr>
          <w:p w14:paraId="58BDB5F1">
            <w:pPr>
              <w:rPr>
                <w:rFonts w:ascii="Times New Roman" w:hAnsi="Times New Roman" w:eastAsia="宋体" w:cs="Times New Roman"/>
                <w:sz w:val="18"/>
                <w:szCs w:val="18"/>
              </w:rPr>
            </w:pPr>
          </w:p>
        </w:tc>
      </w:tr>
      <w:tr w14:paraId="18F2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2" w:hRule="atLeast"/>
          <w:jc w:val="center"/>
        </w:trPr>
        <w:tc>
          <w:tcPr>
            <w:tcW w:w="284" w:type="pct"/>
            <w:vAlign w:val="center"/>
          </w:tcPr>
          <w:p w14:paraId="0BB833F9">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726" w:type="pct"/>
            <w:vAlign w:val="center"/>
          </w:tcPr>
          <w:p w14:paraId="655E2E83">
            <w:pPr>
              <w:jc w:val="center"/>
              <w:rPr>
                <w:rFonts w:ascii="Times New Roman" w:hAnsi="Times New Roman" w:eastAsia="宋体" w:cs="Times New Roman"/>
                <w:sz w:val="18"/>
                <w:szCs w:val="18"/>
              </w:rPr>
            </w:pPr>
          </w:p>
        </w:tc>
        <w:tc>
          <w:tcPr>
            <w:tcW w:w="628" w:type="pct"/>
            <w:vAlign w:val="center"/>
          </w:tcPr>
          <w:p w14:paraId="1F2D5C3F">
            <w:pPr>
              <w:rPr>
                <w:rFonts w:ascii="Times New Roman" w:hAnsi="Times New Roman" w:eastAsia="宋体" w:cs="Times New Roman"/>
                <w:sz w:val="18"/>
                <w:szCs w:val="18"/>
              </w:rPr>
            </w:pPr>
          </w:p>
        </w:tc>
        <w:tc>
          <w:tcPr>
            <w:tcW w:w="524" w:type="pct"/>
            <w:vAlign w:val="center"/>
          </w:tcPr>
          <w:p w14:paraId="33042B15">
            <w:pPr>
              <w:rPr>
                <w:rFonts w:ascii="Times New Roman" w:hAnsi="Times New Roman" w:eastAsia="宋体" w:cs="Times New Roman"/>
                <w:sz w:val="18"/>
                <w:szCs w:val="18"/>
              </w:rPr>
            </w:pPr>
          </w:p>
        </w:tc>
        <w:tc>
          <w:tcPr>
            <w:tcW w:w="520" w:type="pct"/>
            <w:vAlign w:val="center"/>
          </w:tcPr>
          <w:p w14:paraId="128D1A3D">
            <w:pPr>
              <w:rPr>
                <w:rFonts w:ascii="Times New Roman" w:hAnsi="Times New Roman" w:eastAsia="宋体" w:cs="Times New Roman"/>
                <w:sz w:val="18"/>
                <w:szCs w:val="18"/>
              </w:rPr>
            </w:pPr>
          </w:p>
        </w:tc>
        <w:tc>
          <w:tcPr>
            <w:tcW w:w="596" w:type="pct"/>
            <w:vAlign w:val="center"/>
          </w:tcPr>
          <w:p w14:paraId="72F634DA">
            <w:pPr>
              <w:rPr>
                <w:rFonts w:ascii="Times New Roman" w:hAnsi="Times New Roman" w:eastAsia="宋体" w:cs="Times New Roman"/>
                <w:sz w:val="18"/>
                <w:szCs w:val="18"/>
              </w:rPr>
            </w:pPr>
          </w:p>
        </w:tc>
        <w:tc>
          <w:tcPr>
            <w:tcW w:w="596" w:type="pct"/>
            <w:vAlign w:val="center"/>
          </w:tcPr>
          <w:p w14:paraId="2688807C">
            <w:pPr>
              <w:rPr>
                <w:rFonts w:ascii="Times New Roman" w:hAnsi="Times New Roman" w:eastAsia="宋体" w:cs="Times New Roman"/>
                <w:sz w:val="18"/>
                <w:szCs w:val="18"/>
              </w:rPr>
            </w:pPr>
          </w:p>
        </w:tc>
        <w:tc>
          <w:tcPr>
            <w:tcW w:w="465" w:type="pct"/>
            <w:vAlign w:val="center"/>
          </w:tcPr>
          <w:p w14:paraId="2CC33ABE">
            <w:pPr>
              <w:rPr>
                <w:rFonts w:ascii="Times New Roman" w:hAnsi="Times New Roman" w:eastAsia="宋体" w:cs="Times New Roman"/>
                <w:sz w:val="18"/>
                <w:szCs w:val="18"/>
              </w:rPr>
            </w:pPr>
          </w:p>
        </w:tc>
        <w:tc>
          <w:tcPr>
            <w:tcW w:w="656" w:type="pct"/>
            <w:vAlign w:val="center"/>
          </w:tcPr>
          <w:p w14:paraId="092CDC02">
            <w:pPr>
              <w:rPr>
                <w:rFonts w:ascii="Times New Roman" w:hAnsi="Times New Roman" w:eastAsia="宋体" w:cs="Times New Roman"/>
                <w:sz w:val="18"/>
                <w:szCs w:val="18"/>
              </w:rPr>
            </w:pPr>
          </w:p>
        </w:tc>
      </w:tr>
    </w:tbl>
    <w:p w14:paraId="6A877D84">
      <w:pPr>
        <w:rPr>
          <w:rFonts w:ascii="Times New Roman" w:hAnsi="Times New Roman" w:eastAsia="黑体" w:cs="Times New Roman"/>
          <w:szCs w:val="21"/>
        </w:rPr>
      </w:pPr>
    </w:p>
    <w:p w14:paraId="558C2AC6">
      <w:pPr>
        <w:numPr>
          <w:ilvl w:val="0"/>
          <w:numId w:val="45"/>
        </w:numPr>
        <w:jc w:val="center"/>
        <w:rPr>
          <w:rFonts w:ascii="Times New Roman" w:hAnsi="Times New Roman" w:eastAsia="黑体" w:cs="Times New Roman"/>
          <w:szCs w:val="21"/>
        </w:rPr>
      </w:pPr>
      <w:r>
        <w:rPr>
          <w:rFonts w:ascii="Times New Roman" w:hAnsi="Times New Roman" w:eastAsia="黑体" w:cs="Times New Roman"/>
          <w:szCs w:val="21"/>
        </w:rPr>
        <w:t xml:space="preserve">  安全设施专项投资概算表</w:t>
      </w:r>
    </w:p>
    <w:tbl>
      <w:tblPr>
        <w:tblStyle w:val="24"/>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081"/>
        <w:gridCol w:w="3479"/>
        <w:gridCol w:w="1487"/>
        <w:gridCol w:w="1585"/>
      </w:tblGrid>
      <w:tr w14:paraId="786D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67" w:type="dxa"/>
            <w:vAlign w:val="center"/>
          </w:tcPr>
          <w:p w14:paraId="1077833C">
            <w:pPr>
              <w:adjustRightInd w:val="0"/>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rPr>
              <w:t>序号</w:t>
            </w:r>
          </w:p>
        </w:tc>
        <w:tc>
          <w:tcPr>
            <w:tcW w:w="5560" w:type="dxa"/>
            <w:gridSpan w:val="2"/>
            <w:vAlign w:val="center"/>
          </w:tcPr>
          <w:p w14:paraId="029246C3">
            <w:pPr>
              <w:adjustRightInd w:val="0"/>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rPr>
              <w:t>安全技术措施和设施名称</w:t>
            </w:r>
          </w:p>
        </w:tc>
        <w:tc>
          <w:tcPr>
            <w:tcW w:w="1487" w:type="dxa"/>
            <w:vAlign w:val="center"/>
          </w:tcPr>
          <w:p w14:paraId="202DB445">
            <w:pPr>
              <w:adjustRightInd w:val="0"/>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rPr>
              <w:t>概算投资</w:t>
            </w:r>
          </w:p>
          <w:p w14:paraId="5988488A">
            <w:pPr>
              <w:adjustRightInd w:val="0"/>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rPr>
              <w:t>（万元）</w:t>
            </w:r>
          </w:p>
        </w:tc>
        <w:tc>
          <w:tcPr>
            <w:tcW w:w="1585" w:type="dxa"/>
            <w:vAlign w:val="center"/>
          </w:tcPr>
          <w:p w14:paraId="6D17D63B">
            <w:pPr>
              <w:adjustRightInd w:val="0"/>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rPr>
              <w:t>占概算总投资比例（%）</w:t>
            </w:r>
          </w:p>
        </w:tc>
      </w:tr>
      <w:tr w14:paraId="14D1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restart"/>
            <w:vAlign w:val="center"/>
          </w:tcPr>
          <w:p w14:paraId="4BFBEAD1">
            <w:pPr>
              <w:adjustRightInd w:val="0"/>
              <w:snapToGri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1</w:t>
            </w:r>
          </w:p>
        </w:tc>
        <w:tc>
          <w:tcPr>
            <w:tcW w:w="2081" w:type="dxa"/>
            <w:vMerge w:val="restart"/>
            <w:vAlign w:val="center"/>
          </w:tcPr>
          <w:p w14:paraId="316DDE48">
            <w:pPr>
              <w:adjustRightInd w:val="0"/>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rPr>
              <w:t>预防事故设施费用</w:t>
            </w:r>
          </w:p>
        </w:tc>
        <w:tc>
          <w:tcPr>
            <w:tcW w:w="3479" w:type="dxa"/>
            <w:vAlign w:val="center"/>
          </w:tcPr>
          <w:p w14:paraId="05F1FB0D">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检测及报警设施</w:t>
            </w:r>
          </w:p>
        </w:tc>
        <w:tc>
          <w:tcPr>
            <w:tcW w:w="1487" w:type="dxa"/>
            <w:vAlign w:val="center"/>
          </w:tcPr>
          <w:p w14:paraId="366364BA">
            <w:pPr>
              <w:adjustRightInd w:val="0"/>
              <w:snapToGrid w:val="0"/>
              <w:jc w:val="left"/>
              <w:rPr>
                <w:rFonts w:ascii="Times New Roman" w:hAnsi="Times New Roman" w:eastAsia="宋体" w:cs="Times New Roman"/>
                <w:sz w:val="18"/>
                <w:szCs w:val="18"/>
              </w:rPr>
            </w:pPr>
          </w:p>
        </w:tc>
        <w:tc>
          <w:tcPr>
            <w:tcW w:w="1585" w:type="dxa"/>
            <w:vAlign w:val="center"/>
          </w:tcPr>
          <w:p w14:paraId="7CB233AC">
            <w:pPr>
              <w:adjustRightInd w:val="0"/>
              <w:snapToGrid w:val="0"/>
              <w:rPr>
                <w:rFonts w:ascii="Times New Roman" w:hAnsi="Times New Roman" w:eastAsia="宋体" w:cs="Times New Roman"/>
                <w:sz w:val="18"/>
                <w:szCs w:val="18"/>
              </w:rPr>
            </w:pPr>
          </w:p>
        </w:tc>
      </w:tr>
      <w:tr w14:paraId="1943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24A6C2CE">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413E234C">
            <w:pPr>
              <w:adjustRightInd w:val="0"/>
              <w:snapToGrid w:val="0"/>
              <w:rPr>
                <w:rFonts w:ascii="Times New Roman" w:hAnsi="Times New Roman" w:eastAsia="宋体" w:cs="Times New Roman"/>
                <w:sz w:val="18"/>
                <w:szCs w:val="18"/>
              </w:rPr>
            </w:pPr>
          </w:p>
        </w:tc>
        <w:tc>
          <w:tcPr>
            <w:tcW w:w="3479" w:type="dxa"/>
            <w:vAlign w:val="center"/>
          </w:tcPr>
          <w:p w14:paraId="2452BE86">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监测设施</w:t>
            </w:r>
          </w:p>
        </w:tc>
        <w:tc>
          <w:tcPr>
            <w:tcW w:w="1487" w:type="dxa"/>
            <w:vAlign w:val="center"/>
          </w:tcPr>
          <w:p w14:paraId="2EB9319D">
            <w:pPr>
              <w:adjustRightInd w:val="0"/>
              <w:snapToGrid w:val="0"/>
              <w:jc w:val="left"/>
              <w:rPr>
                <w:rFonts w:ascii="Times New Roman" w:hAnsi="Times New Roman" w:eastAsia="宋体" w:cs="Times New Roman"/>
                <w:sz w:val="18"/>
                <w:szCs w:val="18"/>
              </w:rPr>
            </w:pPr>
          </w:p>
        </w:tc>
        <w:tc>
          <w:tcPr>
            <w:tcW w:w="1585" w:type="dxa"/>
            <w:vAlign w:val="center"/>
          </w:tcPr>
          <w:p w14:paraId="5B592708">
            <w:pPr>
              <w:adjustRightInd w:val="0"/>
              <w:snapToGrid w:val="0"/>
              <w:rPr>
                <w:rFonts w:ascii="Times New Roman" w:hAnsi="Times New Roman" w:eastAsia="宋体" w:cs="Times New Roman"/>
                <w:sz w:val="18"/>
                <w:szCs w:val="18"/>
              </w:rPr>
            </w:pPr>
          </w:p>
        </w:tc>
      </w:tr>
      <w:tr w14:paraId="3CF5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662D59BC">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61D9CCA7">
            <w:pPr>
              <w:adjustRightInd w:val="0"/>
              <w:snapToGrid w:val="0"/>
              <w:rPr>
                <w:rFonts w:ascii="Times New Roman" w:hAnsi="Times New Roman" w:eastAsia="宋体" w:cs="Times New Roman"/>
                <w:sz w:val="18"/>
                <w:szCs w:val="18"/>
              </w:rPr>
            </w:pPr>
          </w:p>
        </w:tc>
        <w:tc>
          <w:tcPr>
            <w:tcW w:w="3479" w:type="dxa"/>
            <w:vAlign w:val="center"/>
          </w:tcPr>
          <w:p w14:paraId="54D0D373">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防雷防静电</w:t>
            </w:r>
            <w:r>
              <w:rPr>
                <w:rFonts w:hint="eastAsia" w:ascii="Times New Roman" w:hAnsi="Times New Roman" w:eastAsia="宋体" w:cs="Times New Roman"/>
                <w:sz w:val="18"/>
                <w:szCs w:val="18"/>
              </w:rPr>
              <w:t>接地</w:t>
            </w:r>
            <w:r>
              <w:rPr>
                <w:rFonts w:ascii="Times New Roman" w:hAnsi="Times New Roman" w:eastAsia="宋体" w:cs="Times New Roman"/>
                <w:sz w:val="18"/>
                <w:szCs w:val="18"/>
              </w:rPr>
              <w:t>设施</w:t>
            </w:r>
          </w:p>
        </w:tc>
        <w:tc>
          <w:tcPr>
            <w:tcW w:w="1487" w:type="dxa"/>
            <w:vAlign w:val="center"/>
          </w:tcPr>
          <w:p w14:paraId="4FBC43CA">
            <w:pPr>
              <w:adjustRightInd w:val="0"/>
              <w:snapToGrid w:val="0"/>
              <w:jc w:val="left"/>
              <w:rPr>
                <w:rFonts w:ascii="Times New Roman" w:hAnsi="Times New Roman" w:eastAsia="宋体" w:cs="Times New Roman"/>
                <w:sz w:val="18"/>
                <w:szCs w:val="18"/>
              </w:rPr>
            </w:pPr>
          </w:p>
        </w:tc>
        <w:tc>
          <w:tcPr>
            <w:tcW w:w="1585" w:type="dxa"/>
            <w:vAlign w:val="center"/>
          </w:tcPr>
          <w:p w14:paraId="3D92EC5C">
            <w:pPr>
              <w:adjustRightInd w:val="0"/>
              <w:snapToGrid w:val="0"/>
              <w:rPr>
                <w:rFonts w:ascii="Times New Roman" w:hAnsi="Times New Roman" w:eastAsia="宋体" w:cs="Times New Roman"/>
                <w:sz w:val="18"/>
                <w:szCs w:val="18"/>
              </w:rPr>
            </w:pPr>
          </w:p>
        </w:tc>
      </w:tr>
      <w:tr w14:paraId="2768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0F07AF8F">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73A1E67D">
            <w:pPr>
              <w:adjustRightInd w:val="0"/>
              <w:snapToGrid w:val="0"/>
              <w:rPr>
                <w:rFonts w:ascii="Times New Roman" w:hAnsi="Times New Roman" w:eastAsia="宋体" w:cs="Times New Roman"/>
                <w:sz w:val="18"/>
                <w:szCs w:val="18"/>
              </w:rPr>
            </w:pPr>
          </w:p>
        </w:tc>
        <w:tc>
          <w:tcPr>
            <w:tcW w:w="3479" w:type="dxa"/>
            <w:vAlign w:val="center"/>
          </w:tcPr>
          <w:p w14:paraId="3B9EEB68">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设备及管道安全防护设施</w:t>
            </w:r>
          </w:p>
        </w:tc>
        <w:tc>
          <w:tcPr>
            <w:tcW w:w="1487" w:type="dxa"/>
            <w:vAlign w:val="center"/>
          </w:tcPr>
          <w:p w14:paraId="0B5ACF78">
            <w:pPr>
              <w:adjustRightInd w:val="0"/>
              <w:snapToGrid w:val="0"/>
              <w:jc w:val="left"/>
              <w:rPr>
                <w:rFonts w:ascii="Times New Roman" w:hAnsi="Times New Roman" w:eastAsia="宋体" w:cs="Times New Roman"/>
                <w:sz w:val="18"/>
                <w:szCs w:val="18"/>
              </w:rPr>
            </w:pPr>
          </w:p>
        </w:tc>
        <w:tc>
          <w:tcPr>
            <w:tcW w:w="1585" w:type="dxa"/>
            <w:vAlign w:val="center"/>
          </w:tcPr>
          <w:p w14:paraId="301C044D">
            <w:pPr>
              <w:adjustRightInd w:val="0"/>
              <w:snapToGrid w:val="0"/>
              <w:rPr>
                <w:rFonts w:ascii="Times New Roman" w:hAnsi="Times New Roman" w:eastAsia="宋体" w:cs="Times New Roman"/>
                <w:sz w:val="18"/>
                <w:szCs w:val="18"/>
              </w:rPr>
            </w:pPr>
          </w:p>
        </w:tc>
      </w:tr>
      <w:tr w14:paraId="6171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67" w:type="dxa"/>
            <w:vMerge w:val="continue"/>
            <w:vAlign w:val="center"/>
          </w:tcPr>
          <w:p w14:paraId="6598F1F6">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262ABEC8">
            <w:pPr>
              <w:adjustRightInd w:val="0"/>
              <w:snapToGrid w:val="0"/>
              <w:rPr>
                <w:rFonts w:ascii="Times New Roman" w:hAnsi="Times New Roman" w:eastAsia="宋体" w:cs="Times New Roman"/>
                <w:sz w:val="18"/>
                <w:szCs w:val="18"/>
              </w:rPr>
            </w:pPr>
          </w:p>
        </w:tc>
        <w:tc>
          <w:tcPr>
            <w:tcW w:w="3479" w:type="dxa"/>
            <w:vAlign w:val="center"/>
          </w:tcPr>
          <w:p w14:paraId="7CE90050">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防爆设施</w:t>
            </w:r>
          </w:p>
        </w:tc>
        <w:tc>
          <w:tcPr>
            <w:tcW w:w="1487" w:type="dxa"/>
            <w:vAlign w:val="center"/>
          </w:tcPr>
          <w:p w14:paraId="5ED53025">
            <w:pPr>
              <w:adjustRightInd w:val="0"/>
              <w:snapToGrid w:val="0"/>
              <w:jc w:val="left"/>
              <w:rPr>
                <w:rFonts w:ascii="Times New Roman" w:hAnsi="Times New Roman" w:eastAsia="宋体" w:cs="Times New Roman"/>
                <w:sz w:val="18"/>
                <w:szCs w:val="18"/>
              </w:rPr>
            </w:pPr>
          </w:p>
        </w:tc>
        <w:tc>
          <w:tcPr>
            <w:tcW w:w="1585" w:type="dxa"/>
            <w:vAlign w:val="center"/>
          </w:tcPr>
          <w:p w14:paraId="03476C79">
            <w:pPr>
              <w:adjustRightInd w:val="0"/>
              <w:snapToGrid w:val="0"/>
              <w:rPr>
                <w:rFonts w:ascii="Times New Roman" w:hAnsi="Times New Roman" w:eastAsia="宋体" w:cs="Times New Roman"/>
                <w:sz w:val="18"/>
                <w:szCs w:val="18"/>
              </w:rPr>
            </w:pPr>
          </w:p>
        </w:tc>
      </w:tr>
      <w:tr w14:paraId="709D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55FF178C">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1C759495">
            <w:pPr>
              <w:adjustRightInd w:val="0"/>
              <w:snapToGrid w:val="0"/>
              <w:rPr>
                <w:rFonts w:ascii="Times New Roman" w:hAnsi="Times New Roman" w:eastAsia="宋体" w:cs="Times New Roman"/>
                <w:sz w:val="18"/>
                <w:szCs w:val="18"/>
              </w:rPr>
            </w:pPr>
          </w:p>
        </w:tc>
        <w:tc>
          <w:tcPr>
            <w:tcW w:w="3479" w:type="dxa"/>
            <w:vAlign w:val="center"/>
          </w:tcPr>
          <w:p w14:paraId="3BD0A564">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安全标志</w:t>
            </w:r>
          </w:p>
        </w:tc>
        <w:tc>
          <w:tcPr>
            <w:tcW w:w="1487" w:type="dxa"/>
            <w:vAlign w:val="center"/>
          </w:tcPr>
          <w:p w14:paraId="27FE89B0">
            <w:pPr>
              <w:adjustRightInd w:val="0"/>
              <w:snapToGrid w:val="0"/>
              <w:jc w:val="left"/>
              <w:rPr>
                <w:rFonts w:ascii="Times New Roman" w:hAnsi="Times New Roman" w:eastAsia="宋体" w:cs="Times New Roman"/>
                <w:sz w:val="18"/>
                <w:szCs w:val="18"/>
              </w:rPr>
            </w:pPr>
          </w:p>
        </w:tc>
        <w:tc>
          <w:tcPr>
            <w:tcW w:w="1585" w:type="dxa"/>
            <w:vAlign w:val="center"/>
          </w:tcPr>
          <w:p w14:paraId="44A73EA2">
            <w:pPr>
              <w:adjustRightInd w:val="0"/>
              <w:snapToGrid w:val="0"/>
              <w:rPr>
                <w:rFonts w:ascii="Times New Roman" w:hAnsi="Times New Roman" w:eastAsia="宋体" w:cs="Times New Roman"/>
                <w:sz w:val="18"/>
                <w:szCs w:val="18"/>
              </w:rPr>
            </w:pPr>
          </w:p>
        </w:tc>
      </w:tr>
      <w:tr w14:paraId="7FA9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151CBBC4">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2A6FB71B">
            <w:pPr>
              <w:adjustRightInd w:val="0"/>
              <w:snapToGrid w:val="0"/>
              <w:rPr>
                <w:rFonts w:ascii="Times New Roman" w:hAnsi="Times New Roman" w:eastAsia="宋体" w:cs="Times New Roman"/>
                <w:sz w:val="18"/>
                <w:szCs w:val="18"/>
              </w:rPr>
            </w:pPr>
          </w:p>
        </w:tc>
        <w:tc>
          <w:tcPr>
            <w:tcW w:w="3479" w:type="dxa"/>
            <w:vAlign w:val="center"/>
          </w:tcPr>
          <w:p w14:paraId="19C820C5">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作业场所防护设施</w:t>
            </w:r>
          </w:p>
        </w:tc>
        <w:tc>
          <w:tcPr>
            <w:tcW w:w="1487" w:type="dxa"/>
            <w:vAlign w:val="center"/>
          </w:tcPr>
          <w:p w14:paraId="6CA8B4EF">
            <w:pPr>
              <w:adjustRightInd w:val="0"/>
              <w:snapToGrid w:val="0"/>
              <w:jc w:val="left"/>
              <w:rPr>
                <w:rFonts w:ascii="Times New Roman" w:hAnsi="Times New Roman" w:eastAsia="宋体" w:cs="Times New Roman"/>
                <w:sz w:val="18"/>
                <w:szCs w:val="18"/>
              </w:rPr>
            </w:pPr>
          </w:p>
        </w:tc>
        <w:tc>
          <w:tcPr>
            <w:tcW w:w="1585" w:type="dxa"/>
            <w:vAlign w:val="center"/>
          </w:tcPr>
          <w:p w14:paraId="449CD100">
            <w:pPr>
              <w:adjustRightInd w:val="0"/>
              <w:snapToGrid w:val="0"/>
              <w:rPr>
                <w:rFonts w:ascii="Times New Roman" w:hAnsi="Times New Roman" w:eastAsia="宋体" w:cs="Times New Roman"/>
                <w:sz w:val="18"/>
                <w:szCs w:val="18"/>
              </w:rPr>
            </w:pPr>
          </w:p>
        </w:tc>
      </w:tr>
      <w:tr w14:paraId="71CE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066ABBE1">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61F7EECA">
            <w:pPr>
              <w:adjustRightInd w:val="0"/>
              <w:snapToGrid w:val="0"/>
              <w:rPr>
                <w:rFonts w:ascii="Times New Roman" w:hAnsi="Times New Roman" w:eastAsia="宋体" w:cs="Times New Roman"/>
                <w:sz w:val="18"/>
                <w:szCs w:val="18"/>
              </w:rPr>
            </w:pPr>
          </w:p>
        </w:tc>
        <w:tc>
          <w:tcPr>
            <w:tcW w:w="3479" w:type="dxa"/>
            <w:vAlign w:val="center"/>
          </w:tcPr>
          <w:p w14:paraId="0CBE721A">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1487" w:type="dxa"/>
            <w:vAlign w:val="center"/>
          </w:tcPr>
          <w:p w14:paraId="0507489F">
            <w:pPr>
              <w:adjustRightInd w:val="0"/>
              <w:snapToGrid w:val="0"/>
              <w:jc w:val="left"/>
              <w:rPr>
                <w:rFonts w:ascii="Times New Roman" w:hAnsi="Times New Roman" w:eastAsia="宋体" w:cs="Times New Roman"/>
                <w:sz w:val="18"/>
                <w:szCs w:val="18"/>
              </w:rPr>
            </w:pPr>
          </w:p>
        </w:tc>
        <w:tc>
          <w:tcPr>
            <w:tcW w:w="1585" w:type="dxa"/>
            <w:vAlign w:val="center"/>
          </w:tcPr>
          <w:p w14:paraId="6E687556">
            <w:pPr>
              <w:adjustRightInd w:val="0"/>
              <w:snapToGrid w:val="0"/>
              <w:rPr>
                <w:rFonts w:ascii="Times New Roman" w:hAnsi="Times New Roman" w:eastAsia="宋体" w:cs="Times New Roman"/>
                <w:sz w:val="18"/>
                <w:szCs w:val="18"/>
              </w:rPr>
            </w:pPr>
          </w:p>
        </w:tc>
      </w:tr>
      <w:tr w14:paraId="3551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restart"/>
            <w:vAlign w:val="center"/>
          </w:tcPr>
          <w:p w14:paraId="69970F55">
            <w:pPr>
              <w:adjustRightInd w:val="0"/>
              <w:snapToGri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2</w:t>
            </w:r>
          </w:p>
        </w:tc>
        <w:tc>
          <w:tcPr>
            <w:tcW w:w="2081" w:type="dxa"/>
            <w:vMerge w:val="restart"/>
            <w:vAlign w:val="center"/>
          </w:tcPr>
          <w:p w14:paraId="3874AFF3">
            <w:pPr>
              <w:adjustRightInd w:val="0"/>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rPr>
              <w:t>控制事故设施费用</w:t>
            </w:r>
          </w:p>
        </w:tc>
        <w:tc>
          <w:tcPr>
            <w:tcW w:w="3479" w:type="dxa"/>
            <w:vAlign w:val="center"/>
          </w:tcPr>
          <w:p w14:paraId="39BFF174">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泄压设施</w:t>
            </w:r>
          </w:p>
        </w:tc>
        <w:tc>
          <w:tcPr>
            <w:tcW w:w="1487" w:type="dxa"/>
            <w:vAlign w:val="center"/>
          </w:tcPr>
          <w:p w14:paraId="7F0452F4">
            <w:pPr>
              <w:adjustRightInd w:val="0"/>
              <w:snapToGrid w:val="0"/>
              <w:jc w:val="left"/>
              <w:rPr>
                <w:rFonts w:ascii="Times New Roman" w:hAnsi="Times New Roman" w:eastAsia="宋体" w:cs="Times New Roman"/>
                <w:sz w:val="18"/>
                <w:szCs w:val="18"/>
              </w:rPr>
            </w:pPr>
          </w:p>
        </w:tc>
        <w:tc>
          <w:tcPr>
            <w:tcW w:w="1585" w:type="dxa"/>
            <w:vAlign w:val="center"/>
          </w:tcPr>
          <w:p w14:paraId="7754C47F">
            <w:pPr>
              <w:adjustRightInd w:val="0"/>
              <w:snapToGrid w:val="0"/>
              <w:rPr>
                <w:rFonts w:ascii="Times New Roman" w:hAnsi="Times New Roman" w:eastAsia="宋体" w:cs="Times New Roman"/>
                <w:sz w:val="18"/>
                <w:szCs w:val="18"/>
              </w:rPr>
            </w:pPr>
          </w:p>
        </w:tc>
      </w:tr>
      <w:tr w14:paraId="3462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1E21A318">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349860C4">
            <w:pPr>
              <w:adjustRightInd w:val="0"/>
              <w:snapToGrid w:val="0"/>
              <w:rPr>
                <w:rFonts w:ascii="Times New Roman" w:hAnsi="Times New Roman" w:eastAsia="宋体" w:cs="Times New Roman"/>
                <w:sz w:val="18"/>
                <w:szCs w:val="18"/>
              </w:rPr>
            </w:pPr>
          </w:p>
        </w:tc>
        <w:tc>
          <w:tcPr>
            <w:tcW w:w="3479" w:type="dxa"/>
            <w:vAlign w:val="center"/>
          </w:tcPr>
          <w:p w14:paraId="38AF3380">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紧急处理设施</w:t>
            </w:r>
          </w:p>
        </w:tc>
        <w:tc>
          <w:tcPr>
            <w:tcW w:w="1487" w:type="dxa"/>
            <w:vAlign w:val="center"/>
          </w:tcPr>
          <w:p w14:paraId="47407BED">
            <w:pPr>
              <w:adjustRightInd w:val="0"/>
              <w:snapToGrid w:val="0"/>
              <w:jc w:val="left"/>
              <w:rPr>
                <w:rFonts w:ascii="Times New Roman" w:hAnsi="Times New Roman" w:eastAsia="宋体" w:cs="Times New Roman"/>
                <w:sz w:val="18"/>
                <w:szCs w:val="18"/>
              </w:rPr>
            </w:pPr>
          </w:p>
        </w:tc>
        <w:tc>
          <w:tcPr>
            <w:tcW w:w="1585" w:type="dxa"/>
            <w:vAlign w:val="center"/>
          </w:tcPr>
          <w:p w14:paraId="1CCF735C">
            <w:pPr>
              <w:adjustRightInd w:val="0"/>
              <w:snapToGrid w:val="0"/>
              <w:rPr>
                <w:rFonts w:ascii="Times New Roman" w:hAnsi="Times New Roman" w:eastAsia="宋体" w:cs="Times New Roman"/>
                <w:sz w:val="18"/>
                <w:szCs w:val="18"/>
              </w:rPr>
            </w:pPr>
          </w:p>
        </w:tc>
      </w:tr>
      <w:tr w14:paraId="0DCF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7D8A1AB0">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1180D4FC">
            <w:pPr>
              <w:adjustRightInd w:val="0"/>
              <w:snapToGrid w:val="0"/>
              <w:rPr>
                <w:rFonts w:ascii="Times New Roman" w:hAnsi="Times New Roman" w:eastAsia="宋体" w:cs="Times New Roman"/>
                <w:sz w:val="18"/>
                <w:szCs w:val="18"/>
              </w:rPr>
            </w:pPr>
          </w:p>
        </w:tc>
        <w:tc>
          <w:tcPr>
            <w:tcW w:w="3479" w:type="dxa"/>
            <w:vAlign w:val="center"/>
          </w:tcPr>
          <w:p w14:paraId="15F34693">
            <w:pPr>
              <w:adjustRightInd w:val="0"/>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1487" w:type="dxa"/>
            <w:vAlign w:val="center"/>
          </w:tcPr>
          <w:p w14:paraId="2F1EA342">
            <w:pPr>
              <w:adjustRightInd w:val="0"/>
              <w:snapToGrid w:val="0"/>
              <w:jc w:val="left"/>
              <w:rPr>
                <w:rFonts w:ascii="Times New Roman" w:hAnsi="Times New Roman" w:eastAsia="宋体" w:cs="Times New Roman"/>
                <w:sz w:val="18"/>
                <w:szCs w:val="18"/>
              </w:rPr>
            </w:pPr>
          </w:p>
        </w:tc>
        <w:tc>
          <w:tcPr>
            <w:tcW w:w="1585" w:type="dxa"/>
            <w:vAlign w:val="center"/>
          </w:tcPr>
          <w:p w14:paraId="7DBF9FE9">
            <w:pPr>
              <w:adjustRightInd w:val="0"/>
              <w:snapToGrid w:val="0"/>
              <w:rPr>
                <w:rFonts w:ascii="Times New Roman" w:hAnsi="Times New Roman" w:eastAsia="宋体" w:cs="Times New Roman"/>
                <w:sz w:val="18"/>
                <w:szCs w:val="18"/>
              </w:rPr>
            </w:pPr>
          </w:p>
        </w:tc>
      </w:tr>
      <w:tr w14:paraId="3E53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67" w:type="dxa"/>
            <w:vMerge w:val="restart"/>
            <w:vAlign w:val="center"/>
          </w:tcPr>
          <w:p w14:paraId="4395E950">
            <w:pPr>
              <w:adjustRightInd w:val="0"/>
              <w:snapToGri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3</w:t>
            </w:r>
          </w:p>
        </w:tc>
        <w:tc>
          <w:tcPr>
            <w:tcW w:w="2081" w:type="dxa"/>
            <w:vMerge w:val="restart"/>
            <w:vAlign w:val="center"/>
          </w:tcPr>
          <w:p w14:paraId="22EBA612">
            <w:pPr>
              <w:adjustRightInd w:val="0"/>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rPr>
              <w:t>消减事故及影响设施费用</w:t>
            </w:r>
          </w:p>
        </w:tc>
        <w:tc>
          <w:tcPr>
            <w:tcW w:w="3479" w:type="dxa"/>
            <w:vAlign w:val="center"/>
          </w:tcPr>
          <w:p w14:paraId="0FDE2859">
            <w:pPr>
              <w:adjustRightInd w:val="0"/>
              <w:snapToGrid w:val="0"/>
              <w:rPr>
                <w:rFonts w:ascii="Times New Roman" w:hAnsi="Times New Roman" w:eastAsia="宋体" w:cs="Times New Roman"/>
                <w:sz w:val="18"/>
                <w:szCs w:val="18"/>
              </w:rPr>
            </w:pPr>
            <w:r>
              <w:rPr>
                <w:rFonts w:ascii="Times New Roman" w:hAnsi="Times New Roman" w:eastAsia="宋体" w:cs="Times New Roman"/>
                <w:sz w:val="18"/>
                <w:szCs w:val="18"/>
              </w:rPr>
              <w:t>防止火灾蔓延设施</w:t>
            </w:r>
          </w:p>
        </w:tc>
        <w:tc>
          <w:tcPr>
            <w:tcW w:w="1487" w:type="dxa"/>
            <w:vAlign w:val="center"/>
          </w:tcPr>
          <w:p w14:paraId="337C29E8">
            <w:pPr>
              <w:adjustRightInd w:val="0"/>
              <w:snapToGrid w:val="0"/>
              <w:jc w:val="center"/>
              <w:rPr>
                <w:rFonts w:ascii="Times New Roman" w:hAnsi="Times New Roman" w:eastAsia="宋体" w:cs="Times New Roman"/>
                <w:sz w:val="18"/>
                <w:szCs w:val="18"/>
              </w:rPr>
            </w:pPr>
          </w:p>
        </w:tc>
        <w:tc>
          <w:tcPr>
            <w:tcW w:w="1585" w:type="dxa"/>
            <w:vAlign w:val="center"/>
          </w:tcPr>
          <w:p w14:paraId="4F648F4C">
            <w:pPr>
              <w:adjustRightInd w:val="0"/>
              <w:snapToGrid w:val="0"/>
              <w:rPr>
                <w:rFonts w:ascii="Times New Roman" w:hAnsi="Times New Roman" w:eastAsia="宋体" w:cs="Times New Roman"/>
                <w:sz w:val="18"/>
                <w:szCs w:val="18"/>
              </w:rPr>
            </w:pPr>
          </w:p>
        </w:tc>
      </w:tr>
      <w:tr w14:paraId="701C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1290075C">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34FF05B9">
            <w:pPr>
              <w:adjustRightInd w:val="0"/>
              <w:snapToGrid w:val="0"/>
              <w:rPr>
                <w:rFonts w:ascii="Times New Roman" w:hAnsi="Times New Roman" w:eastAsia="宋体" w:cs="Times New Roman"/>
                <w:sz w:val="18"/>
                <w:szCs w:val="18"/>
              </w:rPr>
            </w:pPr>
          </w:p>
        </w:tc>
        <w:tc>
          <w:tcPr>
            <w:tcW w:w="3479" w:type="dxa"/>
            <w:vAlign w:val="center"/>
          </w:tcPr>
          <w:p w14:paraId="1C532F7A">
            <w:pPr>
              <w:adjustRightInd w:val="0"/>
              <w:snapToGrid w:val="0"/>
              <w:rPr>
                <w:rFonts w:ascii="Times New Roman" w:hAnsi="Times New Roman" w:eastAsia="宋体" w:cs="Times New Roman"/>
                <w:sz w:val="18"/>
                <w:szCs w:val="18"/>
              </w:rPr>
            </w:pPr>
            <w:r>
              <w:rPr>
                <w:rFonts w:ascii="Times New Roman" w:hAnsi="Times New Roman" w:eastAsia="宋体" w:cs="Times New Roman"/>
                <w:sz w:val="18"/>
                <w:szCs w:val="18"/>
              </w:rPr>
              <w:t>应急救援设施</w:t>
            </w:r>
          </w:p>
        </w:tc>
        <w:tc>
          <w:tcPr>
            <w:tcW w:w="1487" w:type="dxa"/>
            <w:vAlign w:val="center"/>
          </w:tcPr>
          <w:p w14:paraId="076C8385">
            <w:pPr>
              <w:adjustRightInd w:val="0"/>
              <w:snapToGrid w:val="0"/>
              <w:jc w:val="center"/>
              <w:rPr>
                <w:rFonts w:ascii="Times New Roman" w:hAnsi="Times New Roman" w:eastAsia="宋体" w:cs="Times New Roman"/>
                <w:sz w:val="18"/>
                <w:szCs w:val="18"/>
              </w:rPr>
            </w:pPr>
          </w:p>
        </w:tc>
        <w:tc>
          <w:tcPr>
            <w:tcW w:w="1585" w:type="dxa"/>
            <w:vAlign w:val="center"/>
          </w:tcPr>
          <w:p w14:paraId="6E01011A">
            <w:pPr>
              <w:adjustRightInd w:val="0"/>
              <w:snapToGrid w:val="0"/>
              <w:rPr>
                <w:rFonts w:ascii="Times New Roman" w:hAnsi="Times New Roman" w:eastAsia="宋体" w:cs="Times New Roman"/>
                <w:sz w:val="18"/>
                <w:szCs w:val="18"/>
              </w:rPr>
            </w:pPr>
          </w:p>
        </w:tc>
      </w:tr>
      <w:tr w14:paraId="1B08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62068F35">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732CD1B2">
            <w:pPr>
              <w:adjustRightInd w:val="0"/>
              <w:snapToGrid w:val="0"/>
              <w:rPr>
                <w:rFonts w:ascii="Times New Roman" w:hAnsi="Times New Roman" w:eastAsia="宋体" w:cs="Times New Roman"/>
                <w:sz w:val="18"/>
                <w:szCs w:val="18"/>
              </w:rPr>
            </w:pPr>
          </w:p>
        </w:tc>
        <w:tc>
          <w:tcPr>
            <w:tcW w:w="3479" w:type="dxa"/>
            <w:vAlign w:val="center"/>
          </w:tcPr>
          <w:p w14:paraId="5618E7EC">
            <w:pPr>
              <w:adjustRightInd w:val="0"/>
              <w:snapToGrid w:val="0"/>
              <w:rPr>
                <w:rFonts w:ascii="Times New Roman" w:hAnsi="Times New Roman" w:eastAsia="宋体" w:cs="Times New Roman"/>
                <w:sz w:val="18"/>
                <w:szCs w:val="18"/>
              </w:rPr>
            </w:pPr>
            <w:r>
              <w:rPr>
                <w:rFonts w:ascii="Times New Roman" w:hAnsi="Times New Roman" w:eastAsia="宋体" w:cs="Times New Roman"/>
                <w:sz w:val="18"/>
                <w:szCs w:val="18"/>
              </w:rPr>
              <w:t>逃生设施</w:t>
            </w:r>
          </w:p>
        </w:tc>
        <w:tc>
          <w:tcPr>
            <w:tcW w:w="1487" w:type="dxa"/>
            <w:vAlign w:val="center"/>
          </w:tcPr>
          <w:p w14:paraId="00495677">
            <w:pPr>
              <w:adjustRightInd w:val="0"/>
              <w:snapToGrid w:val="0"/>
              <w:jc w:val="center"/>
              <w:rPr>
                <w:rFonts w:ascii="Times New Roman" w:hAnsi="Times New Roman" w:eastAsia="宋体" w:cs="Times New Roman"/>
                <w:sz w:val="18"/>
                <w:szCs w:val="18"/>
              </w:rPr>
            </w:pPr>
          </w:p>
        </w:tc>
        <w:tc>
          <w:tcPr>
            <w:tcW w:w="1585" w:type="dxa"/>
            <w:vAlign w:val="center"/>
          </w:tcPr>
          <w:p w14:paraId="732BF123">
            <w:pPr>
              <w:adjustRightInd w:val="0"/>
              <w:snapToGrid w:val="0"/>
              <w:rPr>
                <w:rFonts w:ascii="Times New Roman" w:hAnsi="Times New Roman" w:eastAsia="宋体" w:cs="Times New Roman"/>
                <w:sz w:val="18"/>
                <w:szCs w:val="18"/>
              </w:rPr>
            </w:pPr>
          </w:p>
        </w:tc>
      </w:tr>
      <w:tr w14:paraId="172B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429C4CC7">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3128F8E2">
            <w:pPr>
              <w:adjustRightInd w:val="0"/>
              <w:snapToGrid w:val="0"/>
              <w:rPr>
                <w:rFonts w:ascii="Times New Roman" w:hAnsi="Times New Roman" w:eastAsia="宋体" w:cs="Times New Roman"/>
                <w:sz w:val="18"/>
                <w:szCs w:val="18"/>
              </w:rPr>
            </w:pPr>
          </w:p>
        </w:tc>
        <w:tc>
          <w:tcPr>
            <w:tcW w:w="3479" w:type="dxa"/>
            <w:vAlign w:val="center"/>
          </w:tcPr>
          <w:p w14:paraId="33B2E26C">
            <w:pPr>
              <w:adjustRightInd w:val="0"/>
              <w:snapToGrid w:val="0"/>
              <w:rPr>
                <w:rFonts w:ascii="Times New Roman" w:hAnsi="Times New Roman" w:eastAsia="宋体" w:cs="Times New Roman"/>
                <w:sz w:val="18"/>
                <w:szCs w:val="18"/>
              </w:rPr>
            </w:pPr>
            <w:r>
              <w:rPr>
                <w:rFonts w:ascii="Times New Roman" w:hAnsi="Times New Roman" w:eastAsia="宋体" w:cs="Times New Roman"/>
                <w:sz w:val="18"/>
                <w:szCs w:val="18"/>
              </w:rPr>
              <w:t>劳动保护用品和装备</w:t>
            </w:r>
          </w:p>
        </w:tc>
        <w:tc>
          <w:tcPr>
            <w:tcW w:w="1487" w:type="dxa"/>
            <w:vAlign w:val="center"/>
          </w:tcPr>
          <w:p w14:paraId="57668FD5">
            <w:pPr>
              <w:adjustRightInd w:val="0"/>
              <w:snapToGrid w:val="0"/>
              <w:jc w:val="center"/>
              <w:rPr>
                <w:rFonts w:ascii="Times New Roman" w:hAnsi="Times New Roman" w:eastAsia="宋体" w:cs="Times New Roman"/>
                <w:sz w:val="18"/>
                <w:szCs w:val="18"/>
              </w:rPr>
            </w:pPr>
          </w:p>
        </w:tc>
        <w:tc>
          <w:tcPr>
            <w:tcW w:w="1585" w:type="dxa"/>
            <w:vAlign w:val="center"/>
          </w:tcPr>
          <w:p w14:paraId="418F2C23">
            <w:pPr>
              <w:adjustRightInd w:val="0"/>
              <w:snapToGrid w:val="0"/>
              <w:rPr>
                <w:rFonts w:ascii="Times New Roman" w:hAnsi="Times New Roman" w:eastAsia="宋体" w:cs="Times New Roman"/>
                <w:sz w:val="18"/>
                <w:szCs w:val="18"/>
              </w:rPr>
            </w:pPr>
          </w:p>
        </w:tc>
      </w:tr>
      <w:tr w14:paraId="028A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2A202585">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41465F69">
            <w:pPr>
              <w:adjustRightInd w:val="0"/>
              <w:snapToGrid w:val="0"/>
              <w:rPr>
                <w:rFonts w:ascii="Times New Roman" w:hAnsi="Times New Roman" w:eastAsia="宋体" w:cs="Times New Roman"/>
                <w:sz w:val="18"/>
                <w:szCs w:val="18"/>
              </w:rPr>
            </w:pPr>
          </w:p>
        </w:tc>
        <w:tc>
          <w:tcPr>
            <w:tcW w:w="3479" w:type="dxa"/>
            <w:vAlign w:val="center"/>
          </w:tcPr>
          <w:p w14:paraId="7F4481AB">
            <w:pPr>
              <w:adjustRightInd w:val="0"/>
              <w:snapToGrid w:val="0"/>
              <w:rPr>
                <w:rFonts w:ascii="Times New Roman" w:hAnsi="Times New Roman" w:eastAsia="宋体" w:cs="Times New Roman"/>
                <w:sz w:val="18"/>
                <w:szCs w:val="18"/>
              </w:rPr>
            </w:pPr>
            <w:r>
              <w:rPr>
                <w:rFonts w:ascii="Times New Roman" w:hAnsi="Times New Roman" w:eastAsia="宋体" w:cs="Times New Roman"/>
                <w:sz w:val="18"/>
                <w:szCs w:val="18"/>
              </w:rPr>
              <w:t>维抢修设备</w:t>
            </w:r>
          </w:p>
        </w:tc>
        <w:tc>
          <w:tcPr>
            <w:tcW w:w="1487" w:type="dxa"/>
            <w:vAlign w:val="center"/>
          </w:tcPr>
          <w:p w14:paraId="5ADB59F8">
            <w:pPr>
              <w:adjustRightInd w:val="0"/>
              <w:snapToGrid w:val="0"/>
              <w:jc w:val="center"/>
              <w:rPr>
                <w:rFonts w:ascii="Times New Roman" w:hAnsi="Times New Roman" w:eastAsia="宋体" w:cs="Times New Roman"/>
                <w:sz w:val="18"/>
                <w:szCs w:val="18"/>
              </w:rPr>
            </w:pPr>
          </w:p>
        </w:tc>
        <w:tc>
          <w:tcPr>
            <w:tcW w:w="1585" w:type="dxa"/>
            <w:vAlign w:val="center"/>
          </w:tcPr>
          <w:p w14:paraId="3D4E43E6">
            <w:pPr>
              <w:adjustRightInd w:val="0"/>
              <w:snapToGrid w:val="0"/>
              <w:rPr>
                <w:rFonts w:ascii="Times New Roman" w:hAnsi="Times New Roman" w:eastAsia="宋体" w:cs="Times New Roman"/>
                <w:sz w:val="18"/>
                <w:szCs w:val="18"/>
              </w:rPr>
            </w:pPr>
          </w:p>
        </w:tc>
      </w:tr>
      <w:tr w14:paraId="2A5D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67" w:type="dxa"/>
            <w:vMerge w:val="continue"/>
            <w:vAlign w:val="center"/>
          </w:tcPr>
          <w:p w14:paraId="61B31FF2">
            <w:pPr>
              <w:adjustRightInd w:val="0"/>
              <w:snapToGrid w:val="0"/>
              <w:jc w:val="center"/>
              <w:rPr>
                <w:rFonts w:ascii="Times New Roman" w:hAnsi="Times New Roman" w:eastAsia="宋体" w:cs="Times New Roman"/>
                <w:sz w:val="18"/>
                <w:szCs w:val="18"/>
              </w:rPr>
            </w:pPr>
          </w:p>
        </w:tc>
        <w:tc>
          <w:tcPr>
            <w:tcW w:w="2081" w:type="dxa"/>
            <w:vMerge w:val="continue"/>
            <w:vAlign w:val="center"/>
          </w:tcPr>
          <w:p w14:paraId="4571B250">
            <w:pPr>
              <w:adjustRightInd w:val="0"/>
              <w:snapToGrid w:val="0"/>
              <w:rPr>
                <w:rFonts w:ascii="Times New Roman" w:hAnsi="Times New Roman" w:eastAsia="宋体" w:cs="Times New Roman"/>
                <w:sz w:val="18"/>
                <w:szCs w:val="18"/>
              </w:rPr>
            </w:pPr>
          </w:p>
        </w:tc>
        <w:tc>
          <w:tcPr>
            <w:tcW w:w="3479" w:type="dxa"/>
            <w:vAlign w:val="center"/>
          </w:tcPr>
          <w:p w14:paraId="3FB56DB6">
            <w:pPr>
              <w:adjustRightInd w:val="0"/>
              <w:snapToGrid w:val="0"/>
              <w:rPr>
                <w:rFonts w:ascii="Times New Roman" w:hAnsi="Times New Roman" w:eastAsia="宋体" w:cs="Times New Roman"/>
                <w:sz w:val="18"/>
                <w:szCs w:val="18"/>
              </w:rPr>
            </w:pPr>
            <w:r>
              <w:rPr>
                <w:rFonts w:ascii="Times New Roman" w:hAnsi="Times New Roman" w:eastAsia="宋体" w:cs="Times New Roman"/>
                <w:sz w:val="18"/>
                <w:szCs w:val="18"/>
              </w:rPr>
              <w:t>…</w:t>
            </w:r>
          </w:p>
        </w:tc>
        <w:tc>
          <w:tcPr>
            <w:tcW w:w="1487" w:type="dxa"/>
            <w:vAlign w:val="center"/>
          </w:tcPr>
          <w:p w14:paraId="2A9F0E5A">
            <w:pPr>
              <w:adjustRightInd w:val="0"/>
              <w:snapToGrid w:val="0"/>
              <w:jc w:val="center"/>
              <w:rPr>
                <w:rFonts w:ascii="Times New Roman" w:hAnsi="Times New Roman" w:eastAsia="宋体" w:cs="Times New Roman"/>
                <w:sz w:val="18"/>
                <w:szCs w:val="18"/>
              </w:rPr>
            </w:pPr>
          </w:p>
        </w:tc>
        <w:tc>
          <w:tcPr>
            <w:tcW w:w="1585" w:type="dxa"/>
            <w:vAlign w:val="center"/>
          </w:tcPr>
          <w:p w14:paraId="709C8789">
            <w:pPr>
              <w:adjustRightInd w:val="0"/>
              <w:snapToGrid w:val="0"/>
              <w:rPr>
                <w:rFonts w:ascii="Times New Roman" w:hAnsi="Times New Roman" w:eastAsia="宋体" w:cs="Times New Roman"/>
                <w:sz w:val="18"/>
                <w:szCs w:val="18"/>
              </w:rPr>
            </w:pPr>
          </w:p>
        </w:tc>
      </w:tr>
      <w:tr w14:paraId="2537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67" w:type="dxa"/>
            <w:vAlign w:val="center"/>
          </w:tcPr>
          <w:p w14:paraId="59D01AEE">
            <w:pPr>
              <w:adjustRightInd w:val="0"/>
              <w:snapToGrid w:val="0"/>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4</w:t>
            </w:r>
          </w:p>
        </w:tc>
        <w:tc>
          <w:tcPr>
            <w:tcW w:w="2081" w:type="dxa"/>
            <w:vAlign w:val="center"/>
          </w:tcPr>
          <w:p w14:paraId="78A899F9">
            <w:pPr>
              <w:adjustRightInd w:val="0"/>
              <w:snapToGrid w:val="0"/>
              <w:jc w:val="center"/>
              <w:rPr>
                <w:rFonts w:ascii="Times New Roman" w:hAnsi="Times New Roman" w:eastAsia="宋体" w:cs="Times New Roman"/>
                <w:sz w:val="18"/>
                <w:szCs w:val="18"/>
              </w:rPr>
            </w:pPr>
            <w:r>
              <w:rPr>
                <w:rFonts w:ascii="Times New Roman" w:hAnsi="Times New Roman" w:eastAsia="宋体" w:cs="Times New Roman"/>
                <w:sz w:val="18"/>
                <w:szCs w:val="18"/>
              </w:rPr>
              <w:t>总计</w:t>
            </w:r>
          </w:p>
        </w:tc>
        <w:tc>
          <w:tcPr>
            <w:tcW w:w="3479" w:type="dxa"/>
            <w:vAlign w:val="center"/>
          </w:tcPr>
          <w:p w14:paraId="52C22611">
            <w:pPr>
              <w:adjustRightInd w:val="0"/>
              <w:snapToGrid w:val="0"/>
              <w:rPr>
                <w:rFonts w:ascii="Times New Roman" w:hAnsi="Times New Roman" w:eastAsia="宋体" w:cs="Times New Roman"/>
                <w:sz w:val="18"/>
                <w:szCs w:val="18"/>
              </w:rPr>
            </w:pPr>
          </w:p>
        </w:tc>
        <w:tc>
          <w:tcPr>
            <w:tcW w:w="1487" w:type="dxa"/>
            <w:vAlign w:val="center"/>
          </w:tcPr>
          <w:p w14:paraId="254962F1">
            <w:pPr>
              <w:adjustRightInd w:val="0"/>
              <w:snapToGrid w:val="0"/>
              <w:jc w:val="center"/>
              <w:rPr>
                <w:rFonts w:ascii="Times New Roman" w:hAnsi="Times New Roman" w:eastAsia="宋体" w:cs="Times New Roman"/>
                <w:sz w:val="18"/>
                <w:szCs w:val="18"/>
              </w:rPr>
            </w:pPr>
          </w:p>
        </w:tc>
        <w:tc>
          <w:tcPr>
            <w:tcW w:w="1585" w:type="dxa"/>
            <w:vAlign w:val="center"/>
          </w:tcPr>
          <w:p w14:paraId="229C1FC4">
            <w:pPr>
              <w:adjustRightInd w:val="0"/>
              <w:snapToGrid w:val="0"/>
              <w:rPr>
                <w:rFonts w:ascii="Times New Roman" w:hAnsi="Times New Roman" w:eastAsia="宋体" w:cs="Times New Roman"/>
                <w:sz w:val="18"/>
                <w:szCs w:val="18"/>
              </w:rPr>
            </w:pPr>
          </w:p>
        </w:tc>
      </w:tr>
    </w:tbl>
    <w:p w14:paraId="4AE9D885">
      <w:bookmarkStart w:id="328" w:name="_Toc7406"/>
      <w:bookmarkEnd w:id="328"/>
      <w:bookmarkStart w:id="329" w:name="_Toc16389"/>
      <w:bookmarkEnd w:id="329"/>
      <w:bookmarkStart w:id="330" w:name="OLE_LINK63"/>
      <w:bookmarkStart w:id="331" w:name="OLE_LINK64"/>
      <w:r>
        <w:br w:type="page"/>
      </w:r>
    </w:p>
    <w:p w14:paraId="046EC9CB">
      <w:pPr>
        <w:pStyle w:val="88"/>
        <w:tabs>
          <w:tab w:val="left" w:pos="6406"/>
        </w:tabs>
        <w:spacing w:after="120"/>
        <w:ind w:left="0"/>
      </w:pPr>
      <w:bookmarkStart w:id="332" w:name="_Toc28196"/>
      <w:r>
        <w:br w:type="textWrapping"/>
      </w:r>
      <w:bookmarkStart w:id="333" w:name="_Toc193830476"/>
      <w:r>
        <w:rPr>
          <w:rFonts w:hint="eastAsia"/>
        </w:rPr>
        <w:t>（规范性）</w:t>
      </w:r>
      <w:r>
        <w:br w:type="textWrapping"/>
      </w:r>
      <w:r>
        <w:rPr>
          <w:rFonts w:hint="eastAsia"/>
        </w:rPr>
        <w:t>安全设施设计封面格式</w:t>
      </w:r>
      <w:bookmarkEnd w:id="332"/>
      <w:bookmarkEnd w:id="333"/>
    </w:p>
    <w:p w14:paraId="616BE3BC">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b/>
          <w:bCs/>
          <w:kern w:val="0"/>
          <w:sz w:val="44"/>
          <w:szCs w:val="44"/>
        </w:rPr>
      </w:pPr>
      <w:bookmarkStart w:id="334" w:name="_Hlk193827163"/>
      <w:bookmarkStart w:id="335" w:name="_Hlk193827104"/>
    </w:p>
    <w:p w14:paraId="6BBCFFB2">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b/>
          <w:bCs/>
          <w:kern w:val="0"/>
          <w:sz w:val="44"/>
          <w:szCs w:val="44"/>
        </w:rPr>
      </w:pPr>
    </w:p>
    <w:p w14:paraId="2F315979">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b/>
          <w:bCs/>
          <w:kern w:val="0"/>
          <w:sz w:val="44"/>
          <w:szCs w:val="44"/>
        </w:rPr>
      </w:pPr>
      <w:r>
        <w:rPr>
          <w:rFonts w:ascii="Times New Roman" w:hAnsi="Times New Roman"/>
          <w:b/>
          <w:bCs/>
          <w:kern w:val="0"/>
          <w:sz w:val="44"/>
          <w:szCs w:val="44"/>
        </w:rPr>
        <w:t>（</w:t>
      </w:r>
      <w:r>
        <w:rPr>
          <w:rFonts w:ascii="Times New Roman" w:hAnsi="Times New Roman"/>
          <w:b/>
          <w:bCs/>
          <w:color w:val="000000" w:themeColor="text1"/>
          <w:kern w:val="0"/>
          <w:sz w:val="44"/>
          <w:szCs w:val="44"/>
          <w14:textFill>
            <w14:solidFill>
              <w14:schemeClr w14:val="tx1"/>
            </w14:solidFill>
          </w14:textFill>
        </w:rPr>
        <w:t>建设项目名称</w:t>
      </w:r>
      <w:r>
        <w:rPr>
          <w:rFonts w:ascii="Times New Roman" w:hAnsi="Times New Roman"/>
          <w:b/>
          <w:bCs/>
          <w:kern w:val="0"/>
          <w:sz w:val="44"/>
          <w:szCs w:val="44"/>
        </w:rPr>
        <w:t>）</w:t>
      </w:r>
    </w:p>
    <w:p w14:paraId="5BBB058C">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kern w:val="0"/>
          <w:sz w:val="52"/>
        </w:rPr>
      </w:pPr>
      <w:r>
        <w:rPr>
          <w:rFonts w:ascii="Times New Roman" w:hAnsi="Times New Roman"/>
          <w:kern w:val="0"/>
        </w:rPr>
        <w:t>(居中</w:t>
      </w:r>
      <w:r>
        <w:rPr>
          <w:rFonts w:hint="eastAsia" w:ascii="Times New Roman" w:hAnsi="Times New Roman"/>
          <w:kern w:val="0"/>
        </w:rPr>
        <w:t>，</w:t>
      </w:r>
      <w:r>
        <w:rPr>
          <w:rFonts w:ascii="Times New Roman" w:hAnsi="Times New Roman"/>
          <w:kern w:val="0"/>
        </w:rPr>
        <w:t>二号宋体加粗</w:t>
      </w:r>
      <w:r>
        <w:rPr>
          <w:rFonts w:hint="eastAsia" w:ascii="Times New Roman" w:hAnsi="Times New Roman"/>
          <w:kern w:val="0"/>
        </w:rPr>
        <w:t>）</w:t>
      </w:r>
    </w:p>
    <w:p w14:paraId="604091BE">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黑体" w:hAnsi="黑体" w:eastAsia="黑体"/>
          <w:b/>
          <w:bCs/>
          <w:kern w:val="0"/>
          <w:sz w:val="52"/>
        </w:rPr>
      </w:pPr>
      <w:r>
        <w:rPr>
          <w:rFonts w:ascii="黑体" w:hAnsi="黑体" w:eastAsia="黑体"/>
          <w:b/>
          <w:bCs/>
          <w:kern w:val="0"/>
          <w:sz w:val="52"/>
        </w:rPr>
        <w:t>安全</w:t>
      </w:r>
      <w:r>
        <w:rPr>
          <w:rFonts w:ascii="黑体" w:hAnsi="黑体" w:eastAsia="黑体"/>
          <w:b/>
          <w:bCs/>
          <w:sz w:val="52"/>
        </w:rPr>
        <w:t>设施设计</w:t>
      </w:r>
    </w:p>
    <w:bookmarkEnd w:id="334"/>
    <w:p w14:paraId="23AB2154">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kern w:val="0"/>
          <w:sz w:val="52"/>
        </w:rPr>
      </w:pPr>
      <w:r>
        <w:rPr>
          <w:rFonts w:ascii="Times New Roman" w:hAnsi="Times New Roman"/>
          <w:kern w:val="0"/>
        </w:rPr>
        <w:t>(居中</w:t>
      </w:r>
      <w:r>
        <w:rPr>
          <w:rFonts w:hint="eastAsia" w:ascii="Times New Roman" w:hAnsi="Times New Roman"/>
          <w:kern w:val="0"/>
        </w:rPr>
        <w:t>，</w:t>
      </w:r>
      <w:r>
        <w:rPr>
          <w:rFonts w:ascii="Times New Roman" w:hAnsi="Times New Roman"/>
          <w:kern w:val="0"/>
        </w:rPr>
        <w:t>一号黑体加粗</w:t>
      </w:r>
      <w:r>
        <w:rPr>
          <w:rFonts w:hint="eastAsia" w:ascii="Times New Roman" w:hAnsi="Times New Roman"/>
          <w:kern w:val="0"/>
        </w:rPr>
        <w:t>）</w:t>
      </w:r>
    </w:p>
    <w:p w14:paraId="3A9828F3">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1F5F3CFE">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建设单位：</w:t>
      </w:r>
    </w:p>
    <w:p w14:paraId="6BDC02CC">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建设单位法定代表人：</w:t>
      </w:r>
    </w:p>
    <w:p w14:paraId="73CE437F">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建设项目单位：</w:t>
      </w:r>
    </w:p>
    <w:p w14:paraId="5C3814CE">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建设项目单位主要负责人：</w:t>
      </w:r>
    </w:p>
    <w:p w14:paraId="258EBA9D">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建设项目单位联系人：</w:t>
      </w:r>
    </w:p>
    <w:p w14:paraId="1998780A">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建设项目单位联系电话：</w:t>
      </w:r>
    </w:p>
    <w:p w14:paraId="63331B26">
      <w:pPr>
        <w:pBdr>
          <w:top w:val="single" w:color="auto" w:sz="4" w:space="1"/>
          <w:left w:val="single" w:color="auto" w:sz="4" w:space="4"/>
          <w:bottom w:val="single" w:color="auto" w:sz="4" w:space="1"/>
          <w:right w:val="single" w:color="auto" w:sz="4" w:space="4"/>
        </w:pBdr>
        <w:spacing w:before="120" w:beforeLines="50" w:line="300" w:lineRule="auto"/>
        <w:ind w:firstLine="720" w:firstLineChars="300"/>
        <w:jc w:val="left"/>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顶端缩进2个字符</w:t>
      </w:r>
      <w:r>
        <w:rPr>
          <w:rFonts w:hint="eastAsia" w:ascii="Times New Roman" w:hAnsi="Times New Roman"/>
          <w:kern w:val="0"/>
          <w:sz w:val="24"/>
        </w:rPr>
        <w:t>，</w:t>
      </w:r>
      <w:r>
        <w:rPr>
          <w:rFonts w:ascii="Times New Roman" w:hAnsi="Times New Roman"/>
          <w:kern w:val="0"/>
          <w:sz w:val="24"/>
        </w:rPr>
        <w:t>三号宋体加粗</w:t>
      </w:r>
      <w:r>
        <w:rPr>
          <w:rFonts w:hint="eastAsia" w:ascii="Times New Roman" w:hAnsi="Times New Roman"/>
          <w:kern w:val="0"/>
          <w:sz w:val="24"/>
        </w:rPr>
        <w:t>）</w:t>
      </w:r>
    </w:p>
    <w:p w14:paraId="6A6D313B">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b/>
          <w:bCs/>
          <w:color w:val="000000" w:themeColor="text1"/>
          <w:kern w:val="0"/>
          <w:sz w:val="32"/>
          <w14:textFill>
            <w14:solidFill>
              <w14:schemeClr w14:val="tx1"/>
            </w14:solidFill>
          </w14:textFill>
        </w:rPr>
      </w:pPr>
      <w:r>
        <w:rPr>
          <w:rFonts w:ascii="Times New Roman" w:hAnsi="Times New Roman"/>
          <w:b/>
          <w:bCs/>
          <w:color w:val="000000" w:themeColor="text1"/>
          <w:kern w:val="0"/>
          <w:sz w:val="32"/>
          <w14:textFill>
            <w14:solidFill>
              <w14:schemeClr w14:val="tx1"/>
            </w14:solidFill>
          </w14:textFill>
        </w:rPr>
        <w:t>（建设项目单位公章）</w:t>
      </w:r>
    </w:p>
    <w:p w14:paraId="2E1A85AE">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b/>
          <w:bCs/>
          <w:color w:val="000000" w:themeColor="text1"/>
          <w:kern w:val="0"/>
          <w:sz w:val="32"/>
          <w14:textFill>
            <w14:solidFill>
              <w14:schemeClr w14:val="tx1"/>
            </w14:solidFill>
          </w14:textFill>
        </w:rPr>
      </w:pPr>
      <w:r>
        <w:rPr>
          <w:rFonts w:ascii="Times New Roman" w:hAnsi="Times New Roman"/>
          <w:b/>
          <w:bCs/>
          <w:color w:val="000000" w:themeColor="text1"/>
          <w:kern w:val="0"/>
          <w:sz w:val="32"/>
          <w14:textFill>
            <w14:solidFill>
              <w14:schemeClr w14:val="tx1"/>
            </w14:solidFill>
          </w14:textFill>
        </w:rPr>
        <w:t>年　　月　　日</w:t>
      </w:r>
    </w:p>
    <w:p w14:paraId="18C129DF">
      <w:pPr>
        <w:pBdr>
          <w:top w:val="single" w:color="auto" w:sz="4" w:space="1"/>
          <w:left w:val="single" w:color="auto" w:sz="4" w:space="4"/>
          <w:bottom w:val="single" w:color="auto" w:sz="4" w:space="1"/>
          <w:right w:val="single" w:color="auto" w:sz="4" w:space="4"/>
        </w:pBdr>
        <w:spacing w:before="120" w:beforeLines="50" w:line="300" w:lineRule="auto"/>
        <w:jc w:val="center"/>
        <w:rPr>
          <w:rFonts w:hint="eastAsia" w:ascii="宋体" w:hAnsi="宋体" w:cs="宋体"/>
          <w:color w:val="000000"/>
          <w:kern w:val="0"/>
          <w:sz w:val="24"/>
        </w:rPr>
      </w:pPr>
      <w:r>
        <w:rPr>
          <w:rFonts w:ascii="Times New Roman" w:hAnsi="Times New Roman"/>
          <w:color w:val="000000" w:themeColor="text1"/>
          <w:kern w:val="0"/>
          <w:sz w:val="24"/>
          <w14:textFill>
            <w14:solidFill>
              <w14:schemeClr w14:val="tx1"/>
            </w14:solidFill>
          </w14:textFill>
        </w:rPr>
        <w:t>(居中</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三号宋体加粗</w:t>
      </w:r>
      <w:r>
        <w:rPr>
          <w:rFonts w:hint="eastAsia" w:ascii="Times New Roman" w:hAnsi="Times New Roman"/>
          <w:color w:val="000000" w:themeColor="text1"/>
          <w:kern w:val="0"/>
          <w:sz w:val="24"/>
          <w14:textFill>
            <w14:solidFill>
              <w14:schemeClr w14:val="tx1"/>
            </w14:solidFill>
          </w14:textFill>
        </w:rPr>
        <w:t>）</w:t>
      </w:r>
      <w:bookmarkEnd w:id="335"/>
      <w:bookmarkStart w:id="336" w:name="_Toc7303"/>
      <w:bookmarkEnd w:id="336"/>
    </w:p>
    <w:p w14:paraId="023FECB6">
      <w:pPr>
        <w:pStyle w:val="88"/>
        <w:numPr>
          <w:ilvl w:val="0"/>
          <w:numId w:val="46"/>
        </w:numPr>
        <w:tabs>
          <w:tab w:val="left" w:pos="6406"/>
          <w:tab w:val="clear" w:pos="823"/>
        </w:tabs>
        <w:spacing w:after="120"/>
        <w:ind w:left="0" w:firstLine="0"/>
      </w:pPr>
      <w:r>
        <w:rPr>
          <w:rFonts w:hint="eastAsia" w:ascii="Times New Roman"/>
          <w:color w:val="000000"/>
          <w:szCs w:val="24"/>
        </w:rPr>
        <w:br w:type="page"/>
      </w:r>
      <w:bookmarkEnd w:id="330"/>
      <w:bookmarkEnd w:id="331"/>
      <w:bookmarkStart w:id="337" w:name="_Toc10717"/>
      <w:bookmarkEnd w:id="337"/>
      <w:bookmarkStart w:id="338" w:name="_Toc18564"/>
      <w:bookmarkEnd w:id="338"/>
    </w:p>
    <w:p w14:paraId="5ED210FC">
      <w:pPr>
        <w:pStyle w:val="88"/>
        <w:tabs>
          <w:tab w:val="left" w:pos="6406"/>
        </w:tabs>
        <w:spacing w:after="120"/>
        <w:ind w:left="0"/>
      </w:pPr>
      <w:bookmarkStart w:id="339" w:name="_Toc12158"/>
      <w:r>
        <w:br w:type="textWrapping"/>
      </w:r>
      <w:bookmarkStart w:id="340" w:name="_Toc193830477"/>
      <w:r>
        <w:rPr>
          <w:rFonts w:hint="eastAsia"/>
        </w:rPr>
        <w:t>（规范性）</w:t>
      </w:r>
      <w:r>
        <w:br w:type="textWrapping"/>
      </w:r>
      <w:r>
        <w:rPr>
          <w:rFonts w:hint="eastAsia" w:hAnsi="黑体"/>
        </w:rPr>
        <w:t>安全设施设计扉页(著录项）格式</w:t>
      </w:r>
      <w:bookmarkEnd w:id="339"/>
      <w:bookmarkEnd w:id="340"/>
    </w:p>
    <w:p w14:paraId="7F42C00C">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宋体" w:hAnsi="宋体"/>
          <w:b/>
          <w:bCs/>
          <w:kern w:val="0"/>
          <w:sz w:val="44"/>
          <w:szCs w:val="44"/>
        </w:rPr>
      </w:pPr>
    </w:p>
    <w:p w14:paraId="07F43F5B">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宋体" w:hAnsi="宋体"/>
          <w:b/>
          <w:bCs/>
          <w:kern w:val="0"/>
          <w:sz w:val="44"/>
          <w:szCs w:val="44"/>
        </w:rPr>
      </w:pPr>
    </w:p>
    <w:p w14:paraId="7D9FC4AB">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宋体" w:hAnsi="宋体"/>
          <w:b/>
          <w:bCs/>
          <w:kern w:val="0"/>
          <w:sz w:val="44"/>
          <w:szCs w:val="44"/>
        </w:rPr>
      </w:pPr>
      <w:r>
        <w:rPr>
          <w:rFonts w:ascii="宋体" w:hAnsi="宋体"/>
          <w:b/>
          <w:bCs/>
          <w:kern w:val="0"/>
          <w:sz w:val="44"/>
          <w:szCs w:val="44"/>
        </w:rPr>
        <w:t>（建设项目名称）</w:t>
      </w:r>
    </w:p>
    <w:p w14:paraId="2190E16F">
      <w:pPr>
        <w:pBdr>
          <w:top w:val="single" w:color="auto" w:sz="4" w:space="1"/>
          <w:left w:val="single" w:color="auto" w:sz="4" w:space="4"/>
          <w:bottom w:val="single" w:color="auto" w:sz="4" w:space="1"/>
          <w:right w:val="single" w:color="auto" w:sz="4" w:space="4"/>
        </w:pBdr>
        <w:snapToGrid w:val="0"/>
        <w:spacing w:before="120" w:beforeLines="50" w:line="300" w:lineRule="auto"/>
        <w:jc w:val="center"/>
        <w:outlineLvl w:val="0"/>
        <w:rPr>
          <w:rFonts w:ascii="Times New Roman" w:hAnsi="Times New Roman"/>
          <w:kern w:val="0"/>
          <w:sz w:val="52"/>
        </w:rPr>
      </w:pPr>
      <w:bookmarkStart w:id="341" w:name="_Toc8131"/>
      <w:bookmarkStart w:id="342" w:name="_Toc14128"/>
      <w:r>
        <w:rPr>
          <w:rFonts w:hint="eastAsia" w:ascii="Times New Roman" w:hAnsi="Times New Roman"/>
          <w:kern w:val="0"/>
        </w:rPr>
        <w:t>（</w:t>
      </w:r>
      <w:r>
        <w:rPr>
          <w:rFonts w:ascii="Times New Roman" w:hAnsi="Times New Roman"/>
          <w:kern w:val="0"/>
        </w:rPr>
        <w:t>居中</w:t>
      </w:r>
      <w:r>
        <w:rPr>
          <w:rFonts w:hint="eastAsia" w:ascii="Times New Roman" w:hAnsi="Times New Roman"/>
          <w:kern w:val="0"/>
        </w:rPr>
        <w:t>，</w:t>
      </w:r>
      <w:r>
        <w:rPr>
          <w:rFonts w:ascii="Times New Roman" w:hAnsi="Times New Roman"/>
          <w:kern w:val="0"/>
        </w:rPr>
        <w:t>二号宋体加粗</w:t>
      </w:r>
      <w:r>
        <w:rPr>
          <w:rFonts w:hint="eastAsia" w:ascii="Times New Roman" w:hAnsi="Times New Roman"/>
          <w:kern w:val="0"/>
        </w:rPr>
        <w:t>）</w:t>
      </w:r>
      <w:bookmarkEnd w:id="341"/>
      <w:bookmarkEnd w:id="342"/>
    </w:p>
    <w:p w14:paraId="5190489B">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黑体" w:hAnsi="黑体" w:eastAsia="黑体"/>
          <w:kern w:val="0"/>
          <w:sz w:val="52"/>
        </w:rPr>
      </w:pPr>
      <w:r>
        <w:rPr>
          <w:rFonts w:ascii="黑体" w:hAnsi="黑体" w:eastAsia="黑体"/>
          <w:kern w:val="0"/>
          <w:sz w:val="52"/>
        </w:rPr>
        <w:t>安全</w:t>
      </w:r>
      <w:r>
        <w:rPr>
          <w:rFonts w:ascii="黑体" w:hAnsi="黑体" w:eastAsia="黑体"/>
          <w:sz w:val="52"/>
        </w:rPr>
        <w:t>设施设计</w:t>
      </w:r>
    </w:p>
    <w:p w14:paraId="36D3DFD8">
      <w:pPr>
        <w:pBdr>
          <w:top w:val="single" w:color="auto" w:sz="4" w:space="1"/>
          <w:left w:val="single" w:color="auto" w:sz="4" w:space="4"/>
          <w:bottom w:val="single" w:color="auto" w:sz="4" w:space="1"/>
          <w:right w:val="single" w:color="auto" w:sz="4" w:space="4"/>
        </w:pBdr>
        <w:snapToGrid w:val="0"/>
        <w:spacing w:before="120" w:beforeLines="50" w:line="300" w:lineRule="auto"/>
        <w:jc w:val="center"/>
        <w:outlineLvl w:val="0"/>
        <w:rPr>
          <w:rFonts w:ascii="Times New Roman" w:hAnsi="Times New Roman"/>
          <w:kern w:val="0"/>
          <w:sz w:val="52"/>
        </w:rPr>
      </w:pPr>
      <w:bookmarkStart w:id="343" w:name="_Toc19820"/>
      <w:bookmarkStart w:id="344" w:name="_Toc20669"/>
      <w:r>
        <w:rPr>
          <w:rFonts w:hint="eastAsia" w:ascii="Times New Roman" w:hAnsi="Times New Roman"/>
          <w:kern w:val="0"/>
        </w:rPr>
        <w:t>（</w:t>
      </w:r>
      <w:r>
        <w:rPr>
          <w:rFonts w:ascii="Times New Roman" w:hAnsi="Times New Roman"/>
          <w:kern w:val="0"/>
        </w:rPr>
        <w:t>居中</w:t>
      </w:r>
      <w:r>
        <w:rPr>
          <w:rFonts w:hint="eastAsia" w:ascii="Times New Roman" w:hAnsi="Times New Roman"/>
          <w:kern w:val="0"/>
        </w:rPr>
        <w:t>，</w:t>
      </w:r>
      <w:r>
        <w:rPr>
          <w:rFonts w:ascii="Times New Roman" w:hAnsi="Times New Roman"/>
          <w:kern w:val="0"/>
        </w:rPr>
        <w:t>一号黑体加粗</w:t>
      </w:r>
      <w:r>
        <w:rPr>
          <w:rFonts w:hint="eastAsia" w:ascii="Times New Roman" w:hAnsi="Times New Roman"/>
          <w:kern w:val="0"/>
        </w:rPr>
        <w:t>）</w:t>
      </w:r>
      <w:bookmarkEnd w:id="343"/>
      <w:bookmarkEnd w:id="344"/>
    </w:p>
    <w:p w14:paraId="41C0279F">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482F2FF3">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28E2645D">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02E330B3">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31746696">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设计单位名称：</w:t>
      </w:r>
    </w:p>
    <w:p w14:paraId="11974BE6">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设计单位法定代表人：</w:t>
      </w:r>
    </w:p>
    <w:p w14:paraId="2706BA66">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设计项目负责人：</w:t>
      </w:r>
    </w:p>
    <w:p w14:paraId="6B06E622">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设计单位联系电话：</w:t>
      </w:r>
    </w:p>
    <w:p w14:paraId="4C7F852D">
      <w:pPr>
        <w:pBdr>
          <w:top w:val="single" w:color="auto" w:sz="4" w:space="1"/>
          <w:left w:val="single" w:color="auto" w:sz="4" w:space="4"/>
          <w:bottom w:val="single" w:color="auto" w:sz="4" w:space="1"/>
          <w:right w:val="single" w:color="auto" w:sz="4" w:space="4"/>
        </w:pBdr>
        <w:spacing w:before="120" w:beforeLines="50" w:line="300" w:lineRule="auto"/>
        <w:ind w:firstLine="720" w:firstLineChars="300"/>
        <w:jc w:val="left"/>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顶端缩进2个字符</w:t>
      </w:r>
      <w:r>
        <w:rPr>
          <w:rFonts w:hint="eastAsia" w:ascii="Times New Roman" w:hAnsi="Times New Roman"/>
          <w:kern w:val="0"/>
          <w:sz w:val="24"/>
        </w:rPr>
        <w:t>，</w:t>
      </w:r>
      <w:r>
        <w:rPr>
          <w:rFonts w:ascii="Times New Roman" w:hAnsi="Times New Roman"/>
          <w:kern w:val="0"/>
          <w:sz w:val="24"/>
        </w:rPr>
        <w:t>三号宋体加粗</w:t>
      </w:r>
      <w:r>
        <w:rPr>
          <w:rFonts w:hint="eastAsia" w:ascii="Times New Roman" w:hAnsi="Times New Roman"/>
          <w:kern w:val="0"/>
          <w:sz w:val="24"/>
        </w:rPr>
        <w:t>）</w:t>
      </w:r>
    </w:p>
    <w:p w14:paraId="1969F5CA">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b/>
          <w:bCs/>
          <w:color w:val="000000" w:themeColor="text1"/>
          <w:kern w:val="0"/>
          <w:sz w:val="32"/>
          <w14:textFill>
            <w14:solidFill>
              <w14:schemeClr w14:val="tx1"/>
            </w14:solidFill>
          </w14:textFill>
        </w:rPr>
      </w:pPr>
      <w:r>
        <w:rPr>
          <w:rFonts w:ascii="Times New Roman" w:hAnsi="Times New Roman"/>
          <w:b/>
          <w:bCs/>
          <w:color w:val="000000" w:themeColor="text1"/>
          <w:kern w:val="0"/>
          <w:sz w:val="32"/>
          <w14:textFill>
            <w14:solidFill>
              <w14:schemeClr w14:val="tx1"/>
            </w14:solidFill>
          </w14:textFill>
        </w:rPr>
        <w:t>（设计单位公章）</w:t>
      </w:r>
    </w:p>
    <w:p w14:paraId="3278D51B">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b/>
          <w:bCs/>
          <w:color w:val="000000" w:themeColor="text1"/>
          <w:kern w:val="0"/>
          <w:sz w:val="32"/>
          <w14:textFill>
            <w14:solidFill>
              <w14:schemeClr w14:val="tx1"/>
            </w14:solidFill>
          </w14:textFill>
        </w:rPr>
      </w:pPr>
      <w:r>
        <w:rPr>
          <w:rFonts w:ascii="Times New Roman" w:hAnsi="Times New Roman"/>
          <w:b/>
          <w:bCs/>
          <w:color w:val="000000" w:themeColor="text1"/>
          <w:kern w:val="0"/>
          <w:sz w:val="32"/>
          <w14:textFill>
            <w14:solidFill>
              <w14:schemeClr w14:val="tx1"/>
            </w14:solidFill>
          </w14:textFill>
        </w:rPr>
        <w:t>年　　月　　日</w:t>
      </w:r>
    </w:p>
    <w:p w14:paraId="094ADA3C">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(居中</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三号宋体加粗</w:t>
      </w:r>
      <w:r>
        <w:rPr>
          <w:rFonts w:hint="eastAsia" w:ascii="Times New Roman" w:hAnsi="Times New Roman"/>
          <w:color w:val="000000" w:themeColor="text1"/>
          <w:kern w:val="0"/>
          <w:sz w:val="24"/>
          <w14:textFill>
            <w14:solidFill>
              <w14:schemeClr w14:val="tx1"/>
            </w14:solidFill>
          </w14:textFill>
        </w:rPr>
        <w:t>）</w:t>
      </w:r>
    </w:p>
    <w:p w14:paraId="2E50661D">
      <w:pPr>
        <w:pStyle w:val="41"/>
        <w:pBdr>
          <w:top w:val="single" w:color="auto" w:sz="4" w:space="1"/>
          <w:left w:val="single" w:color="auto" w:sz="4" w:space="4"/>
          <w:bottom w:val="single" w:color="auto" w:sz="4" w:space="1"/>
          <w:right w:val="single" w:color="auto" w:sz="4" w:space="4"/>
        </w:pBdr>
        <w:ind w:firstLine="420"/>
      </w:pPr>
    </w:p>
    <w:p w14:paraId="323D4A72">
      <w:pPr>
        <w:pStyle w:val="41"/>
        <w:pBdr>
          <w:top w:val="single" w:color="auto" w:sz="4" w:space="1"/>
          <w:left w:val="single" w:color="auto" w:sz="4" w:space="4"/>
          <w:bottom w:val="single" w:color="auto" w:sz="4" w:space="1"/>
          <w:right w:val="single" w:color="auto" w:sz="4" w:space="4"/>
        </w:pBdr>
        <w:ind w:firstLine="420"/>
      </w:pPr>
    </w:p>
    <w:p w14:paraId="7E86B547">
      <w:pPr>
        <w:pStyle w:val="41"/>
        <w:pBdr>
          <w:top w:val="single" w:color="auto" w:sz="4" w:space="1"/>
          <w:left w:val="single" w:color="auto" w:sz="4" w:space="4"/>
          <w:bottom w:val="single" w:color="auto" w:sz="4" w:space="1"/>
          <w:right w:val="single" w:color="auto" w:sz="4" w:space="4"/>
        </w:pBdr>
        <w:ind w:firstLine="420"/>
      </w:pPr>
    </w:p>
    <w:p w14:paraId="5504CBC0">
      <w:pPr>
        <w:pStyle w:val="41"/>
        <w:pBdr>
          <w:top w:val="single" w:color="auto" w:sz="4" w:space="1"/>
          <w:left w:val="single" w:color="auto" w:sz="4" w:space="4"/>
          <w:bottom w:val="single" w:color="auto" w:sz="4" w:space="1"/>
          <w:right w:val="single" w:color="auto" w:sz="4" w:space="4"/>
        </w:pBdr>
        <w:ind w:firstLine="420"/>
        <w:sectPr>
          <w:headerReference r:id="rId14" w:type="default"/>
          <w:footerReference r:id="rId16" w:type="default"/>
          <w:headerReference r:id="rId15" w:type="even"/>
          <w:footerReference r:id="rId17" w:type="even"/>
          <w:pgSz w:w="11906" w:h="16838"/>
          <w:pgMar w:top="1928" w:right="1134" w:bottom="1134" w:left="1134" w:header="1418" w:footer="1134" w:gutter="284"/>
          <w:pgNumType w:fmt="decimal"/>
          <w:cols w:space="425" w:num="1"/>
          <w:formProt w:val="0"/>
          <w:docGrid w:linePitch="312" w:charSpace="0"/>
        </w:sectPr>
      </w:pPr>
    </w:p>
    <w:p w14:paraId="438049D5">
      <w:pPr>
        <w:pageBreakBefore/>
        <w:numPr>
          <w:ilvl w:val="0"/>
          <w:numId w:val="6"/>
        </w:numPr>
        <w:shd w:val="clear" w:color="FFFFFF" w:fill="FFFFFF"/>
        <w:spacing w:before="560"/>
        <w:ind w:left="0"/>
        <w:jc w:val="center"/>
        <w:outlineLvl w:val="0"/>
        <w:rPr>
          <w:rFonts w:ascii="Times New Roman" w:hAnsi="Times New Roman" w:eastAsia="宋体" w:cs="Times New Roman"/>
        </w:rPr>
      </w:pPr>
      <w:bookmarkStart w:id="345" w:name="_Toc6446"/>
      <w:bookmarkEnd w:id="345"/>
    </w:p>
    <w:p w14:paraId="4CA8F046">
      <w:pPr>
        <w:shd w:val="clear" w:color="FFFFFF" w:fill="FFFFFF"/>
        <w:jc w:val="center"/>
        <w:outlineLvl w:val="0"/>
        <w:rPr>
          <w:rFonts w:hint="eastAsia" w:ascii="黑体" w:hAnsi="黑体" w:eastAsia="黑体" w:cs="黑体"/>
        </w:rPr>
      </w:pPr>
      <w:bookmarkStart w:id="346" w:name="_Toc12065"/>
      <w:bookmarkStart w:id="347" w:name="_Toc1842"/>
      <w:bookmarkStart w:id="348" w:name="_Toc21262"/>
      <w:bookmarkStart w:id="349" w:name="_Toc25881"/>
      <w:bookmarkStart w:id="350" w:name="_Toc17379"/>
      <w:bookmarkStart w:id="351" w:name="_Toc6845"/>
      <w:bookmarkStart w:id="352" w:name="_Toc6313"/>
      <w:bookmarkStart w:id="353" w:name="_Toc28570"/>
      <w:r>
        <w:rPr>
          <w:rFonts w:hint="eastAsia" w:ascii="黑体" w:hAnsi="黑体" w:eastAsia="黑体" w:cs="黑体"/>
        </w:rPr>
        <w:t>（规范性）</w:t>
      </w:r>
      <w:bookmarkEnd w:id="346"/>
      <w:bookmarkEnd w:id="347"/>
      <w:bookmarkEnd w:id="348"/>
      <w:bookmarkEnd w:id="349"/>
      <w:bookmarkEnd w:id="350"/>
      <w:bookmarkEnd w:id="351"/>
      <w:bookmarkEnd w:id="352"/>
      <w:bookmarkEnd w:id="353"/>
    </w:p>
    <w:p w14:paraId="75C6A44C">
      <w:pPr>
        <w:shd w:val="clear" w:color="FFFFFF" w:fill="FFFFFF"/>
        <w:jc w:val="center"/>
        <w:outlineLvl w:val="0"/>
        <w:rPr>
          <w:rFonts w:hint="eastAsia" w:ascii="黑体" w:hAnsi="黑体" w:eastAsia="黑体" w:cs="黑体"/>
        </w:rPr>
      </w:pPr>
      <w:bookmarkStart w:id="354" w:name="_Toc9090"/>
      <w:bookmarkStart w:id="355" w:name="_Toc32159"/>
      <w:bookmarkStart w:id="356" w:name="_Toc4921"/>
      <w:bookmarkStart w:id="357" w:name="_Toc30137"/>
      <w:bookmarkStart w:id="358" w:name="_Toc269"/>
      <w:bookmarkStart w:id="359" w:name="_Toc26530"/>
      <w:r>
        <w:rPr>
          <w:rFonts w:hint="eastAsia" w:ascii="黑体" w:hAnsi="黑体" w:eastAsia="黑体" w:cs="黑体"/>
        </w:rPr>
        <w:t>安全设施设计校审人员名单格式</w:t>
      </w:r>
      <w:bookmarkEnd w:id="354"/>
      <w:bookmarkEnd w:id="355"/>
      <w:bookmarkEnd w:id="356"/>
      <w:bookmarkEnd w:id="357"/>
      <w:bookmarkEnd w:id="358"/>
      <w:bookmarkEnd w:id="359"/>
    </w:p>
    <w:p w14:paraId="7CF872E4">
      <w:pPr>
        <w:spacing w:before="156" w:beforeLines="50" w:line="300" w:lineRule="auto"/>
        <w:jc w:val="center"/>
        <w:outlineLvl w:val="0"/>
        <w:rPr>
          <w:rFonts w:ascii="Times New Roman" w:hAnsi="Times New Roman" w:eastAsia="宋体" w:cs="Times New Roman"/>
        </w:rPr>
      </w:pPr>
      <w:bookmarkStart w:id="360" w:name="_Toc20252"/>
      <w:bookmarkStart w:id="361" w:name="_Toc9621"/>
      <w:r>
        <w:rPr>
          <w:rFonts w:ascii="Times New Roman" w:hAnsi="Times New Roman" w:eastAsia="宋体" w:cs="Times New Roman"/>
        </w:rPr>
        <w:t>主要编制人员</w:t>
      </w:r>
      <w:bookmarkEnd w:id="360"/>
      <w:bookmarkEnd w:id="361"/>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1445"/>
        <w:gridCol w:w="1765"/>
        <w:gridCol w:w="1765"/>
        <w:gridCol w:w="1769"/>
      </w:tblGrid>
      <w:tr w14:paraId="50F4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827" w:type="dxa"/>
            <w:vAlign w:val="center"/>
          </w:tcPr>
          <w:p w14:paraId="4A669717">
            <w:pPr>
              <w:spacing w:before="156" w:beforeLines="50" w:line="300" w:lineRule="auto"/>
              <w:jc w:val="center"/>
              <w:rPr>
                <w:rFonts w:ascii="Times New Roman" w:hAnsi="Times New Roman" w:eastAsia="宋体" w:cs="Times New Roman"/>
              </w:rPr>
            </w:pPr>
          </w:p>
        </w:tc>
        <w:tc>
          <w:tcPr>
            <w:tcW w:w="1445" w:type="dxa"/>
            <w:vAlign w:val="center"/>
          </w:tcPr>
          <w:p w14:paraId="4A1AD2B5">
            <w:pPr>
              <w:spacing w:before="156" w:beforeLines="50" w:line="300" w:lineRule="auto"/>
              <w:jc w:val="center"/>
              <w:rPr>
                <w:rFonts w:ascii="Times New Roman" w:hAnsi="Times New Roman" w:eastAsia="宋体" w:cs="Times New Roman"/>
              </w:rPr>
            </w:pPr>
          </w:p>
        </w:tc>
        <w:tc>
          <w:tcPr>
            <w:tcW w:w="1765" w:type="dxa"/>
            <w:vAlign w:val="center"/>
          </w:tcPr>
          <w:p w14:paraId="7055945C">
            <w:pPr>
              <w:spacing w:before="156" w:beforeLines="50" w:line="300" w:lineRule="auto"/>
              <w:jc w:val="center"/>
              <w:rPr>
                <w:rFonts w:ascii="Times New Roman" w:hAnsi="Times New Roman" w:eastAsia="宋体" w:cs="Times New Roman"/>
              </w:rPr>
            </w:pPr>
          </w:p>
        </w:tc>
        <w:tc>
          <w:tcPr>
            <w:tcW w:w="1765" w:type="dxa"/>
            <w:vAlign w:val="center"/>
          </w:tcPr>
          <w:p w14:paraId="1D469AB8">
            <w:pPr>
              <w:spacing w:before="156" w:beforeLines="50" w:line="300" w:lineRule="auto"/>
              <w:jc w:val="center"/>
              <w:rPr>
                <w:rFonts w:ascii="Times New Roman" w:hAnsi="Times New Roman" w:eastAsia="宋体" w:cs="Times New Roman"/>
              </w:rPr>
            </w:pPr>
          </w:p>
        </w:tc>
        <w:tc>
          <w:tcPr>
            <w:tcW w:w="1769" w:type="dxa"/>
            <w:vAlign w:val="center"/>
          </w:tcPr>
          <w:p w14:paraId="41197429">
            <w:pPr>
              <w:spacing w:before="156" w:beforeLines="50" w:line="300" w:lineRule="auto"/>
              <w:jc w:val="center"/>
              <w:rPr>
                <w:rFonts w:ascii="Times New Roman" w:hAnsi="Times New Roman" w:eastAsia="宋体" w:cs="Times New Roman"/>
              </w:rPr>
            </w:pPr>
          </w:p>
        </w:tc>
      </w:tr>
      <w:tr w14:paraId="6308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47AC6F77">
            <w:pPr>
              <w:spacing w:before="156" w:beforeLines="50" w:line="300" w:lineRule="auto"/>
              <w:jc w:val="center"/>
              <w:rPr>
                <w:rFonts w:ascii="Times New Roman" w:hAnsi="Times New Roman" w:eastAsia="宋体" w:cs="Times New Roman"/>
              </w:rPr>
            </w:pPr>
          </w:p>
        </w:tc>
        <w:tc>
          <w:tcPr>
            <w:tcW w:w="1445" w:type="dxa"/>
            <w:vAlign w:val="center"/>
          </w:tcPr>
          <w:p w14:paraId="03872CFC">
            <w:pPr>
              <w:spacing w:before="156" w:beforeLines="50" w:line="300" w:lineRule="auto"/>
              <w:jc w:val="center"/>
              <w:rPr>
                <w:rFonts w:ascii="Times New Roman" w:hAnsi="Times New Roman" w:eastAsia="宋体" w:cs="Times New Roman"/>
              </w:rPr>
            </w:pPr>
          </w:p>
        </w:tc>
        <w:tc>
          <w:tcPr>
            <w:tcW w:w="1765" w:type="dxa"/>
            <w:vAlign w:val="center"/>
          </w:tcPr>
          <w:p w14:paraId="06CE5C51">
            <w:pPr>
              <w:spacing w:before="156" w:beforeLines="50" w:line="300" w:lineRule="auto"/>
              <w:jc w:val="center"/>
              <w:rPr>
                <w:rFonts w:ascii="Times New Roman" w:hAnsi="Times New Roman" w:eastAsia="宋体" w:cs="Times New Roman"/>
              </w:rPr>
            </w:pPr>
          </w:p>
        </w:tc>
        <w:tc>
          <w:tcPr>
            <w:tcW w:w="1765" w:type="dxa"/>
            <w:vAlign w:val="center"/>
          </w:tcPr>
          <w:p w14:paraId="1140818B">
            <w:pPr>
              <w:spacing w:before="156" w:beforeLines="50" w:line="300" w:lineRule="auto"/>
              <w:jc w:val="center"/>
              <w:rPr>
                <w:rFonts w:ascii="Times New Roman" w:hAnsi="Times New Roman" w:eastAsia="宋体" w:cs="Times New Roman"/>
              </w:rPr>
            </w:pPr>
          </w:p>
        </w:tc>
        <w:tc>
          <w:tcPr>
            <w:tcW w:w="1769" w:type="dxa"/>
            <w:vAlign w:val="center"/>
          </w:tcPr>
          <w:p w14:paraId="17B83000">
            <w:pPr>
              <w:spacing w:before="156" w:beforeLines="50" w:line="300" w:lineRule="auto"/>
              <w:jc w:val="center"/>
              <w:rPr>
                <w:rFonts w:ascii="Times New Roman" w:hAnsi="Times New Roman" w:eastAsia="宋体" w:cs="Times New Roman"/>
              </w:rPr>
            </w:pPr>
          </w:p>
        </w:tc>
      </w:tr>
      <w:tr w14:paraId="1557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5B2AC5DE">
            <w:pPr>
              <w:spacing w:before="156" w:beforeLines="50" w:line="300" w:lineRule="auto"/>
              <w:jc w:val="center"/>
              <w:rPr>
                <w:rFonts w:ascii="Times New Roman" w:hAnsi="Times New Roman" w:eastAsia="宋体" w:cs="Times New Roman"/>
              </w:rPr>
            </w:pPr>
          </w:p>
        </w:tc>
        <w:tc>
          <w:tcPr>
            <w:tcW w:w="1445" w:type="dxa"/>
            <w:vAlign w:val="center"/>
          </w:tcPr>
          <w:p w14:paraId="382CF905">
            <w:pPr>
              <w:spacing w:before="156" w:beforeLines="50" w:line="300" w:lineRule="auto"/>
              <w:jc w:val="center"/>
              <w:rPr>
                <w:rFonts w:ascii="Times New Roman" w:hAnsi="Times New Roman" w:eastAsia="宋体" w:cs="Times New Roman"/>
              </w:rPr>
            </w:pPr>
          </w:p>
        </w:tc>
        <w:tc>
          <w:tcPr>
            <w:tcW w:w="1765" w:type="dxa"/>
            <w:vAlign w:val="center"/>
          </w:tcPr>
          <w:p w14:paraId="2DEC0842">
            <w:pPr>
              <w:spacing w:before="156" w:beforeLines="50" w:line="300" w:lineRule="auto"/>
              <w:jc w:val="center"/>
              <w:rPr>
                <w:rFonts w:ascii="Times New Roman" w:hAnsi="Times New Roman" w:eastAsia="宋体" w:cs="Times New Roman"/>
              </w:rPr>
            </w:pPr>
          </w:p>
        </w:tc>
        <w:tc>
          <w:tcPr>
            <w:tcW w:w="1765" w:type="dxa"/>
            <w:vAlign w:val="center"/>
          </w:tcPr>
          <w:p w14:paraId="7C82E2CA">
            <w:pPr>
              <w:spacing w:before="156" w:beforeLines="50" w:line="300" w:lineRule="auto"/>
              <w:jc w:val="center"/>
              <w:rPr>
                <w:rFonts w:ascii="Times New Roman" w:hAnsi="Times New Roman" w:eastAsia="宋体" w:cs="Times New Roman"/>
              </w:rPr>
            </w:pPr>
          </w:p>
        </w:tc>
        <w:tc>
          <w:tcPr>
            <w:tcW w:w="1769" w:type="dxa"/>
            <w:vAlign w:val="center"/>
          </w:tcPr>
          <w:p w14:paraId="576BC886">
            <w:pPr>
              <w:spacing w:before="156" w:beforeLines="50" w:line="300" w:lineRule="auto"/>
              <w:jc w:val="center"/>
              <w:rPr>
                <w:rFonts w:ascii="Times New Roman" w:hAnsi="Times New Roman" w:eastAsia="宋体" w:cs="Times New Roman"/>
              </w:rPr>
            </w:pPr>
          </w:p>
        </w:tc>
      </w:tr>
      <w:tr w14:paraId="2BFB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12A174D5">
            <w:pPr>
              <w:spacing w:before="156" w:beforeLines="50" w:line="300" w:lineRule="auto"/>
              <w:jc w:val="center"/>
              <w:rPr>
                <w:rFonts w:ascii="Times New Roman" w:hAnsi="Times New Roman" w:eastAsia="宋体" w:cs="Times New Roman"/>
              </w:rPr>
            </w:pPr>
          </w:p>
        </w:tc>
        <w:tc>
          <w:tcPr>
            <w:tcW w:w="1445" w:type="dxa"/>
            <w:vAlign w:val="center"/>
          </w:tcPr>
          <w:p w14:paraId="1399D519">
            <w:pPr>
              <w:spacing w:before="156" w:beforeLines="50" w:line="300" w:lineRule="auto"/>
              <w:jc w:val="center"/>
              <w:rPr>
                <w:rFonts w:ascii="Times New Roman" w:hAnsi="Times New Roman" w:eastAsia="宋体" w:cs="Times New Roman"/>
              </w:rPr>
            </w:pPr>
          </w:p>
        </w:tc>
        <w:tc>
          <w:tcPr>
            <w:tcW w:w="1765" w:type="dxa"/>
            <w:vAlign w:val="center"/>
          </w:tcPr>
          <w:p w14:paraId="050F0F25">
            <w:pPr>
              <w:spacing w:before="156" w:beforeLines="50" w:line="300" w:lineRule="auto"/>
              <w:jc w:val="center"/>
              <w:rPr>
                <w:rFonts w:ascii="Times New Roman" w:hAnsi="Times New Roman" w:eastAsia="宋体" w:cs="Times New Roman"/>
              </w:rPr>
            </w:pPr>
          </w:p>
        </w:tc>
        <w:tc>
          <w:tcPr>
            <w:tcW w:w="1765" w:type="dxa"/>
            <w:vAlign w:val="center"/>
          </w:tcPr>
          <w:p w14:paraId="5F6ADEC0">
            <w:pPr>
              <w:spacing w:before="156" w:beforeLines="50" w:line="300" w:lineRule="auto"/>
              <w:jc w:val="center"/>
              <w:rPr>
                <w:rFonts w:ascii="Times New Roman" w:hAnsi="Times New Roman" w:eastAsia="宋体" w:cs="Times New Roman"/>
              </w:rPr>
            </w:pPr>
          </w:p>
        </w:tc>
        <w:tc>
          <w:tcPr>
            <w:tcW w:w="1769" w:type="dxa"/>
            <w:vAlign w:val="center"/>
          </w:tcPr>
          <w:p w14:paraId="3FA8DE27">
            <w:pPr>
              <w:spacing w:before="156" w:beforeLines="50" w:line="300" w:lineRule="auto"/>
              <w:jc w:val="center"/>
              <w:rPr>
                <w:rFonts w:ascii="Times New Roman" w:hAnsi="Times New Roman" w:eastAsia="宋体" w:cs="Times New Roman"/>
              </w:rPr>
            </w:pPr>
          </w:p>
        </w:tc>
      </w:tr>
      <w:tr w14:paraId="1FEF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582E6884">
            <w:pPr>
              <w:spacing w:before="156" w:beforeLines="50" w:line="300" w:lineRule="auto"/>
              <w:jc w:val="center"/>
              <w:rPr>
                <w:rFonts w:ascii="Times New Roman" w:hAnsi="Times New Roman" w:eastAsia="宋体" w:cs="Times New Roman"/>
              </w:rPr>
            </w:pPr>
          </w:p>
        </w:tc>
        <w:tc>
          <w:tcPr>
            <w:tcW w:w="1445" w:type="dxa"/>
            <w:vAlign w:val="center"/>
          </w:tcPr>
          <w:p w14:paraId="140E4EBD">
            <w:pPr>
              <w:spacing w:before="156" w:beforeLines="50" w:line="300" w:lineRule="auto"/>
              <w:jc w:val="center"/>
              <w:rPr>
                <w:rFonts w:ascii="Times New Roman" w:hAnsi="Times New Roman" w:eastAsia="宋体" w:cs="Times New Roman"/>
              </w:rPr>
            </w:pPr>
          </w:p>
        </w:tc>
        <w:tc>
          <w:tcPr>
            <w:tcW w:w="1765" w:type="dxa"/>
            <w:vAlign w:val="center"/>
          </w:tcPr>
          <w:p w14:paraId="01426CAB">
            <w:pPr>
              <w:spacing w:before="156" w:beforeLines="50" w:line="300" w:lineRule="auto"/>
              <w:jc w:val="center"/>
              <w:rPr>
                <w:rFonts w:ascii="Times New Roman" w:hAnsi="Times New Roman" w:eastAsia="宋体" w:cs="Times New Roman"/>
              </w:rPr>
            </w:pPr>
          </w:p>
        </w:tc>
        <w:tc>
          <w:tcPr>
            <w:tcW w:w="1765" w:type="dxa"/>
            <w:vAlign w:val="center"/>
          </w:tcPr>
          <w:p w14:paraId="48A399F1">
            <w:pPr>
              <w:spacing w:before="156" w:beforeLines="50" w:line="300" w:lineRule="auto"/>
              <w:jc w:val="center"/>
              <w:rPr>
                <w:rFonts w:ascii="Times New Roman" w:hAnsi="Times New Roman" w:eastAsia="宋体" w:cs="Times New Roman"/>
              </w:rPr>
            </w:pPr>
          </w:p>
        </w:tc>
        <w:tc>
          <w:tcPr>
            <w:tcW w:w="1769" w:type="dxa"/>
            <w:vAlign w:val="center"/>
          </w:tcPr>
          <w:p w14:paraId="0559BB16">
            <w:pPr>
              <w:spacing w:before="156" w:beforeLines="50" w:line="300" w:lineRule="auto"/>
              <w:jc w:val="center"/>
              <w:rPr>
                <w:rFonts w:ascii="Times New Roman" w:hAnsi="Times New Roman" w:eastAsia="宋体" w:cs="Times New Roman"/>
              </w:rPr>
            </w:pPr>
          </w:p>
        </w:tc>
      </w:tr>
      <w:tr w14:paraId="300F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1A779327">
            <w:pPr>
              <w:spacing w:before="156" w:beforeLines="50" w:line="300" w:lineRule="auto"/>
              <w:jc w:val="center"/>
              <w:rPr>
                <w:rFonts w:ascii="Times New Roman" w:hAnsi="Times New Roman" w:eastAsia="宋体" w:cs="Times New Roman"/>
              </w:rPr>
            </w:pPr>
          </w:p>
        </w:tc>
        <w:tc>
          <w:tcPr>
            <w:tcW w:w="1445" w:type="dxa"/>
            <w:vAlign w:val="center"/>
          </w:tcPr>
          <w:p w14:paraId="37072730">
            <w:pPr>
              <w:spacing w:before="156" w:beforeLines="50" w:line="300" w:lineRule="auto"/>
              <w:jc w:val="center"/>
              <w:rPr>
                <w:rFonts w:ascii="Times New Roman" w:hAnsi="Times New Roman" w:eastAsia="宋体" w:cs="Times New Roman"/>
              </w:rPr>
            </w:pPr>
          </w:p>
        </w:tc>
        <w:tc>
          <w:tcPr>
            <w:tcW w:w="1765" w:type="dxa"/>
            <w:vAlign w:val="center"/>
          </w:tcPr>
          <w:p w14:paraId="30506DCB">
            <w:pPr>
              <w:spacing w:before="156" w:beforeLines="50" w:line="300" w:lineRule="auto"/>
              <w:jc w:val="center"/>
              <w:rPr>
                <w:rFonts w:ascii="Times New Roman" w:hAnsi="Times New Roman" w:eastAsia="宋体" w:cs="Times New Roman"/>
              </w:rPr>
            </w:pPr>
          </w:p>
        </w:tc>
        <w:tc>
          <w:tcPr>
            <w:tcW w:w="1765" w:type="dxa"/>
            <w:vAlign w:val="center"/>
          </w:tcPr>
          <w:p w14:paraId="59745551">
            <w:pPr>
              <w:spacing w:before="156" w:beforeLines="50" w:line="300" w:lineRule="auto"/>
              <w:jc w:val="center"/>
              <w:rPr>
                <w:rFonts w:ascii="Times New Roman" w:hAnsi="Times New Roman" w:eastAsia="宋体" w:cs="Times New Roman"/>
              </w:rPr>
            </w:pPr>
          </w:p>
        </w:tc>
        <w:tc>
          <w:tcPr>
            <w:tcW w:w="1769" w:type="dxa"/>
            <w:vAlign w:val="center"/>
          </w:tcPr>
          <w:p w14:paraId="3DB83FDA">
            <w:pPr>
              <w:spacing w:before="156" w:beforeLines="50" w:line="300" w:lineRule="auto"/>
              <w:jc w:val="center"/>
              <w:rPr>
                <w:rFonts w:ascii="Times New Roman" w:hAnsi="Times New Roman" w:eastAsia="宋体" w:cs="Times New Roman"/>
              </w:rPr>
            </w:pPr>
          </w:p>
        </w:tc>
      </w:tr>
      <w:tr w14:paraId="3A63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36599FCA">
            <w:pPr>
              <w:spacing w:before="156" w:beforeLines="50" w:line="300" w:lineRule="auto"/>
              <w:jc w:val="center"/>
              <w:rPr>
                <w:rFonts w:ascii="Times New Roman" w:hAnsi="Times New Roman" w:eastAsia="宋体" w:cs="Times New Roman"/>
              </w:rPr>
            </w:pPr>
          </w:p>
        </w:tc>
        <w:tc>
          <w:tcPr>
            <w:tcW w:w="1445" w:type="dxa"/>
            <w:vAlign w:val="center"/>
          </w:tcPr>
          <w:p w14:paraId="72C5A72A">
            <w:pPr>
              <w:spacing w:before="156" w:beforeLines="50" w:line="300" w:lineRule="auto"/>
              <w:jc w:val="center"/>
              <w:rPr>
                <w:rFonts w:ascii="Times New Roman" w:hAnsi="Times New Roman" w:eastAsia="宋体" w:cs="Times New Roman"/>
              </w:rPr>
            </w:pPr>
          </w:p>
        </w:tc>
        <w:tc>
          <w:tcPr>
            <w:tcW w:w="1765" w:type="dxa"/>
            <w:vAlign w:val="center"/>
          </w:tcPr>
          <w:p w14:paraId="28CB72A2">
            <w:pPr>
              <w:spacing w:before="156" w:beforeLines="50" w:line="300" w:lineRule="auto"/>
              <w:jc w:val="center"/>
              <w:rPr>
                <w:rFonts w:ascii="Times New Roman" w:hAnsi="Times New Roman" w:eastAsia="宋体" w:cs="Times New Roman"/>
              </w:rPr>
            </w:pPr>
          </w:p>
        </w:tc>
        <w:tc>
          <w:tcPr>
            <w:tcW w:w="1765" w:type="dxa"/>
            <w:vAlign w:val="center"/>
          </w:tcPr>
          <w:p w14:paraId="78BF18C8">
            <w:pPr>
              <w:spacing w:before="156" w:beforeLines="50" w:line="300" w:lineRule="auto"/>
              <w:jc w:val="center"/>
              <w:rPr>
                <w:rFonts w:ascii="Times New Roman" w:hAnsi="Times New Roman" w:eastAsia="宋体" w:cs="Times New Roman"/>
              </w:rPr>
            </w:pPr>
          </w:p>
        </w:tc>
        <w:tc>
          <w:tcPr>
            <w:tcW w:w="1769" w:type="dxa"/>
            <w:vAlign w:val="center"/>
          </w:tcPr>
          <w:p w14:paraId="09D7B167">
            <w:pPr>
              <w:spacing w:before="156" w:beforeLines="50" w:line="300" w:lineRule="auto"/>
              <w:jc w:val="center"/>
              <w:rPr>
                <w:rFonts w:ascii="Times New Roman" w:hAnsi="Times New Roman" w:eastAsia="宋体" w:cs="Times New Roman"/>
              </w:rPr>
            </w:pPr>
          </w:p>
        </w:tc>
      </w:tr>
      <w:tr w14:paraId="7638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3BEB3E7E">
            <w:pPr>
              <w:spacing w:before="156" w:beforeLines="50" w:line="300" w:lineRule="auto"/>
              <w:jc w:val="center"/>
              <w:rPr>
                <w:rFonts w:ascii="Times New Roman" w:hAnsi="Times New Roman" w:eastAsia="宋体" w:cs="Times New Roman"/>
              </w:rPr>
            </w:pPr>
          </w:p>
        </w:tc>
        <w:tc>
          <w:tcPr>
            <w:tcW w:w="1445" w:type="dxa"/>
            <w:vAlign w:val="center"/>
          </w:tcPr>
          <w:p w14:paraId="1CDDA8E1">
            <w:pPr>
              <w:spacing w:before="156" w:beforeLines="50" w:line="300" w:lineRule="auto"/>
              <w:jc w:val="center"/>
              <w:rPr>
                <w:rFonts w:ascii="Times New Roman" w:hAnsi="Times New Roman" w:eastAsia="宋体" w:cs="Times New Roman"/>
              </w:rPr>
            </w:pPr>
          </w:p>
        </w:tc>
        <w:tc>
          <w:tcPr>
            <w:tcW w:w="1765" w:type="dxa"/>
            <w:vAlign w:val="center"/>
          </w:tcPr>
          <w:p w14:paraId="7495D7DB">
            <w:pPr>
              <w:spacing w:before="156" w:beforeLines="50" w:line="300" w:lineRule="auto"/>
              <w:jc w:val="center"/>
              <w:rPr>
                <w:rFonts w:ascii="Times New Roman" w:hAnsi="Times New Roman" w:eastAsia="宋体" w:cs="Times New Roman"/>
              </w:rPr>
            </w:pPr>
          </w:p>
        </w:tc>
        <w:tc>
          <w:tcPr>
            <w:tcW w:w="1765" w:type="dxa"/>
            <w:vAlign w:val="center"/>
          </w:tcPr>
          <w:p w14:paraId="4680F063">
            <w:pPr>
              <w:spacing w:before="156" w:beforeLines="50" w:line="300" w:lineRule="auto"/>
              <w:jc w:val="center"/>
              <w:rPr>
                <w:rFonts w:ascii="Times New Roman" w:hAnsi="Times New Roman" w:eastAsia="宋体" w:cs="Times New Roman"/>
              </w:rPr>
            </w:pPr>
          </w:p>
        </w:tc>
        <w:tc>
          <w:tcPr>
            <w:tcW w:w="1769" w:type="dxa"/>
            <w:vAlign w:val="center"/>
          </w:tcPr>
          <w:p w14:paraId="57081AF4">
            <w:pPr>
              <w:spacing w:before="156" w:beforeLines="50" w:line="300" w:lineRule="auto"/>
              <w:jc w:val="center"/>
              <w:rPr>
                <w:rFonts w:ascii="Times New Roman" w:hAnsi="Times New Roman" w:eastAsia="宋体" w:cs="Times New Roman"/>
              </w:rPr>
            </w:pPr>
          </w:p>
        </w:tc>
      </w:tr>
      <w:tr w14:paraId="5178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jc w:val="center"/>
        </w:trPr>
        <w:tc>
          <w:tcPr>
            <w:tcW w:w="2827" w:type="dxa"/>
            <w:vAlign w:val="center"/>
          </w:tcPr>
          <w:p w14:paraId="075308B7">
            <w:pPr>
              <w:spacing w:before="156" w:beforeLines="50" w:line="300" w:lineRule="auto"/>
              <w:jc w:val="center"/>
              <w:rPr>
                <w:rFonts w:ascii="Times New Roman" w:hAnsi="Times New Roman" w:eastAsia="宋体" w:cs="Times New Roman"/>
              </w:rPr>
            </w:pPr>
          </w:p>
        </w:tc>
        <w:tc>
          <w:tcPr>
            <w:tcW w:w="1445" w:type="dxa"/>
            <w:vAlign w:val="center"/>
          </w:tcPr>
          <w:p w14:paraId="2E10D4C4">
            <w:pPr>
              <w:spacing w:before="156" w:beforeLines="50" w:line="300" w:lineRule="auto"/>
              <w:jc w:val="center"/>
              <w:rPr>
                <w:rFonts w:ascii="Times New Roman" w:hAnsi="Times New Roman" w:eastAsia="宋体" w:cs="Times New Roman"/>
              </w:rPr>
            </w:pPr>
          </w:p>
        </w:tc>
        <w:tc>
          <w:tcPr>
            <w:tcW w:w="1765" w:type="dxa"/>
            <w:vAlign w:val="center"/>
          </w:tcPr>
          <w:p w14:paraId="0E7368A2">
            <w:pPr>
              <w:spacing w:before="156" w:beforeLines="50" w:line="300" w:lineRule="auto"/>
              <w:jc w:val="center"/>
              <w:rPr>
                <w:rFonts w:ascii="Times New Roman" w:hAnsi="Times New Roman" w:eastAsia="宋体" w:cs="Times New Roman"/>
              </w:rPr>
            </w:pPr>
          </w:p>
        </w:tc>
        <w:tc>
          <w:tcPr>
            <w:tcW w:w="1765" w:type="dxa"/>
            <w:vAlign w:val="center"/>
          </w:tcPr>
          <w:p w14:paraId="2F87B546">
            <w:pPr>
              <w:spacing w:before="156" w:beforeLines="50" w:line="300" w:lineRule="auto"/>
              <w:jc w:val="center"/>
              <w:rPr>
                <w:rFonts w:ascii="Times New Roman" w:hAnsi="Times New Roman" w:eastAsia="宋体" w:cs="Times New Roman"/>
              </w:rPr>
            </w:pPr>
          </w:p>
        </w:tc>
        <w:tc>
          <w:tcPr>
            <w:tcW w:w="1769" w:type="dxa"/>
            <w:vAlign w:val="center"/>
          </w:tcPr>
          <w:p w14:paraId="565DE46B">
            <w:pPr>
              <w:spacing w:before="156" w:beforeLines="50" w:line="300" w:lineRule="auto"/>
              <w:jc w:val="center"/>
              <w:rPr>
                <w:rFonts w:ascii="Times New Roman" w:hAnsi="Times New Roman" w:eastAsia="宋体" w:cs="Times New Roman"/>
              </w:rPr>
            </w:pPr>
          </w:p>
        </w:tc>
      </w:tr>
      <w:tr w14:paraId="3956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827" w:type="dxa"/>
            <w:vAlign w:val="center"/>
          </w:tcPr>
          <w:p w14:paraId="4498395A">
            <w:pPr>
              <w:spacing w:before="156" w:beforeLines="50" w:line="300" w:lineRule="auto"/>
              <w:jc w:val="center"/>
              <w:rPr>
                <w:rFonts w:ascii="Times New Roman" w:hAnsi="Times New Roman" w:eastAsia="宋体" w:cs="Times New Roman"/>
              </w:rPr>
            </w:pPr>
          </w:p>
        </w:tc>
        <w:tc>
          <w:tcPr>
            <w:tcW w:w="1445" w:type="dxa"/>
            <w:vAlign w:val="center"/>
          </w:tcPr>
          <w:p w14:paraId="3F7E7C1C">
            <w:pPr>
              <w:spacing w:before="156" w:beforeLines="50" w:line="300" w:lineRule="auto"/>
              <w:jc w:val="center"/>
              <w:rPr>
                <w:rFonts w:ascii="Times New Roman" w:hAnsi="Times New Roman" w:eastAsia="宋体" w:cs="Times New Roman"/>
              </w:rPr>
            </w:pPr>
          </w:p>
        </w:tc>
        <w:tc>
          <w:tcPr>
            <w:tcW w:w="1765" w:type="dxa"/>
            <w:vAlign w:val="center"/>
          </w:tcPr>
          <w:p w14:paraId="61AB6310">
            <w:pPr>
              <w:spacing w:before="156" w:beforeLines="50" w:line="300" w:lineRule="auto"/>
              <w:jc w:val="center"/>
              <w:rPr>
                <w:rFonts w:ascii="Times New Roman" w:hAnsi="Times New Roman" w:eastAsia="宋体" w:cs="Times New Roman"/>
              </w:rPr>
            </w:pPr>
          </w:p>
        </w:tc>
        <w:tc>
          <w:tcPr>
            <w:tcW w:w="1765" w:type="dxa"/>
            <w:vAlign w:val="center"/>
          </w:tcPr>
          <w:p w14:paraId="6836F15C">
            <w:pPr>
              <w:spacing w:before="156" w:beforeLines="50" w:line="300" w:lineRule="auto"/>
              <w:jc w:val="center"/>
              <w:rPr>
                <w:rFonts w:ascii="Times New Roman" w:hAnsi="Times New Roman" w:eastAsia="宋体" w:cs="Times New Roman"/>
              </w:rPr>
            </w:pPr>
          </w:p>
        </w:tc>
        <w:tc>
          <w:tcPr>
            <w:tcW w:w="1769" w:type="dxa"/>
            <w:vAlign w:val="center"/>
          </w:tcPr>
          <w:p w14:paraId="3E1D8F34">
            <w:pPr>
              <w:spacing w:before="156" w:beforeLines="50" w:line="300" w:lineRule="auto"/>
              <w:jc w:val="center"/>
              <w:rPr>
                <w:rFonts w:ascii="Times New Roman" w:hAnsi="Times New Roman" w:eastAsia="宋体" w:cs="Times New Roman"/>
              </w:rPr>
            </w:pPr>
          </w:p>
        </w:tc>
      </w:tr>
      <w:tr w14:paraId="41D0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2827" w:type="dxa"/>
            <w:vAlign w:val="center"/>
          </w:tcPr>
          <w:p w14:paraId="70F91633">
            <w:pPr>
              <w:spacing w:before="156" w:beforeLines="50" w:line="300" w:lineRule="auto"/>
              <w:jc w:val="center"/>
              <w:rPr>
                <w:rFonts w:ascii="Times New Roman" w:hAnsi="Times New Roman" w:eastAsia="宋体" w:cs="Times New Roman"/>
              </w:rPr>
            </w:pPr>
          </w:p>
        </w:tc>
        <w:tc>
          <w:tcPr>
            <w:tcW w:w="1445" w:type="dxa"/>
            <w:vAlign w:val="center"/>
          </w:tcPr>
          <w:p w14:paraId="76213A83">
            <w:pPr>
              <w:spacing w:before="156" w:beforeLines="50" w:line="300" w:lineRule="auto"/>
              <w:jc w:val="center"/>
              <w:rPr>
                <w:rFonts w:ascii="Times New Roman" w:hAnsi="Times New Roman" w:eastAsia="宋体" w:cs="Times New Roman"/>
              </w:rPr>
            </w:pPr>
          </w:p>
        </w:tc>
        <w:tc>
          <w:tcPr>
            <w:tcW w:w="1765" w:type="dxa"/>
            <w:vAlign w:val="center"/>
          </w:tcPr>
          <w:p w14:paraId="1FA4D4B3">
            <w:pPr>
              <w:spacing w:before="156" w:beforeLines="50" w:line="300" w:lineRule="auto"/>
              <w:jc w:val="center"/>
              <w:rPr>
                <w:rFonts w:ascii="Times New Roman" w:hAnsi="Times New Roman" w:eastAsia="宋体" w:cs="Times New Roman"/>
              </w:rPr>
            </w:pPr>
          </w:p>
        </w:tc>
        <w:tc>
          <w:tcPr>
            <w:tcW w:w="1765" w:type="dxa"/>
            <w:vAlign w:val="center"/>
          </w:tcPr>
          <w:p w14:paraId="035F4931">
            <w:pPr>
              <w:spacing w:before="156" w:beforeLines="50" w:line="300" w:lineRule="auto"/>
              <w:jc w:val="center"/>
              <w:rPr>
                <w:rFonts w:ascii="Times New Roman" w:hAnsi="Times New Roman" w:eastAsia="宋体" w:cs="Times New Roman"/>
              </w:rPr>
            </w:pPr>
          </w:p>
        </w:tc>
        <w:tc>
          <w:tcPr>
            <w:tcW w:w="1769" w:type="dxa"/>
            <w:vAlign w:val="center"/>
          </w:tcPr>
          <w:p w14:paraId="25DA54C6">
            <w:pPr>
              <w:spacing w:before="156" w:beforeLines="50" w:line="300" w:lineRule="auto"/>
              <w:jc w:val="center"/>
              <w:rPr>
                <w:rFonts w:ascii="Times New Roman" w:hAnsi="Times New Roman" w:eastAsia="宋体" w:cs="Times New Roman"/>
              </w:rPr>
            </w:pPr>
          </w:p>
        </w:tc>
      </w:tr>
      <w:tr w14:paraId="3251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2827" w:type="dxa"/>
            <w:vAlign w:val="center"/>
          </w:tcPr>
          <w:p w14:paraId="79E25C0A">
            <w:pPr>
              <w:spacing w:before="156" w:beforeLines="50" w:line="300" w:lineRule="auto"/>
              <w:jc w:val="center"/>
              <w:rPr>
                <w:rFonts w:ascii="Times New Roman" w:hAnsi="Times New Roman" w:eastAsia="宋体" w:cs="Times New Roman"/>
              </w:rPr>
            </w:pPr>
          </w:p>
        </w:tc>
        <w:tc>
          <w:tcPr>
            <w:tcW w:w="1445" w:type="dxa"/>
            <w:vAlign w:val="center"/>
          </w:tcPr>
          <w:p w14:paraId="623BD969">
            <w:pPr>
              <w:spacing w:before="156" w:beforeLines="50" w:line="300" w:lineRule="auto"/>
              <w:jc w:val="center"/>
              <w:rPr>
                <w:rFonts w:ascii="Times New Roman" w:hAnsi="Times New Roman" w:eastAsia="宋体" w:cs="Times New Roman"/>
              </w:rPr>
            </w:pPr>
          </w:p>
        </w:tc>
        <w:tc>
          <w:tcPr>
            <w:tcW w:w="1765" w:type="dxa"/>
            <w:vAlign w:val="center"/>
          </w:tcPr>
          <w:p w14:paraId="4396858E">
            <w:pPr>
              <w:spacing w:before="156" w:beforeLines="50" w:line="300" w:lineRule="auto"/>
              <w:jc w:val="center"/>
              <w:rPr>
                <w:rFonts w:ascii="Times New Roman" w:hAnsi="Times New Roman" w:eastAsia="宋体" w:cs="Times New Roman"/>
              </w:rPr>
            </w:pPr>
          </w:p>
        </w:tc>
        <w:tc>
          <w:tcPr>
            <w:tcW w:w="1765" w:type="dxa"/>
            <w:vAlign w:val="center"/>
          </w:tcPr>
          <w:p w14:paraId="21B33254">
            <w:pPr>
              <w:spacing w:before="156" w:beforeLines="50" w:line="300" w:lineRule="auto"/>
              <w:jc w:val="center"/>
              <w:rPr>
                <w:rFonts w:ascii="Times New Roman" w:hAnsi="Times New Roman" w:eastAsia="宋体" w:cs="Times New Roman"/>
              </w:rPr>
            </w:pPr>
          </w:p>
        </w:tc>
        <w:tc>
          <w:tcPr>
            <w:tcW w:w="1769" w:type="dxa"/>
            <w:vAlign w:val="center"/>
          </w:tcPr>
          <w:p w14:paraId="23E72D44">
            <w:pPr>
              <w:spacing w:before="156" w:beforeLines="50" w:line="300" w:lineRule="auto"/>
              <w:jc w:val="center"/>
              <w:rPr>
                <w:rFonts w:ascii="Times New Roman" w:hAnsi="Times New Roman" w:eastAsia="宋体" w:cs="Times New Roman"/>
              </w:rPr>
            </w:pPr>
          </w:p>
        </w:tc>
      </w:tr>
      <w:tr w14:paraId="0340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2827" w:type="dxa"/>
            <w:vAlign w:val="center"/>
          </w:tcPr>
          <w:p w14:paraId="2CC4A9CF">
            <w:pPr>
              <w:spacing w:before="156" w:beforeLines="50" w:line="300" w:lineRule="auto"/>
              <w:jc w:val="center"/>
              <w:rPr>
                <w:rFonts w:ascii="Times New Roman" w:hAnsi="Times New Roman" w:eastAsia="宋体" w:cs="Times New Roman"/>
              </w:rPr>
            </w:pPr>
          </w:p>
        </w:tc>
        <w:tc>
          <w:tcPr>
            <w:tcW w:w="1445" w:type="dxa"/>
            <w:vAlign w:val="center"/>
          </w:tcPr>
          <w:p w14:paraId="1BEE1909">
            <w:pPr>
              <w:spacing w:before="156" w:beforeLines="50" w:line="300" w:lineRule="auto"/>
              <w:jc w:val="center"/>
              <w:rPr>
                <w:rFonts w:ascii="Times New Roman" w:hAnsi="Times New Roman" w:eastAsia="宋体" w:cs="Times New Roman"/>
              </w:rPr>
            </w:pPr>
          </w:p>
        </w:tc>
        <w:tc>
          <w:tcPr>
            <w:tcW w:w="1765" w:type="dxa"/>
            <w:vAlign w:val="center"/>
          </w:tcPr>
          <w:p w14:paraId="21388224">
            <w:pPr>
              <w:spacing w:before="156" w:beforeLines="50" w:line="300" w:lineRule="auto"/>
              <w:jc w:val="center"/>
              <w:rPr>
                <w:rFonts w:ascii="Times New Roman" w:hAnsi="Times New Roman" w:eastAsia="宋体" w:cs="Times New Roman"/>
              </w:rPr>
            </w:pPr>
          </w:p>
        </w:tc>
        <w:tc>
          <w:tcPr>
            <w:tcW w:w="1765" w:type="dxa"/>
            <w:vAlign w:val="center"/>
          </w:tcPr>
          <w:p w14:paraId="49F9E116">
            <w:pPr>
              <w:spacing w:before="156" w:beforeLines="50" w:line="300" w:lineRule="auto"/>
              <w:jc w:val="center"/>
              <w:rPr>
                <w:rFonts w:ascii="Times New Roman" w:hAnsi="Times New Roman" w:eastAsia="宋体" w:cs="Times New Roman"/>
              </w:rPr>
            </w:pPr>
          </w:p>
        </w:tc>
        <w:tc>
          <w:tcPr>
            <w:tcW w:w="1769" w:type="dxa"/>
            <w:vAlign w:val="center"/>
          </w:tcPr>
          <w:p w14:paraId="3DA0676F">
            <w:pPr>
              <w:spacing w:before="156" w:beforeLines="50" w:line="300" w:lineRule="auto"/>
              <w:jc w:val="center"/>
              <w:rPr>
                <w:rFonts w:ascii="Times New Roman" w:hAnsi="Times New Roman" w:eastAsia="宋体" w:cs="Times New Roman"/>
              </w:rPr>
            </w:pPr>
          </w:p>
        </w:tc>
      </w:tr>
      <w:tr w14:paraId="01A4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2827" w:type="dxa"/>
            <w:vAlign w:val="center"/>
          </w:tcPr>
          <w:p w14:paraId="7B7CE2CE">
            <w:pPr>
              <w:spacing w:before="156" w:beforeLines="50" w:line="300" w:lineRule="auto"/>
              <w:jc w:val="center"/>
              <w:rPr>
                <w:rFonts w:ascii="Times New Roman" w:hAnsi="Times New Roman" w:eastAsia="宋体" w:cs="Times New Roman"/>
              </w:rPr>
            </w:pPr>
          </w:p>
        </w:tc>
        <w:tc>
          <w:tcPr>
            <w:tcW w:w="1445" w:type="dxa"/>
            <w:vAlign w:val="center"/>
          </w:tcPr>
          <w:p w14:paraId="0B3C4EC4">
            <w:pPr>
              <w:spacing w:before="156" w:beforeLines="50" w:line="300" w:lineRule="auto"/>
              <w:jc w:val="center"/>
              <w:rPr>
                <w:rFonts w:ascii="Times New Roman" w:hAnsi="Times New Roman" w:eastAsia="宋体" w:cs="Times New Roman"/>
              </w:rPr>
            </w:pPr>
          </w:p>
        </w:tc>
        <w:tc>
          <w:tcPr>
            <w:tcW w:w="1765" w:type="dxa"/>
            <w:vAlign w:val="center"/>
          </w:tcPr>
          <w:p w14:paraId="22D662D5">
            <w:pPr>
              <w:spacing w:before="156" w:beforeLines="50" w:line="300" w:lineRule="auto"/>
              <w:jc w:val="center"/>
              <w:rPr>
                <w:rFonts w:ascii="Times New Roman" w:hAnsi="Times New Roman" w:eastAsia="宋体" w:cs="Times New Roman"/>
              </w:rPr>
            </w:pPr>
          </w:p>
        </w:tc>
        <w:tc>
          <w:tcPr>
            <w:tcW w:w="1765" w:type="dxa"/>
            <w:vAlign w:val="center"/>
          </w:tcPr>
          <w:p w14:paraId="35A1DFEE">
            <w:pPr>
              <w:spacing w:before="156" w:beforeLines="50" w:line="300" w:lineRule="auto"/>
              <w:jc w:val="center"/>
              <w:rPr>
                <w:rFonts w:ascii="Times New Roman" w:hAnsi="Times New Roman" w:eastAsia="宋体" w:cs="Times New Roman"/>
              </w:rPr>
            </w:pPr>
          </w:p>
        </w:tc>
        <w:tc>
          <w:tcPr>
            <w:tcW w:w="1769" w:type="dxa"/>
            <w:vAlign w:val="center"/>
          </w:tcPr>
          <w:p w14:paraId="0EBAC793">
            <w:pPr>
              <w:spacing w:before="156" w:beforeLines="50" w:line="300" w:lineRule="auto"/>
              <w:jc w:val="center"/>
              <w:rPr>
                <w:rFonts w:ascii="Times New Roman" w:hAnsi="Times New Roman" w:eastAsia="宋体" w:cs="Times New Roman"/>
              </w:rPr>
            </w:pPr>
          </w:p>
        </w:tc>
      </w:tr>
      <w:tr w14:paraId="2B16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2827" w:type="dxa"/>
            <w:vAlign w:val="center"/>
          </w:tcPr>
          <w:p w14:paraId="39D7CC68">
            <w:pPr>
              <w:spacing w:before="156" w:beforeLines="50" w:line="300" w:lineRule="auto"/>
              <w:jc w:val="center"/>
              <w:rPr>
                <w:rFonts w:ascii="Times New Roman" w:hAnsi="Times New Roman" w:eastAsia="宋体" w:cs="Times New Roman"/>
              </w:rPr>
            </w:pPr>
          </w:p>
        </w:tc>
        <w:tc>
          <w:tcPr>
            <w:tcW w:w="1445" w:type="dxa"/>
            <w:vAlign w:val="center"/>
          </w:tcPr>
          <w:p w14:paraId="634402F7">
            <w:pPr>
              <w:spacing w:before="156" w:beforeLines="50" w:line="300" w:lineRule="auto"/>
              <w:jc w:val="center"/>
              <w:rPr>
                <w:rFonts w:ascii="Times New Roman" w:hAnsi="Times New Roman" w:eastAsia="宋体" w:cs="Times New Roman"/>
              </w:rPr>
            </w:pPr>
          </w:p>
        </w:tc>
        <w:tc>
          <w:tcPr>
            <w:tcW w:w="1765" w:type="dxa"/>
            <w:vAlign w:val="center"/>
          </w:tcPr>
          <w:p w14:paraId="797713B4">
            <w:pPr>
              <w:spacing w:before="156" w:beforeLines="50" w:line="300" w:lineRule="auto"/>
              <w:jc w:val="center"/>
              <w:rPr>
                <w:rFonts w:ascii="Times New Roman" w:hAnsi="Times New Roman" w:eastAsia="宋体" w:cs="Times New Roman"/>
              </w:rPr>
            </w:pPr>
          </w:p>
        </w:tc>
        <w:tc>
          <w:tcPr>
            <w:tcW w:w="1765" w:type="dxa"/>
            <w:vAlign w:val="center"/>
          </w:tcPr>
          <w:p w14:paraId="1BFCD14E">
            <w:pPr>
              <w:spacing w:before="156" w:beforeLines="50" w:line="300" w:lineRule="auto"/>
              <w:jc w:val="center"/>
              <w:rPr>
                <w:rFonts w:ascii="Times New Roman" w:hAnsi="Times New Roman" w:eastAsia="宋体" w:cs="Times New Roman"/>
              </w:rPr>
            </w:pPr>
          </w:p>
        </w:tc>
        <w:tc>
          <w:tcPr>
            <w:tcW w:w="1769" w:type="dxa"/>
            <w:vAlign w:val="center"/>
          </w:tcPr>
          <w:p w14:paraId="5B8AE262">
            <w:pPr>
              <w:spacing w:before="156" w:beforeLines="50" w:line="300" w:lineRule="auto"/>
              <w:jc w:val="center"/>
              <w:rPr>
                <w:rFonts w:ascii="Times New Roman" w:hAnsi="Times New Roman" w:eastAsia="宋体" w:cs="Times New Roman"/>
              </w:rPr>
            </w:pPr>
          </w:p>
        </w:tc>
      </w:tr>
      <w:tr w14:paraId="1721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2827" w:type="dxa"/>
            <w:vAlign w:val="center"/>
          </w:tcPr>
          <w:p w14:paraId="2D8096DB">
            <w:pPr>
              <w:spacing w:before="156" w:beforeLines="50" w:line="300" w:lineRule="auto"/>
              <w:jc w:val="center"/>
              <w:rPr>
                <w:rFonts w:ascii="Times New Roman" w:hAnsi="Times New Roman" w:eastAsia="宋体" w:cs="Times New Roman"/>
              </w:rPr>
            </w:pPr>
          </w:p>
        </w:tc>
        <w:tc>
          <w:tcPr>
            <w:tcW w:w="1445" w:type="dxa"/>
            <w:vAlign w:val="center"/>
          </w:tcPr>
          <w:p w14:paraId="48770E45">
            <w:pPr>
              <w:spacing w:before="156" w:beforeLines="50" w:line="300" w:lineRule="auto"/>
              <w:jc w:val="center"/>
              <w:rPr>
                <w:rFonts w:ascii="Times New Roman" w:hAnsi="Times New Roman" w:eastAsia="宋体" w:cs="Times New Roman"/>
              </w:rPr>
            </w:pPr>
          </w:p>
        </w:tc>
        <w:tc>
          <w:tcPr>
            <w:tcW w:w="1765" w:type="dxa"/>
            <w:vAlign w:val="center"/>
          </w:tcPr>
          <w:p w14:paraId="26AF775D">
            <w:pPr>
              <w:spacing w:before="156" w:beforeLines="50" w:line="300" w:lineRule="auto"/>
              <w:jc w:val="center"/>
              <w:rPr>
                <w:rFonts w:ascii="Times New Roman" w:hAnsi="Times New Roman" w:eastAsia="宋体" w:cs="Times New Roman"/>
              </w:rPr>
            </w:pPr>
          </w:p>
        </w:tc>
        <w:tc>
          <w:tcPr>
            <w:tcW w:w="1765" w:type="dxa"/>
            <w:vAlign w:val="center"/>
          </w:tcPr>
          <w:p w14:paraId="73B64265">
            <w:pPr>
              <w:spacing w:before="156" w:beforeLines="50" w:line="300" w:lineRule="auto"/>
              <w:jc w:val="center"/>
              <w:rPr>
                <w:rFonts w:ascii="Times New Roman" w:hAnsi="Times New Roman" w:eastAsia="宋体" w:cs="Times New Roman"/>
              </w:rPr>
            </w:pPr>
          </w:p>
        </w:tc>
        <w:tc>
          <w:tcPr>
            <w:tcW w:w="1769" w:type="dxa"/>
            <w:vAlign w:val="center"/>
          </w:tcPr>
          <w:p w14:paraId="0E6F9DB2">
            <w:pPr>
              <w:spacing w:before="156" w:beforeLines="50" w:line="300" w:lineRule="auto"/>
              <w:jc w:val="center"/>
              <w:rPr>
                <w:rFonts w:ascii="Times New Roman" w:hAnsi="Times New Roman" w:eastAsia="宋体" w:cs="Times New Roman"/>
              </w:rPr>
            </w:pPr>
          </w:p>
        </w:tc>
      </w:tr>
      <w:tr w14:paraId="6325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6FDF3692">
            <w:pPr>
              <w:spacing w:before="156" w:beforeLines="50" w:line="300" w:lineRule="auto"/>
              <w:jc w:val="center"/>
              <w:rPr>
                <w:rFonts w:ascii="Times New Roman" w:hAnsi="Times New Roman" w:eastAsia="宋体" w:cs="Times New Roman"/>
              </w:rPr>
            </w:pPr>
          </w:p>
        </w:tc>
        <w:tc>
          <w:tcPr>
            <w:tcW w:w="1445" w:type="dxa"/>
            <w:vAlign w:val="center"/>
          </w:tcPr>
          <w:p w14:paraId="5D76C155">
            <w:pPr>
              <w:spacing w:before="156" w:beforeLines="50" w:line="300" w:lineRule="auto"/>
              <w:jc w:val="center"/>
              <w:rPr>
                <w:rFonts w:ascii="Times New Roman" w:hAnsi="Times New Roman" w:eastAsia="宋体" w:cs="Times New Roman"/>
              </w:rPr>
            </w:pPr>
          </w:p>
        </w:tc>
        <w:tc>
          <w:tcPr>
            <w:tcW w:w="1765" w:type="dxa"/>
            <w:vAlign w:val="center"/>
          </w:tcPr>
          <w:p w14:paraId="6B274C34">
            <w:pPr>
              <w:spacing w:before="156" w:beforeLines="50" w:line="300" w:lineRule="auto"/>
              <w:jc w:val="center"/>
              <w:rPr>
                <w:rFonts w:ascii="Times New Roman" w:hAnsi="Times New Roman" w:eastAsia="宋体" w:cs="Times New Roman"/>
              </w:rPr>
            </w:pPr>
          </w:p>
        </w:tc>
        <w:tc>
          <w:tcPr>
            <w:tcW w:w="1765" w:type="dxa"/>
            <w:vAlign w:val="center"/>
          </w:tcPr>
          <w:p w14:paraId="4367A9EF">
            <w:pPr>
              <w:spacing w:before="156" w:beforeLines="50" w:line="300" w:lineRule="auto"/>
              <w:jc w:val="center"/>
              <w:rPr>
                <w:rFonts w:ascii="Times New Roman" w:hAnsi="Times New Roman" w:eastAsia="宋体" w:cs="Times New Roman"/>
              </w:rPr>
            </w:pPr>
          </w:p>
        </w:tc>
        <w:tc>
          <w:tcPr>
            <w:tcW w:w="1769" w:type="dxa"/>
            <w:vAlign w:val="center"/>
          </w:tcPr>
          <w:p w14:paraId="0067446F">
            <w:pPr>
              <w:spacing w:before="156" w:beforeLines="50" w:line="300" w:lineRule="auto"/>
              <w:jc w:val="center"/>
              <w:rPr>
                <w:rFonts w:ascii="Times New Roman" w:hAnsi="Times New Roman" w:eastAsia="宋体" w:cs="Times New Roman"/>
              </w:rPr>
            </w:pPr>
          </w:p>
        </w:tc>
      </w:tr>
      <w:tr w14:paraId="0DD8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141870D7">
            <w:pPr>
              <w:spacing w:before="156" w:beforeLines="50" w:line="300" w:lineRule="auto"/>
              <w:jc w:val="center"/>
              <w:rPr>
                <w:rFonts w:ascii="Times New Roman" w:hAnsi="Times New Roman" w:eastAsia="宋体" w:cs="Times New Roman"/>
              </w:rPr>
            </w:pPr>
          </w:p>
        </w:tc>
        <w:tc>
          <w:tcPr>
            <w:tcW w:w="1445" w:type="dxa"/>
            <w:vAlign w:val="center"/>
          </w:tcPr>
          <w:p w14:paraId="4B929C4C">
            <w:pPr>
              <w:spacing w:before="156" w:beforeLines="50" w:line="300" w:lineRule="auto"/>
              <w:jc w:val="center"/>
              <w:rPr>
                <w:rFonts w:ascii="Times New Roman" w:hAnsi="Times New Roman" w:eastAsia="宋体" w:cs="Times New Roman"/>
              </w:rPr>
            </w:pPr>
          </w:p>
        </w:tc>
        <w:tc>
          <w:tcPr>
            <w:tcW w:w="1765" w:type="dxa"/>
            <w:vAlign w:val="center"/>
          </w:tcPr>
          <w:p w14:paraId="1C759DF8">
            <w:pPr>
              <w:spacing w:before="156" w:beforeLines="50" w:line="300" w:lineRule="auto"/>
              <w:jc w:val="center"/>
              <w:rPr>
                <w:rFonts w:ascii="Times New Roman" w:hAnsi="Times New Roman" w:eastAsia="宋体" w:cs="Times New Roman"/>
              </w:rPr>
            </w:pPr>
          </w:p>
        </w:tc>
        <w:tc>
          <w:tcPr>
            <w:tcW w:w="1765" w:type="dxa"/>
            <w:vAlign w:val="center"/>
          </w:tcPr>
          <w:p w14:paraId="5F6A5BD0">
            <w:pPr>
              <w:spacing w:before="156" w:beforeLines="50" w:line="300" w:lineRule="auto"/>
              <w:jc w:val="center"/>
              <w:rPr>
                <w:rFonts w:ascii="Times New Roman" w:hAnsi="Times New Roman" w:eastAsia="宋体" w:cs="Times New Roman"/>
              </w:rPr>
            </w:pPr>
          </w:p>
        </w:tc>
        <w:tc>
          <w:tcPr>
            <w:tcW w:w="1769" w:type="dxa"/>
            <w:vAlign w:val="center"/>
          </w:tcPr>
          <w:p w14:paraId="33FE4CED">
            <w:pPr>
              <w:spacing w:before="156" w:beforeLines="50" w:line="300" w:lineRule="auto"/>
              <w:jc w:val="center"/>
              <w:rPr>
                <w:rFonts w:ascii="Times New Roman" w:hAnsi="Times New Roman" w:eastAsia="宋体" w:cs="Times New Roman"/>
              </w:rPr>
            </w:pPr>
          </w:p>
        </w:tc>
      </w:tr>
      <w:tr w14:paraId="38FA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4BAC33AA">
            <w:pPr>
              <w:spacing w:before="156" w:beforeLines="50" w:line="300" w:lineRule="auto"/>
              <w:jc w:val="center"/>
              <w:rPr>
                <w:rFonts w:ascii="Times New Roman" w:hAnsi="Times New Roman" w:eastAsia="宋体" w:cs="Times New Roman"/>
              </w:rPr>
            </w:pPr>
          </w:p>
        </w:tc>
        <w:tc>
          <w:tcPr>
            <w:tcW w:w="1445" w:type="dxa"/>
            <w:vAlign w:val="center"/>
          </w:tcPr>
          <w:p w14:paraId="3EA41F9A">
            <w:pPr>
              <w:spacing w:before="156" w:beforeLines="50" w:line="300" w:lineRule="auto"/>
              <w:jc w:val="center"/>
              <w:rPr>
                <w:rFonts w:ascii="Times New Roman" w:hAnsi="Times New Roman" w:eastAsia="宋体" w:cs="Times New Roman"/>
              </w:rPr>
            </w:pPr>
          </w:p>
        </w:tc>
        <w:tc>
          <w:tcPr>
            <w:tcW w:w="1765" w:type="dxa"/>
            <w:vAlign w:val="center"/>
          </w:tcPr>
          <w:p w14:paraId="177611C0">
            <w:pPr>
              <w:spacing w:before="156" w:beforeLines="50" w:line="300" w:lineRule="auto"/>
              <w:jc w:val="center"/>
              <w:rPr>
                <w:rFonts w:ascii="Times New Roman" w:hAnsi="Times New Roman" w:eastAsia="宋体" w:cs="Times New Roman"/>
              </w:rPr>
            </w:pPr>
          </w:p>
        </w:tc>
        <w:tc>
          <w:tcPr>
            <w:tcW w:w="1765" w:type="dxa"/>
            <w:vAlign w:val="center"/>
          </w:tcPr>
          <w:p w14:paraId="10F1B655">
            <w:pPr>
              <w:spacing w:before="156" w:beforeLines="50" w:line="300" w:lineRule="auto"/>
              <w:jc w:val="center"/>
              <w:rPr>
                <w:rFonts w:ascii="Times New Roman" w:hAnsi="Times New Roman" w:eastAsia="宋体" w:cs="Times New Roman"/>
              </w:rPr>
            </w:pPr>
          </w:p>
        </w:tc>
        <w:tc>
          <w:tcPr>
            <w:tcW w:w="1769" w:type="dxa"/>
            <w:vAlign w:val="center"/>
          </w:tcPr>
          <w:p w14:paraId="29ED540A">
            <w:pPr>
              <w:spacing w:before="156" w:beforeLines="50" w:line="300" w:lineRule="auto"/>
              <w:jc w:val="center"/>
              <w:rPr>
                <w:rFonts w:ascii="Times New Roman" w:hAnsi="Times New Roman" w:eastAsia="宋体" w:cs="Times New Roman"/>
              </w:rPr>
            </w:pPr>
          </w:p>
        </w:tc>
      </w:tr>
      <w:tr w14:paraId="15F8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2827" w:type="dxa"/>
            <w:vAlign w:val="center"/>
          </w:tcPr>
          <w:p w14:paraId="6537C773">
            <w:pPr>
              <w:spacing w:before="156" w:beforeLines="50" w:line="300" w:lineRule="auto"/>
              <w:jc w:val="center"/>
              <w:rPr>
                <w:rFonts w:ascii="Times New Roman" w:hAnsi="Times New Roman" w:eastAsia="宋体" w:cs="Times New Roman"/>
              </w:rPr>
            </w:pPr>
            <w:r>
              <w:rPr>
                <w:rFonts w:ascii="Times New Roman" w:hAnsi="Times New Roman" w:eastAsia="宋体" w:cs="Times New Roman"/>
              </w:rPr>
              <w:t>专业名称</w:t>
            </w:r>
          </w:p>
        </w:tc>
        <w:tc>
          <w:tcPr>
            <w:tcW w:w="1445" w:type="dxa"/>
            <w:vAlign w:val="center"/>
          </w:tcPr>
          <w:p w14:paraId="357EBF94">
            <w:pPr>
              <w:spacing w:before="156" w:beforeLines="50" w:line="300" w:lineRule="auto"/>
              <w:jc w:val="center"/>
              <w:rPr>
                <w:rFonts w:ascii="Times New Roman" w:hAnsi="Times New Roman" w:eastAsia="宋体" w:cs="Times New Roman"/>
              </w:rPr>
            </w:pPr>
            <w:r>
              <w:rPr>
                <w:rFonts w:ascii="Times New Roman" w:hAnsi="Times New Roman" w:eastAsia="宋体" w:cs="Times New Roman"/>
              </w:rPr>
              <w:t>设  计</w:t>
            </w:r>
          </w:p>
        </w:tc>
        <w:tc>
          <w:tcPr>
            <w:tcW w:w="1765" w:type="dxa"/>
            <w:vAlign w:val="center"/>
          </w:tcPr>
          <w:p w14:paraId="51580A09">
            <w:pPr>
              <w:spacing w:before="156" w:beforeLines="50" w:line="300" w:lineRule="auto"/>
              <w:jc w:val="center"/>
              <w:rPr>
                <w:rFonts w:ascii="Times New Roman" w:hAnsi="Times New Roman" w:eastAsia="宋体" w:cs="Times New Roman"/>
              </w:rPr>
            </w:pPr>
            <w:r>
              <w:rPr>
                <w:rFonts w:ascii="Times New Roman" w:hAnsi="Times New Roman" w:eastAsia="宋体" w:cs="Times New Roman"/>
              </w:rPr>
              <w:t>校  对</w:t>
            </w:r>
          </w:p>
        </w:tc>
        <w:tc>
          <w:tcPr>
            <w:tcW w:w="1765" w:type="dxa"/>
            <w:vAlign w:val="center"/>
          </w:tcPr>
          <w:p w14:paraId="19722907">
            <w:pPr>
              <w:spacing w:before="156" w:beforeLines="50" w:line="300" w:lineRule="auto"/>
              <w:jc w:val="center"/>
              <w:rPr>
                <w:rFonts w:ascii="Times New Roman" w:hAnsi="Times New Roman" w:eastAsia="宋体" w:cs="Times New Roman"/>
              </w:rPr>
            </w:pPr>
            <w:r>
              <w:rPr>
                <w:rFonts w:ascii="Times New Roman" w:hAnsi="Times New Roman" w:eastAsia="宋体" w:cs="Times New Roman"/>
              </w:rPr>
              <w:t>审  核</w:t>
            </w:r>
          </w:p>
        </w:tc>
        <w:tc>
          <w:tcPr>
            <w:tcW w:w="1769" w:type="dxa"/>
            <w:vAlign w:val="center"/>
          </w:tcPr>
          <w:p w14:paraId="49740B0F">
            <w:pPr>
              <w:spacing w:before="156" w:beforeLines="50" w:line="300" w:lineRule="auto"/>
              <w:jc w:val="center"/>
              <w:rPr>
                <w:rFonts w:ascii="Times New Roman" w:hAnsi="Times New Roman" w:eastAsia="宋体" w:cs="Times New Roman"/>
              </w:rPr>
            </w:pPr>
            <w:r>
              <w:rPr>
                <w:rFonts w:ascii="Times New Roman" w:hAnsi="Times New Roman" w:eastAsia="宋体" w:cs="Times New Roman"/>
              </w:rPr>
              <w:t>审  定</w:t>
            </w:r>
          </w:p>
        </w:tc>
      </w:tr>
    </w:tbl>
    <w:p w14:paraId="71A01862">
      <w:pPr>
        <w:rPr>
          <w:rFonts w:hint="eastAsia" w:ascii="宋体" w:hAnsi="宋体" w:eastAsia="仿宋"/>
          <w:sz w:val="30"/>
          <w:szCs w:val="30"/>
        </w:rPr>
        <w:sectPr>
          <w:headerReference r:id="rId18" w:type="default"/>
          <w:footerReference r:id="rId20" w:type="default"/>
          <w:headerReference r:id="rId19" w:type="even"/>
          <w:footerReference r:id="rId21" w:type="even"/>
          <w:pgSz w:w="11906" w:h="16838"/>
          <w:pgMar w:top="1701" w:right="1474" w:bottom="1474" w:left="1587" w:header="851" w:footer="992" w:gutter="0"/>
          <w:pgNumType w:fmt="decimal"/>
          <w:cols w:space="720" w:num="1"/>
          <w:docGrid w:type="lines" w:linePitch="312" w:charSpace="0"/>
        </w:sectPr>
      </w:pPr>
      <w:bookmarkStart w:id="362" w:name="_Toc30189"/>
      <w:bookmarkEnd w:id="362"/>
    </w:p>
    <w:p w14:paraId="03E053C9">
      <w:pPr>
        <w:pStyle w:val="23"/>
        <w:ind w:firstLine="210"/>
      </w:pPr>
    </w:p>
    <w:p w14:paraId="38343A71">
      <w:pPr>
        <w:rPr>
          <w:rFonts w:hint="eastAsia" w:ascii="宋体" w:hAnsi="宋体" w:eastAsia="仿宋"/>
          <w:sz w:val="30"/>
          <w:szCs w:val="30"/>
        </w:rPr>
      </w:pPr>
    </w:p>
    <w:p w14:paraId="69601C5A">
      <w:pPr>
        <w:rPr>
          <w:rFonts w:hint="eastAsia" w:ascii="宋体" w:hAnsi="宋体" w:eastAsia="仿宋"/>
          <w:sz w:val="44"/>
          <w:szCs w:val="44"/>
        </w:rPr>
      </w:pPr>
    </w:p>
    <w:p w14:paraId="1A4CB268">
      <w:pPr>
        <w:rPr>
          <w:rFonts w:hint="eastAsia" w:ascii="宋体" w:hAnsi="宋体" w:eastAsia="仿宋"/>
          <w:sz w:val="44"/>
          <w:szCs w:val="44"/>
        </w:rPr>
      </w:pPr>
    </w:p>
    <w:p w14:paraId="128A2AC3">
      <w:pPr>
        <w:rPr>
          <w:rFonts w:hint="eastAsia" w:ascii="宋体" w:hAnsi="宋体" w:eastAsia="仿宋"/>
          <w:sz w:val="44"/>
          <w:szCs w:val="44"/>
        </w:rPr>
      </w:pPr>
    </w:p>
    <w:p w14:paraId="21A8A4AC">
      <w:pPr>
        <w:jc w:val="center"/>
        <w:outlineLvl w:val="0"/>
        <w:rPr>
          <w:rFonts w:hint="eastAsia" w:ascii="宋体" w:hAnsi="宋体" w:eastAsia="方正小标宋简体" w:cs="Times New Roman"/>
          <w:sz w:val="44"/>
          <w:szCs w:val="44"/>
        </w:rPr>
      </w:pPr>
      <w:bookmarkStart w:id="363" w:name="_Toc5373"/>
      <w:bookmarkStart w:id="364" w:name="_Toc21516"/>
      <w:bookmarkStart w:id="365" w:name="_Toc2085077807_WPSOffice_Level2"/>
      <w:r>
        <w:rPr>
          <w:rFonts w:hint="eastAsia" w:ascii="宋体" w:hAnsi="宋体" w:eastAsia="方正小标宋简体"/>
          <w:sz w:val="44"/>
          <w:szCs w:val="44"/>
        </w:rPr>
        <w:t>《</w:t>
      </w:r>
      <w:r>
        <w:rPr>
          <w:rFonts w:hint="eastAsia" w:ascii="宋体" w:hAnsi="宋体" w:eastAsia="方正小标宋简体" w:cs="Times New Roman"/>
          <w:sz w:val="44"/>
          <w:szCs w:val="44"/>
        </w:rPr>
        <w:t>陆上石油天然气开采建设项目</w:t>
      </w:r>
      <w:bookmarkEnd w:id="363"/>
      <w:bookmarkEnd w:id="364"/>
    </w:p>
    <w:p w14:paraId="24D534BE">
      <w:pPr>
        <w:jc w:val="center"/>
        <w:outlineLvl w:val="0"/>
        <w:rPr>
          <w:rFonts w:hint="eastAsia" w:ascii="宋体" w:hAnsi="宋体" w:eastAsia="方正小标宋简体"/>
          <w:sz w:val="44"/>
          <w:szCs w:val="44"/>
        </w:rPr>
      </w:pPr>
      <w:bookmarkStart w:id="366" w:name="_Toc19054"/>
      <w:bookmarkStart w:id="367" w:name="_Toc19749"/>
      <w:r>
        <w:rPr>
          <w:rFonts w:hint="eastAsia" w:ascii="宋体" w:hAnsi="宋体" w:eastAsia="方正小标宋简体" w:cs="Times New Roman"/>
          <w:sz w:val="44"/>
          <w:szCs w:val="44"/>
        </w:rPr>
        <w:t>安全设施设计导则</w:t>
      </w:r>
      <w:r>
        <w:rPr>
          <w:rFonts w:hint="eastAsia" w:ascii="宋体" w:hAnsi="宋体" w:eastAsia="方正小标宋简体"/>
          <w:sz w:val="44"/>
          <w:szCs w:val="44"/>
        </w:rPr>
        <w:t>》</w:t>
      </w:r>
      <w:bookmarkEnd w:id="366"/>
      <w:bookmarkEnd w:id="367"/>
    </w:p>
    <w:p w14:paraId="566B8C49">
      <w:pPr>
        <w:jc w:val="center"/>
        <w:outlineLvl w:val="0"/>
        <w:rPr>
          <w:rFonts w:hint="eastAsia" w:ascii="宋体" w:hAnsi="宋体" w:eastAsia="仿宋_GB2312"/>
          <w:sz w:val="32"/>
          <w:szCs w:val="32"/>
        </w:rPr>
      </w:pPr>
      <w:bookmarkStart w:id="368" w:name="_Toc23566"/>
      <w:bookmarkStart w:id="369" w:name="_Toc31183"/>
      <w:r>
        <w:rPr>
          <w:rFonts w:hint="eastAsia" w:ascii="宋体" w:hAnsi="宋体" w:eastAsia="仿宋_GB2312"/>
          <w:sz w:val="32"/>
          <w:szCs w:val="32"/>
        </w:rPr>
        <w:t>（</w:t>
      </w:r>
      <w:r>
        <w:rPr>
          <w:rFonts w:hint="eastAsia" w:ascii="宋体" w:hAnsi="宋体" w:eastAsia="仿宋_GB2312" w:cs="Times New Roman"/>
          <w:sz w:val="32"/>
          <w:szCs w:val="32"/>
        </w:rPr>
        <w:t>■</w:t>
      </w: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bookmarkEnd w:id="368"/>
      <w:bookmarkEnd w:id="369"/>
    </w:p>
    <w:p w14:paraId="66E3B942">
      <w:pPr>
        <w:jc w:val="center"/>
        <w:rPr>
          <w:rFonts w:hint="eastAsia" w:ascii="宋体" w:hAnsi="宋体" w:eastAsia="方正小标宋简体"/>
          <w:sz w:val="44"/>
          <w:szCs w:val="44"/>
        </w:rPr>
      </w:pPr>
    </w:p>
    <w:p w14:paraId="0AB87053">
      <w:pPr>
        <w:jc w:val="center"/>
        <w:outlineLvl w:val="0"/>
        <w:rPr>
          <w:rFonts w:hint="eastAsia" w:ascii="宋体" w:hAnsi="宋体" w:eastAsia="黑体" w:cs="黑体"/>
          <w:sz w:val="44"/>
          <w:szCs w:val="44"/>
        </w:rPr>
      </w:pPr>
      <w:bookmarkStart w:id="370" w:name="_Toc27044"/>
      <w:bookmarkStart w:id="371" w:name="_Toc3523"/>
      <w:r>
        <w:rPr>
          <w:rFonts w:hint="eastAsia" w:ascii="宋体" w:hAnsi="宋体" w:eastAsia="黑体" w:cs="黑体"/>
          <w:sz w:val="44"/>
          <w:szCs w:val="44"/>
        </w:rPr>
        <w:t>编制说明</w:t>
      </w:r>
      <w:bookmarkEnd w:id="365"/>
      <w:bookmarkEnd w:id="370"/>
      <w:bookmarkEnd w:id="371"/>
    </w:p>
    <w:p w14:paraId="3A45661C">
      <w:pPr>
        <w:jc w:val="center"/>
        <w:rPr>
          <w:rFonts w:hint="eastAsia" w:ascii="宋体" w:hAnsi="宋体" w:eastAsia="仿宋_GB2312"/>
          <w:i/>
          <w:iCs/>
          <w:sz w:val="28"/>
          <w:szCs w:val="28"/>
        </w:rPr>
      </w:pPr>
      <w:r>
        <w:rPr>
          <w:rFonts w:ascii="宋体" w:hAnsi="宋体" w:eastAsia="仿宋"/>
          <w:i/>
          <w:iCs/>
          <w:sz w:val="28"/>
          <w:szCs w:val="28"/>
        </w:rPr>
        <w:br w:type="textWrapping"/>
      </w:r>
    </w:p>
    <w:p w14:paraId="6E01FE41">
      <w:pPr>
        <w:rPr>
          <w:rFonts w:hint="eastAsia" w:ascii="宋体" w:hAnsi="宋体" w:eastAsia="仿宋_GB2312"/>
          <w:i/>
          <w:iCs/>
          <w:sz w:val="28"/>
          <w:szCs w:val="28"/>
        </w:rPr>
      </w:pPr>
    </w:p>
    <w:p w14:paraId="01780E4C">
      <w:pPr>
        <w:jc w:val="center"/>
        <w:rPr>
          <w:rFonts w:hint="eastAsia" w:ascii="宋体" w:hAnsi="宋体" w:eastAsia="仿宋_GB2312"/>
          <w:i/>
          <w:iCs/>
          <w:sz w:val="28"/>
          <w:szCs w:val="28"/>
        </w:rPr>
      </w:pPr>
    </w:p>
    <w:p w14:paraId="7544D4BF">
      <w:pPr>
        <w:jc w:val="center"/>
        <w:rPr>
          <w:rFonts w:hint="eastAsia" w:ascii="宋体" w:hAnsi="宋体" w:eastAsia="仿宋_GB2312"/>
          <w:i/>
          <w:iCs/>
          <w:sz w:val="28"/>
          <w:szCs w:val="28"/>
        </w:rPr>
      </w:pPr>
    </w:p>
    <w:p w14:paraId="0799186D">
      <w:pPr>
        <w:jc w:val="center"/>
        <w:rPr>
          <w:rFonts w:hint="eastAsia" w:ascii="宋体" w:hAnsi="宋体" w:eastAsia="仿宋_GB2312"/>
          <w:i/>
          <w:iCs/>
          <w:sz w:val="28"/>
          <w:szCs w:val="28"/>
        </w:rPr>
      </w:pPr>
    </w:p>
    <w:p w14:paraId="646DCE2C">
      <w:pPr>
        <w:jc w:val="center"/>
        <w:rPr>
          <w:rFonts w:hint="eastAsia" w:ascii="宋体" w:hAnsi="宋体" w:eastAsia="仿宋_GB2312"/>
          <w:i/>
          <w:iCs/>
          <w:sz w:val="28"/>
          <w:szCs w:val="28"/>
        </w:rPr>
      </w:pPr>
    </w:p>
    <w:p w14:paraId="40479D69">
      <w:pPr>
        <w:rPr>
          <w:rFonts w:hint="eastAsia" w:ascii="宋体" w:hAnsi="宋体" w:eastAsia="仿宋_GB2312"/>
          <w:sz w:val="28"/>
          <w:szCs w:val="28"/>
        </w:rPr>
      </w:pPr>
    </w:p>
    <w:p w14:paraId="7B25EF8B">
      <w:pPr>
        <w:jc w:val="center"/>
        <w:outlineLvl w:val="0"/>
        <w:rPr>
          <w:rFonts w:hint="eastAsia" w:ascii="宋体" w:hAnsi="宋体" w:eastAsia="仿宋_GB2312" w:cs="仿宋_GB2312"/>
          <w:sz w:val="32"/>
          <w:szCs w:val="32"/>
        </w:rPr>
      </w:pPr>
      <w:bookmarkStart w:id="372" w:name="_Toc22306"/>
      <w:bookmarkStart w:id="373" w:name="_Toc30735"/>
      <w:r>
        <w:rPr>
          <w:rFonts w:hint="eastAsia" w:ascii="宋体" w:hAnsi="宋体" w:eastAsia="仿宋_GB2312" w:cs="仿宋_GB2312"/>
          <w:sz w:val="32"/>
          <w:szCs w:val="32"/>
        </w:rPr>
        <w:t>标准编制组</w:t>
      </w:r>
      <w:bookmarkEnd w:id="372"/>
      <w:bookmarkEnd w:id="373"/>
    </w:p>
    <w:p w14:paraId="728CD035">
      <w:pPr>
        <w:jc w:val="center"/>
        <w:outlineLvl w:val="0"/>
        <w:rPr>
          <w:rFonts w:hint="eastAsia" w:ascii="宋体" w:hAnsi="宋体"/>
          <w:b/>
          <w:sz w:val="32"/>
          <w:szCs w:val="32"/>
        </w:rPr>
      </w:pPr>
      <w:bookmarkStart w:id="374" w:name="_Toc24934"/>
      <w:bookmarkStart w:id="375" w:name="_Toc15445"/>
      <w:r>
        <w:rPr>
          <w:rFonts w:hint="eastAsia" w:ascii="宋体" w:hAnsi="宋体" w:eastAsia="仿宋_GB2312" w:cs="仿宋_GB2312"/>
          <w:sz w:val="32"/>
          <w:szCs w:val="32"/>
        </w:rPr>
        <w:t>2025年4月</w:t>
      </w:r>
      <w:bookmarkEnd w:id="374"/>
      <w:bookmarkEnd w:id="375"/>
    </w:p>
    <w:p w14:paraId="5218D3E5">
      <w:pPr>
        <w:ind w:firstLine="880" w:firstLineChars="200"/>
        <w:jc w:val="center"/>
        <w:rPr>
          <w:rFonts w:hint="eastAsia" w:ascii="宋体" w:hAnsi="宋体" w:eastAsia="方正小标宋_GBK" w:cs="方正小标宋_GBK"/>
          <w:sz w:val="44"/>
          <w:szCs w:val="44"/>
        </w:rPr>
        <w:sectPr>
          <w:footerReference r:id="rId22" w:type="default"/>
          <w:footerReference r:id="rId23" w:type="even"/>
          <w:pgSz w:w="11906" w:h="16838"/>
          <w:pgMar w:top="1701" w:right="1474" w:bottom="1474" w:left="1587" w:header="851" w:footer="992" w:gutter="0"/>
          <w:pgNumType w:fmt="decimal"/>
          <w:cols w:space="720" w:num="1"/>
          <w:docGrid w:type="lines" w:linePitch="312" w:charSpace="0"/>
        </w:sectPr>
      </w:pPr>
    </w:p>
    <w:p w14:paraId="42CE16C6">
      <w:pPr>
        <w:ind w:firstLine="880" w:firstLineChars="200"/>
        <w:jc w:val="center"/>
        <w:outlineLvl w:val="0"/>
        <w:rPr>
          <w:rFonts w:hint="eastAsia" w:ascii="宋体" w:hAnsi="宋体" w:eastAsia="方正小标宋_GBK" w:cs="方正小标宋_GBK"/>
          <w:sz w:val="44"/>
          <w:szCs w:val="44"/>
        </w:rPr>
      </w:pPr>
      <w:bookmarkStart w:id="376" w:name="_Toc7327"/>
      <w:bookmarkStart w:id="377" w:name="_Toc29289"/>
      <w:r>
        <w:rPr>
          <w:rFonts w:hint="eastAsia" w:ascii="宋体" w:hAnsi="宋体" w:eastAsia="方正小标宋_GBK" w:cs="方正小标宋_GBK"/>
          <w:sz w:val="44"/>
          <w:szCs w:val="44"/>
        </w:rPr>
        <w:t>说 明</w:t>
      </w:r>
      <w:bookmarkEnd w:id="376"/>
      <w:bookmarkEnd w:id="377"/>
    </w:p>
    <w:p w14:paraId="1118AA4D">
      <w:pPr>
        <w:spacing w:line="360" w:lineRule="auto"/>
        <w:outlineLvl w:val="0"/>
        <w:rPr>
          <w:rFonts w:hint="eastAsia" w:ascii="宋体" w:hAnsi="宋体" w:eastAsia="仿宋_GB2312"/>
          <w:sz w:val="24"/>
          <w:szCs w:val="21"/>
        </w:rPr>
      </w:pPr>
      <w:r>
        <w:rPr>
          <w:rFonts w:hint="eastAsia" w:ascii="宋体" w:hAnsi="宋体" w:eastAsia="仿宋_GB2312"/>
          <w:sz w:val="24"/>
          <w:szCs w:val="21"/>
        </w:rPr>
        <w:t xml:space="preserve">    </w:t>
      </w:r>
      <w:bookmarkStart w:id="378" w:name="_Toc4887"/>
      <w:bookmarkStart w:id="379" w:name="_Toc30058"/>
      <w:r>
        <w:rPr>
          <w:rFonts w:hint="eastAsia" w:ascii="宋体" w:hAnsi="宋体" w:eastAsia="仿宋_GB2312"/>
          <w:sz w:val="24"/>
          <w:szCs w:val="21"/>
        </w:rPr>
        <w:t>1．标准编制说明的封面</w:t>
      </w:r>
      <w:bookmarkEnd w:id="378"/>
      <w:bookmarkEnd w:id="379"/>
    </w:p>
    <w:p w14:paraId="7F8C27A2">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（1）标准名称。应在封面靠上居中位置，与标准稿名称保持一致。字体字号为方正小标宋二号。</w:t>
      </w:r>
    </w:p>
    <w:p w14:paraId="20C319EE">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（2）标准文稿版次。在标准名称下方“征求意见稿、送审稿、报批稿”前的方框凃选其一，例如“</w:t>
      </w:r>
      <w:r>
        <w:rPr>
          <w:rFonts w:hint="eastAsia" w:ascii="宋体" w:hAnsi="宋体" w:eastAsia="华文宋体" w:cs="华文宋体"/>
          <w:sz w:val="24"/>
          <w:szCs w:val="21"/>
        </w:rPr>
        <w:t>■</w:t>
      </w:r>
      <w:r>
        <w:rPr>
          <w:rFonts w:hint="eastAsia" w:ascii="宋体" w:hAnsi="宋体" w:eastAsia="仿宋_GB2312"/>
          <w:sz w:val="24"/>
          <w:szCs w:val="21"/>
        </w:rPr>
        <w:t>征求意见稿”。字体字号为仿宋三号。</w:t>
      </w:r>
    </w:p>
    <w:p w14:paraId="446650BE">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（3）标准编制组。在封面靠下居中位置。字体字号为仿宋三号。</w:t>
      </w:r>
    </w:p>
    <w:p w14:paraId="76C8BEC1">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（4）编制日期。编制日期为本阶段完成的日期，以数字格式书写，字体为宋体，字号为三号。如：“2020</w:t>
      </w:r>
      <w:r>
        <w:rPr>
          <w:rFonts w:hint="eastAsia" w:ascii="宋体" w:hAnsi="宋体" w:eastAsia="仿宋_GB2312" w:cs="仿宋_GB2312"/>
          <w:sz w:val="24"/>
          <w:szCs w:val="21"/>
        </w:rPr>
        <w:t>年3月30日”</w:t>
      </w:r>
      <w:r>
        <w:rPr>
          <w:rFonts w:hint="eastAsia" w:ascii="宋体" w:hAnsi="宋体" w:eastAsia="仿宋_GB2312"/>
          <w:sz w:val="24"/>
          <w:szCs w:val="21"/>
        </w:rPr>
        <w:t>。</w:t>
      </w:r>
    </w:p>
    <w:p w14:paraId="66AE7D64">
      <w:pPr>
        <w:spacing w:line="360" w:lineRule="auto"/>
        <w:outlineLvl w:val="0"/>
        <w:rPr>
          <w:rFonts w:hint="eastAsia" w:ascii="宋体" w:hAnsi="宋体" w:eastAsia="仿宋_GB2312"/>
          <w:sz w:val="24"/>
          <w:szCs w:val="21"/>
        </w:rPr>
      </w:pPr>
      <w:r>
        <w:rPr>
          <w:rFonts w:hint="eastAsia" w:ascii="宋体" w:hAnsi="宋体" w:eastAsia="仿宋_GB2312"/>
          <w:sz w:val="24"/>
          <w:szCs w:val="21"/>
        </w:rPr>
        <w:t xml:space="preserve">    </w:t>
      </w:r>
      <w:bookmarkStart w:id="380" w:name="_Toc19578"/>
      <w:bookmarkStart w:id="381" w:name="_Toc15128"/>
      <w:r>
        <w:rPr>
          <w:rFonts w:hint="eastAsia" w:ascii="宋体" w:hAnsi="宋体" w:eastAsia="仿宋_GB2312"/>
          <w:sz w:val="24"/>
          <w:szCs w:val="21"/>
        </w:rPr>
        <w:t>2．标准编制说明的正文</w:t>
      </w:r>
      <w:bookmarkEnd w:id="380"/>
      <w:bookmarkEnd w:id="381"/>
    </w:p>
    <w:p w14:paraId="59A3DF9C">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（1）正文页边距为上3cm、下</w:t>
      </w:r>
      <w:r>
        <w:rPr>
          <w:rFonts w:ascii="宋体" w:hAnsi="宋体" w:eastAsia="仿宋_GB2312"/>
          <w:sz w:val="24"/>
          <w:szCs w:val="21"/>
        </w:rPr>
        <w:t>2.6</w:t>
      </w:r>
      <w:r>
        <w:rPr>
          <w:rFonts w:hint="eastAsia" w:ascii="宋体" w:hAnsi="宋体" w:eastAsia="仿宋_GB2312"/>
          <w:sz w:val="24"/>
          <w:szCs w:val="21"/>
        </w:rPr>
        <w:t>cm、左2.8cm、右2.6cm。</w:t>
      </w:r>
    </w:p>
    <w:p w14:paraId="3B1D54D1">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（2）正文标题，一级标题用黑体三号字，二级标题用楷体三号字不加粗。三级、四级标题用仿宋GB-2312三号字不加粗。文中结构层次序数为“一、”“（一）”“1.”“（1）”标注。</w:t>
      </w:r>
    </w:p>
    <w:p w14:paraId="53DD4612">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（3）正文中文字体字号为仿宋GB-2312三号字，数字、字母等西文字体为宋体三号字，段落行距为28磅，首行缩进2字符。</w:t>
      </w:r>
    </w:p>
    <w:p w14:paraId="69864733">
      <w:pPr>
        <w:spacing w:line="360" w:lineRule="auto"/>
        <w:outlineLvl w:val="0"/>
        <w:rPr>
          <w:rFonts w:hint="eastAsia" w:ascii="宋体" w:hAnsi="宋体" w:eastAsia="仿宋_GB2312"/>
          <w:sz w:val="24"/>
          <w:szCs w:val="21"/>
        </w:rPr>
      </w:pPr>
      <w:r>
        <w:rPr>
          <w:rFonts w:hint="eastAsia" w:ascii="宋体" w:hAnsi="宋体" w:eastAsia="仿宋_GB2312"/>
          <w:sz w:val="24"/>
          <w:szCs w:val="21"/>
        </w:rPr>
        <w:t xml:space="preserve">    </w:t>
      </w:r>
      <w:bookmarkStart w:id="382" w:name="_Toc24951"/>
      <w:bookmarkStart w:id="383" w:name="_Toc27532"/>
      <w:r>
        <w:rPr>
          <w:rFonts w:hint="eastAsia" w:ascii="宋体" w:hAnsi="宋体" w:eastAsia="仿宋_GB2312"/>
          <w:sz w:val="24"/>
          <w:szCs w:val="21"/>
        </w:rPr>
        <w:t>3.编制说明的内容</w:t>
      </w:r>
      <w:bookmarkEnd w:id="382"/>
      <w:bookmarkEnd w:id="383"/>
    </w:p>
    <w:p w14:paraId="4E4D30E5">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（1）应按照格式要求逐条说明，不涉及的填“无”。</w:t>
      </w:r>
    </w:p>
    <w:p w14:paraId="30A3D1E0">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（2）应根据工作进度不断补充完善，工作过程有连续性。</w:t>
      </w:r>
    </w:p>
    <w:p w14:paraId="71FFF448">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（3）编制说明不是对标准内容的复制。</w:t>
      </w:r>
    </w:p>
    <w:p w14:paraId="082242EE">
      <w:pPr>
        <w:spacing w:line="360" w:lineRule="auto"/>
        <w:ind w:firstLine="480" w:firstLineChars="200"/>
        <w:rPr>
          <w:rFonts w:hint="eastAsia" w:ascii="宋体" w:hAnsi="宋体" w:eastAsia="仿宋_GB2312"/>
          <w:sz w:val="24"/>
          <w:szCs w:val="21"/>
        </w:rPr>
      </w:pPr>
      <w:r>
        <w:rPr>
          <w:rFonts w:hint="eastAsia" w:ascii="宋体" w:hAnsi="宋体" w:eastAsia="仿宋_GB2312"/>
          <w:sz w:val="24"/>
          <w:szCs w:val="21"/>
        </w:rPr>
        <w:t>（4）应关注强制性标准的依据、修订标准的主要技术内容比对、标准实施过渡期、强制性标准实施政策等重要内容的编写，详见下文模板。</w:t>
      </w:r>
    </w:p>
    <w:p w14:paraId="5DF7228A">
      <w:pPr>
        <w:widowControl/>
        <w:spacing w:line="360" w:lineRule="auto"/>
        <w:outlineLvl w:val="0"/>
        <w:rPr>
          <w:rFonts w:hint="eastAsia" w:ascii="宋体" w:hAnsi="宋体" w:eastAsia="仿宋_GB2312"/>
          <w:sz w:val="24"/>
          <w:szCs w:val="21"/>
        </w:rPr>
      </w:pPr>
      <w:r>
        <w:rPr>
          <w:rFonts w:hint="eastAsia" w:ascii="宋体" w:hAnsi="宋体" w:eastAsia="仿宋_GB2312"/>
          <w:sz w:val="24"/>
          <w:szCs w:val="21"/>
        </w:rPr>
        <w:t xml:space="preserve">    </w:t>
      </w:r>
      <w:bookmarkStart w:id="384" w:name="_Toc16550"/>
      <w:bookmarkStart w:id="385" w:name="_Toc25791"/>
      <w:r>
        <w:rPr>
          <w:rFonts w:hint="eastAsia" w:ascii="宋体" w:hAnsi="宋体" w:eastAsia="仿宋_GB2312"/>
          <w:sz w:val="24"/>
          <w:szCs w:val="21"/>
        </w:rPr>
        <w:t>4.其他</w:t>
      </w:r>
      <w:bookmarkEnd w:id="384"/>
      <w:bookmarkEnd w:id="385"/>
    </w:p>
    <w:p w14:paraId="1F238F0B">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（1）编制说明内容模板中的斜体文字内容为参考，正式提交后应删除。</w:t>
      </w:r>
    </w:p>
    <w:p w14:paraId="2609B300">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（2）编制说明应正反面打印。本说明保留，打印首页反面。</w:t>
      </w:r>
    </w:p>
    <w:p w14:paraId="7060FA42">
      <w:pPr>
        <w:widowControl/>
        <w:spacing w:line="360" w:lineRule="auto"/>
        <w:ind w:firstLine="480"/>
        <w:rPr>
          <w:rFonts w:hint="eastAsia" w:ascii="宋体" w:hAnsi="宋体" w:eastAsia="仿宋_GB2312"/>
          <w:sz w:val="24"/>
          <w:szCs w:val="21"/>
        </w:rPr>
      </w:pPr>
      <w:r>
        <w:rPr>
          <w:rFonts w:hint="eastAsia" w:ascii="宋体" w:hAnsi="宋体" w:eastAsia="仿宋_GB2312"/>
          <w:sz w:val="24"/>
          <w:szCs w:val="21"/>
        </w:rPr>
        <w:t>（3）页码从第三页开始编，起始页码为“</w:t>
      </w:r>
      <w:r>
        <w:rPr>
          <w:rFonts w:ascii="宋体" w:hAnsi="宋体" w:eastAsia="仿宋_GB2312"/>
          <w:sz w:val="24"/>
          <w:szCs w:val="21"/>
        </w:rPr>
        <w:t>1</w:t>
      </w:r>
      <w:r>
        <w:rPr>
          <w:rFonts w:hint="eastAsia" w:ascii="宋体" w:hAnsi="宋体" w:eastAsia="仿宋_GB2312"/>
          <w:sz w:val="24"/>
          <w:szCs w:val="21"/>
        </w:rPr>
        <w:t>”，页码为五号宋体。</w:t>
      </w:r>
    </w:p>
    <w:p w14:paraId="65EBAA29">
      <w:pPr>
        <w:ind w:firstLine="1076" w:firstLineChars="336"/>
        <w:rPr>
          <w:rFonts w:ascii="Times New Roman" w:hAnsi="Times New Roman" w:eastAsia="等线"/>
          <w:b/>
          <w:sz w:val="32"/>
          <w:szCs w:val="32"/>
        </w:rPr>
      </w:pPr>
    </w:p>
    <w:p w14:paraId="0460A596">
      <w:pPr>
        <w:snapToGrid w:val="0"/>
        <w:spacing w:line="360" w:lineRule="auto"/>
        <w:ind w:firstLine="560" w:firstLineChars="200"/>
        <w:rPr>
          <w:rFonts w:ascii="Times New Roman" w:hAnsi="Times New Roman" w:eastAsia="仿宋"/>
          <w:sz w:val="28"/>
          <w:szCs w:val="28"/>
        </w:rPr>
        <w:sectPr>
          <w:headerReference r:id="rId24" w:type="default"/>
          <w:headerReference r:id="rId25" w:type="even"/>
          <w:footerReference r:id="rId26" w:type="even"/>
          <w:pgSz w:w="11906" w:h="16838"/>
          <w:pgMar w:top="1701" w:right="1474" w:bottom="1474" w:left="1587" w:header="851" w:footer="992" w:gutter="0"/>
          <w:pgNumType w:fmt="decimal"/>
          <w:cols w:space="720" w:num="1"/>
          <w:docGrid w:type="lines" w:linePitch="312" w:charSpace="0"/>
        </w:sectPr>
      </w:pPr>
    </w:p>
    <w:p w14:paraId="6218B13F">
      <w:pPr>
        <w:widowControl/>
        <w:adjustRightInd w:val="0"/>
        <w:spacing w:line="560" w:lineRule="exact"/>
        <w:ind w:firstLine="640" w:firstLineChars="200"/>
        <w:outlineLvl w:val="0"/>
        <w:rPr>
          <w:rFonts w:hint="eastAsia" w:ascii="黑体" w:hAnsi="黑体" w:eastAsia="黑体" w:cs="Times New Roman"/>
          <w:color w:val="000000"/>
          <w:sz w:val="32"/>
          <w:szCs w:val="32"/>
        </w:rPr>
      </w:pPr>
      <w:bookmarkStart w:id="386" w:name="_Toc193375457"/>
      <w:bookmarkStart w:id="387" w:name="_Toc193319243"/>
      <w:bookmarkStart w:id="388" w:name="_Toc3367"/>
      <w:bookmarkStart w:id="389" w:name="_Toc17179"/>
      <w:r>
        <w:rPr>
          <w:rFonts w:hint="eastAsia" w:ascii="黑体" w:hAnsi="黑体" w:eastAsia="黑体" w:cs="Times New Roman"/>
          <w:color w:val="000000"/>
          <w:sz w:val="32"/>
          <w:szCs w:val="32"/>
        </w:rPr>
        <w:t>一、工作简况</w:t>
      </w:r>
      <w:bookmarkEnd w:id="386"/>
      <w:bookmarkEnd w:id="387"/>
    </w:p>
    <w:p w14:paraId="7C3737F8">
      <w:pPr>
        <w:adjustRightInd w:val="0"/>
        <w:spacing w:line="560" w:lineRule="exact"/>
        <w:ind w:firstLine="640" w:firstLineChars="200"/>
        <w:rPr>
          <w:rFonts w:hint="eastAsia" w:ascii="楷体" w:hAnsi="楷体" w:eastAsia="楷体" w:cs="Times New Roman"/>
          <w:color w:val="000000"/>
          <w:sz w:val="32"/>
          <w:szCs w:val="32"/>
          <w:shd w:val="clear" w:color="auto" w:fill="FFFFFF"/>
        </w:rPr>
      </w:pPr>
      <w:r>
        <w:rPr>
          <w:rFonts w:hint="eastAsia" w:ascii="楷体" w:hAnsi="楷体" w:eastAsia="楷体" w:cs="Times New Roman"/>
          <w:color w:val="000000"/>
          <w:sz w:val="32"/>
          <w:szCs w:val="32"/>
          <w:shd w:val="clear" w:color="auto" w:fill="FFFFFF"/>
        </w:rPr>
        <w:t>（一）任务来源</w:t>
      </w:r>
    </w:p>
    <w:p w14:paraId="256F3736">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Times New Roman" w:eastAsia="仿宋_GB2312" w:cs="Times New Roman"/>
          <w:color w:val="000000"/>
          <w:sz w:val="32"/>
          <w:szCs w:val="32"/>
          <w:shd w:val="clear" w:color="auto" w:fill="FFFFFF"/>
        </w:rPr>
        <w:t>根据应急管理部办公厅《关于印发34项行业标准制修订计划的通知》（应急厅函〔2024〕262号）文件，《陆上石油天然气开采建设项目（天然气处理厂）安全设施设计导则》的制修订计划编号为2024-AQ-29，项目周期18个月，应急管理部委托TC288/SC10全国安全生产标准化技术委员会石油天然气开采安全分技术委员会</w:t>
      </w:r>
      <w:r>
        <w:rPr>
          <w:rFonts w:hint="eastAsia" w:ascii="仿宋_GB2312" w:hAnsi="Calibri" w:eastAsia="仿宋_GB2312" w:cs="Times New Roman"/>
          <w:sz w:val="32"/>
          <w:szCs w:val="32"/>
          <w:shd w:val="clear" w:color="auto" w:fill="FFFFFF"/>
        </w:rPr>
        <w:t>（简称石油安全分标委）</w:t>
      </w:r>
      <w:r>
        <w:rPr>
          <w:rFonts w:hint="eastAsia" w:ascii="仿宋_GB2312" w:hAnsi="Times New Roman" w:eastAsia="仿宋_GB2312" w:cs="Times New Roman"/>
          <w:color w:val="000000"/>
          <w:sz w:val="32"/>
          <w:szCs w:val="32"/>
          <w:shd w:val="clear" w:color="auto" w:fill="FFFFFF"/>
        </w:rPr>
        <w:t>组织起草和审查。</w:t>
      </w:r>
    </w:p>
    <w:p w14:paraId="59C63AB0">
      <w:pPr>
        <w:adjustRightInd w:val="0"/>
        <w:spacing w:line="560" w:lineRule="exact"/>
        <w:ind w:firstLine="640" w:firstLineChars="200"/>
        <w:rPr>
          <w:rFonts w:hint="eastAsia" w:ascii="楷体" w:hAnsi="楷体" w:eastAsia="楷体" w:cs="Times New Roman"/>
          <w:color w:val="000000"/>
          <w:sz w:val="32"/>
          <w:szCs w:val="32"/>
          <w:shd w:val="clear" w:color="auto" w:fill="FFFFFF"/>
        </w:rPr>
      </w:pPr>
      <w:r>
        <w:rPr>
          <w:rFonts w:hint="eastAsia" w:ascii="楷体" w:hAnsi="楷体" w:eastAsia="楷体" w:cs="Times New Roman"/>
          <w:color w:val="000000"/>
          <w:sz w:val="32"/>
          <w:szCs w:val="32"/>
          <w:shd w:val="clear" w:color="auto" w:fill="FFFFFF"/>
        </w:rPr>
        <w:t>（二）制定背景</w:t>
      </w:r>
    </w:p>
    <w:p w14:paraId="7D327068">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为强化陆上石油天然气开采建设项目的安全要求，原国家安全监管总局发布了《陆上石油天然气建设项目安全设施设计专篇编写指导书》（安监总管一</w:t>
      </w:r>
      <w:r>
        <w:rPr>
          <w:rFonts w:hint="eastAsia" w:ascii="仿宋_GB2312" w:hAnsi="Times New Roman" w:eastAsia="仿宋_GB2312" w:cs="Times New Roman"/>
          <w:color w:val="000000"/>
          <w:sz w:val="32"/>
          <w:szCs w:val="32"/>
          <w:shd w:val="clear" w:color="auto" w:fill="FFFFFF"/>
        </w:rPr>
        <w:t>〔</w:t>
      </w:r>
      <w:r>
        <w:rPr>
          <w:rFonts w:hint="eastAsia" w:ascii="仿宋_GB2312" w:hAnsi="Calibri" w:eastAsia="仿宋_GB2312" w:cs="Times New Roman"/>
          <w:sz w:val="32"/>
          <w:szCs w:val="32"/>
          <w:shd w:val="clear" w:color="auto" w:fill="FFFFFF"/>
        </w:rPr>
        <w:t>2008</w:t>
      </w:r>
      <w:r>
        <w:rPr>
          <w:rFonts w:hint="eastAsia" w:ascii="仿宋_GB2312" w:hAnsi="Times New Roman" w:eastAsia="仿宋_GB2312" w:cs="Times New Roman"/>
          <w:color w:val="000000"/>
          <w:sz w:val="32"/>
          <w:szCs w:val="32"/>
          <w:shd w:val="clear" w:color="auto" w:fill="FFFFFF"/>
        </w:rPr>
        <w:t>〕</w:t>
      </w:r>
      <w:r>
        <w:rPr>
          <w:rFonts w:hint="eastAsia" w:ascii="仿宋_GB2312" w:hAnsi="Calibri" w:eastAsia="仿宋_GB2312" w:cs="Times New Roman"/>
          <w:sz w:val="32"/>
          <w:szCs w:val="32"/>
          <w:shd w:val="clear" w:color="auto" w:fill="FFFFFF"/>
        </w:rPr>
        <w:t>7 号）、《高风险非煤矿山建设项目安全设施设计审查》等一系列文件，但对于天然气处理厂安全设计具体执行的标准，编制的内容深度缺乏明确说明。目前国内没有专门针对天然气处理厂安全设施设计的标准，导致安全设施设计及政府部门审查没有标准可依;制定《陆上石油天然气开采建设项目（天然气处理厂）安全设施设计导则》，可更好的贯彻相关安全生产法律法规，落实“建设项目安全设施必须与主体设施同时设计、同时施工、同时投入生产和使用”的要求，指导和规范天然气处理厂生产建设项目安全审查、安全设施设计建设等过程安全风险防控；夯实天然气勘探开发企业安全基础，规范安全设施设计，提升本质安全水平。</w:t>
      </w:r>
    </w:p>
    <w:p w14:paraId="6ED0ACE5">
      <w:pPr>
        <w:adjustRightInd w:val="0"/>
        <w:spacing w:line="560" w:lineRule="exact"/>
        <w:ind w:firstLine="640" w:firstLineChars="200"/>
        <w:rPr>
          <w:rFonts w:hint="eastAsia" w:ascii="楷体" w:hAnsi="楷体" w:eastAsia="楷体" w:cs="Times New Roman"/>
          <w:color w:val="000000"/>
          <w:sz w:val="32"/>
          <w:szCs w:val="32"/>
          <w:shd w:val="clear" w:color="auto" w:fill="FFFFFF"/>
        </w:rPr>
      </w:pPr>
      <w:r>
        <w:rPr>
          <w:rFonts w:hint="eastAsia" w:ascii="楷体" w:hAnsi="楷体" w:eastAsia="楷体" w:cs="Times New Roman"/>
          <w:color w:val="000000"/>
          <w:sz w:val="32"/>
          <w:szCs w:val="32"/>
          <w:shd w:val="clear" w:color="auto" w:fill="FFFFFF"/>
        </w:rPr>
        <w:t>（三）起草小组人员组成及所在单位</w:t>
      </w:r>
    </w:p>
    <w:p w14:paraId="3412E7E2">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Calibri" w:eastAsia="仿宋_GB2312" w:cs="Times New Roman"/>
          <w:sz w:val="32"/>
          <w:szCs w:val="32"/>
          <w:shd w:val="clear" w:color="auto" w:fill="FFFFFF"/>
        </w:rPr>
        <w:t>根据立项通知，</w:t>
      </w:r>
      <w:r>
        <w:rPr>
          <w:rFonts w:hint="eastAsia" w:ascii="仿宋_GB2312" w:hAnsi="仿宋_GB2312" w:eastAsia="仿宋_GB2312" w:cs="仿宋_GB2312"/>
          <w:sz w:val="32"/>
          <w:szCs w:val="32"/>
          <w:shd w:val="clear" w:color="auto" w:fill="FFFFFF"/>
        </w:rPr>
        <w:t>2024年9月成</w:t>
      </w:r>
      <w:r>
        <w:rPr>
          <w:rFonts w:hint="eastAsia" w:ascii="仿宋_GB2312" w:hAnsi="Calibri" w:eastAsia="仿宋_GB2312" w:cs="Times New Roman"/>
          <w:sz w:val="32"/>
          <w:szCs w:val="32"/>
          <w:shd w:val="clear" w:color="auto" w:fill="FFFFFF"/>
        </w:rPr>
        <w:t>立标准起草工作组，中石化石油工程设计有限公司牵头负责本文件的制定工作，参编单位包括中国石油天然气股份有限公司规划总院、中国石油集团工程材料研究院有限公司、</w:t>
      </w:r>
      <w:r>
        <w:rPr>
          <w:rFonts w:hint="eastAsia" w:ascii="仿宋_GB2312" w:hAnsi="Times New Roman" w:eastAsia="仿宋_GB2312" w:cs="Times New Roman"/>
          <w:sz w:val="32"/>
          <w:szCs w:val="32"/>
          <w:shd w:val="clear" w:color="auto" w:fill="FFFFFF"/>
        </w:rPr>
        <w:t>中国石油化工股份有限公司西南油气分公司、</w:t>
      </w:r>
      <w:r>
        <w:rPr>
          <w:rFonts w:hint="eastAsia" w:ascii="仿宋_GB2312" w:hAnsi="Times New Roman" w:eastAsia="仿宋_GB2312" w:cs="Times New Roman"/>
          <w:sz w:val="32"/>
          <w:szCs w:val="32"/>
          <w:shd w:val="clear" w:color="auto" w:fill="FFFFFF"/>
          <w:lang w:eastAsia="zh"/>
        </w:rPr>
        <w:t>中国石油工程建设有限公司华北分公司</w:t>
      </w:r>
      <w:r>
        <w:rPr>
          <w:rFonts w:hint="eastAsia" w:ascii="仿宋_GB2312" w:hAnsi="Times New Roman" w:eastAsia="仿宋_GB2312" w:cs="Times New Roman"/>
          <w:sz w:val="32"/>
          <w:szCs w:val="32"/>
          <w:shd w:val="clear" w:color="auto" w:fill="FFFFFF"/>
        </w:rPr>
        <w:t>、</w:t>
      </w:r>
      <w:r>
        <w:rPr>
          <w:rFonts w:hint="eastAsia" w:ascii="仿宋_GB2312" w:hAnsi="Times New Roman" w:eastAsia="仿宋_GB2312" w:cs="Times New Roman"/>
          <w:sz w:val="32"/>
          <w:szCs w:val="32"/>
          <w:shd w:val="clear" w:color="auto" w:fill="FFFFFF"/>
          <w:lang w:eastAsia="zh"/>
        </w:rPr>
        <w:t>中国石油</w:t>
      </w:r>
      <w:r>
        <w:rPr>
          <w:rFonts w:hint="eastAsia" w:ascii="仿宋_GB2312" w:hAnsi="Times New Roman" w:eastAsia="仿宋_GB2312" w:cs="Times New Roman"/>
          <w:sz w:val="32"/>
          <w:szCs w:val="32"/>
          <w:shd w:val="clear" w:color="auto" w:fill="FFFFFF"/>
        </w:rPr>
        <w:t>天然气管道工程有限公司</w:t>
      </w:r>
      <w:r>
        <w:rPr>
          <w:rFonts w:hint="eastAsia" w:ascii="仿宋_GB2312" w:hAnsi="Times New Roman" w:eastAsia="仿宋_GB2312" w:cs="Times New Roman"/>
          <w:sz w:val="32"/>
          <w:szCs w:val="32"/>
          <w:shd w:val="clear" w:color="auto" w:fill="FFFFFF"/>
          <w:lang w:eastAsia="zh"/>
        </w:rPr>
        <w:t>天津</w:t>
      </w:r>
      <w:r>
        <w:rPr>
          <w:rFonts w:hint="eastAsia" w:ascii="仿宋_GB2312" w:hAnsi="Times New Roman" w:eastAsia="仿宋_GB2312" w:cs="Times New Roman"/>
          <w:sz w:val="32"/>
          <w:szCs w:val="32"/>
          <w:shd w:val="clear" w:color="auto" w:fill="FFFFFF"/>
        </w:rPr>
        <w:t>分公司</w:t>
      </w:r>
      <w:r>
        <w:rPr>
          <w:rFonts w:hint="eastAsia" w:ascii="仿宋_GB2312" w:hAnsi="Calibri" w:eastAsia="仿宋_GB2312" w:cs="Times New Roman"/>
          <w:sz w:val="32"/>
          <w:szCs w:val="32"/>
          <w:shd w:val="clear" w:color="auto" w:fill="FFFFFF"/>
        </w:rPr>
        <w:t>。</w:t>
      </w:r>
    </w:p>
    <w:p w14:paraId="21124EE6">
      <w:pPr>
        <w:numPr>
          <w:ilvl w:val="0"/>
          <w:numId w:val="47"/>
        </w:numPr>
        <w:adjustRightInd w:val="0"/>
        <w:spacing w:line="560" w:lineRule="exact"/>
        <w:ind w:firstLine="640" w:firstLineChars="200"/>
        <w:rPr>
          <w:rFonts w:hint="eastAsia" w:ascii="楷体" w:hAnsi="楷体" w:eastAsia="楷体" w:cs="Times New Roman"/>
          <w:color w:val="000000"/>
          <w:sz w:val="32"/>
          <w:szCs w:val="32"/>
          <w:shd w:val="clear" w:color="auto" w:fill="FFFFFF"/>
        </w:rPr>
      </w:pPr>
      <w:r>
        <w:rPr>
          <w:rFonts w:hint="eastAsia" w:ascii="楷体" w:hAnsi="楷体" w:eastAsia="楷体" w:cs="Times New Roman"/>
          <w:color w:val="000000"/>
          <w:sz w:val="32"/>
          <w:szCs w:val="32"/>
          <w:shd w:val="clear" w:color="auto" w:fill="FFFFFF"/>
        </w:rPr>
        <w:t>主要起草过程</w:t>
      </w:r>
    </w:p>
    <w:p w14:paraId="72C46729">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2024年9月成立起草组，根据石油安全分标委要求，《陆上石油天然气开采建设项目（地面工程）安全设施设计导则》、《陆上石油天然气开采建设项目（天然气处理厂）安全设施设计导则》、《陆上石油天然气开采建设项目（地下储气库）安全设施设计导则》三项标准为系列标准，同步进行标准的编制、审查。</w:t>
      </w:r>
    </w:p>
    <w:p w14:paraId="2EEAFFFE">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2024年9月，中石油规划总院组织三个安全设施设计标准起草组在北京研讨，进一步规范编制的一致性,</w:t>
      </w:r>
      <w:r>
        <w:rPr>
          <w:rFonts w:hint="eastAsia" w:ascii="宋体" w:hAnsi="宋体" w:eastAsia="仿宋_GB2312" w:cs="Times New Roman"/>
          <w:iCs/>
          <w:sz w:val="32"/>
          <w:szCs w:val="32"/>
        </w:rPr>
        <w:t>并修改标准文本，形成标准初稿</w:t>
      </w:r>
      <w:r>
        <w:rPr>
          <w:rFonts w:hint="eastAsia" w:ascii="仿宋_GB2312" w:hAnsi="Calibri" w:eastAsia="仿宋_GB2312" w:cs="Times New Roman"/>
          <w:sz w:val="32"/>
          <w:szCs w:val="32"/>
          <w:shd w:val="clear" w:color="auto" w:fill="FFFFFF"/>
        </w:rPr>
        <w:t>。</w:t>
      </w:r>
    </w:p>
    <w:p w14:paraId="6AAEEB44">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2024年10月至12月，石油安全分标委先后组织两次标准初稿审核会，与会代表与专家听取了起草工作组的汇报，就初稿全文进行了讨论，提出了相关修改意见建议。起草组根据专家意见进行了修改完善。</w:t>
      </w:r>
    </w:p>
    <w:p w14:paraId="712D992E">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2025年2月，石油安全分标委在天津组织《陆上石油天然气开采建设项目（地面工程）安全设施设计导则》《陆上石油天然气开采建设项目（天然气处理厂）安全设施设计导则》《陆上石油天然气开采建设项目（地下储气库）安全设施设计导则》三项标准征求意见前的审核研讨会，应急管理部危化监管二司有关业务负责人，石油安全分标委有关委员，辽宁省、四川省、重庆市应急管理厅有关处室负责人，中国石油、中国石化有关业务负责人和专家，对标准草案进行审查研讨。会后，工作组按照专家的意见进一步完善文稿。至此，本标准初稿经过多轮评审、修改，最终形成征求意见稿。</w:t>
      </w:r>
    </w:p>
    <w:p w14:paraId="574F4018">
      <w:pPr>
        <w:widowControl/>
        <w:numPr>
          <w:ilvl w:val="0"/>
          <w:numId w:val="48"/>
        </w:numPr>
        <w:spacing w:line="560" w:lineRule="exact"/>
        <w:ind w:firstLine="640" w:firstLineChars="200"/>
        <w:outlineLvl w:val="0"/>
        <w:rPr>
          <w:rFonts w:hint="eastAsia" w:ascii="黑体" w:hAnsi="黑体" w:eastAsia="黑体" w:cs="Times New Roman"/>
          <w:color w:val="000000"/>
          <w:sz w:val="32"/>
          <w:szCs w:val="32"/>
        </w:rPr>
      </w:pPr>
      <w:bookmarkStart w:id="390" w:name="_Toc193319244"/>
      <w:bookmarkStart w:id="391" w:name="_Toc193375458"/>
      <w:r>
        <w:rPr>
          <w:rFonts w:hint="eastAsia" w:ascii="黑体" w:hAnsi="黑体" w:eastAsia="黑体" w:cs="Times New Roman"/>
          <w:color w:val="000000"/>
          <w:sz w:val="32"/>
          <w:szCs w:val="32"/>
        </w:rPr>
        <w:t>标准编制原则、主要技术内容及其确定依据</w:t>
      </w:r>
      <w:bookmarkEnd w:id="390"/>
      <w:bookmarkEnd w:id="391"/>
    </w:p>
    <w:p w14:paraId="6BBA9F4E">
      <w:pPr>
        <w:adjustRightInd w:val="0"/>
        <w:spacing w:line="560" w:lineRule="exact"/>
        <w:ind w:firstLine="640" w:firstLineChars="200"/>
        <w:rPr>
          <w:rFonts w:hint="eastAsia" w:ascii="楷体" w:hAnsi="楷体" w:eastAsia="楷体" w:cs="Times New Roman"/>
          <w:sz w:val="32"/>
          <w:szCs w:val="32"/>
          <w:shd w:val="clear" w:color="auto" w:fill="FFFFFF"/>
        </w:rPr>
      </w:pPr>
      <w:r>
        <w:rPr>
          <w:rFonts w:hint="eastAsia" w:ascii="楷体" w:hAnsi="楷体" w:eastAsia="楷体" w:cs="Times New Roman"/>
          <w:sz w:val="32"/>
          <w:szCs w:val="32"/>
          <w:shd w:val="clear" w:color="auto" w:fill="FFFFFF"/>
        </w:rPr>
        <w:t>（一）标准编制原则</w:t>
      </w:r>
    </w:p>
    <w:p w14:paraId="2DB14F14">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本标准在制定的过程中严格执行《标准化工作导则 第1部分：标准化文件的结构和起草规则》（GB/T 1.1-2020）的要求，对标准进行认真的策划和编排，确保标准层次清楚、逻辑严谨、条理通顺，便于操作。</w:t>
      </w:r>
    </w:p>
    <w:p w14:paraId="08CADE7C">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1.协调性</w:t>
      </w:r>
    </w:p>
    <w:p w14:paraId="4F22F941">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标准编制保证与现行法律法规、规章规范的协调性，同时具体条款不能与上一级法规要求相冲突。</w:t>
      </w:r>
    </w:p>
    <w:p w14:paraId="6B981FDD">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2.适用性</w:t>
      </w:r>
    </w:p>
    <w:p w14:paraId="241A2D36">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广泛收集现行法律、法规、标准、规范中的相关要求，充分调研了解陆上石油天然气开采建设天然气处理行业发展现状，确保标准条款与行业发展实际相结合，确保标准的适用性。</w:t>
      </w:r>
    </w:p>
    <w:p w14:paraId="096B3364">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3.科学性</w:t>
      </w:r>
    </w:p>
    <w:p w14:paraId="5AA62F5B">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借鉴了国家标准和行业标准。标准编制由中石化石油工程设计有限公司牵头撰写，中国石油天然气股份有限公司规划总院、中国石油集团工程材料研究院有限公司、中国石油化工股份有限公司西南油气分公司、中国石油工程建设有限公司华北分公司、中国石油天然气管道工程有限公司天津分公司等企业科研院所共同参与，充分吸收、总结陆上石油天然气开采建设行业现行做法，保证标准的科学性。</w:t>
      </w:r>
    </w:p>
    <w:p w14:paraId="3CDD39BF">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4.规范性</w:t>
      </w:r>
    </w:p>
    <w:p w14:paraId="6DD32713">
      <w:pPr>
        <w:spacing w:line="560" w:lineRule="exact"/>
        <w:ind w:firstLine="640" w:firstLineChars="200"/>
        <w:rPr>
          <w:rFonts w:hint="eastAsia" w:ascii="宋体" w:hAnsi="宋体" w:eastAsia="仿宋_GB2312" w:cs="Times New Roman"/>
          <w:iCs/>
          <w:sz w:val="32"/>
          <w:szCs w:val="32"/>
        </w:rPr>
      </w:pPr>
      <w:r>
        <w:rPr>
          <w:rFonts w:ascii="宋体" w:hAnsi="宋体" w:eastAsia="仿宋_GB2312" w:cs="Times New Roman"/>
          <w:iCs/>
          <w:sz w:val="32"/>
          <w:szCs w:val="32"/>
        </w:rPr>
        <w:t>本文件在格式和文字表述方面严格按照《标准化工作导则 第1部分：标准的结构和编写规则》</w:t>
      </w:r>
      <w:r>
        <w:rPr>
          <w:rFonts w:hint="eastAsia" w:ascii="宋体" w:hAnsi="宋体" w:eastAsia="仿宋_GB2312" w:cs="Times New Roman"/>
          <w:iCs/>
          <w:sz w:val="32"/>
          <w:szCs w:val="32"/>
        </w:rPr>
        <w:t>（</w:t>
      </w:r>
      <w:r>
        <w:rPr>
          <w:rFonts w:ascii="宋体" w:hAnsi="宋体" w:eastAsia="仿宋_GB2312" w:cs="Times New Roman"/>
          <w:iCs/>
          <w:sz w:val="32"/>
          <w:szCs w:val="32"/>
        </w:rPr>
        <w:t>GB/T</w:t>
      </w:r>
      <w:r>
        <w:rPr>
          <w:rFonts w:hint="eastAsia" w:ascii="宋体" w:hAnsi="宋体" w:eastAsia="仿宋_GB2312" w:cs="Times New Roman"/>
          <w:iCs/>
          <w:sz w:val="32"/>
          <w:szCs w:val="32"/>
        </w:rPr>
        <w:t xml:space="preserve"> </w:t>
      </w:r>
      <w:r>
        <w:rPr>
          <w:rFonts w:ascii="宋体" w:hAnsi="宋体" w:eastAsia="仿宋_GB2312" w:cs="Times New Roman"/>
          <w:iCs/>
          <w:sz w:val="32"/>
          <w:szCs w:val="32"/>
        </w:rPr>
        <w:t>1.1-2020</w:t>
      </w:r>
      <w:r>
        <w:rPr>
          <w:rFonts w:hint="eastAsia" w:ascii="宋体" w:hAnsi="宋体" w:eastAsia="仿宋_GB2312" w:cs="Times New Roman"/>
          <w:iCs/>
          <w:sz w:val="32"/>
          <w:szCs w:val="32"/>
        </w:rPr>
        <w:t>）</w:t>
      </w:r>
      <w:r>
        <w:rPr>
          <w:rFonts w:ascii="宋体" w:hAnsi="宋体" w:eastAsia="仿宋_GB2312" w:cs="Times New Roman"/>
          <w:iCs/>
          <w:sz w:val="32"/>
          <w:szCs w:val="32"/>
        </w:rPr>
        <w:t>的要求进行编写，做到文件</w:t>
      </w:r>
      <w:r>
        <w:rPr>
          <w:rFonts w:hint="eastAsia" w:ascii="宋体" w:hAnsi="宋体" w:eastAsia="仿宋_GB2312" w:cs="Times New Roman"/>
          <w:iCs/>
          <w:sz w:val="32"/>
          <w:szCs w:val="32"/>
        </w:rPr>
        <w:t>内容</w:t>
      </w:r>
      <w:r>
        <w:rPr>
          <w:rFonts w:ascii="宋体" w:hAnsi="宋体" w:eastAsia="仿宋_GB2312" w:cs="Times New Roman"/>
          <w:iCs/>
          <w:sz w:val="32"/>
          <w:szCs w:val="32"/>
        </w:rPr>
        <w:t>表述的</w:t>
      </w:r>
      <w:r>
        <w:rPr>
          <w:rFonts w:hint="eastAsia" w:ascii="宋体" w:hAnsi="宋体" w:eastAsia="仿宋_GB2312" w:cs="Times New Roman"/>
          <w:iCs/>
          <w:sz w:val="32"/>
          <w:szCs w:val="32"/>
        </w:rPr>
        <w:t>规范性</w:t>
      </w:r>
      <w:r>
        <w:rPr>
          <w:rFonts w:ascii="宋体" w:hAnsi="宋体" w:eastAsia="仿宋_GB2312" w:cs="Times New Roman"/>
          <w:iCs/>
          <w:sz w:val="32"/>
          <w:szCs w:val="32"/>
        </w:rPr>
        <w:t>。</w:t>
      </w:r>
    </w:p>
    <w:p w14:paraId="4302310F">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5.可执行性</w:t>
      </w:r>
    </w:p>
    <w:p w14:paraId="75C5DA9F">
      <w:pPr>
        <w:adjustRightInd w:val="0"/>
        <w:spacing w:line="560" w:lineRule="exact"/>
        <w:ind w:firstLine="640" w:firstLineChars="200"/>
        <w:rPr>
          <w:rFonts w:hint="eastAsia" w:ascii="宋体" w:hAnsi="宋体" w:eastAsia="仿宋_GB2312" w:cs="Times New Roman"/>
          <w:iCs/>
          <w:sz w:val="32"/>
          <w:szCs w:val="32"/>
        </w:rPr>
      </w:pPr>
      <w:r>
        <w:rPr>
          <w:rFonts w:hint="eastAsia" w:ascii="宋体" w:hAnsi="宋体" w:eastAsia="仿宋_GB2312" w:cs="Times New Roman"/>
          <w:iCs/>
          <w:sz w:val="32"/>
          <w:szCs w:val="32"/>
        </w:rPr>
        <w:t>本文件编制过程中多次组织专家研讨会、评审会，标准条款内容广泛征求相关单位的意见建议，</w:t>
      </w:r>
      <w:r>
        <w:rPr>
          <w:rFonts w:hint="eastAsia" w:ascii="仿宋_GB2312" w:hAnsi="Calibri" w:eastAsia="仿宋_GB2312" w:cs="Times New Roman"/>
          <w:sz w:val="32"/>
          <w:szCs w:val="32"/>
          <w:shd w:val="clear" w:color="auto" w:fill="FFFFFF"/>
        </w:rPr>
        <w:t>对于反馈的意见建议组织工作组专题讨论，采纳吸收科学合理的意见建议，确保标准内容贴近行业实际需求，兼顾标准的可执行性。</w:t>
      </w:r>
    </w:p>
    <w:p w14:paraId="1478C74D">
      <w:pPr>
        <w:adjustRightInd w:val="0"/>
        <w:spacing w:line="560" w:lineRule="exact"/>
        <w:ind w:firstLine="640" w:firstLineChars="200"/>
        <w:rPr>
          <w:rFonts w:hint="eastAsia" w:ascii="楷体" w:hAnsi="楷体" w:eastAsia="楷体" w:cs="Times New Roman"/>
          <w:sz w:val="32"/>
          <w:szCs w:val="32"/>
          <w:shd w:val="clear" w:color="auto" w:fill="FFFFFF"/>
        </w:rPr>
      </w:pPr>
      <w:r>
        <w:rPr>
          <w:rFonts w:hint="eastAsia" w:ascii="楷体" w:hAnsi="楷体" w:eastAsia="楷体" w:cs="Times New Roman"/>
          <w:sz w:val="32"/>
          <w:szCs w:val="32"/>
          <w:shd w:val="clear" w:color="auto" w:fill="FFFFFF"/>
        </w:rPr>
        <w:t>（二）标准主要技术内容及确定依据</w:t>
      </w:r>
    </w:p>
    <w:p w14:paraId="4A785977">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针对陆上油气田天然气处理厂建设项目，对安全设施设计内容与安全专篇编制提出要求。结合多年国内陆上石油天然气开采建设项目（天然气处理厂）建设经验和技术成果，本规范主要内容拟包括前言、正文 19 章以及附件、附录。</w:t>
      </w:r>
    </w:p>
    <w:p w14:paraId="3E858793">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范围</w:t>
      </w:r>
    </w:p>
    <w:p w14:paraId="0F5570CA">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明确本文件的适用范围。</w:t>
      </w:r>
    </w:p>
    <w:p w14:paraId="363C853A">
      <w:pPr>
        <w:adjustRightInd w:val="0"/>
        <w:spacing w:line="560" w:lineRule="exact"/>
        <w:ind w:firstLine="640" w:firstLineChars="200"/>
        <w:rPr>
          <w:rFonts w:ascii="仿宋_GB2312" w:hAnsi="Calibri" w:eastAsia="仿宋_GB2312" w:cs="Times New Roman"/>
          <w:sz w:val="32"/>
          <w:szCs w:val="32"/>
          <w:shd w:val="clear" w:color="auto" w:fill="FFFFFF"/>
        </w:rPr>
      </w:pPr>
      <w:r>
        <w:rPr>
          <w:rFonts w:ascii="仿宋_GB2312" w:hAnsi="Calibri" w:eastAsia="仿宋_GB2312" w:cs="Times New Roman"/>
          <w:sz w:val="32"/>
          <w:szCs w:val="32"/>
          <w:shd w:val="clear" w:color="auto" w:fill="FFFFFF"/>
        </w:rPr>
        <w:t>参照《</w:t>
      </w:r>
      <w:r>
        <w:rPr>
          <w:rFonts w:hint="eastAsia" w:ascii="仿宋_GB2312" w:hAnsi="Calibri" w:eastAsia="仿宋_GB2312" w:cs="Times New Roman"/>
          <w:sz w:val="32"/>
          <w:szCs w:val="32"/>
          <w:shd w:val="clear" w:color="auto" w:fill="FFFFFF"/>
        </w:rPr>
        <w:t>关于陆上石油天然气建设项目安全设施设计审查与竣工验收有关事项的通知</w:t>
      </w:r>
      <w:r>
        <w:rPr>
          <w:rFonts w:ascii="仿宋_GB2312" w:hAnsi="Calibri" w:eastAsia="仿宋_GB2312" w:cs="Times New Roman"/>
          <w:sz w:val="32"/>
          <w:szCs w:val="32"/>
          <w:shd w:val="clear" w:color="auto" w:fill="FFFFFF"/>
        </w:rPr>
        <w:t>》（</w:t>
      </w:r>
      <w:r>
        <w:rPr>
          <w:rFonts w:hint="eastAsia" w:ascii="仿宋_GB2312" w:hAnsi="Calibri" w:eastAsia="仿宋_GB2312" w:cs="Times New Roman"/>
          <w:sz w:val="32"/>
          <w:szCs w:val="32"/>
          <w:shd w:val="clear" w:color="auto" w:fill="FFFFFF"/>
        </w:rPr>
        <w:t>安监总管一〔2006〕151号</w:t>
      </w:r>
      <w:r>
        <w:rPr>
          <w:rFonts w:ascii="仿宋_GB2312" w:hAnsi="Calibri" w:eastAsia="仿宋_GB2312" w:cs="Times New Roman"/>
          <w:sz w:val="32"/>
          <w:szCs w:val="32"/>
          <w:shd w:val="clear" w:color="auto" w:fill="FFFFFF"/>
        </w:rPr>
        <w:t>）中相关描述，结合陆上石油天然气</w:t>
      </w:r>
      <w:r>
        <w:rPr>
          <w:rFonts w:hint="eastAsia" w:ascii="仿宋_GB2312" w:hAnsi="Calibri" w:eastAsia="仿宋_GB2312" w:cs="Times New Roman"/>
          <w:sz w:val="32"/>
          <w:szCs w:val="32"/>
          <w:shd w:val="clear" w:color="auto" w:fill="FFFFFF"/>
        </w:rPr>
        <w:t>开采建设天然气处理厂项目</w:t>
      </w:r>
      <w:r>
        <w:rPr>
          <w:rFonts w:ascii="仿宋_GB2312" w:hAnsi="Calibri" w:eastAsia="仿宋_GB2312" w:cs="Times New Roman"/>
          <w:sz w:val="32"/>
          <w:szCs w:val="32"/>
          <w:shd w:val="clear" w:color="auto" w:fill="FFFFFF"/>
        </w:rPr>
        <w:t>安全生产需要，对本文件的适用范围予以明确。</w:t>
      </w:r>
    </w:p>
    <w:p w14:paraId="14B45EA5">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规范性引用文件</w:t>
      </w:r>
    </w:p>
    <w:p w14:paraId="51ED9B34">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列出了本标准引用和相衔接的相关标准，如《天然气净化厂设计规范》（GB/T51248-2017）、《气田集输设计规范》（GB 50349-2015）、《石油天然气工程设计防火规范》（GB 50183-2004）等。</w:t>
      </w:r>
    </w:p>
    <w:p w14:paraId="27CAB26B">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术语和定义</w:t>
      </w:r>
    </w:p>
    <w:p w14:paraId="721018F0">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Times New Roman" w:eastAsia="仿宋_GB2312" w:cs="Times New Roman"/>
          <w:sz w:val="32"/>
          <w:szCs w:val="32"/>
          <w:shd w:val="clear" w:color="auto" w:fill="FFFFFF"/>
        </w:rPr>
        <w:t>标准列出了3项文中涉及的行业术语和定义，包括“安全设施”和“重大变更”。术语和定义的描述部分根据行业内统一认识，结合《建设项目安全设施“三同时”监督管理办法》要求及评审会意见，统一和明确行业相关用语表述。</w:t>
      </w:r>
    </w:p>
    <w:p w14:paraId="39E4A524">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缩略语</w:t>
      </w:r>
    </w:p>
    <w:p w14:paraId="42BA0B12">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列出了本文件中涉及的英文缩略语。</w:t>
      </w:r>
    </w:p>
    <w:p w14:paraId="68E62A68">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总体要求</w:t>
      </w:r>
    </w:p>
    <w:p w14:paraId="69D8226D">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w:t>
      </w:r>
      <w:r>
        <w:rPr>
          <w:rFonts w:hint="eastAsia" w:ascii="仿宋_GB2312" w:hAnsi="Times New Roman" w:eastAsia="仿宋_GB2312" w:cs="Times New Roman"/>
          <w:sz w:val="32"/>
          <w:szCs w:val="32"/>
          <w:shd w:val="clear" w:color="auto" w:fill="FFFFFF"/>
        </w:rPr>
        <w:t>《建设项目安全设施“三同时”监督管理办法》，</w:t>
      </w:r>
      <w:r>
        <w:rPr>
          <w:rFonts w:hint="eastAsia" w:ascii="仿宋_GB2312" w:hAnsi="Calibri" w:eastAsia="仿宋_GB2312" w:cs="Times New Roman"/>
          <w:sz w:val="32"/>
          <w:szCs w:val="32"/>
          <w:shd w:val="clear" w:color="auto" w:fill="FFFFFF"/>
        </w:rPr>
        <w:t>提出相关工作需委托有资质的单位进行设计，明确了重新编制安全设施设计的条件，确定了安全设施设计应该包括的主要章节内容。</w:t>
      </w:r>
    </w:p>
    <w:p w14:paraId="18D3DFC2">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设计依据</w:t>
      </w:r>
    </w:p>
    <w:p w14:paraId="64006B0B">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参照《陆上石油天然气建设项目安全设施设计专篇编写指导书》明确了安全设施设计遵循的法律法规，执行的标准规范及需要提供的相关文件。</w:t>
      </w:r>
    </w:p>
    <w:p w14:paraId="6F3CCCAE">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建设项目概述</w:t>
      </w:r>
    </w:p>
    <w:p w14:paraId="2665F54B">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参照《陆上石油天然气建设项目安全设施设计专篇编写指导书》、《气田集输设计规范》（GB 50349）、《油田油气集输设计规范》（GB 50350）明确了建设项目需要介绍的基本情况，主要包括项目概况、工艺方案、辅助生产系统和公用工程、及主要工程量。</w:t>
      </w:r>
    </w:p>
    <w:p w14:paraId="74F3B8BE">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危险有害因素分析</w:t>
      </w:r>
    </w:p>
    <w:p w14:paraId="0184C0CF">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w:t>
      </w:r>
      <w:r>
        <w:rPr>
          <w:rFonts w:hint="eastAsia" w:ascii="仿宋_GB2312" w:hAnsi="Times New Roman" w:eastAsia="仿宋_GB2312" w:cs="Times New Roman"/>
          <w:sz w:val="32"/>
          <w:szCs w:val="32"/>
          <w:shd w:val="clear" w:color="auto" w:fill="FFFFFF"/>
        </w:rPr>
        <w:t>《建设项目安全设施“三同时”监督管理办法》，</w:t>
      </w:r>
      <w:r>
        <w:rPr>
          <w:rFonts w:hint="eastAsia" w:ascii="仿宋_GB2312" w:hAnsi="Calibri" w:eastAsia="仿宋_GB2312" w:cs="Times New Roman"/>
          <w:sz w:val="32"/>
          <w:szCs w:val="32"/>
          <w:shd w:val="clear" w:color="auto" w:fill="FFFFFF"/>
        </w:rPr>
        <w:t>说明安全预评价报告危险有害因素分析结论；明确了应对变更部分进行危险有害因素辨识，提出安全对策措施；对采用的新工艺、新技术、新材料或新设备应进行危险有害因素分析。</w:t>
      </w:r>
    </w:p>
    <w:p w14:paraId="13ED683E">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 xml:space="preserve">安全预评价响应 </w:t>
      </w:r>
    </w:p>
    <w:p w14:paraId="365403DA">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w:t>
      </w:r>
      <w:r>
        <w:rPr>
          <w:rFonts w:hint="eastAsia" w:ascii="仿宋_GB2312" w:hAnsi="Times New Roman" w:eastAsia="仿宋_GB2312" w:cs="Times New Roman"/>
          <w:sz w:val="32"/>
          <w:szCs w:val="32"/>
          <w:shd w:val="clear" w:color="auto" w:fill="FFFFFF"/>
        </w:rPr>
        <w:t>《建设项目安全设施“三同时”监督管理办法》、</w:t>
      </w:r>
      <w:r>
        <w:rPr>
          <w:rFonts w:hint="eastAsia" w:ascii="仿宋_GB2312" w:hAnsi="Calibri" w:eastAsia="仿宋_GB2312" w:cs="Times New Roman"/>
          <w:sz w:val="32"/>
          <w:szCs w:val="32"/>
          <w:shd w:val="clear" w:color="auto" w:fill="FFFFFF"/>
        </w:rPr>
        <w:t>《陆上石油天然气建设项目安全设施设计专篇编写指导书》，列出建设项目安全预评价报告中提出的安全对策措施的采纳情况；对未采纳的或部分采纳的措施作充分论证说明。</w:t>
      </w:r>
    </w:p>
    <w:p w14:paraId="4B7A170A">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区域布置及总平面布置安全措施</w:t>
      </w:r>
    </w:p>
    <w:p w14:paraId="0D69585B">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提出了天然气站场的地理位置及周边环境情况描述要求，明确了</w:t>
      </w:r>
      <w:r>
        <w:rPr>
          <w:rFonts w:ascii="仿宋_GB2312" w:hAnsi="Calibri" w:eastAsia="仿宋_GB2312" w:cs="Times New Roman"/>
          <w:sz w:val="32"/>
          <w:szCs w:val="32"/>
          <w:shd w:val="clear" w:color="auto" w:fill="FFFFFF"/>
        </w:rPr>
        <w:t>站场内各装置（设施）布置的主要安全考虑</w:t>
      </w:r>
      <w:r>
        <w:rPr>
          <w:rFonts w:hint="eastAsia" w:ascii="仿宋_GB2312" w:hAnsi="Calibri" w:eastAsia="仿宋_GB2312" w:cs="Times New Roman"/>
          <w:sz w:val="32"/>
          <w:szCs w:val="32"/>
          <w:shd w:val="clear" w:color="auto" w:fill="FFFFFF"/>
        </w:rPr>
        <w:t>因素。根据</w:t>
      </w:r>
      <w:r>
        <w:rPr>
          <w:rFonts w:hint="eastAsia" w:ascii="仿宋_GB2312" w:hAnsi="Times New Roman" w:eastAsia="仿宋_GB2312" w:cs="Times New Roman"/>
          <w:sz w:val="32"/>
          <w:szCs w:val="32"/>
          <w:shd w:val="clear" w:color="auto" w:fill="FFFFFF"/>
        </w:rPr>
        <w:t>《</w:t>
      </w:r>
      <w:r>
        <w:rPr>
          <w:rFonts w:ascii="仿宋_GB2312" w:hAnsi="Times New Roman" w:eastAsia="仿宋_GB2312" w:cs="Times New Roman"/>
          <w:sz w:val="32"/>
          <w:szCs w:val="32"/>
          <w:shd w:val="clear" w:color="auto" w:fill="FFFFFF"/>
        </w:rPr>
        <w:t>石油天然气工程设计防火规范</w:t>
      </w:r>
      <w:r>
        <w:rPr>
          <w:rFonts w:hint="eastAsia" w:ascii="仿宋_GB2312" w:hAnsi="Times New Roman" w:eastAsia="仿宋_GB2312" w:cs="Times New Roman"/>
          <w:sz w:val="32"/>
          <w:szCs w:val="32"/>
          <w:shd w:val="clear" w:color="auto" w:fill="FFFFFF"/>
        </w:rPr>
        <w:t>》（</w:t>
      </w:r>
      <w:r>
        <w:rPr>
          <w:rFonts w:hint="eastAsia" w:ascii="宋体" w:hAnsi="宋体" w:eastAsia="宋体" w:cs="宋体"/>
          <w:sz w:val="32"/>
          <w:szCs w:val="32"/>
          <w:shd w:val="clear" w:color="auto" w:fill="FFFFFF"/>
        </w:rPr>
        <w:t>GB 50183</w:t>
      </w:r>
      <w:r>
        <w:rPr>
          <w:rFonts w:hint="eastAsia" w:ascii="仿宋_GB2312" w:hAnsi="Times New Roman" w:eastAsia="仿宋_GB2312" w:cs="Times New Roman"/>
          <w:sz w:val="32"/>
          <w:szCs w:val="32"/>
          <w:shd w:val="clear" w:color="auto" w:fill="FFFFFF"/>
        </w:rPr>
        <w:t>）、《石油天然气工程总图设计规范》（SY/T 0048）说明油气站场平面布置方案及设备设施防火间距的符合性。根据《湿陷性黄土地区建筑标准》（GB 50025）、《膨胀土地区建筑技术规范》（GB 50112）、《盐渍土地区建筑技术规范》（GB/T 50942）、《石油天然气工程总图设计规范》（SY/T 0048）说明油气站场所在位置自然地形情况及竖向设计的安全措施。根据《</w:t>
      </w:r>
      <w:r>
        <w:rPr>
          <w:rFonts w:ascii="仿宋_GB2312" w:hAnsi="Times New Roman" w:eastAsia="仿宋_GB2312" w:cs="Times New Roman"/>
          <w:sz w:val="32"/>
          <w:szCs w:val="32"/>
          <w:shd w:val="clear" w:color="auto" w:fill="FFFFFF"/>
        </w:rPr>
        <w:t>石油天然气工程设计防火规范</w:t>
      </w:r>
      <w:r>
        <w:rPr>
          <w:rFonts w:hint="eastAsia" w:ascii="仿宋_GB2312" w:hAnsi="Times New Roman" w:eastAsia="仿宋_GB2312" w:cs="Times New Roman"/>
          <w:sz w:val="32"/>
          <w:szCs w:val="32"/>
          <w:shd w:val="clear" w:color="auto" w:fill="FFFFFF"/>
        </w:rPr>
        <w:t>》（GB 50183）说明站场消防道路及出入口情况。</w:t>
      </w:r>
    </w:p>
    <w:p w14:paraId="691FE63B">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工艺系统安全措施</w:t>
      </w:r>
    </w:p>
    <w:p w14:paraId="1618FDFB">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规定了油气处理工艺、产品储运、水处理工艺的安全设施设计要求。</w:t>
      </w:r>
    </w:p>
    <w:p w14:paraId="143FF140">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w:t>
      </w:r>
      <w:r>
        <w:rPr>
          <w:rFonts w:hint="eastAsia" w:ascii="仿宋_GB2312" w:hAnsi="Times New Roman" w:eastAsia="仿宋_GB2312" w:cs="Times New Roman"/>
          <w:sz w:val="32"/>
          <w:szCs w:val="32"/>
          <w:shd w:val="clear" w:color="auto" w:fill="FFFFFF"/>
        </w:rPr>
        <w:t>《</w:t>
      </w:r>
      <w:r>
        <w:rPr>
          <w:rFonts w:ascii="仿宋_GB2312" w:hAnsi="Times New Roman" w:eastAsia="仿宋_GB2312" w:cs="Times New Roman"/>
          <w:sz w:val="32"/>
          <w:szCs w:val="32"/>
          <w:shd w:val="clear" w:color="auto" w:fill="FFFFFF"/>
        </w:rPr>
        <w:t>石油天然气工程设计防火规范</w:t>
      </w:r>
      <w:r>
        <w:rPr>
          <w:rFonts w:hint="eastAsia" w:ascii="仿宋_GB2312" w:hAnsi="Times New Roman" w:eastAsia="仿宋_GB2312" w:cs="Times New Roman"/>
          <w:sz w:val="32"/>
          <w:szCs w:val="32"/>
          <w:shd w:val="clear" w:color="auto" w:fill="FFFFFF"/>
        </w:rPr>
        <w:t>》</w:t>
      </w:r>
      <w:r>
        <w:rPr>
          <w:rFonts w:hint="eastAsia" w:ascii="仿宋_GB2312" w:hAnsi="仿宋_GB2312" w:eastAsia="仿宋_GB2312" w:cs="仿宋_GB2312"/>
          <w:sz w:val="32"/>
          <w:szCs w:val="32"/>
          <w:shd w:val="clear" w:color="auto" w:fill="FFFFFF"/>
        </w:rPr>
        <w:t>（GB 50183）、《气田集输设计规范》（GB 50349）、《油田油气集输设计规范》（GB 50350）说明油气处理工艺中针对脱硫、脱碳、</w:t>
      </w:r>
      <w:r>
        <w:rPr>
          <w:rFonts w:hint="eastAsia" w:ascii="仿宋_GB2312" w:hAnsi="Calibri" w:eastAsia="仿宋_GB2312" w:cs="Times New Roman"/>
          <w:sz w:val="32"/>
          <w:szCs w:val="32"/>
          <w:shd w:val="clear" w:color="auto" w:fill="FFFFFF"/>
        </w:rPr>
        <w:t>硫磺回收等采取的工艺安全措施；说明工艺运行参数超出限定值时的报警及安全联锁调节。</w:t>
      </w:r>
    </w:p>
    <w:p w14:paraId="0819E3D9">
      <w:pPr>
        <w:adjustRightIn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Calibri" w:eastAsia="仿宋_GB2312" w:cs="Times New Roman"/>
          <w:sz w:val="32"/>
          <w:szCs w:val="32"/>
          <w:shd w:val="clear" w:color="auto" w:fill="FFFFFF"/>
        </w:rPr>
        <w:t>根据</w:t>
      </w:r>
      <w:r>
        <w:rPr>
          <w:rFonts w:hint="eastAsia" w:ascii="仿宋_GB2312" w:hAnsi="Times New Roman" w:eastAsia="仿宋_GB2312" w:cs="Times New Roman"/>
          <w:sz w:val="32"/>
          <w:szCs w:val="32"/>
          <w:shd w:val="clear" w:color="auto" w:fill="FFFFFF"/>
        </w:rPr>
        <w:t>《</w:t>
      </w:r>
      <w:r>
        <w:rPr>
          <w:rFonts w:ascii="仿宋_GB2312" w:hAnsi="Times New Roman" w:eastAsia="仿宋_GB2312" w:cs="Times New Roman"/>
          <w:sz w:val="32"/>
          <w:szCs w:val="32"/>
          <w:shd w:val="clear" w:color="auto" w:fill="FFFFFF"/>
        </w:rPr>
        <w:t>石油天然气</w:t>
      </w:r>
      <w:r>
        <w:rPr>
          <w:rFonts w:hint="eastAsia" w:ascii="仿宋_GB2312" w:hAnsi="仿宋_GB2312" w:eastAsia="仿宋_GB2312" w:cs="仿宋_GB2312"/>
          <w:sz w:val="32"/>
          <w:szCs w:val="32"/>
          <w:shd w:val="clear" w:color="auto" w:fill="FFFFFF"/>
        </w:rPr>
        <w:t>工程设计防火规范》（GB 50183）、《气田集输设计规范》（GB 50349）、《油田采出水处理设计规范》（GB 50428）说明水处理工艺采取的安全措施，包括细菌腐蚀、结垢的控制措施。</w:t>
      </w:r>
    </w:p>
    <w:p w14:paraId="0FA8D932">
      <w:pPr>
        <w:adjustRightIn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根据《石油天然气工程设计防火规范》（GB 50183）、《泄压和减压系统指南》（SY/T 10043）说明安全泄放系统放空管或放空火炬的设计放空量、直径、高度和放空火炬热辐射强度、干气密封、气体吹扫、防止回火措施。根据《压力容器》（GB/T 150）、《天然气地面设施抗硫化物应力开裂和应力腐蚀开裂金属材料技术规范》（SY/T 0599）等说明工艺设备、管线选材采取的措施。</w:t>
      </w:r>
    </w:p>
    <w:p w14:paraId="3EFCB488">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自控安全措施</w:t>
      </w:r>
    </w:p>
    <w:p w14:paraId="75DFC45E">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根据《过程工业领域安全仪表系统的功能安全》（GB/T 21109）、《油气田及管道工程计算机控制系统设计规范》（SY/T 7628）、《油气田及管道工程仪表控制系统设计规范》（SY/T 7700）说明安全仪表系统、安全仪表系统SIF回路、气体检测和报警系统的安全设计要求。</w:t>
      </w:r>
    </w:p>
    <w:p w14:paraId="1823DAF4">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公用工程安全措施</w:t>
      </w:r>
    </w:p>
    <w:p w14:paraId="4063B7C7">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仿宋_GB2312" w:eastAsia="仿宋_GB2312" w:cs="仿宋_GB2312"/>
          <w:sz w:val="32"/>
          <w:szCs w:val="32"/>
        </w:rPr>
        <w:t>规定了通信、供配电、暖通系统和建（构）筑物</w:t>
      </w:r>
      <w:r>
        <w:rPr>
          <w:rFonts w:hint="eastAsia" w:ascii="仿宋_GB2312" w:hAnsi="Calibri" w:eastAsia="仿宋_GB2312" w:cs="Times New Roman"/>
          <w:sz w:val="32"/>
          <w:szCs w:val="32"/>
          <w:shd w:val="clear" w:color="auto" w:fill="FFFFFF"/>
        </w:rPr>
        <w:t>的安全设计要求。</w:t>
      </w:r>
    </w:p>
    <w:p w14:paraId="3347B5F2">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根据《火灾自动报警系统设计规范》（GB 50116）、</w:t>
      </w:r>
      <w:r>
        <w:rPr>
          <w:rFonts w:hint="eastAsia" w:ascii="仿宋_GB2312" w:hAnsi="Times New Roman" w:eastAsia="仿宋_GB2312" w:cs="Times New Roman"/>
          <w:sz w:val="32"/>
          <w:szCs w:val="32"/>
          <w:shd w:val="clear" w:color="auto" w:fill="FFFFFF"/>
        </w:rPr>
        <w:t>《</w:t>
      </w:r>
      <w:r>
        <w:rPr>
          <w:rFonts w:ascii="仿宋_GB2312" w:hAnsi="Times New Roman" w:eastAsia="仿宋_GB2312" w:cs="Times New Roman"/>
          <w:sz w:val="32"/>
          <w:szCs w:val="32"/>
          <w:shd w:val="clear" w:color="auto" w:fill="FFFFFF"/>
        </w:rPr>
        <w:t>石油天然气工程设计防火规范</w:t>
      </w:r>
      <w:r>
        <w:rPr>
          <w:rFonts w:hint="eastAsia" w:ascii="仿宋_GB2312" w:hAnsi="Times New Roman" w:eastAsia="仿宋_GB2312" w:cs="Times New Roman"/>
          <w:sz w:val="32"/>
          <w:szCs w:val="32"/>
          <w:shd w:val="clear" w:color="auto" w:fill="FFFFFF"/>
        </w:rPr>
        <w:t>》（</w:t>
      </w:r>
      <w:r>
        <w:rPr>
          <w:rFonts w:hint="eastAsia" w:ascii="宋体" w:hAnsi="宋体" w:eastAsia="宋体" w:cs="宋体"/>
          <w:sz w:val="32"/>
          <w:szCs w:val="32"/>
          <w:shd w:val="clear" w:color="auto" w:fill="FFFFFF"/>
        </w:rPr>
        <w:t>GB 50183</w:t>
      </w:r>
      <w:r>
        <w:rPr>
          <w:rFonts w:hint="eastAsia" w:ascii="仿宋_GB2312" w:hAnsi="Times New Roman" w:eastAsia="仿宋_GB2312" w:cs="Times New Roman"/>
          <w:sz w:val="32"/>
          <w:szCs w:val="32"/>
          <w:shd w:val="clear" w:color="auto" w:fill="FFFFFF"/>
        </w:rPr>
        <w:t>）、</w:t>
      </w:r>
      <w:r>
        <w:rPr>
          <w:rFonts w:hint="eastAsia" w:ascii="仿宋_GB2312" w:hAnsi="Calibri" w:eastAsia="仿宋_GB2312" w:cs="Times New Roman"/>
          <w:sz w:val="32"/>
          <w:szCs w:val="32"/>
          <w:shd w:val="clear" w:color="auto" w:fill="FFFFFF"/>
        </w:rPr>
        <w:t>《供配电系统设计规范》（GB 50052）、《油气田变配电设计规范》（SY/T 0033）说明应急电源设置、防火防爆、应急照明、防雷防静电采取的安全措施。</w:t>
      </w:r>
    </w:p>
    <w:p w14:paraId="3993B189">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根据《公共广播系统工程技术标准》（GB 50526）说明电话系统、扩音对讲系统、应急通信系统的设置情况。</w:t>
      </w:r>
    </w:p>
    <w:p w14:paraId="3FACC5AF">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根据《锅炉房设计标准》（GB 50041）、《锅炉用液体和气体燃料燃烧器技术条件》（GB/T 36699）说明锅炉、加热炉熄火保护，燃料气供气管道紧急切断等措施。根据《工业建筑供暖通风与空气调节设计规范》（GB 50019）、《消防设施通用规范》（GB 55036）等说明建筑物通风和防排烟设置情况。</w:t>
      </w:r>
    </w:p>
    <w:p w14:paraId="1621F10E">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根据《火灾自动报警系统设计规范》（GB 50116）、《建筑防火通用规范》（GB 55037）、《建筑工程抗震设防分类标准》（GB 50223）说明建筑物设置的防火、泄爆、抗爆、防腐等安全措施。</w:t>
      </w:r>
    </w:p>
    <w:p w14:paraId="7481A20B">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根据《钢质管道外腐蚀控制规范》（GB/T 21447）、《钢质管道内腐蚀控制规范》（GB/T 23258）、《气田集输设计规范》（GB 50349）说明线路管道防腐、站内管道设备及储罐防腐、管道内腐蚀控制等采取的安全措施；根据《埋地钢质管道防腐保温层技术标准》（GB/T 50538）说明管道绝热、储罐绝热采取的措施。</w:t>
      </w:r>
    </w:p>
    <w:p w14:paraId="458849C1">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防范其他危险、危害因素的安全措施</w:t>
      </w:r>
    </w:p>
    <w:p w14:paraId="0ED03E29">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规定了防范自然灾害的、防噪声、防机械伤害、物体打击、防灼烫、防低温冻伤、高处坠落的措施要求。</w:t>
      </w:r>
    </w:p>
    <w:p w14:paraId="1D83C220">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逃生及救生</w:t>
      </w:r>
    </w:p>
    <w:p w14:paraId="228F2941">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规定了发生事故时人员的逃生及救生要求。</w:t>
      </w:r>
    </w:p>
    <w:p w14:paraId="3AAB4DA7">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安全管理</w:t>
      </w:r>
    </w:p>
    <w:p w14:paraId="606622E2">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参照《安全生产法》关于安全管理的相关要求，对安全管理机构设置、人员编制与安全管理人员设置、个体安全防护用品配备、抢修机构设置及设备配备、外部依托力量、安全投入等提出了具体的要求。</w:t>
      </w:r>
    </w:p>
    <w:p w14:paraId="0901CAC9">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专项投资概算</w:t>
      </w:r>
    </w:p>
    <w:p w14:paraId="3A467769">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规定了用于安全的专用投资的要求。</w:t>
      </w:r>
    </w:p>
    <w:p w14:paraId="100AB883">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主要结论和建议</w:t>
      </w:r>
    </w:p>
    <w:p w14:paraId="0E89B1C7">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明确了应说明初步设计所采用的安全设施和采取的安全措施；安全预评价对安全设施设计提出的安全对策措施落实情况；说明在施工图设计、施工及生产运行中应采取的措施建议。</w:t>
      </w:r>
    </w:p>
    <w:p w14:paraId="731E6B20">
      <w:pPr>
        <w:numPr>
          <w:ilvl w:val="0"/>
          <w:numId w:val="49"/>
        </w:numPr>
        <w:tabs>
          <w:tab w:val="left" w:pos="7373"/>
        </w:tabs>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格式要求</w:t>
      </w:r>
    </w:p>
    <w:p w14:paraId="6E8FAC97">
      <w:pPr>
        <w:adjustRightIn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规定了安全设施设计专篇结构、字号和字体、纸张、排版、印刷、封装的要求。</w:t>
      </w:r>
    </w:p>
    <w:p w14:paraId="21987999">
      <w:pPr>
        <w:adjustRightInd w:val="0"/>
        <w:spacing w:line="560" w:lineRule="exact"/>
        <w:ind w:firstLine="640" w:firstLineChars="200"/>
        <w:rPr>
          <w:rFonts w:hint="eastAsia" w:ascii="楷体" w:hAnsi="楷体" w:eastAsia="楷体" w:cs="Times New Roman"/>
          <w:sz w:val="32"/>
          <w:szCs w:val="32"/>
          <w:shd w:val="clear" w:color="auto" w:fill="FFFFFF"/>
        </w:rPr>
      </w:pPr>
      <w:r>
        <w:rPr>
          <w:rFonts w:hint="eastAsia" w:ascii="楷体" w:hAnsi="楷体" w:eastAsia="楷体" w:cs="Times New Roman"/>
          <w:sz w:val="32"/>
          <w:szCs w:val="32"/>
          <w:shd w:val="clear" w:color="auto" w:fill="FFFFFF"/>
        </w:rPr>
        <w:t>（三）标准修订变化及依据（仅修订标准需要列出）</w:t>
      </w:r>
    </w:p>
    <w:p w14:paraId="635364FC">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宋体" w:hAnsi="宋体" w:eastAsia="仿宋_GB2312" w:cs="Times New Roman"/>
          <w:iCs/>
          <w:sz w:val="32"/>
          <w:szCs w:val="32"/>
        </w:rPr>
        <w:t>无。</w:t>
      </w:r>
    </w:p>
    <w:p w14:paraId="214B2CE4">
      <w:pPr>
        <w:adjustRightInd w:val="0"/>
        <w:spacing w:line="560" w:lineRule="exact"/>
        <w:ind w:firstLine="640" w:firstLineChars="200"/>
        <w:rPr>
          <w:rFonts w:hint="eastAsia" w:ascii="黑体" w:hAnsi="黑体" w:eastAsia="黑体" w:cs="Times New Roman"/>
          <w:color w:val="000000"/>
          <w:sz w:val="32"/>
          <w:szCs w:val="32"/>
        </w:rPr>
      </w:pPr>
      <w:r>
        <w:rPr>
          <w:rFonts w:hint="eastAsia" w:ascii="黑体" w:hAnsi="黑体" w:eastAsia="黑体" w:cs="Times New Roman"/>
          <w:color w:val="000000"/>
          <w:sz w:val="32"/>
          <w:szCs w:val="32"/>
        </w:rPr>
        <w:t>三、试验验证的分析、综述报告、技术经济论证，预期的经济效益、社会效益和生态效益。</w:t>
      </w:r>
    </w:p>
    <w:p w14:paraId="458A9D49">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Calibri" w:eastAsia="仿宋_GB2312" w:cs="Times New Roman"/>
          <w:sz w:val="32"/>
          <w:szCs w:val="32"/>
          <w:shd w:val="clear" w:color="auto" w:fill="FFFFFF"/>
        </w:rPr>
        <w:t>该标准的制定，可以进一步明确安全设施设计的内容和编制的深度，填补石油行业安全生产标准体系的空白。本标准为补充行政审批的配套标准，可规范天然气处理厂安全设施设计，提升天然气处理厂安全设施设计专篇审查质量，强化天然气处理厂新模式、新形势下的安全管控水平，带来明显的经济效益和社会效益。</w:t>
      </w:r>
    </w:p>
    <w:p w14:paraId="05CCA11F">
      <w:pPr>
        <w:widowControl/>
        <w:numPr>
          <w:ilvl w:val="0"/>
          <w:numId w:val="50"/>
        </w:numPr>
        <w:spacing w:line="560" w:lineRule="exact"/>
        <w:ind w:firstLine="640" w:firstLineChars="200"/>
        <w:outlineLvl w:val="0"/>
        <w:rPr>
          <w:rFonts w:hint="eastAsia" w:ascii="黑体" w:hAnsi="黑体" w:eastAsia="黑体" w:cs="Times New Roman"/>
          <w:color w:val="000000"/>
          <w:sz w:val="32"/>
          <w:szCs w:val="32"/>
        </w:rPr>
      </w:pPr>
      <w:bookmarkStart w:id="392" w:name="_Toc193319245"/>
      <w:bookmarkStart w:id="393" w:name="_Toc193375459"/>
      <w:r>
        <w:rPr>
          <w:rFonts w:hint="eastAsia" w:ascii="黑体" w:hAnsi="黑体" w:eastAsia="黑体" w:cs="Times New Roman"/>
          <w:color w:val="000000"/>
          <w:sz w:val="32"/>
          <w:szCs w:val="32"/>
        </w:rPr>
        <w:t>与国际、国外同类标准技术内容的对比情况</w:t>
      </w:r>
      <w:bookmarkEnd w:id="392"/>
      <w:bookmarkEnd w:id="393"/>
    </w:p>
    <w:p w14:paraId="7D11C463">
      <w:pPr>
        <w:adjustRightInd w:val="0"/>
        <w:spacing w:line="560" w:lineRule="exact"/>
        <w:ind w:firstLine="640" w:firstLineChars="200"/>
        <w:rPr>
          <w:rFonts w:ascii="仿宋_GB2312" w:hAnsi="Calibri" w:eastAsia="仿宋_GB2312" w:cs="Times New Roman"/>
          <w:sz w:val="32"/>
          <w:szCs w:val="32"/>
          <w:shd w:val="clear" w:color="auto" w:fill="FFFFFF"/>
        </w:rPr>
      </w:pPr>
      <w:r>
        <w:rPr>
          <w:rFonts w:hint="eastAsia" w:ascii="仿宋_GB2312" w:hAnsi="Calibri" w:eastAsia="仿宋_GB2312" w:cs="Times New Roman"/>
          <w:sz w:val="32"/>
          <w:szCs w:val="32"/>
          <w:shd w:val="clear" w:color="auto" w:fill="FFFFFF"/>
        </w:rPr>
        <w:t>为强化陆上石油天然气开采建设项目的安全要求，</w:t>
      </w:r>
      <w:r>
        <w:rPr>
          <w:rFonts w:hint="eastAsia" w:ascii="仿宋_GB2312" w:hAnsi="Calibri" w:eastAsia="仿宋_GB2312" w:cs="Times New Roman"/>
          <w:sz w:val="32"/>
          <w:szCs w:val="32"/>
          <w:shd w:val="clear" w:color="auto" w:fill="FFFFFF"/>
          <w:lang w:eastAsia="zh-CN"/>
        </w:rPr>
        <w:t>原</w:t>
      </w:r>
      <w:r>
        <w:rPr>
          <w:rFonts w:hint="eastAsia" w:ascii="仿宋_GB2312" w:hAnsi="Calibri" w:eastAsia="仿宋_GB2312" w:cs="Times New Roman"/>
          <w:sz w:val="32"/>
          <w:szCs w:val="32"/>
          <w:shd w:val="clear" w:color="auto" w:fill="FFFFFF"/>
        </w:rPr>
        <w:t>国家</w:t>
      </w:r>
      <w:r>
        <w:rPr>
          <w:rFonts w:hint="eastAsia" w:ascii="仿宋_GB2312" w:hAnsi="Calibri" w:eastAsia="仿宋_GB2312" w:cs="Times New Roman"/>
          <w:sz w:val="32"/>
          <w:szCs w:val="32"/>
          <w:shd w:val="clear" w:color="auto" w:fill="FFFFFF"/>
          <w:lang w:eastAsia="zh-CN"/>
        </w:rPr>
        <w:t>安监总局</w:t>
      </w:r>
      <w:r>
        <w:rPr>
          <w:rFonts w:hint="eastAsia" w:ascii="仿宋_GB2312" w:hAnsi="Calibri" w:eastAsia="仿宋_GB2312" w:cs="Times New Roman"/>
          <w:sz w:val="32"/>
          <w:szCs w:val="32"/>
          <w:shd w:val="clear" w:color="auto" w:fill="FFFFFF"/>
        </w:rPr>
        <w:t>发布了《陆上石油天然气建设项目安全设施设计专篇编写指导书》（安监总管一</w:t>
      </w:r>
      <w:r>
        <w:rPr>
          <w:rFonts w:hint="eastAsia" w:ascii="仿宋_GB2312" w:hAnsi="Times New Roman" w:eastAsia="仿宋_GB2312" w:cs="Times New Roman"/>
          <w:color w:val="000000"/>
          <w:sz w:val="32"/>
          <w:szCs w:val="32"/>
          <w:shd w:val="clear" w:color="auto" w:fill="FFFFFF"/>
        </w:rPr>
        <w:t>〔</w:t>
      </w:r>
      <w:r>
        <w:rPr>
          <w:rFonts w:hint="eastAsia" w:ascii="仿宋_GB2312" w:hAnsi="Calibri" w:eastAsia="仿宋_GB2312" w:cs="Times New Roman"/>
          <w:sz w:val="32"/>
          <w:szCs w:val="32"/>
          <w:shd w:val="clear" w:color="auto" w:fill="FFFFFF"/>
        </w:rPr>
        <w:t>2008</w:t>
      </w:r>
      <w:r>
        <w:rPr>
          <w:rFonts w:hint="eastAsia" w:ascii="仿宋_GB2312" w:hAnsi="Times New Roman" w:eastAsia="仿宋_GB2312" w:cs="Times New Roman"/>
          <w:color w:val="000000"/>
          <w:sz w:val="32"/>
          <w:szCs w:val="32"/>
          <w:shd w:val="clear" w:color="auto" w:fill="FFFFFF"/>
        </w:rPr>
        <w:t>〕</w:t>
      </w:r>
      <w:r>
        <w:rPr>
          <w:rFonts w:hint="eastAsia" w:ascii="仿宋_GB2312" w:hAnsi="Calibri" w:eastAsia="仿宋_GB2312" w:cs="Times New Roman"/>
          <w:sz w:val="32"/>
          <w:szCs w:val="32"/>
          <w:shd w:val="clear" w:color="auto" w:fill="FFFFFF"/>
        </w:rPr>
        <w:t>7 号）和《高风险非煤矿山建设项目安全设施设计审查》等一系列文件，有效提升了天然气处理厂安全设施建设水平，但相关要求偏宏观，对于地面工程安全设计具体执行的标准，编制的内容深度缺乏明确说明。目前在石油天然气开采建设项目安全设施设计方面，国内针对管道发布了行业标准《陆上油气管道建设项目安全设施设计导则》（</w:t>
      </w:r>
      <w:r>
        <w:rPr>
          <w:rFonts w:ascii="仿宋_GB2312" w:hAnsi="Calibri" w:eastAsia="仿宋_GB2312" w:cs="Times New Roman"/>
          <w:sz w:val="32"/>
          <w:szCs w:val="32"/>
          <w:shd w:val="clear" w:color="auto" w:fill="FFFFFF"/>
        </w:rPr>
        <w:t>AQ/T 3055-2019</w:t>
      </w:r>
      <w:r>
        <w:rPr>
          <w:rFonts w:hint="eastAsia" w:ascii="仿宋_GB2312" w:hAnsi="Calibri" w:eastAsia="仿宋_GB2312" w:cs="Times New Roman"/>
          <w:sz w:val="32"/>
          <w:szCs w:val="32"/>
          <w:shd w:val="clear" w:color="auto" w:fill="FFFFFF"/>
        </w:rPr>
        <w:t>），针对海洋石油生产设施正在编制《海上石油天然气建设项目安全设施设计导则》，尚无专门应用于陆上油气田天然气处理厂安全设施设计的具体标准，拟制定的标准与现行标准不存在冲突。国际国外尚无适用的同类标准。</w:t>
      </w:r>
    </w:p>
    <w:p w14:paraId="70BF9B87">
      <w:pPr>
        <w:widowControl/>
        <w:numPr>
          <w:ilvl w:val="0"/>
          <w:numId w:val="50"/>
        </w:numPr>
        <w:spacing w:line="560" w:lineRule="exact"/>
        <w:ind w:firstLine="640" w:firstLineChars="200"/>
        <w:outlineLvl w:val="0"/>
        <w:rPr>
          <w:rFonts w:hint="eastAsia" w:ascii="黑体" w:hAnsi="黑体" w:eastAsia="黑体" w:cs="Times New Roman"/>
          <w:color w:val="000000"/>
          <w:sz w:val="32"/>
          <w:szCs w:val="32"/>
        </w:rPr>
      </w:pPr>
      <w:bookmarkStart w:id="394" w:name="_Toc193375460"/>
      <w:bookmarkStart w:id="395" w:name="_Toc193319246"/>
      <w:r>
        <w:rPr>
          <w:rFonts w:hint="eastAsia" w:ascii="黑体" w:hAnsi="黑体" w:eastAsia="黑体" w:cs="Times New Roman"/>
          <w:color w:val="000000"/>
          <w:sz w:val="32"/>
          <w:szCs w:val="32"/>
        </w:rPr>
        <w:t>以国际标准为基础的起草情况、是否合规引用或采用国际国外标准以及未采用国际标准的原因</w:t>
      </w:r>
      <w:bookmarkEnd w:id="394"/>
      <w:bookmarkEnd w:id="395"/>
    </w:p>
    <w:p w14:paraId="6D20FDEF">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Times New Roman" w:eastAsia="仿宋_GB2312" w:cs="Times New Roman"/>
          <w:color w:val="000000"/>
          <w:sz w:val="32"/>
          <w:szCs w:val="32"/>
          <w:shd w:val="clear" w:color="auto" w:fill="FFFFFF"/>
        </w:rPr>
        <w:t>无。</w:t>
      </w:r>
    </w:p>
    <w:p w14:paraId="0635BAAB">
      <w:pPr>
        <w:widowControl/>
        <w:numPr>
          <w:ilvl w:val="0"/>
          <w:numId w:val="50"/>
        </w:numPr>
        <w:spacing w:line="560" w:lineRule="exact"/>
        <w:ind w:firstLine="640" w:firstLineChars="200"/>
        <w:outlineLvl w:val="0"/>
        <w:rPr>
          <w:rFonts w:hint="eastAsia" w:ascii="黑体" w:hAnsi="黑体" w:eastAsia="黑体" w:cs="Times New Roman"/>
          <w:color w:val="000000"/>
          <w:sz w:val="32"/>
          <w:szCs w:val="32"/>
        </w:rPr>
      </w:pPr>
      <w:bookmarkStart w:id="396" w:name="_Toc193319247"/>
      <w:bookmarkStart w:id="397" w:name="_Toc193375461"/>
      <w:r>
        <w:rPr>
          <w:rFonts w:hint="eastAsia" w:ascii="黑体" w:hAnsi="黑体" w:eastAsia="黑体" w:cs="Times New Roman"/>
          <w:color w:val="000000"/>
          <w:sz w:val="32"/>
          <w:szCs w:val="32"/>
        </w:rPr>
        <w:t>与有关法律、行政法规及相关标准水平的关系</w:t>
      </w:r>
      <w:bookmarkEnd w:id="396"/>
      <w:bookmarkEnd w:id="397"/>
    </w:p>
    <w:p w14:paraId="537E339E">
      <w:pPr>
        <w:adjustRightInd w:val="0"/>
        <w:spacing w:line="560" w:lineRule="exact"/>
        <w:ind w:left="640"/>
        <w:rPr>
          <w:rFonts w:hint="eastAsia" w:ascii="楷体" w:hAnsi="楷体" w:eastAsia="楷体" w:cs="Times New Roman"/>
          <w:sz w:val="32"/>
          <w:szCs w:val="32"/>
          <w:shd w:val="clear" w:color="auto" w:fill="FFFFFF"/>
        </w:rPr>
      </w:pPr>
      <w:r>
        <w:rPr>
          <w:rFonts w:hint="eastAsia" w:ascii="楷体" w:hAnsi="楷体" w:eastAsia="楷体" w:cs="Times New Roman"/>
          <w:sz w:val="32"/>
          <w:szCs w:val="32"/>
          <w:shd w:val="clear" w:color="auto" w:fill="FFFFFF"/>
        </w:rPr>
        <w:t>（一）与有关法律、行政法规、标准关系</w:t>
      </w:r>
    </w:p>
    <w:p w14:paraId="519D69D6">
      <w:pPr>
        <w:adjustRightInd w:val="0"/>
        <w:spacing w:line="560" w:lineRule="exact"/>
        <w:ind w:firstLine="640" w:firstLineChars="200"/>
        <w:rPr>
          <w:rFonts w:hint="eastAsia" w:ascii="宋体" w:hAnsi="宋体" w:eastAsia="仿宋_GB2312" w:cs="Times New Roman"/>
          <w:iCs/>
          <w:sz w:val="32"/>
          <w:szCs w:val="32"/>
        </w:rPr>
      </w:pPr>
      <w:r>
        <w:rPr>
          <w:rFonts w:hint="eastAsia" w:ascii="宋体" w:hAnsi="宋体" w:eastAsia="仿宋_GB2312" w:cs="Times New Roman"/>
          <w:iCs/>
          <w:sz w:val="32"/>
          <w:szCs w:val="32"/>
        </w:rPr>
        <w:t>本标准的编制工作根据应急管理部《“十四五”应急管理标准化发展计划》《应急管理标准化工作管理办法》等文件精神开展，</w:t>
      </w:r>
      <w:r>
        <w:rPr>
          <w:rFonts w:hint="eastAsia" w:ascii="仿宋_GB2312" w:hAnsi="Calibri" w:eastAsia="仿宋_GB2312" w:cs="Times New Roman"/>
          <w:sz w:val="32"/>
          <w:szCs w:val="32"/>
          <w:shd w:val="clear" w:color="auto" w:fill="FFFFFF"/>
        </w:rPr>
        <w:t>在石油安全分标委</w:t>
      </w:r>
      <w:r>
        <w:rPr>
          <w:rFonts w:hint="eastAsia" w:ascii="宋体" w:hAnsi="宋体" w:eastAsia="仿宋_GB2312" w:cs="Times New Roman"/>
          <w:iCs/>
          <w:sz w:val="32"/>
          <w:szCs w:val="32"/>
        </w:rPr>
        <w:t>（TC 288/SC 10）的工作指导下进行，符合《安全生产法》《标准化法》等相关法律要求。</w:t>
      </w:r>
    </w:p>
    <w:p w14:paraId="2C9032B5">
      <w:pPr>
        <w:adjustRightInd w:val="0"/>
        <w:spacing w:line="560" w:lineRule="exact"/>
        <w:ind w:firstLine="640" w:firstLineChars="200"/>
        <w:rPr>
          <w:rFonts w:hint="eastAsia" w:ascii="宋体" w:hAnsi="宋体" w:eastAsia="仿宋_GB2312" w:cs="Times New Roman"/>
          <w:iCs/>
          <w:sz w:val="32"/>
          <w:szCs w:val="32"/>
        </w:rPr>
      </w:pPr>
      <w:r>
        <w:rPr>
          <w:rFonts w:hint="eastAsia" w:ascii="宋体" w:hAnsi="宋体" w:eastAsia="仿宋_GB2312" w:cs="Times New Roman"/>
          <w:iCs/>
          <w:sz w:val="32"/>
          <w:szCs w:val="32"/>
        </w:rPr>
        <w:t>本标准依据《标准化工作导则第1部分：标准化文件的结构和起草规则》（GB/T 1.1-2020）的规定起草。</w:t>
      </w:r>
    </w:p>
    <w:p w14:paraId="6162F3E4">
      <w:pPr>
        <w:adjustRightInd w:val="0"/>
        <w:spacing w:line="560" w:lineRule="exact"/>
        <w:ind w:firstLine="640" w:firstLineChars="200"/>
        <w:rPr>
          <w:rFonts w:hint="eastAsia" w:ascii="宋体" w:hAnsi="宋体" w:eastAsia="仿宋_GB2312" w:cs="Times New Roman"/>
          <w:iCs/>
          <w:sz w:val="32"/>
          <w:szCs w:val="32"/>
        </w:rPr>
      </w:pPr>
      <w:r>
        <w:rPr>
          <w:rFonts w:hint="eastAsia" w:ascii="宋体" w:hAnsi="宋体" w:eastAsia="仿宋_GB2312" w:cs="Times New Roman"/>
          <w:iCs/>
          <w:sz w:val="32"/>
          <w:szCs w:val="32"/>
        </w:rPr>
        <w:t>本标准遵循《安全生产法》《建设项目安全设施“三同时”监督管理办法》等相关要求而制定，标准内容是对法律、法规进一步落实和细化，是指导陆上石油天然气开采建设天然气处理厂项目安全设施设计管理工作的重要支撑。</w:t>
      </w:r>
    </w:p>
    <w:p w14:paraId="74F7812B">
      <w:pPr>
        <w:adjustRightInd w:val="0"/>
        <w:spacing w:line="560" w:lineRule="exact"/>
        <w:ind w:left="640"/>
        <w:rPr>
          <w:rFonts w:hint="eastAsia" w:ascii="楷体" w:hAnsi="楷体" w:eastAsia="楷体" w:cs="Times New Roman"/>
          <w:sz w:val="32"/>
          <w:szCs w:val="32"/>
          <w:shd w:val="clear" w:color="auto" w:fill="FFFFFF"/>
        </w:rPr>
      </w:pPr>
      <w:r>
        <w:rPr>
          <w:rFonts w:hint="eastAsia" w:ascii="楷体" w:hAnsi="楷体" w:eastAsia="楷体" w:cs="Times New Roman"/>
          <w:sz w:val="32"/>
          <w:szCs w:val="32"/>
          <w:shd w:val="clear" w:color="auto" w:fill="FFFFFF"/>
        </w:rPr>
        <w:t>（二）配套推荐性标准的制定情况（强制性标准应填写）</w:t>
      </w:r>
    </w:p>
    <w:p w14:paraId="4DF8487A">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宋体" w:hAnsi="宋体" w:eastAsia="仿宋_GB2312" w:cs="Times New Roman"/>
          <w:iCs/>
          <w:sz w:val="32"/>
          <w:szCs w:val="32"/>
        </w:rPr>
        <w:t>本标准为补充行政审批配套标准，属于强制性标准，与现行的法律法规和标准要求相一致，不存在交叉与重复。本标准进一步明确了陆上石油天然气开采建设项目安全设施设计关注的要点，给出了防火、防爆、防毒、防雷、防静电的推荐标准，可以指导陆上油气生产单位安全设施设计符合法律法规要求，同时也为安全监管部门的安全设施设计审查提供支撑。</w:t>
      </w:r>
    </w:p>
    <w:p w14:paraId="40BB0614">
      <w:pPr>
        <w:widowControl/>
        <w:numPr>
          <w:ilvl w:val="0"/>
          <w:numId w:val="50"/>
        </w:numPr>
        <w:spacing w:line="560" w:lineRule="exact"/>
        <w:ind w:firstLine="640" w:firstLineChars="200"/>
        <w:outlineLvl w:val="0"/>
        <w:rPr>
          <w:rFonts w:hint="eastAsia" w:ascii="黑体" w:hAnsi="黑体" w:eastAsia="黑体" w:cs="Times New Roman"/>
          <w:color w:val="000000"/>
          <w:sz w:val="32"/>
          <w:szCs w:val="32"/>
        </w:rPr>
      </w:pPr>
      <w:bookmarkStart w:id="398" w:name="_Toc193375462"/>
      <w:bookmarkStart w:id="399" w:name="_Toc193319248"/>
      <w:r>
        <w:rPr>
          <w:rFonts w:hint="eastAsia" w:ascii="黑体" w:hAnsi="黑体" w:eastAsia="黑体" w:cs="Times New Roman"/>
          <w:color w:val="000000"/>
          <w:sz w:val="32"/>
          <w:szCs w:val="32"/>
        </w:rPr>
        <w:t>重大分歧意见的处理过程及依据</w:t>
      </w:r>
      <w:bookmarkEnd w:id="398"/>
      <w:bookmarkEnd w:id="399"/>
    </w:p>
    <w:p w14:paraId="37D64CD5">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Times New Roman" w:eastAsia="仿宋_GB2312" w:cs="Times New Roman"/>
          <w:color w:val="000000"/>
          <w:sz w:val="32"/>
          <w:szCs w:val="32"/>
          <w:shd w:val="clear" w:color="auto" w:fill="FFFFFF"/>
        </w:rPr>
        <w:t>无。</w:t>
      </w:r>
    </w:p>
    <w:p w14:paraId="49298F24">
      <w:pPr>
        <w:widowControl/>
        <w:numPr>
          <w:ilvl w:val="0"/>
          <w:numId w:val="50"/>
        </w:numPr>
        <w:spacing w:line="560" w:lineRule="exact"/>
        <w:ind w:firstLine="640" w:firstLineChars="200"/>
        <w:outlineLvl w:val="0"/>
        <w:rPr>
          <w:rFonts w:hint="eastAsia" w:ascii="黑体" w:hAnsi="黑体" w:eastAsia="黑体" w:cs="Times New Roman"/>
          <w:color w:val="000000"/>
          <w:sz w:val="32"/>
          <w:szCs w:val="32"/>
        </w:rPr>
      </w:pPr>
      <w:bookmarkStart w:id="400" w:name="_Toc193319249"/>
      <w:bookmarkStart w:id="401" w:name="_Toc193375463"/>
      <w:r>
        <w:rPr>
          <w:rFonts w:hint="eastAsia" w:ascii="黑体" w:hAnsi="黑体" w:eastAsia="黑体" w:cs="Times New Roman"/>
          <w:color w:val="000000"/>
          <w:sz w:val="32"/>
          <w:szCs w:val="32"/>
        </w:rPr>
        <w:t>作为强制性标准或推荐性标准的建议及理由</w:t>
      </w:r>
      <w:bookmarkEnd w:id="400"/>
      <w:bookmarkEnd w:id="401"/>
    </w:p>
    <w:p w14:paraId="1209E281">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Times New Roman" w:eastAsia="仿宋_GB2312" w:cs="Times New Roman"/>
          <w:color w:val="000000"/>
          <w:sz w:val="32"/>
          <w:szCs w:val="32"/>
          <w:shd w:val="clear" w:color="auto" w:fill="FFFFFF"/>
        </w:rPr>
        <w:t>建议本文件为强制性标准。</w:t>
      </w:r>
    </w:p>
    <w:p w14:paraId="6399D1F0">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Times New Roman" w:eastAsia="仿宋_GB2312" w:cs="Times New Roman"/>
          <w:color w:val="000000"/>
          <w:sz w:val="32"/>
          <w:szCs w:val="32"/>
          <w:shd w:val="clear" w:color="auto" w:fill="FFFFFF"/>
        </w:rPr>
        <w:t>依据《安全生产法》第三十一条、三十三条、九十八条要求，生产经营单位新建、改建、扩建工程项目的安全设施，必须与主体工程同时设计、同时施工、同时投入生产和使用；建设项目的安全设施设计应当按照国家有关规定报经有关部门审查。建设项目没有安全设施设计或者安全设施设计未按照规定报经有关部门审查同意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建设项目安全设施“三同时”监督管理办法》第十二条规定，建设项目安全设施设计完成后，生产经营单位应向安全生产监督管理部门提出审查申请。第十四条规定建设项目安全设施设计未委托具有相应资质的设计单位进行设计的、设计内容不符合有关安全生产的法律、法规、规章和国家标准或者行业标准、技术规范的规定的，不予批准，并不得开工建设。</w:t>
      </w:r>
    </w:p>
    <w:p w14:paraId="3E8B10D4">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Times New Roman" w:eastAsia="仿宋_GB2312" w:cs="Times New Roman"/>
          <w:color w:val="000000"/>
          <w:sz w:val="32"/>
          <w:szCs w:val="32"/>
          <w:shd w:val="clear" w:color="auto" w:fill="FFFFFF"/>
        </w:rPr>
        <w:t>通过本标准的实施可进一步规范陆上石油天然气开采建设项目（天然气处理厂）安全设计的内容、要求和深度，明确安全设施设计的推荐标准，提升主管部门油气田安全设施设计专篇的审查质量和工作效率，保障油气生产设施的安全平稳运行。</w:t>
      </w:r>
    </w:p>
    <w:p w14:paraId="2A37AAE5">
      <w:pPr>
        <w:widowControl/>
        <w:numPr>
          <w:ilvl w:val="0"/>
          <w:numId w:val="50"/>
        </w:numPr>
        <w:spacing w:line="560" w:lineRule="exact"/>
        <w:ind w:firstLine="640" w:firstLineChars="200"/>
        <w:outlineLvl w:val="0"/>
        <w:rPr>
          <w:rFonts w:hint="eastAsia" w:ascii="黑体" w:hAnsi="黑体" w:eastAsia="黑体" w:cs="Times New Roman"/>
          <w:color w:val="000000"/>
          <w:sz w:val="32"/>
          <w:szCs w:val="32"/>
        </w:rPr>
      </w:pPr>
      <w:bookmarkStart w:id="402" w:name="_Toc193375464"/>
      <w:bookmarkStart w:id="403" w:name="_Toc193319250"/>
      <w:r>
        <w:rPr>
          <w:rFonts w:hint="eastAsia" w:ascii="黑体" w:hAnsi="黑体" w:eastAsia="黑体" w:cs="Times New Roman"/>
          <w:color w:val="000000"/>
          <w:sz w:val="32"/>
          <w:szCs w:val="32"/>
        </w:rPr>
        <w:t>标准自发布日期至实施日期的过渡期建议及理由</w:t>
      </w:r>
      <w:bookmarkEnd w:id="402"/>
      <w:bookmarkEnd w:id="403"/>
    </w:p>
    <w:p w14:paraId="61BA518D">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Times New Roman" w:eastAsia="仿宋_GB2312" w:cs="Times New Roman"/>
          <w:color w:val="000000"/>
          <w:sz w:val="32"/>
          <w:szCs w:val="32"/>
          <w:shd w:val="clear" w:color="auto" w:fill="FFFFFF"/>
        </w:rPr>
        <w:t>建议实施过渡期为6个月。</w:t>
      </w:r>
    </w:p>
    <w:p w14:paraId="4579E388">
      <w:pPr>
        <w:adjustRightInd w:val="0"/>
        <w:spacing w:line="560" w:lineRule="exact"/>
        <w:ind w:firstLine="640" w:firstLineChars="200"/>
        <w:rPr>
          <w:rFonts w:ascii="仿宋_GB2312" w:hAnsi="Times New Roman" w:eastAsia="仿宋_GB2312" w:cs="Times New Roman"/>
          <w:color w:val="000000"/>
          <w:sz w:val="32"/>
          <w:szCs w:val="32"/>
          <w:shd w:val="clear" w:color="auto" w:fill="FFFFFF"/>
        </w:rPr>
      </w:pPr>
      <w:r>
        <w:rPr>
          <w:rFonts w:hint="eastAsia" w:ascii="仿宋_GB2312" w:hAnsi="Times New Roman" w:eastAsia="仿宋_GB2312" w:cs="Times New Roman"/>
          <w:color w:val="000000"/>
          <w:sz w:val="32"/>
          <w:szCs w:val="32"/>
          <w:shd w:val="clear" w:color="auto" w:fill="FFFFFF"/>
        </w:rPr>
        <w:t>标准发布后，标委会或标准起草单位应及时组织标准宣贯，建议对建设单位、设计单位等相关单位进行宣贯，以便相关人员能够更好理解标准技术内容。积极推进企业主体责任的落实，督导相关企业积极落实本标准要求。通过设置过渡期，可以确保标准在实施之前得到广泛的宣传和推广，使建设单位和设计单位有足够的时间来适应和遵守新标准的要求，从而确保标准的顺利实施。</w:t>
      </w:r>
    </w:p>
    <w:p w14:paraId="22478CD0">
      <w:pPr>
        <w:adjustRightInd w:val="0"/>
        <w:spacing w:line="560" w:lineRule="exact"/>
        <w:ind w:firstLine="640" w:firstLineChars="200"/>
        <w:rPr>
          <w:rFonts w:ascii="Arial" w:hAnsi="Arial" w:eastAsia="Arial" w:cs="Arial"/>
          <w:color w:val="000000"/>
          <w:sz w:val="14"/>
          <w:szCs w:val="14"/>
        </w:rPr>
      </w:pPr>
      <w:r>
        <w:rPr>
          <w:rFonts w:hint="eastAsia" w:ascii="仿宋_GB2312" w:hAnsi="Times New Roman" w:eastAsia="仿宋_GB2312" w:cs="Times New Roman"/>
          <w:color w:val="000000"/>
          <w:sz w:val="32"/>
          <w:szCs w:val="32"/>
          <w:shd w:val="clear" w:color="auto" w:fill="FFFFFF"/>
        </w:rPr>
        <w:t>综上所述，建议的6个月过渡期旨在平衡新标准的推广实施与建设单位和设计单位的适应时间，确保新标准的有效执行，同时减少不必要的工作消耗。</w:t>
      </w:r>
      <w:r>
        <w:rPr>
          <w:rFonts w:ascii="Arial" w:hAnsi="Arial" w:eastAsia="Arial" w:cs="Arial"/>
          <w:color w:val="000000"/>
          <w:sz w:val="14"/>
          <w:szCs w:val="14"/>
          <w:shd w:val="clear" w:color="auto" w:fill="FFFFFF"/>
        </w:rPr>
        <w:t>‌</w:t>
      </w:r>
    </w:p>
    <w:p w14:paraId="1D0367CE">
      <w:pPr>
        <w:widowControl/>
        <w:numPr>
          <w:ilvl w:val="0"/>
          <w:numId w:val="50"/>
        </w:numPr>
        <w:spacing w:line="560" w:lineRule="exact"/>
        <w:ind w:firstLine="640" w:firstLineChars="200"/>
        <w:outlineLvl w:val="0"/>
        <w:rPr>
          <w:rFonts w:hint="eastAsia" w:ascii="宋体" w:hAnsi="宋体" w:eastAsia="黑体" w:cs="Times New Roman"/>
          <w:color w:val="000000"/>
          <w:sz w:val="32"/>
          <w:szCs w:val="32"/>
        </w:rPr>
      </w:pPr>
      <w:bookmarkStart w:id="404" w:name="_Toc193375465"/>
      <w:bookmarkStart w:id="405" w:name="_Toc193319251"/>
      <w:r>
        <w:rPr>
          <w:rFonts w:hint="eastAsia" w:ascii="宋体" w:hAnsi="宋体" w:eastAsia="黑体" w:cs="Times New Roman"/>
          <w:color w:val="000000"/>
          <w:sz w:val="32"/>
          <w:szCs w:val="32"/>
        </w:rPr>
        <w:t>与实施</w:t>
      </w:r>
      <w:r>
        <w:rPr>
          <w:rFonts w:hint="eastAsia" w:ascii="黑体" w:hAnsi="黑体" w:eastAsia="黑体" w:cs="Times New Roman"/>
          <w:color w:val="000000"/>
          <w:sz w:val="32"/>
          <w:szCs w:val="32"/>
        </w:rPr>
        <w:t>标准</w:t>
      </w:r>
      <w:r>
        <w:rPr>
          <w:rFonts w:hint="eastAsia" w:ascii="宋体" w:hAnsi="宋体" w:eastAsia="黑体" w:cs="Times New Roman"/>
          <w:color w:val="000000"/>
          <w:sz w:val="32"/>
          <w:szCs w:val="32"/>
        </w:rPr>
        <w:t>有关的政策措施</w:t>
      </w:r>
      <w:bookmarkEnd w:id="404"/>
      <w:bookmarkEnd w:id="405"/>
    </w:p>
    <w:p w14:paraId="5239B641">
      <w:pPr>
        <w:adjustRightInd w:val="0"/>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本标准符合国家现行法律、法规、规章和强制性标准的要求，对于规范国内设计企业提高本质安全设计水平，预防避免发生重大安全事故的发生有重要作用。</w:t>
      </w:r>
    </w:p>
    <w:p w14:paraId="27C6F592">
      <w:pPr>
        <w:adjustRightInd w:val="0"/>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本标准制定以《中华人民共和国安全生产法》《建设项目安全设施“三同时”监督管理办法》等作为违反标准行为进行处理的法律法规规章依据。具体条款如下：</w:t>
      </w:r>
    </w:p>
    <w:p w14:paraId="5CAB26FB">
      <w:pPr>
        <w:adjustRightInd w:val="0"/>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（一）《中华人民共和国安全生产法》</w:t>
      </w:r>
    </w:p>
    <w:p w14:paraId="55C07583">
      <w:pPr>
        <w:adjustRightInd w:val="0"/>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第三十一条 生产经营单位新建、改建、扩建工程项目（以下统称建设项目）的安全设施，必须与主体工程同时设计、同时施工、同时投入生产和使用。安全设施投资应当纳入建设项目概算。</w:t>
      </w:r>
    </w:p>
    <w:p w14:paraId="17C2363C">
      <w:pPr>
        <w:adjustRightInd w:val="0"/>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第三十三条 建设项目安全设施的设计人、设计单位应当对安全设施设计负责。矿山、金属冶炼建设项目和用于生产、储存、装卸危险物品的建设项目的安全设施设计应当按照国家有关规定报经有关部门审查，审查部门及其负责审查的人员对审查结果负责。</w:t>
      </w:r>
    </w:p>
    <w:p w14:paraId="0FEA0B18">
      <w:pPr>
        <w:adjustRightInd w:val="0"/>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（二）《建设项目安全设施“三同时”监督管理办法》（原国家安全生产监督管理总局令第36号）</w:t>
      </w:r>
    </w:p>
    <w:p w14:paraId="3F652082">
      <w:pPr>
        <w:adjustRightInd w:val="0"/>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第十条 生产经营单位在建设项目初步设计时，应当委托有相应资质的设计单位对建设项目安全设施同时进行设计，编制安全设施设计；</w:t>
      </w:r>
    </w:p>
    <w:p w14:paraId="2E4FC294">
      <w:pPr>
        <w:adjustRightInd w:val="0"/>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74CD6713">
      <w:pPr>
        <w:adjustRightInd w:val="0"/>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安全设施设计单位、设计人应当对其编制的设计文件负责。</w:t>
      </w:r>
    </w:p>
    <w:p w14:paraId="0CFFBF67">
      <w:pPr>
        <w:widowControl/>
        <w:numPr>
          <w:ilvl w:val="0"/>
          <w:numId w:val="50"/>
        </w:numPr>
        <w:spacing w:line="560" w:lineRule="exact"/>
        <w:ind w:firstLine="640" w:firstLineChars="200"/>
        <w:outlineLvl w:val="0"/>
        <w:rPr>
          <w:rFonts w:hint="eastAsia" w:ascii="宋体" w:hAnsi="宋体" w:eastAsia="黑体" w:cs="Times New Roman"/>
          <w:color w:val="000000"/>
          <w:sz w:val="32"/>
          <w:szCs w:val="32"/>
        </w:rPr>
      </w:pPr>
      <w:bookmarkStart w:id="406" w:name="_Toc193375466"/>
      <w:bookmarkStart w:id="407" w:name="_Toc193319252"/>
      <w:r>
        <w:rPr>
          <w:rFonts w:hint="eastAsia" w:ascii="宋体" w:hAnsi="宋体" w:eastAsia="黑体" w:cs="Times New Roman"/>
          <w:color w:val="000000"/>
          <w:sz w:val="32"/>
          <w:szCs w:val="32"/>
        </w:rPr>
        <w:t>是否需要对外通报的建议及理由。</w:t>
      </w:r>
      <w:bookmarkEnd w:id="406"/>
      <w:bookmarkEnd w:id="407"/>
    </w:p>
    <w:p w14:paraId="4FD41B40">
      <w:pPr>
        <w:adjustRightInd w:val="0"/>
        <w:spacing w:line="560" w:lineRule="exact"/>
        <w:ind w:firstLine="640" w:firstLineChars="200"/>
        <w:rPr>
          <w:rFonts w:hint="eastAsia" w:ascii="宋体" w:hAnsi="宋体" w:eastAsia="仿宋_GB2312" w:cs="Times New Roman"/>
          <w:color w:val="000000"/>
          <w:sz w:val="32"/>
          <w:szCs w:val="32"/>
        </w:rPr>
      </w:pPr>
      <w:r>
        <w:rPr>
          <w:rFonts w:hint="eastAsia" w:ascii="宋体" w:hAnsi="宋体" w:eastAsia="仿宋_GB2312" w:cs="Times New Roman"/>
          <w:sz w:val="32"/>
          <w:szCs w:val="32"/>
          <w:shd w:val="clear" w:color="auto" w:fill="FFFFFF"/>
        </w:rPr>
        <w:t>本文件不需要</w:t>
      </w:r>
      <w:r>
        <w:rPr>
          <w:rFonts w:hint="eastAsia" w:ascii="宋体" w:hAnsi="宋体" w:eastAsia="仿宋_GB2312" w:cs="Times New Roman"/>
          <w:color w:val="000000"/>
          <w:sz w:val="32"/>
          <w:szCs w:val="32"/>
        </w:rPr>
        <w:t>对外通报。</w:t>
      </w:r>
    </w:p>
    <w:p w14:paraId="0C03DD43">
      <w:pPr>
        <w:widowControl/>
        <w:numPr>
          <w:ilvl w:val="0"/>
          <w:numId w:val="50"/>
        </w:numPr>
        <w:spacing w:line="560" w:lineRule="exact"/>
        <w:ind w:firstLine="640" w:firstLineChars="200"/>
        <w:outlineLvl w:val="0"/>
        <w:rPr>
          <w:rFonts w:hint="eastAsia" w:ascii="宋体" w:hAnsi="宋体" w:eastAsia="黑体" w:cs="Times New Roman"/>
          <w:color w:val="000000"/>
          <w:sz w:val="32"/>
          <w:szCs w:val="32"/>
        </w:rPr>
      </w:pPr>
      <w:bookmarkStart w:id="408" w:name="_Toc193375467"/>
      <w:bookmarkStart w:id="409" w:name="_Toc193319253"/>
      <w:r>
        <w:rPr>
          <w:rFonts w:ascii="宋体" w:hAnsi="宋体" w:eastAsia="黑体" w:cs="Times New Roman"/>
          <w:color w:val="000000"/>
          <w:sz w:val="32"/>
          <w:szCs w:val="32"/>
        </w:rPr>
        <w:t>废止现行有关标准的建议</w:t>
      </w:r>
      <w:bookmarkEnd w:id="408"/>
      <w:bookmarkEnd w:id="409"/>
    </w:p>
    <w:p w14:paraId="7BA68807">
      <w:pPr>
        <w:adjustRightInd w:val="0"/>
        <w:spacing w:line="560" w:lineRule="exact"/>
        <w:ind w:firstLine="640" w:firstLineChars="200"/>
        <w:rPr>
          <w:rFonts w:hint="eastAsia" w:ascii="宋体" w:hAnsi="宋体" w:eastAsia="仿宋_GB2312" w:cs="Times New Roman"/>
          <w:i/>
          <w:iCs/>
          <w:color w:val="000000"/>
          <w:sz w:val="32"/>
          <w:szCs w:val="32"/>
        </w:rPr>
      </w:pPr>
      <w:r>
        <w:rPr>
          <w:rFonts w:hint="eastAsia" w:ascii="宋体" w:hAnsi="宋体" w:eastAsia="仿宋_GB2312" w:cs="Times New Roman"/>
          <w:color w:val="000000"/>
          <w:sz w:val="32"/>
          <w:szCs w:val="32"/>
        </w:rPr>
        <w:t>无。</w:t>
      </w:r>
    </w:p>
    <w:p w14:paraId="656A032D">
      <w:pPr>
        <w:widowControl/>
        <w:numPr>
          <w:ilvl w:val="0"/>
          <w:numId w:val="50"/>
        </w:numPr>
        <w:spacing w:line="560" w:lineRule="exact"/>
        <w:ind w:firstLine="640" w:firstLineChars="200"/>
        <w:outlineLvl w:val="0"/>
        <w:rPr>
          <w:rFonts w:hint="eastAsia" w:ascii="宋体" w:hAnsi="宋体" w:eastAsia="黑体" w:cs="Times New Roman"/>
          <w:color w:val="000000"/>
          <w:sz w:val="32"/>
          <w:szCs w:val="32"/>
        </w:rPr>
      </w:pPr>
      <w:bookmarkStart w:id="410" w:name="_Toc193375468"/>
      <w:bookmarkStart w:id="411" w:name="_Toc193319254"/>
      <w:r>
        <w:rPr>
          <w:rFonts w:hint="eastAsia" w:ascii="宋体" w:hAnsi="宋体" w:eastAsia="黑体" w:cs="Times New Roman"/>
          <w:color w:val="000000"/>
          <w:sz w:val="32"/>
          <w:szCs w:val="32"/>
        </w:rPr>
        <w:t>涉及专利的有关说明</w:t>
      </w:r>
      <w:bookmarkEnd w:id="410"/>
      <w:bookmarkEnd w:id="411"/>
    </w:p>
    <w:p w14:paraId="6A773602">
      <w:pPr>
        <w:adjustRightInd w:val="0"/>
        <w:spacing w:line="560" w:lineRule="exact"/>
        <w:ind w:firstLine="640" w:firstLineChars="200"/>
        <w:rPr>
          <w:rFonts w:hint="eastAsia" w:ascii="宋体" w:hAnsi="宋体" w:eastAsia="仿宋_GB2312" w:cs="Times New Roman"/>
          <w:color w:val="000000"/>
          <w:sz w:val="32"/>
          <w:szCs w:val="32"/>
        </w:rPr>
      </w:pPr>
      <w:r>
        <w:rPr>
          <w:rFonts w:hint="eastAsia" w:ascii="宋体" w:hAnsi="宋体" w:eastAsia="仿宋_GB2312" w:cs="Times New Roman"/>
          <w:color w:val="000000"/>
          <w:sz w:val="32"/>
          <w:szCs w:val="32"/>
        </w:rPr>
        <w:t>本标准未涉及相关专利。</w:t>
      </w:r>
    </w:p>
    <w:p w14:paraId="5CCE2D44">
      <w:pPr>
        <w:widowControl/>
        <w:numPr>
          <w:ilvl w:val="0"/>
          <w:numId w:val="50"/>
        </w:numPr>
        <w:spacing w:line="560" w:lineRule="exact"/>
        <w:ind w:firstLine="640" w:firstLineChars="200"/>
        <w:outlineLvl w:val="0"/>
        <w:rPr>
          <w:rFonts w:hint="eastAsia" w:ascii="宋体" w:hAnsi="宋体" w:eastAsia="黑体" w:cs="Times New Roman"/>
          <w:color w:val="000000"/>
          <w:sz w:val="32"/>
          <w:szCs w:val="32"/>
        </w:rPr>
      </w:pPr>
      <w:bookmarkStart w:id="412" w:name="_Toc193375469"/>
      <w:bookmarkStart w:id="413" w:name="_Toc193319255"/>
      <w:r>
        <w:rPr>
          <w:rFonts w:hint="eastAsia" w:ascii="宋体" w:hAnsi="宋体" w:eastAsia="黑体" w:cs="Times New Roman"/>
          <w:color w:val="000000"/>
          <w:sz w:val="32"/>
          <w:szCs w:val="32"/>
        </w:rPr>
        <w:t>标准所涉及的产品、过程或者服务目录</w:t>
      </w:r>
      <w:bookmarkEnd w:id="412"/>
      <w:bookmarkEnd w:id="413"/>
    </w:p>
    <w:p w14:paraId="5FA85D66">
      <w:pPr>
        <w:adjustRightInd w:val="0"/>
        <w:spacing w:line="560" w:lineRule="exact"/>
        <w:ind w:firstLine="640" w:firstLineChars="200"/>
        <w:rPr>
          <w:rFonts w:hint="eastAsia" w:ascii="宋体" w:hAnsi="宋体" w:eastAsia="仿宋_GB2312" w:cs="Times New Roman"/>
          <w:color w:val="000000"/>
          <w:sz w:val="32"/>
          <w:szCs w:val="32"/>
        </w:rPr>
      </w:pPr>
      <w:r>
        <w:rPr>
          <w:rFonts w:ascii="宋体" w:hAnsi="宋体" w:eastAsia="仿宋_GB2312" w:cs="Times New Roman"/>
          <w:sz w:val="32"/>
          <w:szCs w:val="32"/>
          <w:shd w:val="clear" w:color="auto" w:fill="FFFFFF"/>
        </w:rPr>
        <w:t>标准所涉及的产品、过程或者服务目录主要有：陆上石油天然气开采建设项目（</w:t>
      </w:r>
      <w:r>
        <w:rPr>
          <w:rFonts w:hint="eastAsia" w:ascii="宋体" w:hAnsi="宋体" w:eastAsia="仿宋_GB2312" w:cs="Times New Roman"/>
          <w:sz w:val="32"/>
          <w:szCs w:val="32"/>
          <w:shd w:val="clear" w:color="auto" w:fill="FFFFFF"/>
        </w:rPr>
        <w:t>天然气处理厂</w:t>
      </w:r>
      <w:r>
        <w:rPr>
          <w:rFonts w:ascii="宋体" w:hAnsi="宋体" w:eastAsia="仿宋_GB2312" w:cs="Times New Roman"/>
          <w:sz w:val="32"/>
          <w:szCs w:val="32"/>
          <w:shd w:val="clear" w:color="auto" w:fill="FFFFFF"/>
        </w:rPr>
        <w:t>）安全设施设计的编制内容</w:t>
      </w:r>
      <w:r>
        <w:rPr>
          <w:rFonts w:hint="eastAsia" w:ascii="宋体" w:hAnsi="宋体" w:eastAsia="仿宋_GB2312" w:cs="Times New Roman"/>
          <w:color w:val="000000"/>
          <w:sz w:val="32"/>
          <w:szCs w:val="32"/>
        </w:rPr>
        <w:t>。</w:t>
      </w:r>
    </w:p>
    <w:p w14:paraId="3FB9FB9E">
      <w:pPr>
        <w:widowControl/>
        <w:numPr>
          <w:ilvl w:val="0"/>
          <w:numId w:val="50"/>
        </w:numPr>
        <w:spacing w:line="560" w:lineRule="exact"/>
        <w:ind w:firstLine="640" w:firstLineChars="200"/>
        <w:outlineLvl w:val="0"/>
        <w:rPr>
          <w:rFonts w:hint="eastAsia" w:ascii="宋体" w:hAnsi="宋体" w:eastAsia="黑体" w:cs="Times New Roman"/>
          <w:color w:val="000000"/>
          <w:sz w:val="32"/>
          <w:szCs w:val="32"/>
        </w:rPr>
      </w:pPr>
      <w:bookmarkStart w:id="414" w:name="_Toc193375470"/>
      <w:bookmarkStart w:id="415" w:name="_Toc193319256"/>
      <w:r>
        <w:rPr>
          <w:rFonts w:hint="eastAsia" w:ascii="宋体" w:hAnsi="宋体" w:eastAsia="黑体" w:cs="Times New Roman"/>
          <w:color w:val="000000"/>
          <w:sz w:val="32"/>
          <w:szCs w:val="32"/>
        </w:rPr>
        <w:t>其他</w:t>
      </w:r>
      <w:r>
        <w:rPr>
          <w:rFonts w:ascii="宋体" w:hAnsi="宋体" w:eastAsia="黑体" w:cs="Times New Roman"/>
          <w:color w:val="000000"/>
          <w:sz w:val="32"/>
          <w:szCs w:val="32"/>
        </w:rPr>
        <w:t>应予以说明的事项</w:t>
      </w:r>
      <w:bookmarkEnd w:id="414"/>
      <w:bookmarkEnd w:id="415"/>
    </w:p>
    <w:p w14:paraId="65B5C3B3">
      <w:pPr>
        <w:adjustRightInd w:val="0"/>
        <w:spacing w:line="560" w:lineRule="exact"/>
        <w:ind w:firstLine="640" w:firstLineChars="200"/>
        <w:rPr>
          <w:rFonts w:hint="eastAsia" w:ascii="宋体" w:hAnsi="宋体" w:eastAsia="仿宋_GB2312" w:cs="Times New Roman"/>
          <w:color w:val="000000"/>
          <w:sz w:val="32"/>
          <w:szCs w:val="32"/>
        </w:rPr>
      </w:pPr>
      <w:r>
        <w:rPr>
          <w:rFonts w:hint="eastAsia" w:ascii="宋体" w:hAnsi="宋体" w:eastAsia="仿宋_GB2312" w:cs="Times New Roman"/>
          <w:color w:val="000000"/>
          <w:sz w:val="32"/>
          <w:szCs w:val="32"/>
        </w:rPr>
        <w:t>无。</w:t>
      </w:r>
    </w:p>
    <w:bookmarkEnd w:id="388"/>
    <w:bookmarkEnd w:id="389"/>
    <w:p w14:paraId="67B0F2CB">
      <w:pPr>
        <w:spacing w:line="560" w:lineRule="exact"/>
        <w:ind w:firstLine="420" w:firstLineChars="200"/>
      </w:pPr>
    </w:p>
    <w:sectPr>
      <w:footerReference r:id="rId27" w:type="default"/>
      <w:footerReference r:id="rId28" w:type="even"/>
      <w:pgSz w:w="11906" w:h="16838"/>
      <w:pgMar w:top="1701" w:right="1474" w:bottom="147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华文宋体">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BD8F2">
    <w:pPr>
      <w:pStyle w:val="51"/>
      <w:ind w:right="360" w:firstLine="360"/>
      <w:rPr>
        <w:rStyle w:val="5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19053">
    <w:pPr>
      <w:pStyle w:val="19"/>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2E619">
                          <w:pPr>
                            <w:pStyle w:val="1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6A52E619">
                    <w:pPr>
                      <w:pStyle w:val="1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53A6B">
    <w:pPr>
      <w:pStyle w:val="51"/>
      <w:spacing w:before="0"/>
      <w:rPr>
        <w:rStyle w:val="52"/>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E9782">
                          <w:pPr>
                            <w:pStyle w:val="19"/>
                          </w:pPr>
                          <w:r>
                            <w:fldChar w:fldCharType="begin"/>
                          </w:r>
                          <w:r>
                            <w:instrText xml:space="preserve"> PAGE  \* MERGEFORMAT </w:instrText>
                          </w:r>
                          <w:r>
                            <w:fldChar w:fldCharType="separate"/>
                          </w:r>
                          <w:r>
                            <w:t>XXVII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D4E9782">
                    <w:pPr>
                      <w:pStyle w:val="19"/>
                    </w:pPr>
                    <w:r>
                      <w:fldChar w:fldCharType="begin"/>
                    </w:r>
                    <w:r>
                      <w:instrText xml:space="preserve"> PAGE  \* MERGEFORMAT </w:instrText>
                    </w:r>
                    <w:r>
                      <w:fldChar w:fldCharType="separate"/>
                    </w:r>
                    <w:r>
                      <w:t>XXVII</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358D6">
    <w:pPr>
      <w:pStyle w:val="19"/>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86ECD">
                          <w:pPr>
                            <w:pStyle w:val="1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0486ECD">
                    <w:pPr>
                      <w:pStyle w:val="1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980B8">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F93D2">
                          <w:pPr>
                            <w:pStyle w:val="19"/>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B2F93D2">
                    <w:pPr>
                      <w:pStyle w:val="19"/>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534E8">
    <w:pPr>
      <w:pStyle w:val="51"/>
      <w:ind w:right="360" w:firstLine="360"/>
      <w:rPr>
        <w:rStyle w:val="5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B601E">
                          <w:pPr>
                            <w:pStyle w:val="19"/>
                          </w:pPr>
                          <w:r>
                            <w:fldChar w:fldCharType="begin"/>
                          </w:r>
                          <w:r>
                            <w:instrText xml:space="preserve"> PAGE  \* MERGEFORMAT </w:instrText>
                          </w:r>
                          <w:r>
                            <w:fldChar w:fldCharType="separate"/>
                          </w:r>
                          <w:r>
                            <w:t>VII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5B3B601E">
                    <w:pPr>
                      <w:pStyle w:val="19"/>
                    </w:pPr>
                    <w:r>
                      <w:fldChar w:fldCharType="begin"/>
                    </w:r>
                    <w:r>
                      <w:instrText xml:space="preserve"> PAGE  \* MERGEFORMAT </w:instrText>
                    </w:r>
                    <w:r>
                      <w:fldChar w:fldCharType="separate"/>
                    </w:r>
                    <w:r>
                      <w:t>VII</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4372D">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EDE9C">
                          <w:pPr>
                            <w:pStyle w:val="19"/>
                          </w:pPr>
                          <w:r>
                            <w:fldChar w:fldCharType="begin"/>
                          </w:r>
                          <w:r>
                            <w:instrText xml:space="preserve"> PAGE  \* MERGEFORMAT </w:instrText>
                          </w:r>
                          <w:r>
                            <w:fldChar w:fldCharType="separate"/>
                          </w:r>
                          <w:r>
                            <w:t>VI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003EDE9C">
                    <w:pPr>
                      <w:pStyle w:val="19"/>
                    </w:pPr>
                    <w:r>
                      <w:fldChar w:fldCharType="begin"/>
                    </w:r>
                    <w:r>
                      <w:instrText xml:space="preserve"> PAGE  \* MERGEFORMAT </w:instrText>
                    </w:r>
                    <w:r>
                      <w:fldChar w:fldCharType="separate"/>
                    </w:r>
                    <w:r>
                      <w:t>VI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241F9">
    <w:pPr>
      <w:pStyle w:val="19"/>
      <w:framePr w:wrap="around" w:vAnchor="text" w:hAnchor="margin" w:xAlign="outside" w:yAlign="top"/>
    </w:pPr>
    <w:r>
      <w:fldChar w:fldCharType="begin"/>
    </w:r>
    <w:r>
      <w:rPr>
        <w:rStyle w:val="28"/>
      </w:rPr>
      <w:instrText xml:space="preserve"> PAGE  </w:instrText>
    </w:r>
    <w:r>
      <w:fldChar w:fldCharType="separate"/>
    </w:r>
    <w:r>
      <w:rPr>
        <w:rStyle w:val="28"/>
      </w:rPr>
      <w:t>1</w:t>
    </w:r>
    <w:r>
      <w:fldChar w:fldCharType="end"/>
    </w:r>
  </w:p>
  <w:p w14:paraId="3F2DE7F7">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4F29B">
    <w:pPr>
      <w:pStyle w:val="51"/>
      <w:ind w:right="360" w:firstLine="360"/>
      <w:rPr>
        <w:rStyle w:val="5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B4987">
                          <w:pPr>
                            <w:pStyle w:val="19"/>
                            <w:rPr>
                              <w:rFonts w:hint="eastAsia" w:ascii="宋体" w:hAnsi="宋体" w:eastAsia="宋体" w:cs="宋体"/>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III</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0C3B4987">
                    <w:pPr>
                      <w:pStyle w:val="19"/>
                      <w:rPr>
                        <w:rFonts w:hint="eastAsia" w:ascii="宋体" w:hAnsi="宋体" w:eastAsia="宋体" w:cs="宋体"/>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III</w:t>
                    </w:r>
                    <w:r>
                      <w:rPr>
                        <w:rFonts w:hint="eastAsia" w:ascii="宋体" w:hAnsi="宋体" w:eastAsia="宋体" w:cs="宋体"/>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BACC4">
    <w:pPr>
      <w:pStyle w:val="19"/>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92A87">
                          <w:pPr>
                            <w:pStyle w:val="19"/>
                            <w:rPr>
                              <w:rFonts w:ascii="Times New Roman" w:hAnsi="Times New Roman" w:cs="Times New Roman"/>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47C92A87">
                    <w:pPr>
                      <w:pStyle w:val="19"/>
                      <w:rPr>
                        <w:rFonts w:ascii="Times New Roman" w:hAnsi="Times New Roman" w:cs="Times New Roman"/>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C3AFC">
    <w:pPr>
      <w:pStyle w:val="51"/>
      <w:ind w:right="360" w:firstLine="360"/>
      <w:rPr>
        <w:rStyle w:val="52"/>
        <w:rFonts w:hint="eastAsia" w:ascii="宋体" w:hAnsi="宋体" w:cs="宋体"/>
      </w:rPr>
    </w:pPr>
    <w:r>
      <w:rPr>
        <w:rFonts w:hint="eastAsia" w:ascii="宋体" w:hAnsi="宋体" w:cs="宋体"/>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8DF0B">
                          <w:pPr>
                            <w:pStyle w:val="19"/>
                            <w:rPr>
                              <w:rFonts w:hint="eastAsia" w:ascii="宋体" w:hAnsi="宋体" w:eastAsia="宋体" w:cs="宋体"/>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III</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6348DF0B">
                    <w:pPr>
                      <w:pStyle w:val="19"/>
                      <w:rPr>
                        <w:rFonts w:hint="eastAsia" w:ascii="宋体" w:hAnsi="宋体" w:eastAsia="宋体" w:cs="宋体"/>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III</w:t>
                    </w:r>
                    <w:r>
                      <w:rPr>
                        <w:rFonts w:hint="eastAsia" w:ascii="宋体" w:hAnsi="宋体" w:eastAsia="宋体" w:cs="宋体"/>
                        <w:sz w:val="21"/>
                        <w:szCs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B98D">
    <w:pPr>
      <w:pStyle w:val="19"/>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59776A">
                          <w:pPr>
                            <w:pStyle w:val="1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3A59776A">
                    <w:pPr>
                      <w:pStyle w:val="1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851D6">
    <w:pPr>
      <w:pStyle w:val="19"/>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360045" cy="154940"/>
              <wp:effectExtent l="0" t="0" r="0" b="0"/>
              <wp:wrapNone/>
              <wp:docPr id="679421965" name="文本框 21"/>
              <wp:cNvGraphicFramePr/>
              <a:graphic xmlns:a="http://schemas.openxmlformats.org/drawingml/2006/main">
                <a:graphicData uri="http://schemas.microsoft.com/office/word/2010/wordprocessingShape">
                  <wps:wsp>
                    <wps:cNvSpPr txBox="1"/>
                    <wps:spPr bwMode="auto">
                      <a:xfrm>
                        <a:off x="0" y="0"/>
                        <a:ext cx="360045" cy="154940"/>
                      </a:xfrm>
                      <a:prstGeom prst="rect">
                        <a:avLst/>
                      </a:prstGeom>
                      <a:noFill/>
                      <a:ln>
                        <a:noFill/>
                      </a:ln>
                    </wps:spPr>
                    <wps:txbx>
                      <w:txbxContent>
                        <w:p w14:paraId="58303FA6">
                          <w:pPr>
                            <w:pStyle w:val="19"/>
                            <w:ind w:right="231" w:rightChars="110"/>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7</w:t>
                          </w:r>
                          <w:r>
                            <w:rPr>
                              <w:rFonts w:hint="eastAsia" w:hAnsi="宋体" w:cs="宋体"/>
                            </w:rPr>
                            <w:fldChar w:fldCharType="end"/>
                          </w:r>
                        </w:p>
                      </w:txbxContent>
                    </wps:txbx>
                    <wps:bodyPr rot="0" vert="horz" wrap="square" lIns="0" tIns="0" rIns="0" bIns="0" anchor="t" anchorCtr="0" upright="1">
                      <a:noAutofit/>
                    </wps:bodyPr>
                  </wps:wsp>
                </a:graphicData>
              </a:graphic>
            </wp:anchor>
          </w:drawing>
        </mc:Choice>
        <mc:Fallback>
          <w:pict>
            <v:shape id="文本框 21" o:spid="_x0000_s1026" o:spt="202" type="#_x0000_t202" style="position:absolute;left:0pt;margin-top:0pt;height:12.2pt;width:28.35pt;mso-position-horizontal:center;mso-position-horizontal-relative:margin;z-index:251665408;mso-width-relative:page;mso-height-relative:page;" filled="f" stroked="f" coordsize="21600,21600" o:gfxdata="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k7U5bUAAAAAwEAAA8AAAAAAAAAAQAgAAAAIgAAAGRycy9kb3ducmV2LnhtbFBL&#10;AQIUABQAAAAIAIdO4kDadgmM+gEAAN0DAAAOAAAAAAAAAAEAIAAAACMBAABkcnMvZTJvRG9jLnht&#10;bFBLBQYAAAAABgAGAFkBAACPBQAAAAA=&#10;">
              <v:fill on="f" focussize="0,0"/>
              <v:stroke on="f"/>
              <v:imagedata o:title=""/>
              <o:lock v:ext="edit" aspectratio="f"/>
              <v:textbox inset="0mm,0mm,0mm,0mm">
                <w:txbxContent>
                  <w:p w14:paraId="58303FA6">
                    <w:pPr>
                      <w:pStyle w:val="19"/>
                      <w:ind w:right="231" w:rightChars="110"/>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7</w:t>
                    </w:r>
                    <w:r>
                      <w:rPr>
                        <w:rFonts w:hint="eastAsia" w:hAnsi="宋体" w:cs="宋体"/>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5095D">
    <w:pPr>
      <w:pStyle w:val="1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493395" cy="136525"/>
              <wp:effectExtent l="0" t="0" r="0" b="0"/>
              <wp:wrapNone/>
              <wp:docPr id="479062947" name="文本框 20"/>
              <wp:cNvGraphicFramePr/>
              <a:graphic xmlns:a="http://schemas.openxmlformats.org/drawingml/2006/main">
                <a:graphicData uri="http://schemas.microsoft.com/office/word/2010/wordprocessingShape">
                  <wps:wsp>
                    <wps:cNvSpPr txBox="1"/>
                    <wps:spPr bwMode="auto">
                      <a:xfrm>
                        <a:off x="0" y="0"/>
                        <a:ext cx="493395" cy="136525"/>
                      </a:xfrm>
                      <a:prstGeom prst="rect">
                        <a:avLst/>
                      </a:prstGeom>
                      <a:noFill/>
                      <a:ln>
                        <a:noFill/>
                      </a:ln>
                    </wps:spPr>
                    <wps:txbx>
                      <w:txbxContent>
                        <w:p w14:paraId="2DBB7257">
                          <w:pPr>
                            <w:pStyle w:val="19"/>
                            <w:jc w:val="center"/>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wps:txbx>
                    <wps:bodyPr rot="0" vert="horz" wrap="square" lIns="0" tIns="0" rIns="0" bIns="0" anchor="t" anchorCtr="0" upright="1">
                      <a:noAutofit/>
                    </wps:bodyPr>
                  </wps:wsp>
                </a:graphicData>
              </a:graphic>
            </wp:anchor>
          </w:drawing>
        </mc:Choice>
        <mc:Fallback>
          <w:pict>
            <v:shape id="文本框 20" o:spid="_x0000_s1026" o:spt="202" type="#_x0000_t202" style="position:absolute;left:0pt;margin-top:0pt;height:10.75pt;width:38.85pt;mso-position-horizontal:center;mso-position-horizontal-relative:margin;z-index:251664384;mso-width-relative:page;mso-height-relative:page;" filled="f" stroked="f" coordsize="21600,21600" o:gfxdata="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ySBrdQAAAADAQAADwAAAAAAAAABACAAAAAiAAAAZHJzL2Rvd25yZXYueG1sUEsB&#10;AhQAFAAAAAgAh07iQGVHQ3D5AQAA3QMAAA4AAAAAAAAAAQAgAAAAIwEAAGRycy9lMm9Eb2MueG1s&#10;UEsFBgAAAAAGAAYAWQEAAI4FAAAAAA==&#10;">
              <v:fill on="f" focussize="0,0"/>
              <v:stroke on="f"/>
              <v:imagedata o:title=""/>
              <o:lock v:ext="edit" aspectratio="f"/>
              <v:textbox inset="0mm,0mm,0mm,0mm">
                <w:txbxContent>
                  <w:p w14:paraId="2DBB7257">
                    <w:pPr>
                      <w:pStyle w:val="19"/>
                      <w:jc w:val="center"/>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B39C9">
    <w:pPr>
      <w:pStyle w:val="51"/>
      <w:spacing w:before="0"/>
      <w:rPr>
        <w:rStyle w:val="5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771A6">
                          <w:pPr>
                            <w:pStyle w:val="19"/>
                          </w:pPr>
                          <w:r>
                            <w:fldChar w:fldCharType="begin"/>
                          </w:r>
                          <w:r>
                            <w:instrText xml:space="preserve"> PAGE  \* MERGEFORMAT </w:instrText>
                          </w:r>
                          <w:r>
                            <w:fldChar w:fldCharType="separate"/>
                          </w:r>
                          <w:r>
                            <w:t>XXVII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488771A6">
                    <w:pPr>
                      <w:pStyle w:val="19"/>
                    </w:pPr>
                    <w:r>
                      <w:fldChar w:fldCharType="begin"/>
                    </w:r>
                    <w:r>
                      <w:instrText xml:space="preserve"> PAGE  \* MERGEFORMAT </w:instrText>
                    </w:r>
                    <w:r>
                      <w:fldChar w:fldCharType="separate"/>
                    </w:r>
                    <w:r>
                      <w:t>XXVII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D32EC">
    <w:pPr>
      <w:tabs>
        <w:tab w:val="left" w:pos="786"/>
      </w:tabs>
    </w:pPr>
    <w:r>
      <w:rPr>
        <w:rFonts w:hint="eastAsia"/>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B9832">
    <w:pPr>
      <w:pStyle w:val="20"/>
      <w:pBdr>
        <w:bottom w:val="none" w:color="auto" w:sz="0" w:space="1"/>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2A9CC">
    <w:pPr>
      <w:tabs>
        <w:tab w:val="left" w:pos="786"/>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C9CFC">
    <w:pPr>
      <w:pStyle w:val="20"/>
      <w:pBdr>
        <w:bottom w:val="none" w:color="auto" w:sz="0" w:space="0"/>
      </w:pBdr>
      <w:spacing w:after="240"/>
      <w:jc w:val="left"/>
      <w:rPr>
        <w:sz w:val="21"/>
        <w:szCs w:val="21"/>
      </w:rPr>
    </w:pPr>
    <w:r>
      <w:rPr>
        <w:rFonts w:hint="eastAsia" w:ascii="黑体" w:eastAsia="黑体"/>
        <w:sz w:val="21"/>
        <w:szCs w:val="21"/>
      </w:rPr>
      <w:t>Q/SH 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2BA09">
    <w:pPr>
      <w:pStyle w:val="50"/>
      <w:spacing w:before="240" w:after="240"/>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CFA3A">
    <w:pPr>
      <w:tabs>
        <w:tab w:val="left" w:pos="786"/>
      </w:tabs>
      <w:jc w:val="right"/>
      <w:rPr>
        <w:rFonts w:hint="eastAsia" w:ascii="黑体" w:hAnsi="黑体" w:eastAsia="黑体" w:cs="黑体"/>
      </w:rPr>
    </w:pPr>
    <w:r>
      <w:rPr>
        <w:rFonts w:hint="eastAsia" w:ascii="黑体" w:hAnsi="黑体" w:eastAsia="黑体" w:cs="黑体"/>
      </w:rPr>
      <w:t>AQ XXXX—202X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4C23D">
    <w:pPr>
      <w:pStyle w:val="20"/>
      <w:pBdr>
        <w:bottom w:val="none" w:color="auto" w:sz="0" w:space="1"/>
      </w:pBdr>
      <w:jc w:val="right"/>
      <w:rPr>
        <w:rFonts w:hint="eastAsia" w:ascii="黑体" w:hAnsi="黑体" w:eastAsia="黑体" w:cs="黑体"/>
        <w:sz w:val="21"/>
        <w:szCs w:val="21"/>
      </w:rPr>
    </w:pPr>
    <w:r>
      <w:rPr>
        <w:rFonts w:hint="eastAsia" w:ascii="黑体" w:hAnsi="黑体" w:eastAsia="黑体" w:cs="黑体"/>
        <w:sz w:val="21"/>
        <w:szCs w:val="21"/>
      </w:rPr>
      <w:t>AQ XXXX—202X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17AD8">
    <w:pPr>
      <w:tabs>
        <w:tab w:val="left" w:pos="786"/>
      </w:tabs>
      <w:jc w:val="right"/>
    </w:pPr>
    <w:r>
      <w:rPr>
        <w:rFonts w:hint="eastAsia"/>
      </w:rPr>
      <w:t>AQ XXXX—202X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40783">
    <w:pPr>
      <w:tabs>
        <w:tab w:val="left" w:pos="786"/>
      </w:tabs>
      <w:jc w:val="left"/>
    </w:pPr>
    <w:r>
      <w:rPr>
        <w:rFonts w:hint="eastAsia"/>
      </w:rPr>
      <w:t>AQ XXXX—202X</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ABB67">
    <w:pPr>
      <w:tabs>
        <w:tab w:val="left" w:pos="786"/>
      </w:tabs>
      <w:jc w:val="right"/>
    </w:pPr>
    <w:r>
      <w:rPr>
        <w:rFonts w:hint="eastAsia"/>
      </w:rPr>
      <w:t>AQ XXXX—202X</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1D857">
    <w:pPr>
      <w:tabs>
        <w:tab w:val="left" w:pos="78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595C82"/>
    <w:multiLevelType w:val="multilevel"/>
    <w:tmpl w:val="89595C82"/>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
    <w:nsid w:val="8EEA1726"/>
    <w:multiLevelType w:val="multilevel"/>
    <w:tmpl w:val="8EEA1726"/>
    <w:lvl w:ilvl="0" w:tentative="0">
      <w:start w:val="1"/>
      <w:numFmt w:val="lowerLetter"/>
      <w:suff w:val="nothing"/>
      <w:lvlText w:val="%1）"/>
      <w:lvlJc w:val="left"/>
      <w:pPr>
        <w:ind w:left="927" w:hanging="360"/>
      </w:pPr>
      <w:rPr>
        <w:rFonts w:hint="default"/>
      </w:rPr>
    </w:lvl>
    <w:lvl w:ilvl="1" w:tentative="0">
      <w:start w:val="1"/>
      <w:numFmt w:val="lowerLetter"/>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2">
    <w:nsid w:val="9679BB3A"/>
    <w:multiLevelType w:val="singleLevel"/>
    <w:tmpl w:val="9679BB3A"/>
    <w:lvl w:ilvl="0" w:tentative="0">
      <w:start w:val="1"/>
      <w:numFmt w:val="lowerLetter"/>
      <w:suff w:val="nothing"/>
      <w:lvlText w:val="%1）"/>
      <w:lvlJc w:val="left"/>
    </w:lvl>
  </w:abstractNum>
  <w:abstractNum w:abstractNumId="3">
    <w:nsid w:val="9A2465A3"/>
    <w:multiLevelType w:val="singleLevel"/>
    <w:tmpl w:val="9A2465A3"/>
    <w:lvl w:ilvl="0" w:tentative="0">
      <w:start w:val="1"/>
      <w:numFmt w:val="lowerLetter"/>
      <w:suff w:val="nothing"/>
      <w:lvlText w:val="%1）"/>
      <w:lvlJc w:val="left"/>
    </w:lvl>
  </w:abstractNum>
  <w:abstractNum w:abstractNumId="4">
    <w:nsid w:val="9AA66333"/>
    <w:multiLevelType w:val="multilevel"/>
    <w:tmpl w:val="9AA66333"/>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5">
    <w:nsid w:val="9D8A0488"/>
    <w:multiLevelType w:val="multilevel"/>
    <w:tmpl w:val="9D8A0488"/>
    <w:lvl w:ilvl="0" w:tentative="0">
      <w:start w:val="1"/>
      <w:numFmt w:val="decimal"/>
      <w:lvlText w:val="%1"/>
      <w:lvlJc w:val="left"/>
      <w:pPr>
        <w:ind w:left="425" w:hanging="425"/>
      </w:pPr>
      <w:rPr>
        <w:rFonts w:hint="eastAsia"/>
      </w:rPr>
    </w:lvl>
    <w:lvl w:ilvl="1" w:tentative="0">
      <w:start w:val="1"/>
      <w:numFmt w:val="decimal"/>
      <w:suff w:val="space"/>
      <w:lvlText w:val="A.%2"/>
      <w:lvlJc w:val="left"/>
      <w:pPr>
        <w:tabs>
          <w:tab w:val="left" w:pos="0"/>
        </w:tabs>
        <w:ind w:left="992" w:hanging="992"/>
      </w:pPr>
      <w:rPr>
        <w:rFonts w:hint="default" w:ascii="Times New Roman" w:hAnsi="Times New Roman" w:eastAsia="宋体" w:cs="Times New Roman"/>
        <w:sz w:val="21"/>
        <w:szCs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9E56BD99"/>
    <w:multiLevelType w:val="multilevel"/>
    <w:tmpl w:val="9E56BD99"/>
    <w:lvl w:ilvl="0" w:tentative="0">
      <w:start w:val="12"/>
      <w:numFmt w:val="decimal"/>
      <w:lvlText w:val="%1"/>
      <w:lvlJc w:val="left"/>
      <w:pPr>
        <w:ind w:left="375" w:hanging="375"/>
      </w:pPr>
      <w:rPr>
        <w:rFonts w:hint="default"/>
      </w:rPr>
    </w:lvl>
    <w:lvl w:ilvl="1" w:tentative="0">
      <w:start w:val="4"/>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suff w:val="space"/>
      <w:lvlText w:val="7.1.5.%4"/>
      <w:lvlJc w:val="left"/>
      <w:pPr>
        <w:tabs>
          <w:tab w:val="left" w:pos="0"/>
        </w:tabs>
        <w:ind w:left="720" w:hanging="720"/>
      </w:pPr>
      <w:rPr>
        <w:rFonts w:hint="default" w:ascii="黑体" w:hAnsi="黑体" w:eastAsia="黑体" w:cs="黑体"/>
        <w:sz w:val="21"/>
        <w:szCs w:val="21"/>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7">
    <w:nsid w:val="A86E164B"/>
    <w:multiLevelType w:val="singleLevel"/>
    <w:tmpl w:val="A86E164B"/>
    <w:lvl w:ilvl="0" w:tentative="0">
      <w:start w:val="1"/>
      <w:numFmt w:val="lowerLetter"/>
      <w:suff w:val="nothing"/>
      <w:lvlText w:val="%1）"/>
      <w:lvlJc w:val="left"/>
    </w:lvl>
  </w:abstractNum>
  <w:abstractNum w:abstractNumId="8">
    <w:nsid w:val="AAA1A1BB"/>
    <w:multiLevelType w:val="multilevel"/>
    <w:tmpl w:val="AAA1A1BB"/>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9">
    <w:nsid w:val="ACDD9F48"/>
    <w:multiLevelType w:val="singleLevel"/>
    <w:tmpl w:val="ACDD9F48"/>
    <w:lvl w:ilvl="0" w:tentative="0">
      <w:start w:val="4"/>
      <w:numFmt w:val="chineseCounting"/>
      <w:suff w:val="nothing"/>
      <w:lvlText w:val="（%1）"/>
      <w:lvlJc w:val="left"/>
      <w:rPr>
        <w:rFonts w:hint="eastAsia"/>
      </w:rPr>
    </w:lvl>
  </w:abstractNum>
  <w:abstractNum w:abstractNumId="10">
    <w:nsid w:val="AD148A73"/>
    <w:multiLevelType w:val="multilevel"/>
    <w:tmpl w:val="AD148A73"/>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A.1.%3"/>
      <w:lvlJc w:val="left"/>
      <w:pPr>
        <w:tabs>
          <w:tab w:val="left" w:pos="0"/>
        </w:tabs>
        <w:ind w:left="1418" w:hanging="1418"/>
      </w:pPr>
      <w:rPr>
        <w:rFonts w:hint="default" w:ascii="Times New Roman" w:hAnsi="Times New Roman" w:eastAsia="宋体" w:cs="Times New Roman"/>
        <w:sz w:val="21"/>
        <w:szCs w:val="21"/>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B2DA5CD7"/>
    <w:multiLevelType w:val="multilevel"/>
    <w:tmpl w:val="B2DA5CD7"/>
    <w:lvl w:ilvl="0" w:tentative="0">
      <w:start w:val="1"/>
      <w:numFmt w:val="lowerLetter"/>
      <w:suff w:val="nothing"/>
      <w:lvlText w:val="%1）"/>
      <w:lvlJc w:val="left"/>
      <w:pPr>
        <w:tabs>
          <w:tab w:val="left" w:pos="0"/>
        </w:tabs>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2">
    <w:nsid w:val="BEFE6092"/>
    <w:multiLevelType w:val="multilevel"/>
    <w:tmpl w:val="BEFE6092"/>
    <w:lvl w:ilvl="0" w:tentative="0">
      <w:start w:val="1"/>
      <w:numFmt w:val="lowerLetter"/>
      <w:suff w:val="nothing"/>
      <w:lvlText w:val="%1）"/>
      <w:lvlJc w:val="left"/>
      <w:pPr>
        <w:ind w:left="780" w:hanging="360"/>
      </w:pPr>
      <w:rPr>
        <w:rFonts w:hint="default" w:ascii="Times New Roman" w:hAnsi="Times New Roman" w:cs="Times New Roman"/>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3">
    <w:nsid w:val="BF3F1D8B"/>
    <w:multiLevelType w:val="multilevel"/>
    <w:tmpl w:val="BF3F1D8B"/>
    <w:lvl w:ilvl="0" w:tentative="0">
      <w:start w:val="1"/>
      <w:numFmt w:val="lowerLetter"/>
      <w:suff w:val="nothing"/>
      <w:lvlText w:val="%1）"/>
      <w:lvlJc w:val="left"/>
      <w:pPr>
        <w:tabs>
          <w:tab w:val="left" w:pos="0"/>
        </w:tabs>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4">
    <w:nsid w:val="C612B7B9"/>
    <w:multiLevelType w:val="multilevel"/>
    <w:tmpl w:val="C612B7B9"/>
    <w:lvl w:ilvl="0" w:tentative="0">
      <w:start w:val="12"/>
      <w:numFmt w:val="decimal"/>
      <w:lvlText w:val="%1"/>
      <w:lvlJc w:val="left"/>
      <w:pPr>
        <w:ind w:left="375" w:hanging="375"/>
      </w:pPr>
      <w:rPr>
        <w:rFonts w:hint="default"/>
      </w:rPr>
    </w:lvl>
    <w:lvl w:ilvl="1" w:tentative="0">
      <w:start w:val="4"/>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suff w:val="space"/>
      <w:lvlText w:val="7.1.3.%4"/>
      <w:lvlJc w:val="left"/>
      <w:pPr>
        <w:tabs>
          <w:tab w:val="left" w:pos="0"/>
        </w:tabs>
        <w:ind w:left="720" w:hanging="720"/>
      </w:pPr>
      <w:rPr>
        <w:rFonts w:hint="default" w:ascii="黑体" w:hAnsi="黑体" w:eastAsia="黑体" w:cs="黑体"/>
        <w:sz w:val="21"/>
        <w:szCs w:val="21"/>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5">
    <w:nsid w:val="DB374CC1"/>
    <w:multiLevelType w:val="multilevel"/>
    <w:tmpl w:val="DB374CC1"/>
    <w:lvl w:ilvl="0" w:tentative="0">
      <w:start w:val="1"/>
      <w:numFmt w:val="lowerLetter"/>
      <w:suff w:val="nothing"/>
      <w:lvlText w:val="%1）"/>
      <w:lvlJc w:val="left"/>
      <w:pPr>
        <w:ind w:left="927" w:hanging="360"/>
      </w:pPr>
      <w:rPr>
        <w:rFonts w:hint="default"/>
      </w:rPr>
    </w:lvl>
    <w:lvl w:ilvl="1" w:tentative="0">
      <w:start w:val="1"/>
      <w:numFmt w:val="lowerLetter"/>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16">
    <w:nsid w:val="DE687AFF"/>
    <w:multiLevelType w:val="multilevel"/>
    <w:tmpl w:val="DE687AFF"/>
    <w:lvl w:ilvl="0" w:tentative="0">
      <w:start w:val="12"/>
      <w:numFmt w:val="decimal"/>
      <w:lvlText w:val="%1"/>
      <w:lvlJc w:val="left"/>
      <w:pPr>
        <w:ind w:left="375" w:hanging="375"/>
      </w:pPr>
      <w:rPr>
        <w:rFonts w:hint="default"/>
      </w:rPr>
    </w:lvl>
    <w:lvl w:ilvl="1" w:tentative="0">
      <w:start w:val="4"/>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suff w:val="space"/>
      <w:lvlText w:val="7.3.9.%4"/>
      <w:lvlJc w:val="left"/>
      <w:pPr>
        <w:tabs>
          <w:tab w:val="left" w:pos="0"/>
        </w:tabs>
        <w:ind w:left="720" w:hanging="720"/>
      </w:pPr>
      <w:rPr>
        <w:rFonts w:hint="default" w:ascii="黑体" w:hAnsi="黑体" w:eastAsia="黑体" w:cs="黑体"/>
        <w:sz w:val="21"/>
        <w:szCs w:val="21"/>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7">
    <w:nsid w:val="E0B9F3C1"/>
    <w:multiLevelType w:val="singleLevel"/>
    <w:tmpl w:val="E0B9F3C1"/>
    <w:lvl w:ilvl="0" w:tentative="0">
      <w:start w:val="1"/>
      <w:numFmt w:val="lowerLetter"/>
      <w:suff w:val="nothing"/>
      <w:lvlText w:val="%1）"/>
      <w:lvlJc w:val="left"/>
      <w:pPr>
        <w:ind w:left="-2"/>
      </w:pPr>
    </w:lvl>
  </w:abstractNum>
  <w:abstractNum w:abstractNumId="18">
    <w:nsid w:val="EFEE6F9B"/>
    <w:multiLevelType w:val="singleLevel"/>
    <w:tmpl w:val="EFEE6F9B"/>
    <w:lvl w:ilvl="0" w:tentative="0">
      <w:start w:val="2"/>
      <w:numFmt w:val="chineseCounting"/>
      <w:suff w:val="nothing"/>
      <w:lvlText w:val="%1、"/>
      <w:lvlJc w:val="left"/>
      <w:rPr>
        <w:rFonts w:hint="eastAsia"/>
      </w:rPr>
    </w:lvl>
  </w:abstractNum>
  <w:abstractNum w:abstractNumId="19">
    <w:nsid w:val="F083BEFE"/>
    <w:multiLevelType w:val="multilevel"/>
    <w:tmpl w:val="F083BEFE"/>
    <w:lvl w:ilvl="0" w:tentative="0">
      <w:start w:val="1"/>
      <w:numFmt w:val="lowerLetter"/>
      <w:suff w:val="nothing"/>
      <w:lvlText w:val="%1）"/>
      <w:lvlJc w:val="left"/>
      <w:pPr>
        <w:ind w:left="785"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0">
    <w:nsid w:val="02837933"/>
    <w:multiLevelType w:val="multilevel"/>
    <w:tmpl w:val="02837933"/>
    <w:lvl w:ilvl="0" w:tentative="0">
      <w:start w:val="1"/>
      <w:numFmt w:val="decimal"/>
      <w:lvlText w:val="[%1]"/>
      <w:lvlJc w:val="left"/>
      <w:pPr>
        <w:tabs>
          <w:tab w:val="left" w:pos="1646"/>
        </w:tabs>
        <w:ind w:left="1646" w:hanging="648"/>
      </w:pPr>
    </w:lvl>
    <w:lvl w:ilvl="1" w:tentative="0">
      <w:start w:val="1"/>
      <w:numFmt w:val="lowerLetter"/>
      <w:pStyle w:val="87"/>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1">
    <w:nsid w:val="03819C24"/>
    <w:multiLevelType w:val="multilevel"/>
    <w:tmpl w:val="03819C24"/>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2">
    <w:nsid w:val="07ED3FEA"/>
    <w:multiLevelType w:val="multilevel"/>
    <w:tmpl w:val="07ED3FEA"/>
    <w:lvl w:ilvl="0" w:tentative="0">
      <w:start w:val="1"/>
      <w:numFmt w:val="none"/>
      <w:pStyle w:val="85"/>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3">
    <w:nsid w:val="1B80D032"/>
    <w:multiLevelType w:val="multilevel"/>
    <w:tmpl w:val="1B80D032"/>
    <w:lvl w:ilvl="0" w:tentative="0">
      <w:start w:val="12"/>
      <w:numFmt w:val="decimal"/>
      <w:lvlText w:val="%1"/>
      <w:lvlJc w:val="left"/>
      <w:pPr>
        <w:ind w:left="375" w:hanging="375"/>
      </w:pPr>
      <w:rPr>
        <w:rFonts w:hint="default"/>
      </w:rPr>
    </w:lvl>
    <w:lvl w:ilvl="1" w:tentative="0">
      <w:start w:val="4"/>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suff w:val="space"/>
      <w:lvlText w:val="19.1.6.%4"/>
      <w:lvlJc w:val="left"/>
      <w:pPr>
        <w:tabs>
          <w:tab w:val="left" w:pos="0"/>
        </w:tabs>
        <w:ind w:left="720" w:hanging="720"/>
      </w:pPr>
      <w:rPr>
        <w:rFonts w:hint="default" w:ascii="黑体" w:hAnsi="黑体" w:eastAsia="黑体" w:cs="黑体"/>
        <w:sz w:val="21"/>
        <w:szCs w:val="21"/>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4">
    <w:nsid w:val="1E55D37A"/>
    <w:multiLevelType w:val="multilevel"/>
    <w:tmpl w:val="1E55D37A"/>
    <w:lvl w:ilvl="0" w:tentative="0">
      <w:start w:val="6"/>
      <w:numFmt w:val="decimal"/>
      <w:pStyle w:val="3"/>
      <w:lvlText w:val="%1."/>
      <w:lvlJc w:val="left"/>
      <w:pPr>
        <w:ind w:left="432" w:hanging="432"/>
      </w:pPr>
      <w:rPr>
        <w:rFonts w:hint="default" w:ascii="宋体" w:hAnsi="宋体" w:eastAsia="宋体" w:cs="宋体"/>
      </w:rPr>
    </w:lvl>
    <w:lvl w:ilvl="1" w:tentative="0">
      <w:start w:val="7"/>
      <w:numFmt w:val="decimal"/>
      <w:pStyle w:val="4"/>
      <w:lvlText w:val="%1.%2"/>
      <w:lvlJc w:val="left"/>
      <w:pPr>
        <w:ind w:left="575" w:hanging="575"/>
      </w:pPr>
      <w:rPr>
        <w:rFonts w:hint="default" w:ascii="宋体" w:hAnsi="宋体" w:eastAsia="宋体" w:cs="宋体"/>
      </w:rPr>
    </w:lvl>
    <w:lvl w:ilvl="2" w:tentative="0">
      <w:start w:val="1"/>
      <w:numFmt w:val="decimal"/>
      <w:pStyle w:val="5"/>
      <w:lvlText w:val="%1.%2.%3"/>
      <w:lvlJc w:val="left"/>
      <w:pPr>
        <w:ind w:left="567" w:hanging="567"/>
      </w:pPr>
      <w:rPr>
        <w:rFonts w:hint="default" w:ascii="宋体" w:hAnsi="宋体" w:eastAsia="宋体" w:cs="宋体"/>
        <w:sz w:val="21"/>
        <w:szCs w:val="21"/>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abstractNum w:abstractNumId="25">
    <w:nsid w:val="212F4B2A"/>
    <w:multiLevelType w:val="multilevel"/>
    <w:tmpl w:val="212F4B2A"/>
    <w:lvl w:ilvl="0" w:tentative="0">
      <w:start w:val="1"/>
      <w:numFmt w:val="lowerLetter"/>
      <w:suff w:val="nothing"/>
      <w:lvlText w:val="%1）"/>
      <w:lvlJc w:val="left"/>
      <w:pPr>
        <w:tabs>
          <w:tab w:val="left" w:pos="0"/>
        </w:tabs>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6">
    <w:nsid w:val="270E0862"/>
    <w:multiLevelType w:val="multilevel"/>
    <w:tmpl w:val="270E0862"/>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7">
    <w:nsid w:val="273266E0"/>
    <w:multiLevelType w:val="multilevel"/>
    <w:tmpl w:val="273266E0"/>
    <w:lvl w:ilvl="0" w:tentative="0">
      <w:start w:val="12"/>
      <w:numFmt w:val="decimal"/>
      <w:lvlText w:val="%1"/>
      <w:lvlJc w:val="left"/>
      <w:pPr>
        <w:ind w:left="375" w:hanging="375"/>
      </w:pPr>
      <w:rPr>
        <w:rFonts w:hint="default"/>
      </w:rPr>
    </w:lvl>
    <w:lvl w:ilvl="1" w:tentative="0">
      <w:start w:val="4"/>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suff w:val="space"/>
      <w:lvlText w:val="7.3.3.%4"/>
      <w:lvlJc w:val="left"/>
      <w:pPr>
        <w:tabs>
          <w:tab w:val="left" w:pos="0"/>
        </w:tabs>
        <w:ind w:left="720" w:hanging="720"/>
      </w:pPr>
      <w:rPr>
        <w:rFonts w:hint="default" w:ascii="黑体" w:hAnsi="黑体" w:eastAsia="黑体" w:cs="黑体"/>
        <w:sz w:val="21"/>
        <w:szCs w:val="21"/>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8">
    <w:nsid w:val="27EE2119"/>
    <w:multiLevelType w:val="multilevel"/>
    <w:tmpl w:val="27EE2119"/>
    <w:lvl w:ilvl="0" w:tentative="0">
      <w:start w:val="1"/>
      <w:numFmt w:val="lowerLetter"/>
      <w:suff w:val="nothing"/>
      <w:lvlText w:val="%1）"/>
      <w:lvlJc w:val="left"/>
      <w:pPr>
        <w:ind w:left="927" w:hanging="360"/>
      </w:pPr>
      <w:rPr>
        <w:rFonts w:hint="default"/>
      </w:rPr>
    </w:lvl>
    <w:lvl w:ilvl="1" w:tentative="0">
      <w:start w:val="1"/>
      <w:numFmt w:val="lowerLetter"/>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29">
    <w:nsid w:val="2D47DE8F"/>
    <w:multiLevelType w:val="multilevel"/>
    <w:tmpl w:val="2D47DE8F"/>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0">
    <w:nsid w:val="2EC1795E"/>
    <w:multiLevelType w:val="multilevel"/>
    <w:tmpl w:val="2EC1795E"/>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1">
    <w:nsid w:val="33C12B88"/>
    <w:multiLevelType w:val="multilevel"/>
    <w:tmpl w:val="33C12B88"/>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2">
    <w:nsid w:val="379435B4"/>
    <w:multiLevelType w:val="multilevel"/>
    <w:tmpl w:val="379435B4"/>
    <w:lvl w:ilvl="0" w:tentative="0">
      <w:start w:val="12"/>
      <w:numFmt w:val="decimal"/>
      <w:lvlText w:val="%1"/>
      <w:lvlJc w:val="left"/>
      <w:pPr>
        <w:ind w:left="375" w:hanging="375"/>
      </w:pPr>
      <w:rPr>
        <w:rFonts w:hint="default"/>
      </w:rPr>
    </w:lvl>
    <w:lvl w:ilvl="1" w:tentative="0">
      <w:start w:val="4"/>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suff w:val="space"/>
      <w:lvlText w:val="7.1.1.%4"/>
      <w:lvlJc w:val="left"/>
      <w:pPr>
        <w:tabs>
          <w:tab w:val="left" w:pos="0"/>
        </w:tabs>
        <w:ind w:left="720" w:hanging="720"/>
      </w:pPr>
      <w:rPr>
        <w:rFonts w:hint="default" w:ascii="黑体" w:hAnsi="黑体" w:eastAsia="黑体" w:cs="黑体"/>
        <w:sz w:val="21"/>
        <w:szCs w:val="21"/>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33">
    <w:nsid w:val="39CAAC36"/>
    <w:multiLevelType w:val="multilevel"/>
    <w:tmpl w:val="39CAAC36"/>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4">
    <w:nsid w:val="42A2B58B"/>
    <w:multiLevelType w:val="multilevel"/>
    <w:tmpl w:val="42A2B58B"/>
    <w:lvl w:ilvl="0" w:tentative="0">
      <w:start w:val="1"/>
      <w:numFmt w:val="lowerLetter"/>
      <w:suff w:val="nothing"/>
      <w:lvlText w:val="%1）"/>
      <w:lvlJc w:val="left"/>
      <w:pPr>
        <w:ind w:left="1053" w:hanging="360"/>
      </w:pPr>
      <w:rPr>
        <w:rFonts w:hint="default"/>
      </w:rPr>
    </w:lvl>
    <w:lvl w:ilvl="1" w:tentative="0">
      <w:start w:val="1"/>
      <w:numFmt w:val="lowerLetter"/>
      <w:lvlText w:val="%2)"/>
      <w:lvlJc w:val="left"/>
      <w:pPr>
        <w:ind w:left="1573" w:hanging="440"/>
      </w:pPr>
    </w:lvl>
    <w:lvl w:ilvl="2" w:tentative="0">
      <w:start w:val="1"/>
      <w:numFmt w:val="lowerRoman"/>
      <w:lvlText w:val="%3."/>
      <w:lvlJc w:val="right"/>
      <w:pPr>
        <w:ind w:left="2013" w:hanging="440"/>
      </w:pPr>
    </w:lvl>
    <w:lvl w:ilvl="3" w:tentative="0">
      <w:start w:val="1"/>
      <w:numFmt w:val="decimal"/>
      <w:lvlText w:val="%4."/>
      <w:lvlJc w:val="left"/>
      <w:pPr>
        <w:ind w:left="2453" w:hanging="440"/>
      </w:pPr>
    </w:lvl>
    <w:lvl w:ilvl="4" w:tentative="0">
      <w:start w:val="1"/>
      <w:numFmt w:val="lowerLetter"/>
      <w:lvlText w:val="%5)"/>
      <w:lvlJc w:val="left"/>
      <w:pPr>
        <w:ind w:left="2893" w:hanging="440"/>
      </w:pPr>
    </w:lvl>
    <w:lvl w:ilvl="5" w:tentative="0">
      <w:start w:val="1"/>
      <w:numFmt w:val="lowerRoman"/>
      <w:lvlText w:val="%6."/>
      <w:lvlJc w:val="right"/>
      <w:pPr>
        <w:ind w:left="3333" w:hanging="440"/>
      </w:pPr>
    </w:lvl>
    <w:lvl w:ilvl="6" w:tentative="0">
      <w:start w:val="1"/>
      <w:numFmt w:val="decimal"/>
      <w:lvlText w:val="%7."/>
      <w:lvlJc w:val="left"/>
      <w:pPr>
        <w:ind w:left="3773" w:hanging="440"/>
      </w:pPr>
    </w:lvl>
    <w:lvl w:ilvl="7" w:tentative="0">
      <w:start w:val="1"/>
      <w:numFmt w:val="lowerLetter"/>
      <w:lvlText w:val="%8)"/>
      <w:lvlJc w:val="left"/>
      <w:pPr>
        <w:ind w:left="4213" w:hanging="440"/>
      </w:pPr>
    </w:lvl>
    <w:lvl w:ilvl="8" w:tentative="0">
      <w:start w:val="1"/>
      <w:numFmt w:val="lowerRoman"/>
      <w:lvlText w:val="%9."/>
      <w:lvlJc w:val="right"/>
      <w:pPr>
        <w:ind w:left="4653" w:hanging="440"/>
      </w:pPr>
    </w:lvl>
  </w:abstractNum>
  <w:abstractNum w:abstractNumId="35">
    <w:nsid w:val="45E16FCB"/>
    <w:multiLevelType w:val="singleLevel"/>
    <w:tmpl w:val="45E16FCB"/>
    <w:lvl w:ilvl="0" w:tentative="0">
      <w:start w:val="1"/>
      <w:numFmt w:val="decimal"/>
      <w:suff w:val="nothing"/>
      <w:lvlText w:val="（%1）"/>
      <w:lvlJc w:val="left"/>
      <w:pPr>
        <w:tabs>
          <w:tab w:val="left" w:pos="0"/>
        </w:tabs>
      </w:pPr>
      <w:rPr>
        <w:rFonts w:hint="default"/>
      </w:rPr>
    </w:lvl>
  </w:abstractNum>
  <w:abstractNum w:abstractNumId="36">
    <w:nsid w:val="477398A9"/>
    <w:multiLevelType w:val="multilevel"/>
    <w:tmpl w:val="477398A9"/>
    <w:lvl w:ilvl="0" w:tentative="0">
      <w:start w:val="1"/>
      <w:numFmt w:val="lowerLetter"/>
      <w:suff w:val="nothing"/>
      <w:lvlText w:val="%1）"/>
      <w:lvlJc w:val="left"/>
      <w:pPr>
        <w:ind w:left="927" w:hanging="360"/>
      </w:pPr>
      <w:rPr>
        <w:rFonts w:hint="default"/>
      </w:rPr>
    </w:lvl>
    <w:lvl w:ilvl="1" w:tentative="0">
      <w:start w:val="1"/>
      <w:numFmt w:val="lowerLetter"/>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37">
    <w:nsid w:val="4A6CC903"/>
    <w:multiLevelType w:val="singleLevel"/>
    <w:tmpl w:val="4A6CC903"/>
    <w:lvl w:ilvl="0" w:tentative="0">
      <w:start w:val="1"/>
      <w:numFmt w:val="lowerLetter"/>
      <w:suff w:val="nothing"/>
      <w:lvlText w:val="%1）"/>
      <w:lvlJc w:val="left"/>
    </w:lvl>
  </w:abstractNum>
  <w:abstractNum w:abstractNumId="38">
    <w:nsid w:val="4BA1207B"/>
    <w:multiLevelType w:val="multilevel"/>
    <w:tmpl w:val="4BA1207B"/>
    <w:lvl w:ilvl="0" w:tentative="0">
      <w:start w:val="1"/>
      <w:numFmt w:val="lowerLetter"/>
      <w:suff w:val="nothing"/>
      <w:lvlText w:val="%1）"/>
      <w:lvlJc w:val="left"/>
      <w:pPr>
        <w:ind w:left="927" w:hanging="360"/>
      </w:pPr>
      <w:rPr>
        <w:rFonts w:hint="default"/>
      </w:rPr>
    </w:lvl>
    <w:lvl w:ilvl="1" w:tentative="0">
      <w:start w:val="1"/>
      <w:numFmt w:val="lowerLetter"/>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39">
    <w:nsid w:val="549637D4"/>
    <w:multiLevelType w:val="multilevel"/>
    <w:tmpl w:val="549637D4"/>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0">
    <w:nsid w:val="5D9C90CA"/>
    <w:multiLevelType w:val="multilevel"/>
    <w:tmpl w:val="5D9C90CA"/>
    <w:lvl w:ilvl="0" w:tentative="0">
      <w:start w:val="1"/>
      <w:numFmt w:val="decimal"/>
      <w:suff w:val="nothing"/>
      <w:lvlText w:val="表B.%1"/>
      <w:lvlJc w:val="left"/>
      <w:pPr>
        <w:tabs>
          <w:tab w:val="left" w:pos="0"/>
        </w:tabs>
        <w:ind w:left="860" w:hanging="440"/>
      </w:pPr>
      <w:rPr>
        <w:rFonts w:hint="default" w:ascii="Times New Roman" w:hAnsi="Times New Roman" w:eastAsia="宋体" w:cs="Times New Roman"/>
        <w:sz w:val="21"/>
        <w:szCs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1">
    <w:nsid w:val="657D3FBC"/>
    <w:multiLevelType w:val="multilevel"/>
    <w:tmpl w:val="657D3FBC"/>
    <w:lvl w:ilvl="0" w:tentative="0">
      <w:start w:val="1"/>
      <w:numFmt w:val="upperLetter"/>
      <w:pStyle w:val="88"/>
      <w:suff w:val="nothing"/>
      <w:lvlText w:val="附　录　%1"/>
      <w:lvlJc w:val="left"/>
      <w:pPr>
        <w:ind w:left="7744" w:firstLine="0"/>
      </w:pPr>
      <w:rPr>
        <w:rFonts w:hint="default" w:ascii="Times New Roman" w:hAnsi="Times New Roman" w:eastAsia="黑体" w:cs="Times New Roman"/>
        <w:b w:val="0"/>
        <w:i w:val="0"/>
        <w:sz w:val="21"/>
        <w:szCs w:val="21"/>
        <w:lang w:val="en-US"/>
      </w:rPr>
    </w:lvl>
    <w:lvl w:ilvl="1" w:tentative="0">
      <w:start w:val="1"/>
      <w:numFmt w:val="decimal"/>
      <w:suff w:val="nothing"/>
      <w:lvlText w:val="%1.%2　"/>
      <w:lvlJc w:val="left"/>
      <w:pPr>
        <w:ind w:left="3685"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3685" w:firstLine="0"/>
      </w:pPr>
      <w:rPr>
        <w:rFonts w:hint="eastAsia" w:ascii="黑体" w:hAnsi="Times New Roman" w:eastAsia="黑体"/>
        <w:b w:val="0"/>
        <w:i w:val="0"/>
        <w:sz w:val="21"/>
      </w:rPr>
    </w:lvl>
    <w:lvl w:ilvl="3" w:tentative="0">
      <w:start w:val="1"/>
      <w:numFmt w:val="decimal"/>
      <w:suff w:val="nothing"/>
      <w:lvlText w:val="%1.%2.%3.%4　"/>
      <w:lvlJc w:val="left"/>
      <w:pPr>
        <w:ind w:left="3685" w:firstLine="0"/>
      </w:pPr>
      <w:rPr>
        <w:rFonts w:hint="eastAsia" w:ascii="黑体" w:hAnsi="Times New Roman" w:eastAsia="黑体"/>
        <w:b w:val="0"/>
        <w:i w:val="0"/>
        <w:sz w:val="21"/>
      </w:rPr>
    </w:lvl>
    <w:lvl w:ilvl="4" w:tentative="0">
      <w:start w:val="1"/>
      <w:numFmt w:val="decimal"/>
      <w:suff w:val="nothing"/>
      <w:lvlText w:val="%1.%2.%3.%4.%5　"/>
      <w:lvlJc w:val="left"/>
      <w:pPr>
        <w:ind w:left="3685" w:firstLine="0"/>
      </w:pPr>
      <w:rPr>
        <w:rFonts w:hint="eastAsia" w:ascii="黑体" w:hAnsi="Times New Roman" w:eastAsia="黑体"/>
        <w:b w:val="0"/>
        <w:i w:val="0"/>
        <w:sz w:val="21"/>
      </w:rPr>
    </w:lvl>
    <w:lvl w:ilvl="5" w:tentative="0">
      <w:start w:val="1"/>
      <w:numFmt w:val="decimal"/>
      <w:suff w:val="nothing"/>
      <w:lvlText w:val="%1.%2.%3.%4.%5.%6　"/>
      <w:lvlJc w:val="left"/>
      <w:pPr>
        <w:ind w:left="3685" w:firstLine="0"/>
      </w:pPr>
      <w:rPr>
        <w:rFonts w:hint="eastAsia" w:ascii="黑体" w:hAnsi="Times New Roman" w:eastAsia="黑体"/>
        <w:b w:val="0"/>
        <w:i w:val="0"/>
        <w:sz w:val="21"/>
      </w:rPr>
    </w:lvl>
    <w:lvl w:ilvl="6" w:tentative="0">
      <w:start w:val="1"/>
      <w:numFmt w:val="decimal"/>
      <w:suff w:val="nothing"/>
      <w:lvlText w:val="%1.%2.%3.%4.%5.%6.%7　"/>
      <w:lvlJc w:val="left"/>
      <w:pPr>
        <w:ind w:left="3685" w:firstLine="0"/>
      </w:pPr>
      <w:rPr>
        <w:rFonts w:hint="eastAsia" w:ascii="黑体" w:hAnsi="Times New Roman" w:eastAsia="黑体"/>
        <w:b w:val="0"/>
        <w:i w:val="0"/>
        <w:sz w:val="21"/>
      </w:rPr>
    </w:lvl>
    <w:lvl w:ilvl="7" w:tentative="0">
      <w:start w:val="1"/>
      <w:numFmt w:val="decimal"/>
      <w:lvlText w:val="%1.%2.%3.%4.%5.%6.%7.%8"/>
      <w:lvlJc w:val="left"/>
      <w:pPr>
        <w:tabs>
          <w:tab w:val="left" w:pos="8079"/>
        </w:tabs>
        <w:ind w:left="8079" w:hanging="1418"/>
      </w:pPr>
      <w:rPr>
        <w:rFonts w:hint="eastAsia"/>
      </w:rPr>
    </w:lvl>
    <w:lvl w:ilvl="8" w:tentative="0">
      <w:start w:val="1"/>
      <w:numFmt w:val="decimal"/>
      <w:lvlText w:val="%1.%2.%3.%4.%5.%6.%7.%8.%9"/>
      <w:lvlJc w:val="left"/>
      <w:pPr>
        <w:tabs>
          <w:tab w:val="left" w:pos="8787"/>
        </w:tabs>
        <w:ind w:left="8787" w:hanging="1700"/>
      </w:pPr>
      <w:rPr>
        <w:rFonts w:hint="eastAsia"/>
      </w:rPr>
    </w:lvl>
  </w:abstractNum>
  <w:abstractNum w:abstractNumId="42">
    <w:nsid w:val="670A4DCB"/>
    <w:multiLevelType w:val="multilevel"/>
    <w:tmpl w:val="670A4DCB"/>
    <w:lvl w:ilvl="0" w:tentative="0">
      <w:start w:val="1"/>
      <w:numFmt w:val="none"/>
      <w:pStyle w:val="67"/>
      <w:suff w:val="space"/>
      <w:lvlText w:val="5.1"/>
      <w:lvlJc w:val="left"/>
      <w:pPr>
        <w:tabs>
          <w:tab w:val="left" w:pos="0"/>
        </w:tabs>
        <w:ind w:left="0" w:firstLine="0"/>
      </w:pPr>
      <w:rPr>
        <w:rFonts w:hint="default" w:ascii="宋体" w:hAnsi="宋体" w:eastAsia="宋体" w:cs="宋体"/>
        <w:b/>
        <w:i w:val="0"/>
        <w:sz w:val="30"/>
      </w:rPr>
    </w:lvl>
    <w:lvl w:ilvl="1" w:tentative="0">
      <w:start w:val="1"/>
      <w:numFmt w:val="decimal"/>
      <w:pStyle w:val="68"/>
      <w:suff w:val="space"/>
      <w:lvlText w:val="%1.%2"/>
      <w:lvlJc w:val="left"/>
      <w:pPr>
        <w:tabs>
          <w:tab w:val="left" w:pos="0"/>
        </w:tabs>
        <w:ind w:left="284" w:firstLine="0"/>
      </w:pPr>
      <w:rPr>
        <w:rFonts w:hint="default" w:ascii="Times New Roman" w:hAnsi="Times New Roman" w:eastAsia="宋体"/>
        <w:b/>
        <w:i w:val="0"/>
        <w:sz w:val="28"/>
      </w:rPr>
    </w:lvl>
    <w:lvl w:ilvl="2" w:tentative="0">
      <w:start w:val="1"/>
      <w:numFmt w:val="decimal"/>
      <w:pStyle w:val="69"/>
      <w:suff w:val="space"/>
      <w:lvlText w:val="%1.%2.%3"/>
      <w:lvlJc w:val="left"/>
      <w:pPr>
        <w:ind w:left="568" w:firstLine="0"/>
      </w:pPr>
      <w:rPr>
        <w:rFonts w:hint="default" w:ascii="Times New Roman" w:hAnsi="Times New Roman" w:eastAsia="宋体" w:cs="Times New Roman"/>
        <w:sz w:val="24"/>
        <w:szCs w:val="24"/>
      </w:rPr>
    </w:lvl>
    <w:lvl w:ilvl="3" w:tentative="0">
      <w:start w:val="1"/>
      <w:numFmt w:val="decimal"/>
      <w:pStyle w:val="70"/>
      <w:suff w:val="space"/>
      <w:lvlText w:val="%1.%2.%3.%4"/>
      <w:lvlJc w:val="left"/>
      <w:pPr>
        <w:tabs>
          <w:tab w:val="left" w:pos="0"/>
        </w:tabs>
        <w:ind w:left="0" w:firstLine="0"/>
      </w:pPr>
      <w:rPr>
        <w:rFonts w:hint="default" w:ascii="Times New Roman" w:hAnsi="Times New Roman" w:eastAsia="宋体" w:cs="Times New Roman"/>
        <w:b/>
        <w:bCs/>
        <w:i w:val="0"/>
        <w:sz w:val="24"/>
      </w:rPr>
    </w:lvl>
    <w:lvl w:ilvl="4" w:tentative="0">
      <w:start w:val="1"/>
      <w:numFmt w:val="decimal"/>
      <w:pStyle w:val="71"/>
      <w:lvlText w:val="%1.%2.%3.%4.%5"/>
      <w:lvlJc w:val="left"/>
      <w:pPr>
        <w:tabs>
          <w:tab w:val="left" w:pos="420"/>
        </w:tabs>
        <w:ind w:left="1700" w:firstLine="0"/>
      </w:pPr>
      <w:rPr>
        <w:rFonts w:hint="default" w:ascii="宋体" w:hAnsi="宋体" w:eastAsia="宋体" w:cs="仿宋_GB2312"/>
      </w:rPr>
    </w:lvl>
    <w:lvl w:ilvl="5" w:tentative="0">
      <w:start w:val="1"/>
      <w:numFmt w:val="decimal"/>
      <w:lvlText w:val="%1.%2.%3.%4.%5.%6"/>
      <w:lvlJc w:val="left"/>
      <w:pPr>
        <w:ind w:left="2125" w:firstLine="0"/>
      </w:pPr>
      <w:rPr>
        <w:rFonts w:hint="eastAsia"/>
      </w:rPr>
    </w:lvl>
    <w:lvl w:ilvl="6" w:tentative="0">
      <w:start w:val="1"/>
      <w:numFmt w:val="decimal"/>
      <w:lvlText w:val="%1.%2.%3.%4.%5.%6.%7"/>
      <w:lvlJc w:val="left"/>
      <w:pPr>
        <w:ind w:left="2550" w:firstLine="0"/>
      </w:pPr>
      <w:rPr>
        <w:rFonts w:hint="eastAsia"/>
      </w:rPr>
    </w:lvl>
    <w:lvl w:ilvl="7" w:tentative="0">
      <w:start w:val="1"/>
      <w:numFmt w:val="decimal"/>
      <w:lvlText w:val="%1.%2.%3.%4.%5.%6.%7.%8"/>
      <w:lvlJc w:val="left"/>
      <w:pPr>
        <w:ind w:left="2975" w:firstLine="0"/>
      </w:pPr>
      <w:rPr>
        <w:rFonts w:hint="eastAsia"/>
      </w:rPr>
    </w:lvl>
    <w:lvl w:ilvl="8" w:tentative="0">
      <w:start w:val="1"/>
      <w:numFmt w:val="decimal"/>
      <w:lvlText w:val="%1.%2.%3.%4.%5.%6.%7.%8.%9"/>
      <w:lvlJc w:val="left"/>
      <w:pPr>
        <w:ind w:left="3400" w:firstLine="0"/>
      </w:pPr>
      <w:rPr>
        <w:rFonts w:hint="eastAsia"/>
      </w:rPr>
    </w:lvl>
  </w:abstractNum>
  <w:abstractNum w:abstractNumId="43">
    <w:nsid w:val="671F11B1"/>
    <w:multiLevelType w:val="singleLevel"/>
    <w:tmpl w:val="671F11B1"/>
    <w:lvl w:ilvl="0" w:tentative="0">
      <w:start w:val="4"/>
      <w:numFmt w:val="chineseCounting"/>
      <w:suff w:val="nothing"/>
      <w:lvlText w:val="%1、"/>
      <w:lvlJc w:val="left"/>
      <w:rPr>
        <w:rFonts w:hint="eastAsia"/>
      </w:rPr>
    </w:lvl>
  </w:abstractNum>
  <w:abstractNum w:abstractNumId="44">
    <w:nsid w:val="6CA41985"/>
    <w:multiLevelType w:val="multilevel"/>
    <w:tmpl w:val="6CA41985"/>
    <w:lvl w:ilvl="0" w:tentative="0">
      <w:start w:val="1"/>
      <w:numFmt w:val="decimal"/>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6CEA2025"/>
    <w:multiLevelType w:val="multilevel"/>
    <w:tmpl w:val="6CEA2025"/>
    <w:lvl w:ilvl="0" w:tentative="0">
      <w:start w:val="1"/>
      <w:numFmt w:val="none"/>
      <w:pStyle w:val="58"/>
      <w:suff w:val="nothing"/>
      <w:lvlText w:val="%1"/>
      <w:lvlJc w:val="left"/>
      <w:pPr>
        <w:ind w:left="0" w:firstLine="0"/>
      </w:pPr>
      <w:rPr>
        <w:rFonts w:hint="default" w:ascii="Times New Roman" w:hAnsi="Times New Roman"/>
        <w:b/>
        <w:i w:val="0"/>
        <w:sz w:val="21"/>
      </w:rPr>
    </w:lvl>
    <w:lvl w:ilvl="1" w:tentative="0">
      <w:start w:val="1"/>
      <w:numFmt w:val="decimal"/>
      <w:pStyle w:val="56"/>
      <w:suff w:val="nothing"/>
      <w:lvlText w:val="%1%2　"/>
      <w:lvlJc w:val="left"/>
      <w:pPr>
        <w:ind w:left="0" w:firstLine="0"/>
      </w:pPr>
      <w:rPr>
        <w:rFonts w:hint="default" w:ascii="黑体" w:hAnsi="黑体" w:eastAsia="黑体" w:cs="黑体"/>
        <w:b w:val="0"/>
        <w:i w:val="0"/>
        <w:sz w:val="21"/>
      </w:rPr>
    </w:lvl>
    <w:lvl w:ilvl="2" w:tentative="0">
      <w:start w:val="1"/>
      <w:numFmt w:val="decimal"/>
      <w:pStyle w:val="55"/>
      <w:suff w:val="nothing"/>
      <w:lvlText w:val="%1%2.%3　"/>
      <w:lvlJc w:val="left"/>
      <w:pPr>
        <w:ind w:left="851" w:firstLine="0"/>
      </w:pPr>
      <w:rPr>
        <w:rFonts w:hint="default" w:ascii="黑体" w:hAnsi="黑体" w:eastAsia="黑体" w:cs="黑体"/>
        <w:b w:val="0"/>
        <w:i w:val="0"/>
        <w:sz w:val="21"/>
      </w:rPr>
    </w:lvl>
    <w:lvl w:ilvl="3" w:tentative="0">
      <w:start w:val="1"/>
      <w:numFmt w:val="decimal"/>
      <w:pStyle w:val="94"/>
      <w:suff w:val="nothing"/>
      <w:lvlText w:val="%1%2.%3.%4　"/>
      <w:lvlJc w:val="left"/>
      <w:pPr>
        <w:ind w:left="0" w:firstLine="0"/>
      </w:pPr>
      <w:rPr>
        <w:rFonts w:hint="default" w:ascii="黑体" w:hAnsi="黑体" w:eastAsia="黑体" w:cs="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6">
    <w:nsid w:val="6D701C19"/>
    <w:multiLevelType w:val="multilevel"/>
    <w:tmpl w:val="6D701C19"/>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A.3.%3"/>
      <w:lvlJc w:val="left"/>
      <w:pPr>
        <w:tabs>
          <w:tab w:val="left" w:pos="0"/>
        </w:tabs>
        <w:ind w:left="1418" w:hanging="1418"/>
      </w:pPr>
      <w:rPr>
        <w:rFonts w:hint="default" w:ascii="Times New Roman" w:hAnsi="Times New Roman" w:eastAsia="宋体" w:cs="Times New Roman"/>
        <w:sz w:val="21"/>
        <w:szCs w:val="21"/>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7">
    <w:nsid w:val="6FED1E6C"/>
    <w:multiLevelType w:val="multilevel"/>
    <w:tmpl w:val="6FED1E6C"/>
    <w:lvl w:ilvl="0" w:tentative="0">
      <w:start w:val="1"/>
      <w:numFmt w:val="lowerLetter"/>
      <w:suff w:val="nothing"/>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8">
    <w:nsid w:val="71A33B69"/>
    <w:multiLevelType w:val="multilevel"/>
    <w:tmpl w:val="71A33B69"/>
    <w:lvl w:ilvl="0" w:tentative="0">
      <w:start w:val="1"/>
      <w:numFmt w:val="lowerLetter"/>
      <w:suff w:val="nothing"/>
      <w:lvlText w:val="%1）"/>
      <w:lvlJc w:val="left"/>
      <w:pPr>
        <w:ind w:left="1494"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9">
    <w:nsid w:val="76187C1A"/>
    <w:multiLevelType w:val="multilevel"/>
    <w:tmpl w:val="76187C1A"/>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A.2.%3"/>
      <w:lvlJc w:val="left"/>
      <w:pPr>
        <w:tabs>
          <w:tab w:val="left" w:pos="0"/>
        </w:tabs>
        <w:ind w:left="1418" w:hanging="1418"/>
      </w:pPr>
      <w:rPr>
        <w:rFonts w:hint="default" w:ascii="Times New Roman" w:hAnsi="Times New Roman" w:eastAsia="宋体" w:cs="Times New Roman"/>
        <w:sz w:val="21"/>
        <w:szCs w:val="21"/>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4"/>
  </w:num>
  <w:num w:numId="2">
    <w:abstractNumId w:val="45"/>
  </w:num>
  <w:num w:numId="3">
    <w:abstractNumId w:val="42"/>
  </w:num>
  <w:num w:numId="4">
    <w:abstractNumId w:val="22"/>
  </w:num>
  <w:num w:numId="5">
    <w:abstractNumId w:val="20"/>
  </w:num>
  <w:num w:numId="6">
    <w:abstractNumId w:val="41"/>
  </w:num>
  <w:num w:numId="7">
    <w:abstractNumId w:val="38"/>
  </w:num>
  <w:num w:numId="8">
    <w:abstractNumId w:val="28"/>
  </w:num>
  <w:num w:numId="9">
    <w:abstractNumId w:val="15"/>
  </w:num>
  <w:num w:numId="10">
    <w:abstractNumId w:val="32"/>
  </w:num>
  <w:num w:numId="11">
    <w:abstractNumId w:val="14"/>
  </w:num>
  <w:num w:numId="12">
    <w:abstractNumId w:val="6"/>
  </w:num>
  <w:num w:numId="13">
    <w:abstractNumId w:val="17"/>
  </w:num>
  <w:num w:numId="14">
    <w:abstractNumId w:val="34"/>
  </w:num>
  <w:num w:numId="15">
    <w:abstractNumId w:val="27"/>
  </w:num>
  <w:num w:numId="16">
    <w:abstractNumId w:val="16"/>
  </w:num>
  <w:num w:numId="17">
    <w:abstractNumId w:val="37"/>
  </w:num>
  <w:num w:numId="18">
    <w:abstractNumId w:val="13"/>
  </w:num>
  <w:num w:numId="19">
    <w:abstractNumId w:val="25"/>
  </w:num>
  <w:num w:numId="20">
    <w:abstractNumId w:val="11"/>
  </w:num>
  <w:num w:numId="21">
    <w:abstractNumId w:val="1"/>
  </w:num>
  <w:num w:numId="22">
    <w:abstractNumId w:val="36"/>
  </w:num>
  <w:num w:numId="23">
    <w:abstractNumId w:val="19"/>
  </w:num>
  <w:num w:numId="24">
    <w:abstractNumId w:val="2"/>
  </w:num>
  <w:num w:numId="25">
    <w:abstractNumId w:val="7"/>
  </w:num>
  <w:num w:numId="26">
    <w:abstractNumId w:val="48"/>
  </w:num>
  <w:num w:numId="27">
    <w:abstractNumId w:val="4"/>
  </w:num>
  <w:num w:numId="28">
    <w:abstractNumId w:val="8"/>
  </w:num>
  <w:num w:numId="29">
    <w:abstractNumId w:val="29"/>
  </w:num>
  <w:num w:numId="30">
    <w:abstractNumId w:val="33"/>
  </w:num>
  <w:num w:numId="31">
    <w:abstractNumId w:val="47"/>
  </w:num>
  <w:num w:numId="32">
    <w:abstractNumId w:val="0"/>
  </w:num>
  <w:num w:numId="33">
    <w:abstractNumId w:val="21"/>
  </w:num>
  <w:num w:numId="34">
    <w:abstractNumId w:val="3"/>
  </w:num>
  <w:num w:numId="35">
    <w:abstractNumId w:val="30"/>
  </w:num>
  <w:num w:numId="36">
    <w:abstractNumId w:val="31"/>
  </w:num>
  <w:num w:numId="37">
    <w:abstractNumId w:val="12"/>
  </w:num>
  <w:num w:numId="38">
    <w:abstractNumId w:val="23"/>
  </w:num>
  <w:num w:numId="39">
    <w:abstractNumId w:val="26"/>
  </w:num>
  <w:num w:numId="40">
    <w:abstractNumId w:val="39"/>
  </w:num>
  <w:num w:numId="41">
    <w:abstractNumId w:val="5"/>
  </w:num>
  <w:num w:numId="42">
    <w:abstractNumId w:val="10"/>
  </w:num>
  <w:num w:numId="43">
    <w:abstractNumId w:val="49"/>
  </w:num>
  <w:num w:numId="44">
    <w:abstractNumId w:val="46"/>
  </w:num>
  <w:num w:numId="45">
    <w:abstractNumId w:val="40"/>
  </w:num>
  <w:num w:numId="46">
    <w:abstractNumId w:val="44"/>
  </w:num>
  <w:num w:numId="47">
    <w:abstractNumId w:val="9"/>
  </w:num>
  <w:num w:numId="48">
    <w:abstractNumId w:val="18"/>
  </w:num>
  <w:num w:numId="49">
    <w:abstractNumId w:val="35"/>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M2RjZGE5YzIzZTg3NjMxYjVkMjAxZWM2Mzg3M2IifQ=="/>
  </w:docVars>
  <w:rsids>
    <w:rsidRoot w:val="00172A27"/>
    <w:rsid w:val="00033856"/>
    <w:rsid w:val="000441A7"/>
    <w:rsid w:val="00054FDF"/>
    <w:rsid w:val="00172A27"/>
    <w:rsid w:val="001A1433"/>
    <w:rsid w:val="001B45C3"/>
    <w:rsid w:val="00215AA4"/>
    <w:rsid w:val="00226C5A"/>
    <w:rsid w:val="00234420"/>
    <w:rsid w:val="00273E35"/>
    <w:rsid w:val="003526A1"/>
    <w:rsid w:val="00362087"/>
    <w:rsid w:val="003838BB"/>
    <w:rsid w:val="00383F2F"/>
    <w:rsid w:val="003A3D9C"/>
    <w:rsid w:val="003C0CDB"/>
    <w:rsid w:val="003C13F1"/>
    <w:rsid w:val="003C3BEF"/>
    <w:rsid w:val="00421679"/>
    <w:rsid w:val="0054230F"/>
    <w:rsid w:val="007306E1"/>
    <w:rsid w:val="007308DF"/>
    <w:rsid w:val="007A1DD4"/>
    <w:rsid w:val="007B2A24"/>
    <w:rsid w:val="007C17B6"/>
    <w:rsid w:val="007C2C53"/>
    <w:rsid w:val="007E21F9"/>
    <w:rsid w:val="007F2C3E"/>
    <w:rsid w:val="008B3BAA"/>
    <w:rsid w:val="00932717"/>
    <w:rsid w:val="009879DE"/>
    <w:rsid w:val="009B42F7"/>
    <w:rsid w:val="009B73BF"/>
    <w:rsid w:val="00B06B01"/>
    <w:rsid w:val="00B74FAB"/>
    <w:rsid w:val="00BD5761"/>
    <w:rsid w:val="00C319CE"/>
    <w:rsid w:val="00D01073"/>
    <w:rsid w:val="00D62FF3"/>
    <w:rsid w:val="00D75976"/>
    <w:rsid w:val="00D7663D"/>
    <w:rsid w:val="00DC7CB4"/>
    <w:rsid w:val="00E25056"/>
    <w:rsid w:val="00F30133"/>
    <w:rsid w:val="00FD1E75"/>
    <w:rsid w:val="00FD5620"/>
    <w:rsid w:val="012B4701"/>
    <w:rsid w:val="017B42E9"/>
    <w:rsid w:val="01963074"/>
    <w:rsid w:val="02167B18"/>
    <w:rsid w:val="02393A81"/>
    <w:rsid w:val="028B6DF0"/>
    <w:rsid w:val="02C52557"/>
    <w:rsid w:val="03257258"/>
    <w:rsid w:val="03457C81"/>
    <w:rsid w:val="03737FFF"/>
    <w:rsid w:val="03BB23AC"/>
    <w:rsid w:val="04210E4E"/>
    <w:rsid w:val="04A74CD8"/>
    <w:rsid w:val="04BC5D9C"/>
    <w:rsid w:val="04C14D1C"/>
    <w:rsid w:val="04DD1B9E"/>
    <w:rsid w:val="05065FC7"/>
    <w:rsid w:val="052427F3"/>
    <w:rsid w:val="05654966"/>
    <w:rsid w:val="05697EB5"/>
    <w:rsid w:val="05A449FD"/>
    <w:rsid w:val="05EA4B8A"/>
    <w:rsid w:val="064E4AF6"/>
    <w:rsid w:val="064E6F0D"/>
    <w:rsid w:val="0704234D"/>
    <w:rsid w:val="07443F59"/>
    <w:rsid w:val="074A1304"/>
    <w:rsid w:val="075A4718"/>
    <w:rsid w:val="075F6D1F"/>
    <w:rsid w:val="077765AA"/>
    <w:rsid w:val="07B502F4"/>
    <w:rsid w:val="07C67528"/>
    <w:rsid w:val="08342361"/>
    <w:rsid w:val="087370B9"/>
    <w:rsid w:val="091C3566"/>
    <w:rsid w:val="09A035AC"/>
    <w:rsid w:val="0A172CBC"/>
    <w:rsid w:val="0A923B58"/>
    <w:rsid w:val="0A937EF2"/>
    <w:rsid w:val="0AD602D8"/>
    <w:rsid w:val="0B6017B9"/>
    <w:rsid w:val="0B8E457E"/>
    <w:rsid w:val="0C952E53"/>
    <w:rsid w:val="0D9308F8"/>
    <w:rsid w:val="0DB16A5F"/>
    <w:rsid w:val="0DBF479B"/>
    <w:rsid w:val="0E9C55D3"/>
    <w:rsid w:val="0F5C7F19"/>
    <w:rsid w:val="0F881477"/>
    <w:rsid w:val="0F8D5141"/>
    <w:rsid w:val="0FC37DCC"/>
    <w:rsid w:val="0FE94DB7"/>
    <w:rsid w:val="10631FFF"/>
    <w:rsid w:val="108A26B0"/>
    <w:rsid w:val="10AE31FA"/>
    <w:rsid w:val="10EB3F53"/>
    <w:rsid w:val="10F75262"/>
    <w:rsid w:val="114C5FF1"/>
    <w:rsid w:val="11572C14"/>
    <w:rsid w:val="116F3864"/>
    <w:rsid w:val="117A3266"/>
    <w:rsid w:val="11E143A2"/>
    <w:rsid w:val="12101B1D"/>
    <w:rsid w:val="12174FF3"/>
    <w:rsid w:val="123B4E32"/>
    <w:rsid w:val="128A15F3"/>
    <w:rsid w:val="12936308"/>
    <w:rsid w:val="12A5765F"/>
    <w:rsid w:val="12C429A7"/>
    <w:rsid w:val="12E96B96"/>
    <w:rsid w:val="12F8077D"/>
    <w:rsid w:val="134B7007"/>
    <w:rsid w:val="135A26F6"/>
    <w:rsid w:val="136F49F2"/>
    <w:rsid w:val="145F0B56"/>
    <w:rsid w:val="14780875"/>
    <w:rsid w:val="14C848E6"/>
    <w:rsid w:val="151C034D"/>
    <w:rsid w:val="15284BAB"/>
    <w:rsid w:val="15536575"/>
    <w:rsid w:val="156E25C9"/>
    <w:rsid w:val="158E28F0"/>
    <w:rsid w:val="15AC49D5"/>
    <w:rsid w:val="15F66C34"/>
    <w:rsid w:val="168A40D7"/>
    <w:rsid w:val="169C652C"/>
    <w:rsid w:val="16AB26F4"/>
    <w:rsid w:val="16F65238"/>
    <w:rsid w:val="17967DB8"/>
    <w:rsid w:val="17A76871"/>
    <w:rsid w:val="18324F43"/>
    <w:rsid w:val="18492666"/>
    <w:rsid w:val="19BE76E4"/>
    <w:rsid w:val="19E00326"/>
    <w:rsid w:val="1A464073"/>
    <w:rsid w:val="1AF171D6"/>
    <w:rsid w:val="1B1005B4"/>
    <w:rsid w:val="1B7F6C67"/>
    <w:rsid w:val="1BD72E94"/>
    <w:rsid w:val="1BF4566B"/>
    <w:rsid w:val="1C443B6B"/>
    <w:rsid w:val="1C4F6C7E"/>
    <w:rsid w:val="1CE2619F"/>
    <w:rsid w:val="1D274763"/>
    <w:rsid w:val="1E410930"/>
    <w:rsid w:val="1EE86942"/>
    <w:rsid w:val="1F136AA8"/>
    <w:rsid w:val="1F527425"/>
    <w:rsid w:val="1F93345C"/>
    <w:rsid w:val="1FB73684"/>
    <w:rsid w:val="2000655C"/>
    <w:rsid w:val="200E7D4D"/>
    <w:rsid w:val="205F5C8D"/>
    <w:rsid w:val="2077140A"/>
    <w:rsid w:val="20F0781A"/>
    <w:rsid w:val="21026DD4"/>
    <w:rsid w:val="21460077"/>
    <w:rsid w:val="215155F8"/>
    <w:rsid w:val="21B05A2D"/>
    <w:rsid w:val="21C75F5A"/>
    <w:rsid w:val="21EE14C6"/>
    <w:rsid w:val="22096969"/>
    <w:rsid w:val="22504FAE"/>
    <w:rsid w:val="22952C4B"/>
    <w:rsid w:val="230E380E"/>
    <w:rsid w:val="238002CA"/>
    <w:rsid w:val="23D418C7"/>
    <w:rsid w:val="246F581E"/>
    <w:rsid w:val="24D4317A"/>
    <w:rsid w:val="253011EB"/>
    <w:rsid w:val="25663EB1"/>
    <w:rsid w:val="25AA6E80"/>
    <w:rsid w:val="25C74C8F"/>
    <w:rsid w:val="26185714"/>
    <w:rsid w:val="267430FB"/>
    <w:rsid w:val="26EF6CED"/>
    <w:rsid w:val="273B136A"/>
    <w:rsid w:val="27507933"/>
    <w:rsid w:val="2754427C"/>
    <w:rsid w:val="276C4606"/>
    <w:rsid w:val="27B74DD8"/>
    <w:rsid w:val="286B6D6B"/>
    <w:rsid w:val="28C9179E"/>
    <w:rsid w:val="2961719E"/>
    <w:rsid w:val="29757990"/>
    <w:rsid w:val="29A953CE"/>
    <w:rsid w:val="29BB3C76"/>
    <w:rsid w:val="29FD68B0"/>
    <w:rsid w:val="2A005376"/>
    <w:rsid w:val="2A141E18"/>
    <w:rsid w:val="2A147014"/>
    <w:rsid w:val="2A652838"/>
    <w:rsid w:val="2A7043B1"/>
    <w:rsid w:val="2B236F2B"/>
    <w:rsid w:val="2B85488A"/>
    <w:rsid w:val="2B9351F9"/>
    <w:rsid w:val="2BBD0B4F"/>
    <w:rsid w:val="2BE42BD5"/>
    <w:rsid w:val="2C586430"/>
    <w:rsid w:val="2D25125D"/>
    <w:rsid w:val="2D52215F"/>
    <w:rsid w:val="2D6A155A"/>
    <w:rsid w:val="2E393004"/>
    <w:rsid w:val="2E5B41E4"/>
    <w:rsid w:val="2E7D3F3E"/>
    <w:rsid w:val="2E8A25C7"/>
    <w:rsid w:val="2EA849C2"/>
    <w:rsid w:val="2ED00512"/>
    <w:rsid w:val="2F1E331E"/>
    <w:rsid w:val="2F2067E5"/>
    <w:rsid w:val="2F745341"/>
    <w:rsid w:val="304A0924"/>
    <w:rsid w:val="304A1F0B"/>
    <w:rsid w:val="308A4F2F"/>
    <w:rsid w:val="309410C2"/>
    <w:rsid w:val="30B8300C"/>
    <w:rsid w:val="31E84E08"/>
    <w:rsid w:val="31EA70E1"/>
    <w:rsid w:val="31F8693B"/>
    <w:rsid w:val="32300F54"/>
    <w:rsid w:val="32385E9F"/>
    <w:rsid w:val="32480BB4"/>
    <w:rsid w:val="327B56DF"/>
    <w:rsid w:val="32B102A1"/>
    <w:rsid w:val="32EC0963"/>
    <w:rsid w:val="33793E00"/>
    <w:rsid w:val="33962F20"/>
    <w:rsid w:val="33B33035"/>
    <w:rsid w:val="33B8572A"/>
    <w:rsid w:val="34070EF2"/>
    <w:rsid w:val="34244AC0"/>
    <w:rsid w:val="34895FBE"/>
    <w:rsid w:val="34961252"/>
    <w:rsid w:val="34F75D1A"/>
    <w:rsid w:val="35977E54"/>
    <w:rsid w:val="35DA792B"/>
    <w:rsid w:val="35E05D71"/>
    <w:rsid w:val="35E34777"/>
    <w:rsid w:val="36564DF5"/>
    <w:rsid w:val="368340BC"/>
    <w:rsid w:val="36A95715"/>
    <w:rsid w:val="36C051B3"/>
    <w:rsid w:val="36E06269"/>
    <w:rsid w:val="370337D9"/>
    <w:rsid w:val="37621763"/>
    <w:rsid w:val="37977641"/>
    <w:rsid w:val="383832E4"/>
    <w:rsid w:val="385B738D"/>
    <w:rsid w:val="391028D4"/>
    <w:rsid w:val="393B2BEC"/>
    <w:rsid w:val="395D7340"/>
    <w:rsid w:val="39A53142"/>
    <w:rsid w:val="3A7B791D"/>
    <w:rsid w:val="3A992513"/>
    <w:rsid w:val="3AAD144D"/>
    <w:rsid w:val="3AD4023E"/>
    <w:rsid w:val="3AF4552F"/>
    <w:rsid w:val="3BA209AC"/>
    <w:rsid w:val="3BF2201B"/>
    <w:rsid w:val="3C071109"/>
    <w:rsid w:val="3C3420E0"/>
    <w:rsid w:val="3C3B6FA3"/>
    <w:rsid w:val="3C663C1F"/>
    <w:rsid w:val="3CA326F3"/>
    <w:rsid w:val="3CC25A7B"/>
    <w:rsid w:val="3D2F28A7"/>
    <w:rsid w:val="3D652C54"/>
    <w:rsid w:val="3D9D3510"/>
    <w:rsid w:val="3E0953D7"/>
    <w:rsid w:val="3E6128BD"/>
    <w:rsid w:val="3EED4875"/>
    <w:rsid w:val="3F44372E"/>
    <w:rsid w:val="3F8F2A65"/>
    <w:rsid w:val="3FF24D6C"/>
    <w:rsid w:val="40882E6C"/>
    <w:rsid w:val="40CE5967"/>
    <w:rsid w:val="4186721E"/>
    <w:rsid w:val="41BE128D"/>
    <w:rsid w:val="41C20A04"/>
    <w:rsid w:val="42971995"/>
    <w:rsid w:val="42A01C53"/>
    <w:rsid w:val="42D96C15"/>
    <w:rsid w:val="42F65123"/>
    <w:rsid w:val="431B4090"/>
    <w:rsid w:val="43264684"/>
    <w:rsid w:val="438532EB"/>
    <w:rsid w:val="43B16265"/>
    <w:rsid w:val="43CB14D7"/>
    <w:rsid w:val="43EE4CF8"/>
    <w:rsid w:val="44386270"/>
    <w:rsid w:val="4475298B"/>
    <w:rsid w:val="449B07EB"/>
    <w:rsid w:val="44E4312A"/>
    <w:rsid w:val="44F91387"/>
    <w:rsid w:val="450903F6"/>
    <w:rsid w:val="452E7F44"/>
    <w:rsid w:val="454B1256"/>
    <w:rsid w:val="456B6082"/>
    <w:rsid w:val="45A1519C"/>
    <w:rsid w:val="45BD45DD"/>
    <w:rsid w:val="45E34313"/>
    <w:rsid w:val="463351B6"/>
    <w:rsid w:val="464024F9"/>
    <w:rsid w:val="464B78AD"/>
    <w:rsid w:val="465925B9"/>
    <w:rsid w:val="465966A9"/>
    <w:rsid w:val="46A36C52"/>
    <w:rsid w:val="46B92717"/>
    <w:rsid w:val="46CC00B3"/>
    <w:rsid w:val="47233568"/>
    <w:rsid w:val="473231B0"/>
    <w:rsid w:val="476935BD"/>
    <w:rsid w:val="47800E5B"/>
    <w:rsid w:val="47D814F7"/>
    <w:rsid w:val="47F22D46"/>
    <w:rsid w:val="47FB4B1C"/>
    <w:rsid w:val="48172A03"/>
    <w:rsid w:val="48552511"/>
    <w:rsid w:val="48990883"/>
    <w:rsid w:val="48A57612"/>
    <w:rsid w:val="48EB350C"/>
    <w:rsid w:val="49160061"/>
    <w:rsid w:val="492B6918"/>
    <w:rsid w:val="49853B2F"/>
    <w:rsid w:val="49AE3723"/>
    <w:rsid w:val="49D7054F"/>
    <w:rsid w:val="49FB376E"/>
    <w:rsid w:val="4A38641D"/>
    <w:rsid w:val="4A845C50"/>
    <w:rsid w:val="4B044207"/>
    <w:rsid w:val="4B0F2B1B"/>
    <w:rsid w:val="4B6978CC"/>
    <w:rsid w:val="4C2061DD"/>
    <w:rsid w:val="4C3618F9"/>
    <w:rsid w:val="4C573C89"/>
    <w:rsid w:val="4CA25D92"/>
    <w:rsid w:val="4CC151FB"/>
    <w:rsid w:val="4CDD1387"/>
    <w:rsid w:val="4D1819C8"/>
    <w:rsid w:val="4DDB1351"/>
    <w:rsid w:val="4DDB4207"/>
    <w:rsid w:val="4DDF44B5"/>
    <w:rsid w:val="4DFE4C02"/>
    <w:rsid w:val="4E643BE6"/>
    <w:rsid w:val="4E7A463A"/>
    <w:rsid w:val="4EE27B3B"/>
    <w:rsid w:val="4F473CA0"/>
    <w:rsid w:val="4FA5372C"/>
    <w:rsid w:val="4FDB2598"/>
    <w:rsid w:val="50080677"/>
    <w:rsid w:val="50396AAB"/>
    <w:rsid w:val="508771A2"/>
    <w:rsid w:val="50935EC0"/>
    <w:rsid w:val="50C54111"/>
    <w:rsid w:val="50C64F1F"/>
    <w:rsid w:val="515F39E4"/>
    <w:rsid w:val="51937FE1"/>
    <w:rsid w:val="51D829C4"/>
    <w:rsid w:val="5208608F"/>
    <w:rsid w:val="526B22C9"/>
    <w:rsid w:val="527E2854"/>
    <w:rsid w:val="52846B00"/>
    <w:rsid w:val="52E650F3"/>
    <w:rsid w:val="52F479A5"/>
    <w:rsid w:val="5311509B"/>
    <w:rsid w:val="53131DCD"/>
    <w:rsid w:val="535A29ED"/>
    <w:rsid w:val="5383502D"/>
    <w:rsid w:val="538C0D0D"/>
    <w:rsid w:val="53B61758"/>
    <w:rsid w:val="53C00752"/>
    <w:rsid w:val="54026CFB"/>
    <w:rsid w:val="54DC6027"/>
    <w:rsid w:val="54E20C9B"/>
    <w:rsid w:val="54F501F6"/>
    <w:rsid w:val="551B53B0"/>
    <w:rsid w:val="552705AF"/>
    <w:rsid w:val="5543746D"/>
    <w:rsid w:val="555C6C0C"/>
    <w:rsid w:val="55656729"/>
    <w:rsid w:val="559D2106"/>
    <w:rsid w:val="55AF306B"/>
    <w:rsid w:val="55C7001D"/>
    <w:rsid w:val="5629697A"/>
    <w:rsid w:val="56575EC7"/>
    <w:rsid w:val="567B2E7E"/>
    <w:rsid w:val="56B31C4E"/>
    <w:rsid w:val="572351B3"/>
    <w:rsid w:val="5735242D"/>
    <w:rsid w:val="5736635C"/>
    <w:rsid w:val="578E7032"/>
    <w:rsid w:val="58135B3B"/>
    <w:rsid w:val="583B29CE"/>
    <w:rsid w:val="58430F7B"/>
    <w:rsid w:val="58673A0F"/>
    <w:rsid w:val="58765C5B"/>
    <w:rsid w:val="588B77B4"/>
    <w:rsid w:val="588D12C4"/>
    <w:rsid w:val="58C274C7"/>
    <w:rsid w:val="58FF0BFD"/>
    <w:rsid w:val="59A445A2"/>
    <w:rsid w:val="59BD3C80"/>
    <w:rsid w:val="59E12E79"/>
    <w:rsid w:val="59E1754D"/>
    <w:rsid w:val="59F16A67"/>
    <w:rsid w:val="5A2B56FD"/>
    <w:rsid w:val="5A48534A"/>
    <w:rsid w:val="5AFD2865"/>
    <w:rsid w:val="5B2F62A0"/>
    <w:rsid w:val="5B7232BE"/>
    <w:rsid w:val="5BBA168B"/>
    <w:rsid w:val="5BD015CA"/>
    <w:rsid w:val="5BDF3E49"/>
    <w:rsid w:val="5C5D3346"/>
    <w:rsid w:val="5CB62828"/>
    <w:rsid w:val="5D0B35B7"/>
    <w:rsid w:val="5D163B46"/>
    <w:rsid w:val="5D3115D0"/>
    <w:rsid w:val="5D786349"/>
    <w:rsid w:val="5DAB16BF"/>
    <w:rsid w:val="5DB15B4F"/>
    <w:rsid w:val="5DC8742A"/>
    <w:rsid w:val="5DDC4FA6"/>
    <w:rsid w:val="5E065593"/>
    <w:rsid w:val="5E4F3289"/>
    <w:rsid w:val="5E99410D"/>
    <w:rsid w:val="5EA47793"/>
    <w:rsid w:val="5ECB647C"/>
    <w:rsid w:val="5F0F380E"/>
    <w:rsid w:val="5F294761"/>
    <w:rsid w:val="5F8B079F"/>
    <w:rsid w:val="5FC811C2"/>
    <w:rsid w:val="60207469"/>
    <w:rsid w:val="607C13EF"/>
    <w:rsid w:val="60BA61CC"/>
    <w:rsid w:val="60CC3396"/>
    <w:rsid w:val="610A0716"/>
    <w:rsid w:val="614D6478"/>
    <w:rsid w:val="61624BCF"/>
    <w:rsid w:val="61630E46"/>
    <w:rsid w:val="619E5B5C"/>
    <w:rsid w:val="61C8279F"/>
    <w:rsid w:val="624F75D6"/>
    <w:rsid w:val="625E106B"/>
    <w:rsid w:val="62981409"/>
    <w:rsid w:val="62AE2E73"/>
    <w:rsid w:val="62FA4B8F"/>
    <w:rsid w:val="63063637"/>
    <w:rsid w:val="630C2BBF"/>
    <w:rsid w:val="632F6891"/>
    <w:rsid w:val="63687408"/>
    <w:rsid w:val="6399123F"/>
    <w:rsid w:val="63C02E3B"/>
    <w:rsid w:val="63C33179"/>
    <w:rsid w:val="63E9008A"/>
    <w:rsid w:val="6419013F"/>
    <w:rsid w:val="64D22B78"/>
    <w:rsid w:val="64EA1CC4"/>
    <w:rsid w:val="658211E6"/>
    <w:rsid w:val="659821B0"/>
    <w:rsid w:val="65DE652D"/>
    <w:rsid w:val="65FC68C8"/>
    <w:rsid w:val="669D1A73"/>
    <w:rsid w:val="677671E1"/>
    <w:rsid w:val="67DB0DB2"/>
    <w:rsid w:val="680D5A3C"/>
    <w:rsid w:val="682C1DCB"/>
    <w:rsid w:val="687A56E1"/>
    <w:rsid w:val="68F01333"/>
    <w:rsid w:val="68FB318B"/>
    <w:rsid w:val="6924550B"/>
    <w:rsid w:val="695F06ED"/>
    <w:rsid w:val="697F0C22"/>
    <w:rsid w:val="69B23D3B"/>
    <w:rsid w:val="69B65A3F"/>
    <w:rsid w:val="6A1A0092"/>
    <w:rsid w:val="6A635EC9"/>
    <w:rsid w:val="6A815EA8"/>
    <w:rsid w:val="6A925614"/>
    <w:rsid w:val="6ACA793F"/>
    <w:rsid w:val="6AF57849"/>
    <w:rsid w:val="6B30084E"/>
    <w:rsid w:val="6B6A0B9E"/>
    <w:rsid w:val="6BC009EB"/>
    <w:rsid w:val="6BEF7027"/>
    <w:rsid w:val="6BF151A3"/>
    <w:rsid w:val="6C045F86"/>
    <w:rsid w:val="6C3D2705"/>
    <w:rsid w:val="6CCF6743"/>
    <w:rsid w:val="6CD31597"/>
    <w:rsid w:val="6D061B62"/>
    <w:rsid w:val="6D7762A4"/>
    <w:rsid w:val="6D922092"/>
    <w:rsid w:val="6DCB13FE"/>
    <w:rsid w:val="6E6D49CE"/>
    <w:rsid w:val="6EAD26C2"/>
    <w:rsid w:val="6F596848"/>
    <w:rsid w:val="6F6C1DC5"/>
    <w:rsid w:val="6F7D4020"/>
    <w:rsid w:val="6F906624"/>
    <w:rsid w:val="6F913BDB"/>
    <w:rsid w:val="6FAB29C1"/>
    <w:rsid w:val="704D5DCD"/>
    <w:rsid w:val="70B743C9"/>
    <w:rsid w:val="70B74861"/>
    <w:rsid w:val="70DC61EE"/>
    <w:rsid w:val="710B3A20"/>
    <w:rsid w:val="7164712F"/>
    <w:rsid w:val="71906332"/>
    <w:rsid w:val="72212C25"/>
    <w:rsid w:val="723D12FA"/>
    <w:rsid w:val="72583DCB"/>
    <w:rsid w:val="72910586"/>
    <w:rsid w:val="730218BE"/>
    <w:rsid w:val="730936C7"/>
    <w:rsid w:val="731629DD"/>
    <w:rsid w:val="73374D37"/>
    <w:rsid w:val="736949E6"/>
    <w:rsid w:val="73797EB1"/>
    <w:rsid w:val="73946B2F"/>
    <w:rsid w:val="73F35AF1"/>
    <w:rsid w:val="74126EA2"/>
    <w:rsid w:val="745D724A"/>
    <w:rsid w:val="746F6DF3"/>
    <w:rsid w:val="7476788C"/>
    <w:rsid w:val="74F26EE5"/>
    <w:rsid w:val="75170F8F"/>
    <w:rsid w:val="751759A6"/>
    <w:rsid w:val="75195947"/>
    <w:rsid w:val="751A7F66"/>
    <w:rsid w:val="75275C40"/>
    <w:rsid w:val="75792D9E"/>
    <w:rsid w:val="75F62E97"/>
    <w:rsid w:val="765C4F02"/>
    <w:rsid w:val="76BC3D17"/>
    <w:rsid w:val="77746B0A"/>
    <w:rsid w:val="77C13386"/>
    <w:rsid w:val="77EE6CBB"/>
    <w:rsid w:val="77F43B54"/>
    <w:rsid w:val="78083FDE"/>
    <w:rsid w:val="783D0751"/>
    <w:rsid w:val="788E6F45"/>
    <w:rsid w:val="78B07BFB"/>
    <w:rsid w:val="78B64B97"/>
    <w:rsid w:val="78BC2324"/>
    <w:rsid w:val="78C2713A"/>
    <w:rsid w:val="78F12F26"/>
    <w:rsid w:val="792C3AD1"/>
    <w:rsid w:val="793302D8"/>
    <w:rsid w:val="7937227D"/>
    <w:rsid w:val="79395171"/>
    <w:rsid w:val="79457B3C"/>
    <w:rsid w:val="79542B49"/>
    <w:rsid w:val="797A042B"/>
    <w:rsid w:val="79BB7DE8"/>
    <w:rsid w:val="79CF3E0F"/>
    <w:rsid w:val="7A097646"/>
    <w:rsid w:val="7A2F7212"/>
    <w:rsid w:val="7A337AF5"/>
    <w:rsid w:val="7A7B4DD0"/>
    <w:rsid w:val="7A9A6032"/>
    <w:rsid w:val="7ADD4061"/>
    <w:rsid w:val="7B0214DB"/>
    <w:rsid w:val="7B1A4978"/>
    <w:rsid w:val="7B8B0121"/>
    <w:rsid w:val="7B972A5E"/>
    <w:rsid w:val="7BE71557"/>
    <w:rsid w:val="7C06193A"/>
    <w:rsid w:val="7C492296"/>
    <w:rsid w:val="7C5860D5"/>
    <w:rsid w:val="7C5C0448"/>
    <w:rsid w:val="7CD47AC6"/>
    <w:rsid w:val="7D0C1CE2"/>
    <w:rsid w:val="7D3C766F"/>
    <w:rsid w:val="7D8E7BDF"/>
    <w:rsid w:val="7E7E0255"/>
    <w:rsid w:val="7ED128BA"/>
    <w:rsid w:val="7F220792"/>
    <w:rsid w:val="7F4F4108"/>
    <w:rsid w:val="7F5B36AF"/>
    <w:rsid w:val="7F8519C2"/>
    <w:rsid w:val="7FD73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6" w:lineRule="auto"/>
      <w:outlineLvl w:val="0"/>
    </w:pPr>
    <w:rPr>
      <w:b/>
      <w:kern w:val="44"/>
      <w:sz w:val="44"/>
    </w:rPr>
  </w:style>
  <w:style w:type="paragraph" w:styleId="4">
    <w:name w:val="heading 2"/>
    <w:basedOn w:val="1"/>
    <w:next w:val="1"/>
    <w:semiHidden/>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5">
    <w:name w:val="heading 3"/>
    <w:basedOn w:val="1"/>
    <w:next w:val="1"/>
    <w:unhideWhenUsed/>
    <w:qFormat/>
    <w:uiPriority w:val="0"/>
    <w:pPr>
      <w:keepNext/>
      <w:keepLines/>
      <w:numPr>
        <w:ilvl w:val="2"/>
        <w:numId w:val="1"/>
      </w:numPr>
      <w:spacing w:before="260" w:after="260" w:line="413" w:lineRule="auto"/>
      <w:outlineLvl w:val="2"/>
    </w:pPr>
    <w:rPr>
      <w:b/>
      <w:sz w:val="32"/>
    </w:rPr>
  </w:style>
  <w:style w:type="paragraph" w:styleId="6">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styleId="12">
    <w:name w:val="Normal Indent"/>
    <w:basedOn w:val="1"/>
    <w:unhideWhenUsed/>
    <w:qFormat/>
    <w:uiPriority w:val="99"/>
    <w:pPr>
      <w:ind w:firstLine="420" w:firstLineChars="200"/>
    </w:pPr>
  </w:style>
  <w:style w:type="paragraph" w:styleId="13">
    <w:name w:val="annotation text"/>
    <w:basedOn w:val="1"/>
    <w:link w:val="72"/>
    <w:qFormat/>
    <w:uiPriority w:val="0"/>
    <w:pPr>
      <w:jc w:val="left"/>
    </w:pPr>
  </w:style>
  <w:style w:type="paragraph" w:styleId="14">
    <w:name w:val="Body Text"/>
    <w:basedOn w:val="1"/>
    <w:qFormat/>
    <w:uiPriority w:val="0"/>
    <w:pPr>
      <w:spacing w:after="120"/>
    </w:pPr>
  </w:style>
  <w:style w:type="paragraph" w:styleId="15">
    <w:name w:val="Body Text Indent"/>
    <w:basedOn w:val="1"/>
    <w:qFormat/>
    <w:uiPriority w:val="0"/>
    <w:pPr>
      <w:spacing w:after="120"/>
      <w:ind w:left="420" w:leftChars="200"/>
    </w:pPr>
  </w:style>
  <w:style w:type="paragraph" w:styleId="16">
    <w:name w:val="toc 3"/>
    <w:basedOn w:val="1"/>
    <w:next w:val="1"/>
    <w:qFormat/>
    <w:uiPriority w:val="39"/>
    <w:pPr>
      <w:ind w:left="840" w:leftChars="400"/>
    </w:pPr>
  </w:style>
  <w:style w:type="paragraph" w:styleId="17">
    <w:name w:val="Plain Text"/>
    <w:basedOn w:val="1"/>
    <w:semiHidden/>
    <w:qFormat/>
    <w:uiPriority w:val="0"/>
    <w:rPr>
      <w:rFonts w:ascii="宋体" w:hAnsi="Courier New"/>
      <w:color w:val="000000"/>
      <w:szCs w:val="21"/>
    </w:rPr>
  </w:style>
  <w:style w:type="paragraph" w:styleId="18">
    <w:name w:val="Balloon Text"/>
    <w:basedOn w:val="1"/>
    <w:link w:val="74"/>
    <w:qFormat/>
    <w:uiPriority w:val="0"/>
    <w:rPr>
      <w:sz w:val="18"/>
      <w:szCs w:val="18"/>
    </w:rPr>
  </w:style>
  <w:style w:type="paragraph" w:styleId="19">
    <w:name w:val="footer"/>
    <w:basedOn w:val="1"/>
    <w:qFormat/>
    <w:uiPriority w:val="99"/>
    <w:pPr>
      <w:tabs>
        <w:tab w:val="center" w:pos="4153"/>
        <w:tab w:val="right" w:pos="8306"/>
      </w:tabs>
      <w:snapToGrid w:val="0"/>
      <w:ind w:right="210" w:rightChars="100"/>
      <w:jc w:val="right"/>
    </w:pPr>
    <w:rPr>
      <w:kern w:val="0"/>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qFormat/>
    <w:uiPriority w:val="39"/>
  </w:style>
  <w:style w:type="paragraph" w:styleId="22">
    <w:name w:val="annotation subject"/>
    <w:basedOn w:val="13"/>
    <w:next w:val="13"/>
    <w:link w:val="73"/>
    <w:qFormat/>
    <w:uiPriority w:val="0"/>
    <w:rPr>
      <w:b/>
      <w:bCs/>
    </w:rPr>
  </w:style>
  <w:style w:type="paragraph" w:styleId="23">
    <w:name w:val="Body Text First Indent"/>
    <w:basedOn w:val="14"/>
    <w:qFormat/>
    <w:uiPriority w:val="0"/>
    <w:pPr>
      <w:ind w:firstLine="420" w:firstLineChars="1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0"/>
  </w:style>
  <w:style w:type="character" w:styleId="29">
    <w:name w:val="Emphasis"/>
    <w:basedOn w:val="26"/>
    <w:qFormat/>
    <w:uiPriority w:val="0"/>
    <w:rPr>
      <w:i/>
    </w:rPr>
  </w:style>
  <w:style w:type="character" w:styleId="30">
    <w:name w:val="annotation reference"/>
    <w:unhideWhenUsed/>
    <w:qFormat/>
    <w:uiPriority w:val="99"/>
    <w:rPr>
      <w:sz w:val="21"/>
      <w:szCs w:val="21"/>
    </w:rPr>
  </w:style>
  <w:style w:type="paragraph" w:customStyle="1" w:styleId="31">
    <w:name w:val="标准规范"/>
    <w:basedOn w:val="15"/>
    <w:qFormat/>
    <w:uiPriority w:val="0"/>
    <w:pPr>
      <w:widowControl/>
      <w:tabs>
        <w:tab w:val="left" w:pos="1080"/>
        <w:tab w:val="right" w:leader="dot" w:pos="9600"/>
      </w:tabs>
      <w:adjustRightInd w:val="0"/>
      <w:snapToGrid w:val="0"/>
      <w:spacing w:after="0" w:line="360" w:lineRule="auto"/>
      <w:ind w:left="25" w:leftChars="25" w:right="25" w:rightChars="25" w:firstLine="200" w:firstLineChars="200"/>
    </w:pPr>
    <w:rPr>
      <w:rFonts w:ascii="仿宋_GB2312" w:eastAsia="仿宋_GB2312"/>
      <w:sz w:val="24"/>
      <w:szCs w:val="21"/>
    </w:rPr>
  </w:style>
  <w:style w:type="paragraph" w:styleId="32">
    <w:name w:val="List Paragraph"/>
    <w:basedOn w:val="1"/>
    <w:qFormat/>
    <w:uiPriority w:val="34"/>
    <w:pPr>
      <w:ind w:firstLine="420" w:firstLineChars="200"/>
    </w:pPr>
  </w:style>
  <w:style w:type="paragraph" w:customStyle="1" w:styleId="33">
    <w:name w:val="表格内部"/>
    <w:basedOn w:val="1"/>
    <w:semiHidden/>
    <w:qFormat/>
    <w:uiPriority w:val="0"/>
    <w:pPr>
      <w:adjustRightInd w:val="0"/>
      <w:snapToGrid w:val="0"/>
      <w:spacing w:line="240" w:lineRule="atLeast"/>
      <w:ind w:firstLine="200" w:firstLineChars="200"/>
      <w:jc w:val="center"/>
      <w:textAlignment w:val="baseline"/>
    </w:pPr>
    <w:rPr>
      <w:rFonts w:ascii="Arial" w:hAnsi="Arial" w:cs="Arial"/>
      <w:kern w:val="0"/>
      <w:sz w:val="28"/>
      <w:szCs w:val="20"/>
    </w:rPr>
  </w:style>
  <w:style w:type="paragraph" w:customStyle="1" w:styleId="34">
    <w:name w:val="封面正文"/>
    <w:qFormat/>
    <w:uiPriority w:val="0"/>
    <w:pPr>
      <w:jc w:val="both"/>
    </w:pPr>
    <w:rPr>
      <w:rFonts w:ascii="Times New Roman" w:hAnsi="Times New Roman" w:eastAsia="宋体" w:cs="Times New Roman"/>
      <w:lang w:val="en-US" w:eastAsia="zh-CN" w:bidi="ar-SA"/>
    </w:rPr>
  </w:style>
  <w:style w:type="paragraph" w:customStyle="1" w:styleId="35">
    <w:name w:val="封面标准号2"/>
    <w:basedOn w:val="36"/>
    <w:qFormat/>
    <w:uiPriority w:val="0"/>
    <w:pPr>
      <w:adjustRightInd w:val="0"/>
      <w:spacing w:before="357" w:line="280" w:lineRule="exact"/>
    </w:pPr>
  </w:style>
  <w:style w:type="paragraph" w:customStyle="1" w:styleId="36">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7">
    <w:name w:val="封面标准代替信息"/>
    <w:basedOn w:val="35"/>
    <w:qFormat/>
    <w:uiPriority w:val="0"/>
  </w:style>
  <w:style w:type="paragraph" w:customStyle="1" w:styleId="38">
    <w:name w:val="实施日期"/>
    <w:basedOn w:val="39"/>
    <w:qFormat/>
    <w:uiPriority w:val="0"/>
    <w:pPr>
      <w:ind w:left="1702"/>
      <w:jc w:val="right"/>
    </w:pPr>
  </w:style>
  <w:style w:type="paragraph" w:customStyle="1" w:styleId="39">
    <w:name w:val="发布日期"/>
    <w:qFormat/>
    <w:uiPriority w:val="0"/>
    <w:rPr>
      <w:rFonts w:ascii="Times New Roman" w:hAnsi="Times New Roman" w:eastAsia="黑体" w:cs="Times New Roman"/>
      <w:sz w:val="28"/>
      <w:lang w:val="en-US" w:eastAsia="zh-CN" w:bidi="ar-SA"/>
    </w:rPr>
  </w:style>
  <w:style w:type="paragraph" w:customStyle="1" w:styleId="40">
    <w:name w:val="发布部门"/>
    <w:next w:val="41"/>
    <w:qFormat/>
    <w:uiPriority w:val="0"/>
    <w:pPr>
      <w:jc w:val="center"/>
    </w:pPr>
    <w:rPr>
      <w:rFonts w:ascii="宋体" w:hAnsi="Times New Roman" w:eastAsia="宋体" w:cs="Times New Roman"/>
      <w:b/>
      <w:spacing w:val="20"/>
      <w:w w:val="135"/>
      <w:sz w:val="36"/>
      <w:lang w:val="en-US" w:eastAsia="zh-CN" w:bidi="ar-SA"/>
    </w:rPr>
  </w:style>
  <w:style w:type="paragraph" w:customStyle="1" w:styleId="4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段"/>
    <w:qFormat/>
    <w:uiPriority w:val="0"/>
    <w:pPr>
      <w:autoSpaceDE w:val="0"/>
      <w:autoSpaceDN w:val="0"/>
      <w:ind w:firstLine="200" w:firstLineChars="200"/>
      <w:jc w:val="both"/>
    </w:pPr>
    <w:rPr>
      <w:rFonts w:ascii="宋体" w:hAnsi="Calibri" w:eastAsia="宋体" w:cs="Times New Roman"/>
      <w:kern w:val="2"/>
      <w:sz w:val="21"/>
      <w:szCs w:val="22"/>
      <w:lang w:val="en-US" w:eastAsia="zh-CN" w:bidi="ar-SA"/>
    </w:rPr>
  </w:style>
  <w:style w:type="character" w:customStyle="1" w:styleId="43">
    <w:name w:val="发布"/>
    <w:qFormat/>
    <w:uiPriority w:val="0"/>
    <w:rPr>
      <w:rFonts w:ascii="黑体" w:eastAsia="黑体"/>
      <w:spacing w:val="22"/>
      <w:w w:val="100"/>
      <w:position w:val="3"/>
      <w:sz w:val="28"/>
    </w:rPr>
  </w:style>
  <w:style w:type="paragraph" w:customStyle="1" w:styleId="44">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7">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4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49">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50">
    <w:name w:val="标准书眉一"/>
    <w:qFormat/>
    <w:uiPriority w:val="0"/>
    <w:pPr>
      <w:jc w:val="both"/>
    </w:pPr>
    <w:rPr>
      <w:rFonts w:ascii="Times New Roman" w:hAnsi="Times New Roman" w:eastAsia="宋体" w:cs="Times New Roman"/>
      <w:lang w:val="en-US" w:eastAsia="zh-CN" w:bidi="ar-SA"/>
    </w:rPr>
  </w:style>
  <w:style w:type="paragraph" w:customStyle="1" w:styleId="51">
    <w:name w:val="标准书脚_奇数页"/>
    <w:qFormat/>
    <w:uiPriority w:val="0"/>
    <w:pPr>
      <w:spacing w:before="120"/>
      <w:jc w:val="right"/>
    </w:pPr>
    <w:rPr>
      <w:rFonts w:ascii="Times New Roman" w:hAnsi="Times New Roman" w:eastAsia="宋体" w:cs="Times New Roman"/>
      <w:sz w:val="18"/>
      <w:lang w:val="en-US" w:eastAsia="zh-CN" w:bidi="ar-SA"/>
    </w:rPr>
  </w:style>
  <w:style w:type="character" w:customStyle="1" w:styleId="52">
    <w:name w:val="页码1"/>
    <w:qFormat/>
    <w:uiPriority w:val="0"/>
    <w:rPr>
      <w:rFonts w:ascii="Times New Roman" w:hAnsi="Times New Roman" w:eastAsia="宋体"/>
      <w:sz w:val="18"/>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一级条标题"/>
    <w:basedOn w:val="56"/>
    <w:next w:val="42"/>
    <w:qFormat/>
    <w:uiPriority w:val="0"/>
    <w:pPr>
      <w:numPr>
        <w:ilvl w:val="2"/>
      </w:numPr>
      <w:spacing w:before="0" w:beforeLines="0" w:after="0" w:afterLines="0"/>
      <w:outlineLvl w:val="2"/>
    </w:pPr>
  </w:style>
  <w:style w:type="paragraph" w:customStyle="1" w:styleId="56">
    <w:name w:val="章标题"/>
    <w:next w:val="42"/>
    <w:qFormat/>
    <w:uiPriority w:val="0"/>
    <w:pPr>
      <w:numPr>
        <w:ilvl w:val="1"/>
        <w:numId w:val="2"/>
      </w:numPr>
      <w:spacing w:before="50" w:beforeLines="50" w:after="50" w:afterLines="50"/>
      <w:jc w:val="both"/>
      <w:outlineLvl w:val="1"/>
    </w:pPr>
    <w:rPr>
      <w:rFonts w:ascii="黑体" w:hAnsi="Calibri" w:eastAsia="黑体" w:cs="Times New Roman"/>
      <w:sz w:val="21"/>
      <w:lang w:val="en-US" w:eastAsia="zh-CN" w:bidi="ar-SA"/>
    </w:rPr>
  </w:style>
  <w:style w:type="paragraph" w:customStyle="1" w:styleId="57">
    <w:name w:val="附录标识"/>
    <w:basedOn w:val="58"/>
    <w:qFormat/>
    <w:uiPriority w:val="0"/>
    <w:pPr>
      <w:tabs>
        <w:tab w:val="left" w:pos="6405"/>
      </w:tabs>
      <w:spacing w:after="200"/>
    </w:pPr>
    <w:rPr>
      <w:sz w:val="21"/>
    </w:rPr>
  </w:style>
  <w:style w:type="paragraph" w:customStyle="1" w:styleId="58">
    <w:name w:val="前言、引言标题"/>
    <w:next w:val="1"/>
    <w:qFormat/>
    <w:uiPriority w:val="0"/>
    <w:pPr>
      <w:numPr>
        <w:ilvl w:val="0"/>
        <w:numId w:val="2"/>
      </w:numPr>
      <w:shd w:val="clear" w:color="FFFFFF" w:fill="FFFFFF"/>
      <w:spacing w:before="640" w:after="560"/>
      <w:jc w:val="center"/>
      <w:outlineLvl w:val="0"/>
    </w:pPr>
    <w:rPr>
      <w:rFonts w:ascii="黑体" w:hAnsi="Calibri" w:eastAsia="黑体" w:cs="Times New Roman"/>
      <w:sz w:val="32"/>
      <w:lang w:val="en-US" w:eastAsia="zh-CN" w:bidi="ar-SA"/>
    </w:rPr>
  </w:style>
  <w:style w:type="paragraph" w:customStyle="1" w:styleId="59">
    <w:name w:val="正文1"/>
    <w:basedOn w:val="1"/>
    <w:next w:val="12"/>
    <w:qFormat/>
    <w:uiPriority w:val="0"/>
    <w:pPr>
      <w:jc w:val="center"/>
    </w:pPr>
    <w:rPr>
      <w:rFonts w:ascii="Times New Roman" w:hAnsi="Times New Roman"/>
      <w:szCs w:val="20"/>
    </w:rPr>
  </w:style>
  <w:style w:type="paragraph" w:customStyle="1" w:styleId="60">
    <w:name w:val="标准书脚_偶数页"/>
    <w:qFormat/>
    <w:uiPriority w:val="0"/>
    <w:pPr>
      <w:spacing w:before="120"/>
    </w:pPr>
    <w:rPr>
      <w:rFonts w:ascii="Calibri" w:hAnsi="Calibri" w:eastAsia="宋体" w:cs="Times New Roman"/>
      <w:sz w:val="18"/>
      <w:lang w:val="en-US" w:eastAsia="zh-CN" w:bidi="ar-SA"/>
    </w:rPr>
  </w:style>
  <w:style w:type="paragraph" w:customStyle="1" w:styleId="61">
    <w:name w:val="目次、标准名称标题"/>
    <w:basedOn w:val="58"/>
    <w:next w:val="42"/>
    <w:qFormat/>
    <w:uiPriority w:val="0"/>
    <w:pPr>
      <w:numPr>
        <w:numId w:val="0"/>
      </w:numPr>
      <w:spacing w:line="460" w:lineRule="exact"/>
    </w:pPr>
  </w:style>
  <w:style w:type="paragraph" w:customStyle="1" w:styleId="62">
    <w:name w:val="标准书眉_奇数页"/>
    <w:next w:val="1"/>
    <w:qFormat/>
    <w:uiPriority w:val="0"/>
    <w:pPr>
      <w:tabs>
        <w:tab w:val="center" w:pos="4154"/>
        <w:tab w:val="right" w:pos="8306"/>
      </w:tabs>
      <w:spacing w:after="120"/>
      <w:jc w:val="right"/>
    </w:pPr>
    <w:rPr>
      <w:rFonts w:ascii="Calibri" w:hAnsi="Calibri" w:eastAsia="宋体" w:cs="Times New Roman"/>
      <w:sz w:val="21"/>
      <w:lang w:val="en-US" w:eastAsia="zh-CN" w:bidi="ar-SA"/>
    </w:rPr>
  </w:style>
  <w:style w:type="paragraph" w:customStyle="1" w:styleId="63">
    <w:name w:val="标准书眉_偶数页"/>
    <w:basedOn w:val="62"/>
    <w:next w:val="1"/>
    <w:qFormat/>
    <w:uiPriority w:val="0"/>
    <w:pPr>
      <w:jc w:val="left"/>
    </w:pPr>
  </w:style>
  <w:style w:type="paragraph" w:customStyle="1" w:styleId="64">
    <w:name w:val="标准文件_一级无标题"/>
    <w:basedOn w:val="65"/>
    <w:qFormat/>
    <w:uiPriority w:val="0"/>
    <w:pPr>
      <w:spacing w:beforeLines="0" w:afterLines="0"/>
      <w:outlineLvl w:val="9"/>
    </w:pPr>
    <w:rPr>
      <w:rFonts w:ascii="宋体" w:eastAsia="宋体"/>
    </w:rPr>
  </w:style>
  <w:style w:type="paragraph" w:customStyle="1" w:styleId="65">
    <w:name w:val="_二级条标题"/>
    <w:basedOn w:val="66"/>
    <w:next w:val="1"/>
    <w:qFormat/>
    <w:uiPriority w:val="0"/>
    <w:pPr>
      <w:spacing w:before="50" w:beforeLines="50" w:after="50" w:afterLines="50"/>
      <w:outlineLvl w:val="1"/>
    </w:pPr>
    <w:rPr>
      <w:rFonts w:hAnsi="黑体"/>
    </w:rPr>
  </w:style>
  <w:style w:type="paragraph" w:customStyle="1" w:styleId="66">
    <w:name w:val="标准文件_章标题"/>
    <w:next w:val="41"/>
    <w:qFormat/>
    <w:uiPriority w:val="0"/>
    <w:pPr>
      <w:spacing w:beforeLines="100" w:afterLines="100"/>
      <w:jc w:val="both"/>
      <w:outlineLvl w:val="0"/>
    </w:pPr>
    <w:rPr>
      <w:rFonts w:ascii="黑体" w:hAnsi="Times New Roman" w:eastAsia="黑体" w:cs="Times New Roman"/>
      <w:sz w:val="21"/>
      <w:lang w:val="en-US" w:eastAsia="zh-CN" w:bidi="ar-SA"/>
    </w:rPr>
  </w:style>
  <w:style w:type="paragraph" w:customStyle="1" w:styleId="67">
    <w:name w:val="xh-标题1"/>
    <w:basedOn w:val="1"/>
    <w:qFormat/>
    <w:uiPriority w:val="0"/>
    <w:pPr>
      <w:numPr>
        <w:ilvl w:val="0"/>
        <w:numId w:val="3"/>
      </w:numPr>
    </w:pPr>
  </w:style>
  <w:style w:type="paragraph" w:customStyle="1" w:styleId="68">
    <w:name w:val="xh-标题2"/>
    <w:basedOn w:val="1"/>
    <w:qFormat/>
    <w:uiPriority w:val="0"/>
    <w:pPr>
      <w:numPr>
        <w:ilvl w:val="1"/>
        <w:numId w:val="3"/>
      </w:numPr>
    </w:pPr>
  </w:style>
  <w:style w:type="paragraph" w:customStyle="1" w:styleId="69">
    <w:name w:val="xh-标题3"/>
    <w:basedOn w:val="1"/>
    <w:qFormat/>
    <w:uiPriority w:val="0"/>
    <w:pPr>
      <w:numPr>
        <w:ilvl w:val="2"/>
        <w:numId w:val="3"/>
      </w:numPr>
    </w:pPr>
  </w:style>
  <w:style w:type="paragraph" w:customStyle="1" w:styleId="70">
    <w:name w:val="xh-标题4"/>
    <w:basedOn w:val="1"/>
    <w:qFormat/>
    <w:uiPriority w:val="0"/>
    <w:pPr>
      <w:numPr>
        <w:ilvl w:val="3"/>
        <w:numId w:val="3"/>
      </w:numPr>
    </w:pPr>
  </w:style>
  <w:style w:type="paragraph" w:customStyle="1" w:styleId="71">
    <w:name w:val="xh-标题5"/>
    <w:basedOn w:val="1"/>
    <w:qFormat/>
    <w:uiPriority w:val="0"/>
    <w:pPr>
      <w:numPr>
        <w:ilvl w:val="4"/>
        <w:numId w:val="3"/>
      </w:numPr>
    </w:pPr>
  </w:style>
  <w:style w:type="character" w:customStyle="1" w:styleId="72">
    <w:name w:val="批注文字 字符"/>
    <w:basedOn w:val="26"/>
    <w:link w:val="13"/>
    <w:qFormat/>
    <w:uiPriority w:val="0"/>
    <w:rPr>
      <w:rFonts w:asciiTheme="minorHAnsi" w:hAnsiTheme="minorHAnsi" w:eastAsiaTheme="minorEastAsia" w:cstheme="minorBidi"/>
      <w:kern w:val="2"/>
      <w:sz w:val="21"/>
      <w:szCs w:val="24"/>
    </w:rPr>
  </w:style>
  <w:style w:type="character" w:customStyle="1" w:styleId="73">
    <w:name w:val="批注主题 字符"/>
    <w:basedOn w:val="72"/>
    <w:link w:val="22"/>
    <w:qFormat/>
    <w:uiPriority w:val="0"/>
    <w:rPr>
      <w:rFonts w:asciiTheme="minorHAnsi" w:hAnsiTheme="minorHAnsi" w:eastAsiaTheme="minorEastAsia" w:cstheme="minorBidi"/>
      <w:b/>
      <w:bCs/>
      <w:kern w:val="2"/>
      <w:sz w:val="21"/>
      <w:szCs w:val="24"/>
    </w:rPr>
  </w:style>
  <w:style w:type="character" w:customStyle="1" w:styleId="74">
    <w:name w:val="批注框文本 字符"/>
    <w:basedOn w:val="26"/>
    <w:link w:val="18"/>
    <w:qFormat/>
    <w:uiPriority w:val="0"/>
    <w:rPr>
      <w:rFonts w:asciiTheme="minorHAnsi" w:hAnsiTheme="minorHAnsi" w:eastAsiaTheme="minorEastAsia" w:cstheme="minorBidi"/>
      <w:kern w:val="2"/>
      <w:sz w:val="18"/>
      <w:szCs w:val="18"/>
    </w:rPr>
  </w:style>
  <w:style w:type="paragraph" w:customStyle="1" w:styleId="75">
    <w:name w:val="正文2.0.1层"/>
    <w:basedOn w:val="1"/>
    <w:qFormat/>
    <w:uiPriority w:val="0"/>
    <w:pPr>
      <w:spacing w:line="329" w:lineRule="exact"/>
    </w:pPr>
    <w:rPr>
      <w:rFonts w:hAnsi="Times New Roman"/>
      <w:spacing w:val="10"/>
    </w:rPr>
  </w:style>
  <w:style w:type="paragraph" w:customStyle="1" w:styleId="7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7">
    <w:name w:val="t表格文字居中"/>
    <w:basedOn w:val="78"/>
    <w:qFormat/>
    <w:uiPriority w:val="0"/>
    <w:pPr>
      <w:spacing w:line="240" w:lineRule="auto"/>
      <w:jc w:val="center"/>
      <w:textAlignment w:val="center"/>
    </w:pPr>
  </w:style>
  <w:style w:type="paragraph" w:customStyle="1" w:styleId="78">
    <w:name w:val="A正文"/>
    <w:basedOn w:val="1"/>
    <w:qFormat/>
    <w:uiPriority w:val="0"/>
    <w:pPr>
      <w:spacing w:line="360" w:lineRule="auto"/>
      <w:ind w:left="200" w:leftChars="100" w:right="200" w:rightChars="100"/>
    </w:pPr>
    <w:rPr>
      <w:rFonts w:ascii="宋体" w:hAnsi="宋体"/>
      <w:szCs w:val="21"/>
    </w:rPr>
  </w:style>
  <w:style w:type="paragraph" w:customStyle="1" w:styleId="79">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80">
    <w:name w:val="其他发布部门"/>
    <w:basedOn w:val="40"/>
    <w:qFormat/>
    <w:uiPriority w:val="0"/>
    <w:pPr>
      <w:spacing w:line="0" w:lineRule="atLeast"/>
    </w:pPr>
    <w:rPr>
      <w:rFonts w:ascii="黑体" w:eastAsia="黑体"/>
      <w:b w:val="0"/>
    </w:rPr>
  </w:style>
  <w:style w:type="paragraph" w:customStyle="1" w:styleId="81">
    <w:name w:val="表格文字居中"/>
    <w:qFormat/>
    <w:uiPriority w:val="0"/>
    <w:pPr>
      <w:widowControl w:val="0"/>
      <w:jc w:val="center"/>
    </w:pPr>
    <w:rPr>
      <w:rFonts w:ascii="ˎ̥" w:hAnsi="Times New Roman" w:eastAsia="Courier New" w:cs="Times New Roman"/>
      <w:snapToGrid w:val="0"/>
      <w:spacing w:val="-20"/>
      <w:kern w:val="2"/>
      <w:sz w:val="21"/>
      <w:szCs w:val="21"/>
      <w:lang w:val="en-US" w:eastAsia="zh-CN" w:bidi="ar-SA"/>
    </w:rPr>
  </w:style>
  <w:style w:type="paragraph" w:customStyle="1" w:styleId="82">
    <w:name w:val="表格五号"/>
    <w:qFormat/>
    <w:uiPriority w:val="0"/>
    <w:pPr>
      <w:adjustRightInd w:val="0"/>
      <w:snapToGrid w:val="0"/>
      <w:jc w:val="center"/>
    </w:pPr>
    <w:rPr>
      <w:rFonts w:ascii="Times New Roman" w:hAnsi="Times New Roman" w:eastAsia="宋体" w:cs="Times New Roman"/>
      <w:kern w:val="2"/>
      <w:sz w:val="21"/>
      <w:szCs w:val="21"/>
      <w:lang w:val="en-US" w:eastAsia="zh-CN" w:bidi="ar-SA"/>
    </w:rPr>
  </w:style>
  <w:style w:type="paragraph" w:customStyle="1" w:styleId="83">
    <w:name w:val="A表-表内一般字"/>
    <w:qFormat/>
    <w:uiPriority w:val="0"/>
    <w:pPr>
      <w:widowControl w:val="0"/>
      <w:jc w:val="center"/>
    </w:pPr>
    <w:rPr>
      <w:rFonts w:ascii="Times New Roman" w:hAnsi="Times New Roman" w:eastAsia="宋体" w:cs="Times New Roman"/>
      <w:kern w:val="2"/>
      <w:sz w:val="21"/>
      <w:szCs w:val="24"/>
      <w:lang w:val="en-US" w:eastAsia="zh-CN" w:bidi="ar-SA"/>
    </w:rPr>
  </w:style>
  <w:style w:type="paragraph" w:customStyle="1" w:styleId="84">
    <w:name w:val="标准文件_目录标题"/>
    <w:basedOn w:val="1"/>
    <w:qFormat/>
    <w:uiPriority w:val="0"/>
    <w:pPr>
      <w:spacing w:before="480" w:after="150" w:afterLines="150"/>
      <w:jc w:val="center"/>
    </w:pPr>
    <w:rPr>
      <w:rFonts w:ascii="黑体" w:eastAsia="黑体"/>
      <w:sz w:val="32"/>
    </w:rPr>
  </w:style>
  <w:style w:type="paragraph" w:customStyle="1" w:styleId="85">
    <w:name w:val="标准文件_前言、引言标题"/>
    <w:next w:val="1"/>
    <w:qFormat/>
    <w:uiPriority w:val="0"/>
    <w:pPr>
      <w:numPr>
        <w:ilvl w:val="0"/>
        <w:numId w:val="4"/>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86">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87">
    <w:name w:val="一级无"/>
    <w:basedOn w:val="55"/>
    <w:qFormat/>
    <w:uiPriority w:val="0"/>
    <w:pPr>
      <w:numPr>
        <w:ilvl w:val="1"/>
        <w:numId w:val="5"/>
      </w:numPr>
      <w:jc w:val="left"/>
    </w:pPr>
    <w:rPr>
      <w:rFonts w:ascii="宋体" w:eastAsia="宋体"/>
      <w:szCs w:val="21"/>
    </w:rPr>
  </w:style>
  <w:style w:type="paragraph" w:customStyle="1" w:styleId="88">
    <w:name w:val="标准文件_附录标识"/>
    <w:next w:val="41"/>
    <w:qFormat/>
    <w:uiPriority w:val="0"/>
    <w:pPr>
      <w:numPr>
        <w:ilvl w:val="0"/>
        <w:numId w:val="6"/>
      </w:numPr>
      <w:shd w:val="clear" w:color="FFFFFF" w:fill="FFFFFF"/>
      <w:spacing w:before="560" w:after="50" w:afterLines="50"/>
      <w:jc w:val="center"/>
      <w:outlineLvl w:val="0"/>
    </w:pPr>
    <w:rPr>
      <w:rFonts w:ascii="黑体" w:hAnsi="Times New Roman" w:eastAsia="黑体" w:cs="Times New Roman"/>
      <w:sz w:val="21"/>
      <w:lang w:val="en-US" w:eastAsia="zh-CN" w:bidi="ar-SA"/>
    </w:rPr>
  </w:style>
  <w:style w:type="paragraph" w:customStyle="1" w:styleId="89">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90">
    <w:name w:val="标准文件_页眉偶数页"/>
    <w:basedOn w:val="89"/>
    <w:next w:val="1"/>
    <w:qFormat/>
    <w:uiPriority w:val="0"/>
    <w:pPr>
      <w:jc w:val="left"/>
    </w:pPr>
  </w:style>
  <w:style w:type="paragraph" w:customStyle="1" w:styleId="91">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9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93">
    <w:name w:val="标准文件_二级无标题"/>
    <w:basedOn w:val="94"/>
    <w:qFormat/>
    <w:uiPriority w:val="0"/>
    <w:pPr>
      <w:spacing w:beforeLines="0" w:afterLines="0"/>
      <w:outlineLvl w:val="9"/>
    </w:pPr>
    <w:rPr>
      <w:rFonts w:ascii="宋体" w:eastAsia="宋体"/>
    </w:rPr>
  </w:style>
  <w:style w:type="paragraph" w:customStyle="1" w:styleId="94">
    <w:name w:val="标准文件_二级条标题"/>
    <w:next w:val="41"/>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glossaryDocument" Target="glossary/document.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5.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header" Target="header11.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5909198-8387-4796-8b82-84e5c42efdd6}"/>
        <w:style w:val=""/>
        <w:category>
          <w:name w:val="常规"/>
          <w:gallery w:val="placeholder"/>
        </w:category>
        <w:types>
          <w:type w:val="bbPlcHdr"/>
        </w:types>
        <w:behaviors>
          <w:behavior w:val="content"/>
        </w:behaviors>
        <w:description w:val=""/>
        <w:guid w:val="{E5909198-8387-4796-8B82-84E5C42EFDD6}"/>
      </w:docPartPr>
      <w:docPartBody>
        <w:p w14:paraId="751F0505">
          <w:pPr>
            <w:pStyle w:val="4"/>
            <w:rPr>
              <w:rFonts w:hint="eastAsia"/>
            </w:rPr>
          </w:pPr>
          <w:r>
            <w:rPr>
              <w:rStyle w:val="5"/>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5E2D21"/>
    <w:rsid w:val="005E2D21"/>
    <w:rsid w:val="007C1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B40EBE6BF10E4F089A0FA803A73CD0E0"/>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46</Pages>
  <Words>21146</Words>
  <Characters>23188</Characters>
  <Lines>1196</Lines>
  <Paragraphs>1177</Paragraphs>
  <TotalTime>15</TotalTime>
  <ScaleCrop>false</ScaleCrop>
  <LinksUpToDate>false</LinksUpToDate>
  <CharactersWithSpaces>24250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2024-04-01T23:49:00Z</dcterms:created>
  <dc:creator>Administrator</dc:creator>
  <cp:lastModifiedBy>一开心月</cp:lastModifiedBy>
  <dcterms:modified xsi:type="dcterms:W3CDTF">2025-04-28T01:57:15Z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E437E7A13A5C4999B71E7E4E4577D824_13</vt:lpwstr>
  </property>
  <property fmtid="{D5CDD505-2E9C-101B-9397-08002B2CF9AE}" pid="4" name="KSOTemplateDocerSaveRecord">
    <vt:lpwstr>eyJoZGlkIjoiMjQ4NDg2MmY5ZTMwMzJiYTFmODk5NDNiMWJkNzIyNzkiLCJ1c2VySWQiOiIxMDYyMjU4NjU1In0=</vt:lpwstr>
  </property>
</Properties>
</file>