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7EC8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63A9FC0">
            <w:pPr>
              <w:pStyle w:val="25"/>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20F449E">
            <w:pPr>
              <w:pStyle w:val="25"/>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t>75.200</w:t>
            </w:r>
          </w:p>
        </w:tc>
      </w:tr>
      <w:tr w14:paraId="4AA0E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355FC2A">
            <w:pPr>
              <w:pStyle w:val="25"/>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74B7CF84">
            <w:pPr>
              <w:pStyle w:val="25"/>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t>E16</w:t>
            </w:r>
          </w:p>
        </w:tc>
      </w:tr>
    </w:tbl>
    <w:tbl>
      <w:tblPr>
        <w:tblStyle w:val="38"/>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7EC16B6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1A20FE1D">
            <w:pPr>
              <w:pStyle w:val="69"/>
              <w:framePr w:w="0" w:hRule="auto" w:wrap="auto" w:vAnchor="margin" w:hAnchor="text" w:xAlign="left" w:yAlign="inline"/>
              <w:ind w:firstLine="420"/>
            </w:pPr>
            <w:bookmarkStart w:id="0" w:name="_Hlk26473981"/>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AQ</w:t>
            </w:r>
            <w:r>
              <w:fldChar w:fldCharType="end"/>
            </w:r>
            <w:bookmarkEnd w:id="1"/>
          </w:p>
        </w:tc>
      </w:tr>
    </w:tbl>
    <w:p w14:paraId="5D4282EB">
      <w:pPr>
        <w:pStyle w:val="70"/>
        <w:framePr w:w="9639" w:h="624" w:hRule="exact" w:hSpace="181" w:vSpace="181" w:wrap="around" w:hAnchor="page" w:x="1305" w:y="2269"/>
        <w:rPr>
          <w:rFonts w:hint="eastAsia" w:ascii="黑体" w:hAnsi="黑体" w:eastAsia="黑体"/>
          <w:b w:val="0"/>
          <w:bCs w:val="0"/>
          <w:w w:val="100"/>
          <w:sz w:val="48"/>
          <w:szCs w:val="48"/>
        </w:rPr>
      </w:pPr>
      <w:r>
        <w:rPr>
          <w:rFonts w:hint="eastAsia" w:ascii="黑体" w:hAnsi="黑体" w:eastAsia="黑体"/>
          <w:b w:val="0"/>
          <w:bCs w:val="0"/>
          <w:w w:val="100"/>
          <w:sz w:val="48"/>
          <w:szCs w:val="48"/>
        </w:rPr>
        <w:t>中华人民共和国</w:t>
      </w:r>
      <w:r>
        <w:rPr>
          <w:rFonts w:hint="eastAsia" w:ascii="黑体" w:hAnsi="黑体" w:eastAsia="黑体"/>
          <w:b w:val="0"/>
          <w:bCs w:val="0"/>
          <w:w w:val="100"/>
          <w:sz w:val="48"/>
          <w:szCs w:val="48"/>
        </w:rPr>
        <w:fldChar w:fldCharType="begin">
          <w:ffData>
            <w:name w:val="c2"/>
            <w:enabled/>
            <w:calcOnExit w:val="0"/>
            <w:textInput/>
          </w:ffData>
        </w:fldChar>
      </w:r>
      <w:bookmarkStart w:id="2" w:name="c2"/>
      <w:r>
        <w:rPr>
          <w:rFonts w:hint="eastAsia" w:ascii="黑体" w:hAnsi="黑体" w:eastAsia="黑体"/>
          <w:b w:val="0"/>
          <w:bCs w:val="0"/>
          <w:w w:val="100"/>
          <w:sz w:val="48"/>
          <w:szCs w:val="48"/>
        </w:rPr>
        <w:instrText xml:space="preserve"> FORMTEXT </w:instrText>
      </w:r>
      <w:r>
        <w:rPr>
          <w:rFonts w:hint="eastAsia" w:ascii="黑体" w:hAnsi="黑体" w:eastAsia="黑体"/>
          <w:b w:val="0"/>
          <w:bCs w:val="0"/>
          <w:w w:val="100"/>
          <w:sz w:val="48"/>
          <w:szCs w:val="48"/>
        </w:rPr>
        <w:fldChar w:fldCharType="separate"/>
      </w:r>
      <w:r>
        <w:rPr>
          <w:rFonts w:hint="eastAsia" w:ascii="黑体" w:hAnsi="黑体" w:eastAsia="黑体"/>
          <w:b w:val="0"/>
          <w:bCs w:val="0"/>
          <w:w w:val="100"/>
          <w:sz w:val="48"/>
          <w:szCs w:val="48"/>
        </w:rPr>
        <w:t>安全生产</w:t>
      </w:r>
      <w:r>
        <w:rPr>
          <w:rFonts w:hint="eastAsia" w:ascii="黑体" w:hAnsi="黑体" w:eastAsia="黑体"/>
          <w:b w:val="0"/>
          <w:bCs w:val="0"/>
          <w:w w:val="100"/>
          <w:sz w:val="48"/>
          <w:szCs w:val="48"/>
        </w:rPr>
        <w:fldChar w:fldCharType="end"/>
      </w:r>
      <w:bookmarkEnd w:id="2"/>
      <w:r>
        <w:rPr>
          <w:rFonts w:hint="eastAsia" w:ascii="黑体" w:hAnsi="黑体" w:eastAsia="黑体"/>
          <w:b w:val="0"/>
          <w:bCs w:val="0"/>
          <w:w w:val="100"/>
          <w:sz w:val="48"/>
          <w:szCs w:val="48"/>
        </w:rPr>
        <w:t>行业标准</w:t>
      </w:r>
    </w:p>
    <w:bookmarkEnd w:id="0"/>
    <w:p w14:paraId="5BA5613D">
      <w:pPr>
        <w:pStyle w:val="215"/>
        <w:rPr>
          <w:lang w:val="fr-FR"/>
        </w:rPr>
      </w:pPr>
      <w:r>
        <w:rPr>
          <w:rFonts w:hint="eastAsia"/>
        </w:rPr>
        <w:t>AQ</w:t>
      </w:r>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rPr>
          <w:lang w:val="fr-FR"/>
        </w:rPr>
        <w:t>XXXX</w:t>
      </w:r>
      <w:r>
        <w:fldChar w:fldCharType="end"/>
      </w:r>
      <w:bookmarkEnd w:id="3"/>
      <w:r>
        <w:rPr>
          <w:rFonts w:hAnsi="黑体"/>
          <w:lang w:val="fr-FR"/>
        </w:rPr>
        <w:t>—</w:t>
      </w:r>
      <w:bookmarkStart w:id="4" w:name="NSTD_CODE_B"/>
      <w:r>
        <w:rPr>
          <w:lang w:val="fr-FR"/>
        </w:rPr>
        <w:fldChar w:fldCharType="begin">
          <w:ffData>
            <w:name w:val="NSTD_CODE_B"/>
            <w:enabled/>
            <w:calcOnExit w:val="0"/>
            <w:textInput>
              <w:default w:val="202X"/>
            </w:textInput>
          </w:ffData>
        </w:fldChar>
      </w:r>
      <w:r>
        <w:rPr>
          <w:lang w:val="fr-FR"/>
        </w:rPr>
        <w:instrText xml:space="preserve">FORMTEXT</w:instrText>
      </w:r>
      <w:r>
        <w:rPr>
          <w:lang w:val="fr-FR"/>
        </w:rPr>
        <w:fldChar w:fldCharType="separate"/>
      </w:r>
      <w:r>
        <w:rPr>
          <w:lang w:val="fr-FR"/>
        </w:rPr>
        <w:t>202X</w:t>
      </w:r>
      <w:r>
        <w:rPr>
          <w:lang w:val="fr-FR"/>
        </w:rPr>
        <w:fldChar w:fldCharType="end"/>
      </w:r>
      <w:bookmarkEnd w:id="4"/>
    </w:p>
    <w:p w14:paraId="72904244">
      <w:pPr>
        <w:pStyle w:val="216"/>
        <w:rPr>
          <w:rFonts w:hint="eastAsia"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5"/>
    </w:p>
    <w:p w14:paraId="234B1421">
      <w:pPr>
        <w:spacing w:line="240" w:lineRule="auto"/>
        <w:rPr>
          <w:rFonts w:hint="eastAsia" w:ascii="黑体" w:hAnsi="黑体" w:eastAsia="黑体"/>
          <w:kern w:val="0"/>
          <w:sz w:val="10"/>
          <w:szCs w:val="10"/>
          <w:lang w:val="fr-FR"/>
        </w:rPr>
      </w:pPr>
      <w:r>
        <w:rPr>
          <w:rFonts w:hint="eastAsia"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2700020</wp:posOffset>
                </wp:positionV>
                <wp:extent cx="6120130" cy="0"/>
                <wp:effectExtent l="0" t="0" r="0" b="0"/>
                <wp:wrapNone/>
                <wp:docPr id="73"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36" o:spid="_x0000_s1026" o:spt="20" style="position:absolute;left:0pt;margin-left:70.9pt;margin-top:212.6pt;height:0pt;width:481.9pt;mso-position-horizontal-relative:page;mso-position-vertical-relative:page;z-index:251659264;mso-width-relative:page;mso-height-relative:page;" filled="f" stroked="t" coordsize="21600,21600" o:allowoverlap="f" o:gfxdata="UEsDBAoAAAAAAIdO4kAAAAAAAAAAAAAAAAAEAAAAZHJzL1BLAwQUAAAACACHTuJAnf4jzNgAAAAM&#10;AQAADwAAAGRycy9kb3ducmV2LnhtbE2PzW7CMBCE75V4B2sr9YLATgoIpXE40ObWS6GI6xJvk6jx&#10;OsTmp336GqlSe5yd0cy3+epqO3GmwbeONSRTBYK4cqblWsP7tpwsQfiAbLBzTBq+yMOqGN3lmBl3&#10;4Tc6b0ItYgn7DDU0IfSZlL5qyKKfup44eh9usBiiHGppBrzEctvJVKmFtNhyXGiwp3VD1efmZDX4&#10;ckfH8ntcjdX+sXaUHp9fX1Drh/tEPYEIdA1/YbjhR3QoItPBndh40UU9SyJ60DBL5ymIWyJR8wWI&#10;w+9JFrn8/0TxA1BLAwQUAAAACACHTuJA9N0e6uUBAACsAwAADgAAAGRycy9lMm9Eb2MueG1srVNL&#10;jhMxEN0jcQfLe9L5aAK00plFomEzQKQZDuC43WkL22W5nHTnElwAiR2sWLKf2zAcg7LzYRg2s6AX&#10;ll2fV/VeVc8ue2vYTgXU4Co+Ggw5U05Crd2m4h9ur1684gyjcLUw4FTF9wr55fz5s1nnSzWGFkyt&#10;AiMQh2XnK97G6MuiQNkqK3AAXjlyNhCsiPQMm6IOoiN0a4rxcDgtOgi1DyAVIlmXByc/IoanAELT&#10;aKmWILdWuXhADcqISJSw1R75PHfbNErG902DKjJTcWIa80lF6L5OZzGfiXIThG+1PLYgntLCI05W&#10;aEdFz1BLEQXbBv0PlNUyAEITBxJscSCSFSEWo+EjbW5a4VXmQlKjP4uO/w9WvtutAtN1xV9OOHPC&#10;0sTvP//4+enrr7svdN5//8Ym0yRT57Gk6IVbhURU9u7GX4P8iMzBohVuo3K7t3tPEKOUUfyVkh7o&#10;qdi6ews1xYhthKxZ3wSbIEkN1ufR7M+jUX1kkozTEekzoanJk68Q5SnRB4xvFFiWLhU32iXVRCl2&#10;1xhTI6I8hSSzgyttTJ68cayr+OuL8UVOQDC6Ts4UhmGzXpjAdiLtTv4yK/I8DAuwdfWhiHFH0onn&#10;QbE11PtVOIlBQ8zdHBcubcnDd87+85PN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d/iPM2AAA&#10;AAwBAAAPAAAAAAAAAAEAIAAAACIAAABkcnMvZG93bnJldi54bWxQSwECFAAUAAAACACHTuJA9N0e&#10;6uUBAACsAwAADgAAAAAAAAABACAAAAAnAQAAZHJzL2Uyb0RvYy54bWxQSwUGAAAAAAYABgBZAQAA&#10;fgUAAAAA&#10;">
                <v:fill on="f" focussize="0,0"/>
                <v:stroke color="#000000" joinstyle="round"/>
                <v:imagedata o:title=""/>
                <o:lock v:ext="edit" aspectratio="f"/>
              </v:line>
            </w:pict>
          </mc:Fallback>
        </mc:AlternateContent>
      </w:r>
    </w:p>
    <w:p w14:paraId="124FFF59">
      <w:pPr>
        <w:pStyle w:val="70"/>
        <w:framePr w:w="9639" w:h="6976" w:hRule="exact" w:hSpace="0" w:vSpace="0" w:wrap="around" w:hAnchor="page" w:y="6408"/>
        <w:jc w:val="center"/>
        <w:rPr>
          <w:rFonts w:hint="eastAsia" w:ascii="黑体" w:hAnsi="黑体" w:eastAsia="黑体"/>
          <w:b w:val="0"/>
          <w:bCs w:val="0"/>
          <w:w w:val="100"/>
          <w:lang w:val="fr-FR"/>
        </w:rPr>
      </w:pPr>
    </w:p>
    <w:p w14:paraId="2203A624">
      <w:pPr>
        <w:pStyle w:val="217"/>
        <w:framePr w:h="6974" w:hRule="exact" w:wrap="around" w:x="1419" w:anchorLock="1"/>
        <w:rPr>
          <w:rFonts w:hint="eastAsia"/>
        </w:rPr>
      </w:pPr>
      <w:r>
        <w:rPr>
          <w:rFonts w:hint="eastAsia"/>
        </w:rPr>
        <w:t>陆上石油天然气开采建设项目（地面</w:t>
      </w:r>
    </w:p>
    <w:p w14:paraId="01097E63">
      <w:pPr>
        <w:pStyle w:val="217"/>
        <w:framePr w:h="6974" w:hRule="exact" w:wrap="around" w:x="1419" w:anchorLock="1"/>
        <w:rPr>
          <w:rFonts w:hint="eastAsia"/>
        </w:rPr>
      </w:pPr>
      <w:r>
        <w:rPr>
          <w:rFonts w:hint="eastAsia"/>
        </w:rPr>
        <w:t>工程）安全设施设计导则</w:t>
      </w:r>
    </w:p>
    <w:p w14:paraId="64423E21">
      <w:pPr>
        <w:framePr w:w="9639" w:h="6974" w:hRule="exact" w:wrap="around" w:vAnchor="page" w:hAnchor="page" w:x="1419" w:y="6408" w:anchorLock="1"/>
        <w:ind w:left="-1418"/>
        <w:rPr>
          <w:lang w:val="fr-FR"/>
        </w:rPr>
      </w:pPr>
    </w:p>
    <w:p w14:paraId="5C567199">
      <w:pPr>
        <w:pStyle w:val="145"/>
        <w:framePr w:w="9639" w:h="6974" w:hRule="exact" w:wrap="around" w:vAnchor="page" w:hAnchor="page" w:x="1419" w:y="6408" w:anchorLock="1"/>
        <w:textAlignment w:val="bottom"/>
        <w:rPr>
          <w:rFonts w:eastAsia="黑体"/>
          <w:szCs w:val="28"/>
        </w:rPr>
      </w:pPr>
      <w:r>
        <w:rPr>
          <w:rFonts w:hint="eastAsia" w:eastAsia="黑体"/>
          <w:szCs w:val="28"/>
        </w:rPr>
        <w:t>Guidelines for safety facilities design of onshore oil and gas exploration construction projects（surface engineering）</w:t>
      </w:r>
    </w:p>
    <w:p w14:paraId="7B50D850">
      <w:pPr>
        <w:pStyle w:val="145"/>
        <w:framePr w:w="9639" w:h="6974" w:hRule="exact" w:wrap="around" w:vAnchor="page" w:hAnchor="page" w:x="1419" w:y="6408" w:anchorLock="1"/>
        <w:jc w:val="both"/>
        <w:textAlignment w:val="bottom"/>
        <w:rPr>
          <w:rFonts w:eastAsia="黑体"/>
          <w:szCs w:val="28"/>
          <w:lang w:val="fr-FR"/>
        </w:rPr>
      </w:pPr>
    </w:p>
    <w:p w14:paraId="67877E2E">
      <w:pPr>
        <w:pStyle w:val="14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6" w:name="下拉1"/>
      <w:r>
        <w:rPr>
          <w:sz w:val="24"/>
          <w:szCs w:val="28"/>
        </w:rPr>
        <w:instrText xml:space="preserve"> FORMDROPDOWN </w:instrText>
      </w:r>
      <w:r>
        <w:rPr>
          <w:sz w:val="24"/>
          <w:szCs w:val="28"/>
        </w:rPr>
        <w:fldChar w:fldCharType="separate"/>
      </w:r>
      <w:r>
        <w:rPr>
          <w:sz w:val="24"/>
          <w:szCs w:val="28"/>
        </w:rPr>
        <w:fldChar w:fldCharType="end"/>
      </w:r>
      <w:bookmarkEnd w:id="6"/>
    </w:p>
    <w:p w14:paraId="54009422">
      <w:pPr>
        <w:pStyle w:val="145"/>
        <w:framePr w:w="9639" w:h="6974" w:hRule="exact" w:wrap="around" w:vAnchor="page" w:hAnchor="page" w:x="1419" w:y="6408" w:anchorLock="1"/>
        <w:spacing w:before="180" w:line="240" w:lineRule="atLeast"/>
        <w:textAlignment w:val="bottom"/>
        <w:rPr>
          <w:sz w:val="21"/>
          <w:szCs w:val="28"/>
        </w:rPr>
      </w:pPr>
    </w:p>
    <w:p w14:paraId="353FCBFF">
      <w:pPr>
        <w:pStyle w:val="145"/>
        <w:framePr w:w="9639" w:h="6974" w:hRule="exact" w:wrap="around" w:vAnchor="page" w:hAnchor="page" w:x="1419" w:y="6408" w:anchorLock="1"/>
        <w:spacing w:before="720" w:beforeLines="300" w:after="72" w:afterLines="30" w:line="240" w:lineRule="auto"/>
        <w:textAlignment w:val="bottom"/>
        <w:rPr>
          <w:b/>
          <w:sz w:val="21"/>
          <w:szCs w:val="28"/>
        </w:rPr>
      </w:pPr>
      <w:bookmarkStart w:id="7" w:name="下拉2"/>
      <w:r>
        <w:rPr>
          <w:b/>
          <w:sz w:val="21"/>
          <w:szCs w:val="28"/>
        </w:rPr>
        <w:fldChar w:fldCharType="begin">
          <w:ffData>
            <w:name w:val="下拉2"/>
            <w:enabled/>
            <w:calcOnExit w:val="0"/>
            <w:ddList>
              <w:listEntry w:val=" "/>
            </w:ddList>
          </w:ffData>
        </w:fldChar>
      </w:r>
      <w:r>
        <w:rPr>
          <w:b/>
          <w:sz w:val="21"/>
          <w:szCs w:val="28"/>
        </w:rPr>
        <w:instrText xml:space="preserve">FORMDROPDOWN</w:instrText>
      </w:r>
      <w:r>
        <w:rPr>
          <w:b/>
          <w:sz w:val="21"/>
          <w:szCs w:val="28"/>
        </w:rPr>
        <w:fldChar w:fldCharType="separate"/>
      </w:r>
      <w:r>
        <w:rPr>
          <w:b/>
          <w:sz w:val="21"/>
          <w:szCs w:val="28"/>
        </w:rPr>
        <w:fldChar w:fldCharType="end"/>
      </w:r>
      <w:bookmarkEnd w:id="7"/>
    </w:p>
    <w:p w14:paraId="6B81C1D6">
      <w:pPr>
        <w:pStyle w:val="213"/>
        <w:framePr w:wrap="around" w:y="14176"/>
      </w:pPr>
      <w:r>
        <w:rPr>
          <w:rFonts w:ascii="黑体"/>
        </w:rPr>
        <w:fldChar w:fldCharType="begin">
          <w:ffData>
            <w:name w:val="PLSH_DATE_Y"/>
            <w:enabled/>
            <w:calcOnExit w:val="0"/>
            <w:textInput>
              <w:default w:val="XXXX"/>
              <w:maxLength w:val="4"/>
            </w:textInput>
          </w:ffData>
        </w:fldChar>
      </w:r>
      <w:bookmarkStart w:id="8"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9"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0"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发布</w:t>
      </w:r>
    </w:p>
    <w:p w14:paraId="6BF62487">
      <w:pPr>
        <w:pStyle w:val="214"/>
        <w:framePr w:wrap="around" w:y="14176"/>
      </w:pPr>
      <w:r>
        <w:rPr>
          <w:rFonts w:ascii="黑体"/>
        </w:rPr>
        <w:fldChar w:fldCharType="begin">
          <w:ffData>
            <w:name w:val="CROT_DATE_Y"/>
            <w:enabled/>
            <w:calcOnExit w:val="0"/>
            <w:textInput>
              <w:default w:val="XXXX"/>
              <w:maxLength w:val="4"/>
            </w:textInput>
          </w:ffData>
        </w:fldChar>
      </w:r>
      <w:bookmarkStart w:id="11"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2"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3"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实施</w:t>
      </w:r>
    </w:p>
    <w:p w14:paraId="5CE43D90">
      <w:pPr>
        <w:pStyle w:val="171"/>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4"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中华人民共和国应急管理部</w:t>
      </w:r>
      <w:r>
        <w:rPr>
          <w:rFonts w:hAnsi="黑体"/>
          <w:w w:val="100"/>
          <w:sz w:val="28"/>
        </w:rPr>
        <w:fldChar w:fldCharType="end"/>
      </w:r>
      <w:bookmarkEnd w:id="14"/>
      <w:r>
        <w:rPr>
          <w:rFonts w:ascii="Times New Roman"/>
          <w:w w:val="100"/>
          <w:sz w:val="28"/>
          <w:szCs w:val="28"/>
        </w:rPr>
        <w:t>  </w:t>
      </w:r>
      <w:r>
        <w:rPr>
          <w:rStyle w:val="249"/>
          <w:rFonts w:hint="eastAsia" w:hAnsi="黑体"/>
          <w:position w:val="0"/>
        </w:rPr>
        <w:t>发</w:t>
      </w:r>
      <w:r>
        <w:rPr>
          <w:rStyle w:val="249"/>
          <w:rFonts w:hint="eastAsia" w:hAnsi="黑体"/>
          <w:spacing w:val="0"/>
          <w:position w:val="0"/>
        </w:rPr>
        <w:t>布</w:t>
      </w:r>
    </w:p>
    <w:p w14:paraId="3B1A9428">
      <w:pPr>
        <w:rPr>
          <w:rFonts w:hint="eastAsia" w:ascii="宋体" w:hAnsi="宋体"/>
          <w:sz w:val="28"/>
          <w:szCs w:val="28"/>
        </w:rPr>
      </w:pPr>
      <w:r>
        <w:rPr>
          <w:rFonts w:hint="eastAsia" w:ascii="宋体" w:hAnsi="宋体"/>
          <w:sz w:val="28"/>
          <w:szCs w:val="28"/>
        </w:rPr>
        <mc:AlternateContent>
          <mc:Choice Requires="wps">
            <w:drawing>
              <wp:anchor distT="0" distB="0" distL="114300" distR="114300" simplePos="0" relativeHeight="251662336" behindDoc="0" locked="1" layoutInCell="1" allowOverlap="1">
                <wp:simplePos x="0" y="0"/>
                <wp:positionH relativeFrom="page">
                  <wp:posOffset>899795</wp:posOffset>
                </wp:positionH>
                <wp:positionV relativeFrom="page">
                  <wp:posOffset>9252585</wp:posOffset>
                </wp:positionV>
                <wp:extent cx="6120130" cy="0"/>
                <wp:effectExtent l="0" t="0" r="0" b="0"/>
                <wp:wrapNone/>
                <wp:docPr id="5" name="直接连接符 34"/>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直接连接符 34" o:spid="_x0000_s1026" o:spt="20" style="position:absolute;left:0pt;margin-left:70.85pt;margin-top:728.55pt;height:0pt;width:481.9pt;mso-position-horizontal-relative:page;mso-position-vertical-relative:page;z-index:251662336;mso-width-relative:page;mso-height-relative:page;" filled="f" stroked="t" coordsize="21600,21600" o:gfxdata="UEsDBAoAAAAAAIdO4kAAAAAAAAAAAAAAAAAEAAAAZHJzL1BLAwQUAAAACACHTuJA+anRi9cAAAAO&#10;AQAADwAAAGRycy9kb3ducmV2LnhtbE2PzU7DMBCE70i8g7VIXCpquxCKQpwegNy4UEBct/GSRMTr&#10;NHZ/4OlxDhXcdnZHs98Uq6PrxZ7G0Hk2oOcKBHHtbceNgbfX6uoORIjIFnvPZOCbAqzK87MCc+sP&#10;/EL7dWxECuGQo4E2xiGXMtQtOQxzPxCn26cfHcYkx0baEQ8p3PVyodStdNhx+tDiQA8t1V/rnTMQ&#10;qnfaVj+zeqY+rhtPi+3j8xMac3mh1T2ISMf4Z4YJP6FDmZg2fsc2iD7pG71M1mnIlhrEZNEqy0Bs&#10;TjtZFvJ/jfIXUEsDBBQAAAAIAIdO4kAyYov65AEAAKsDAAAOAAAAZHJzL2Uyb0RvYy54bWytU81u&#10;EzEQviPxDpbvZJOUVHSVTQ+JyqVApLYP4Hi9WQvbY3mcbPISvAASNzhx5N63oTwGY28SSrn0wB4s&#10;e36+me+b2enlzhq2VQE1uIqPBkPOlJNQa7eu+N3t1as3nGEUrhYGnKr4XiG/nL18Me18qcbQgqlV&#10;YATisOx8xdsYfVkUKFtlBQ7AK0fOBoIVkZ5hXdRBdIRuTTEeDs+LDkLtA0iFSNZF7+QHxPAcQGga&#10;LdUC5MYqF3vUoIyIRAlb7ZHPcrdNo2T80DSoIjMVJ6Yxn1SE7qt0FrOpKNdB+FbLQwviOS084WSF&#10;dlT0BLUQUbBN0P9AWS0DIDRxIMEWPZGsCLEYDZ9oc9MKrzIXkhr9SXT8f7Dy/XYZmK4rPuHMCUsD&#10;f/j84+enr7/uv9D58P0bO3udVOo8lhQ8d8uQeMqdu/HXID8iczBvhVur3O3t3hPEKGUUf6WkB3qq&#10;tereQU0xYhMhS7Zrgk2QJAbb5cnsT5NRu8gkGc9HJM8ZDU0efYUoj4k+YHyrwLJ0qbjRLokmSrG9&#10;xpgaEeUxJJkdXGlj8uCNY13FLybjSU5AMLpOzhSGYb2am8C2Iq1O/jIr8jwOC7BxdV/EuAPpxLNX&#10;bAX1fhmOYtAMczeHfUtL8vids//8Y7P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nRi9cAAAAO&#10;AQAADwAAAAAAAAABACAAAAAiAAAAZHJzL2Rvd25yZXYueG1sUEsBAhQAFAAAAAgAh07iQDJii/rk&#10;AQAAqwMAAA4AAAAAAAAAAQAgAAAAJgEAAGRycy9lMm9Eb2MueG1sUEsFBgAAAAAGAAYAWQEAAHwF&#10;AAAAAA==&#10;">
                <v:fill on="f" focussize="0,0"/>
                <v:stroke color="#000000" joinstyle="round"/>
                <v:imagedata o:title=""/>
                <o:lock v:ext="edit" aspectratio="f"/>
                <w10:anchorlock/>
              </v:line>
            </w:pict>
          </mc:Fallback>
        </mc:AlternateContent>
      </w:r>
    </w:p>
    <w:p w14:paraId="05B28A04"/>
    <w:p w14:paraId="2D6579DF"/>
    <w:p w14:paraId="29011F41"/>
    <w:p w14:paraId="39C260AC">
      <w:pPr>
        <w:tabs>
          <w:tab w:val="left" w:pos="8171"/>
        </w:tabs>
        <w:jc w:val="left"/>
        <w:sectPr>
          <w:headerReference r:id="rId6" w:type="first"/>
          <w:footerReference r:id="rId7" w:type="first"/>
          <w:headerReference r:id="rId5" w:type="default"/>
          <w:type w:val="evenPage"/>
          <w:pgSz w:w="11906" w:h="16838"/>
          <w:pgMar w:top="567" w:right="1134" w:bottom="1020" w:left="1134" w:header="1418" w:footer="1134" w:gutter="283"/>
          <w:pgNumType w:fmt="upperRoman"/>
          <w:cols w:space="0" w:num="1"/>
          <w:titlePg/>
          <w:rtlGutter w:val="0"/>
          <w:docGrid w:linePitch="312" w:charSpace="0"/>
        </w:sectPr>
      </w:pPr>
      <w:r>
        <w:rPr>
          <w:rFonts w:hint="eastAsia"/>
        </w:rPr>
        <w:tab/>
      </w:r>
    </w:p>
    <w:p w14:paraId="6277C384">
      <w:pPr>
        <w:pStyle w:val="111"/>
        <w:spacing w:after="360"/>
      </w:pPr>
      <w:bookmarkStart w:id="15" w:name="BookMark1"/>
      <w:r>
        <w:rPr>
          <w:spacing w:val="320"/>
        </w:rPr>
        <w:t>目</w:t>
      </w:r>
      <w:r>
        <w:t>次</w:t>
      </w:r>
    </w:p>
    <w:p w14:paraId="279488FA">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"_Toc195003725" </w:instrText>
      </w:r>
      <w:r>
        <w:fldChar w:fldCharType="separate"/>
      </w:r>
      <w:r>
        <w:rPr>
          <w:rStyle w:val="47"/>
          <w:rFonts w:hint="eastAsia"/>
          <w:spacing w:val="320"/>
        </w:rPr>
        <w:t>前</w:t>
      </w:r>
      <w:r>
        <w:rPr>
          <w:rStyle w:val="47"/>
          <w:rFonts w:hint="eastAsia"/>
        </w:rPr>
        <w:t>言</w:t>
      </w:r>
      <w:r>
        <w:rPr>
          <w:rFonts w:hint="eastAsia"/>
        </w:rPr>
        <w:tab/>
      </w:r>
      <w:r>
        <w:rPr>
          <w:rFonts w:hint="eastAsia"/>
        </w:rPr>
        <w:fldChar w:fldCharType="begin"/>
      </w:r>
      <w:r>
        <w:rPr>
          <w:rFonts w:hint="eastAsia"/>
        </w:rPr>
        <w:instrText xml:space="preserve"> </w:instrText>
      </w:r>
      <w:r>
        <w:instrText xml:space="preserve">PAGEREF _Toc195003725 \h</w:instrText>
      </w:r>
      <w:r>
        <w:rPr>
          <w:rFonts w:hint="eastAsia"/>
        </w:rPr>
        <w:instrText xml:space="preserve"> </w:instrText>
      </w:r>
      <w:r>
        <w:rPr>
          <w:rFonts w:hint="eastAsia"/>
        </w:rPr>
        <w:fldChar w:fldCharType="separate"/>
      </w:r>
      <w:r>
        <w:t>IV</w:t>
      </w:r>
      <w:r>
        <w:rPr>
          <w:rFonts w:hint="eastAsia"/>
        </w:rPr>
        <w:fldChar w:fldCharType="end"/>
      </w:r>
      <w:r>
        <w:rPr>
          <w:rFonts w:hint="eastAsia"/>
        </w:rPr>
        <w:fldChar w:fldCharType="end"/>
      </w:r>
    </w:p>
    <w:p w14:paraId="0857B97D">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"_Toc195003726" </w:instrText>
      </w:r>
      <w:r>
        <w:fldChar w:fldCharType="separate"/>
      </w:r>
      <w:r>
        <w:rPr>
          <w:rStyle w:val="47"/>
          <w:rFonts w:hint="eastAsia"/>
        </w:rPr>
        <w:t>1 范围</w:t>
      </w:r>
      <w:r>
        <w:rPr>
          <w:rFonts w:hint="eastAsia"/>
        </w:rPr>
        <w:tab/>
      </w:r>
      <w:r>
        <w:rPr>
          <w:rFonts w:hint="eastAsia"/>
        </w:rPr>
        <w:fldChar w:fldCharType="begin"/>
      </w:r>
      <w:r>
        <w:rPr>
          <w:rFonts w:hint="eastAsia"/>
        </w:rPr>
        <w:instrText xml:space="preserve"> </w:instrText>
      </w:r>
      <w:r>
        <w:instrText xml:space="preserve">PAGEREF _Toc195003726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28739BA5">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"_Toc195003727" </w:instrText>
      </w:r>
      <w:r>
        <w:fldChar w:fldCharType="separate"/>
      </w:r>
      <w:r>
        <w:rPr>
          <w:rStyle w:val="47"/>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_Toc195003727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7626DB5C">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"_Toc195003728" </w:instrText>
      </w:r>
      <w:r>
        <w:fldChar w:fldCharType="separate"/>
      </w:r>
      <w:r>
        <w:rPr>
          <w:rStyle w:val="47"/>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_Toc195003728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BBA5122">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"_Toc195003729" </w:instrText>
      </w:r>
      <w:r>
        <w:fldChar w:fldCharType="separate"/>
      </w:r>
      <w:r>
        <w:rPr>
          <w:rStyle w:val="47"/>
          <w:rFonts w:hint="eastAsia"/>
        </w:rPr>
        <w:t>4 缩略语</w:t>
      </w:r>
      <w:r>
        <w:rPr>
          <w:rFonts w:hint="eastAsia"/>
        </w:rPr>
        <w:tab/>
      </w:r>
      <w:r>
        <w:rPr>
          <w:rFonts w:hint="eastAsia"/>
        </w:rPr>
        <w:fldChar w:fldCharType="begin"/>
      </w:r>
      <w:r>
        <w:rPr>
          <w:rFonts w:hint="eastAsia"/>
        </w:rPr>
        <w:instrText xml:space="preserve"> </w:instrText>
      </w:r>
      <w:r>
        <w:instrText xml:space="preserve">PAGEREF _Toc195003729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5C750CE">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"_Toc195003730" </w:instrText>
      </w:r>
      <w:r>
        <w:fldChar w:fldCharType="separate"/>
      </w:r>
      <w:r>
        <w:rPr>
          <w:rStyle w:val="47"/>
          <w:rFonts w:hint="eastAsia"/>
        </w:rPr>
        <w:t>5 总体要求</w:t>
      </w:r>
      <w:r>
        <w:rPr>
          <w:rFonts w:hint="eastAsia"/>
        </w:rPr>
        <w:tab/>
      </w:r>
      <w:r>
        <w:rPr>
          <w:rFonts w:hint="eastAsia"/>
        </w:rPr>
        <w:fldChar w:fldCharType="begin"/>
      </w:r>
      <w:r>
        <w:rPr>
          <w:rFonts w:hint="eastAsia"/>
        </w:rPr>
        <w:instrText xml:space="preserve"> </w:instrText>
      </w:r>
      <w:r>
        <w:instrText xml:space="preserve">PAGEREF _Toc195003730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0A73C54F">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"_Toc195003734" </w:instrText>
      </w:r>
      <w:r>
        <w:fldChar w:fldCharType="separate"/>
      </w:r>
      <w:r>
        <w:rPr>
          <w:rStyle w:val="47"/>
          <w:rFonts w:hint="eastAsia"/>
        </w:rPr>
        <w:t>6 设计依据</w:t>
      </w:r>
      <w:r>
        <w:rPr>
          <w:rFonts w:hint="eastAsia"/>
        </w:rPr>
        <w:tab/>
      </w:r>
      <w:r>
        <w:rPr>
          <w:rFonts w:hint="eastAsia"/>
        </w:rPr>
        <w:fldChar w:fldCharType="begin"/>
      </w:r>
      <w:r>
        <w:rPr>
          <w:rFonts w:hint="eastAsia"/>
        </w:rPr>
        <w:instrText xml:space="preserve"> </w:instrText>
      </w:r>
      <w:r>
        <w:instrText xml:space="preserve">PAGEREF _Toc195003734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6650C58">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"_Toc195003735" </w:instrText>
      </w:r>
      <w:r>
        <w:fldChar w:fldCharType="separate"/>
      </w:r>
      <w:r>
        <w:rPr>
          <w:rStyle w:val="47"/>
          <w:rFonts w:hint="eastAsia"/>
        </w:rPr>
        <w:t>6.1 依据的批复文件</w:t>
      </w:r>
      <w:r>
        <w:rPr>
          <w:rFonts w:hint="eastAsia"/>
        </w:rPr>
        <w:tab/>
      </w:r>
      <w:r>
        <w:rPr>
          <w:rFonts w:hint="eastAsia"/>
        </w:rPr>
        <w:fldChar w:fldCharType="begin"/>
      </w:r>
      <w:r>
        <w:rPr>
          <w:rFonts w:hint="eastAsia"/>
        </w:rPr>
        <w:instrText xml:space="preserve"> </w:instrText>
      </w:r>
      <w:r>
        <w:instrText xml:space="preserve">PAGEREF _Toc195003735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D9738A0">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"_Toc195003736" </w:instrText>
      </w:r>
      <w:r>
        <w:fldChar w:fldCharType="separate"/>
      </w:r>
      <w:r>
        <w:rPr>
          <w:rStyle w:val="47"/>
          <w:rFonts w:hint="eastAsia"/>
        </w:rPr>
        <w:t>6.2 遵循的主要法律法规</w:t>
      </w:r>
      <w:r>
        <w:rPr>
          <w:rFonts w:hint="eastAsia"/>
        </w:rPr>
        <w:tab/>
      </w:r>
      <w:r>
        <w:rPr>
          <w:rFonts w:hint="eastAsia"/>
        </w:rPr>
        <w:fldChar w:fldCharType="begin"/>
      </w:r>
      <w:r>
        <w:rPr>
          <w:rFonts w:hint="eastAsia"/>
        </w:rPr>
        <w:instrText xml:space="preserve"> </w:instrText>
      </w:r>
      <w:r>
        <w:instrText xml:space="preserve">PAGEREF _Toc195003736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6D6435DA">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"_Toc195003737" </w:instrText>
      </w:r>
      <w:r>
        <w:fldChar w:fldCharType="separate"/>
      </w:r>
      <w:r>
        <w:rPr>
          <w:rStyle w:val="47"/>
          <w:rFonts w:hint="eastAsia"/>
        </w:rPr>
        <w:t>6.3 执行的主要标准规范</w:t>
      </w:r>
      <w:r>
        <w:rPr>
          <w:rFonts w:hint="eastAsia"/>
        </w:rPr>
        <w:tab/>
      </w:r>
      <w:r>
        <w:rPr>
          <w:rFonts w:hint="eastAsia"/>
        </w:rPr>
        <w:fldChar w:fldCharType="begin"/>
      </w:r>
      <w:r>
        <w:rPr>
          <w:rFonts w:hint="eastAsia"/>
        </w:rPr>
        <w:instrText xml:space="preserve"> </w:instrText>
      </w:r>
      <w:r>
        <w:instrText xml:space="preserve">PAGEREF _Toc195003737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872E35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"_Toc195003738" </w:instrText>
      </w:r>
      <w:r>
        <w:fldChar w:fldCharType="separate"/>
      </w:r>
      <w:r>
        <w:rPr>
          <w:rStyle w:val="47"/>
          <w:rFonts w:hint="eastAsia"/>
        </w:rPr>
        <w:t>6.4 其它文件</w:t>
      </w:r>
      <w:r>
        <w:rPr>
          <w:rFonts w:hint="eastAsia"/>
        </w:rPr>
        <w:tab/>
      </w:r>
      <w:r>
        <w:rPr>
          <w:rFonts w:hint="eastAsia"/>
        </w:rPr>
        <w:fldChar w:fldCharType="begin"/>
      </w:r>
      <w:r>
        <w:rPr>
          <w:rFonts w:hint="eastAsia"/>
        </w:rPr>
        <w:instrText xml:space="preserve"> </w:instrText>
      </w:r>
      <w:r>
        <w:instrText xml:space="preserve">PAGEREF _Toc195003738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A880687">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"_Toc195003739" </w:instrText>
      </w:r>
      <w:r>
        <w:fldChar w:fldCharType="separate"/>
      </w:r>
      <w:r>
        <w:rPr>
          <w:rStyle w:val="47"/>
          <w:rFonts w:hint="eastAsia"/>
        </w:rPr>
        <w:t>7 建设项目概述</w:t>
      </w:r>
      <w:r>
        <w:rPr>
          <w:rFonts w:hint="eastAsia"/>
        </w:rPr>
        <w:tab/>
      </w:r>
      <w:r>
        <w:rPr>
          <w:rFonts w:hint="eastAsia"/>
        </w:rPr>
        <w:fldChar w:fldCharType="begin"/>
      </w:r>
      <w:r>
        <w:rPr>
          <w:rFonts w:hint="eastAsia"/>
        </w:rPr>
        <w:instrText xml:space="preserve"> </w:instrText>
      </w:r>
      <w:r>
        <w:instrText xml:space="preserve">PAGEREF _Toc195003739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3F6F29EE">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"_Toc195003740" </w:instrText>
      </w:r>
      <w:r>
        <w:fldChar w:fldCharType="separate"/>
      </w:r>
      <w:r>
        <w:rPr>
          <w:rStyle w:val="47"/>
          <w:rFonts w:hint="eastAsia"/>
        </w:rPr>
        <w:t>7.1 项目概况</w:t>
      </w:r>
      <w:r>
        <w:rPr>
          <w:rFonts w:hint="eastAsia"/>
        </w:rPr>
        <w:tab/>
      </w:r>
      <w:r>
        <w:rPr>
          <w:rFonts w:hint="eastAsia"/>
        </w:rPr>
        <w:fldChar w:fldCharType="begin"/>
      </w:r>
      <w:r>
        <w:rPr>
          <w:rFonts w:hint="eastAsia"/>
        </w:rPr>
        <w:instrText xml:space="preserve"> </w:instrText>
      </w:r>
      <w:r>
        <w:instrText xml:space="preserve">PAGEREF _Toc195003740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26A874D7">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"_Toc195003741" </w:instrText>
      </w:r>
      <w:r>
        <w:fldChar w:fldCharType="separate"/>
      </w:r>
      <w:r>
        <w:rPr>
          <w:rStyle w:val="47"/>
          <w:rFonts w:hint="eastAsia"/>
        </w:rPr>
        <w:t>7.2 工艺方案</w:t>
      </w:r>
      <w:r>
        <w:rPr>
          <w:rFonts w:hint="eastAsia"/>
        </w:rPr>
        <w:tab/>
      </w:r>
      <w:r>
        <w:rPr>
          <w:rFonts w:hint="eastAsia"/>
        </w:rPr>
        <w:fldChar w:fldCharType="begin"/>
      </w:r>
      <w:r>
        <w:rPr>
          <w:rFonts w:hint="eastAsia"/>
        </w:rPr>
        <w:instrText xml:space="preserve"> </w:instrText>
      </w:r>
      <w:r>
        <w:instrText xml:space="preserve">PAGEREF _Toc195003741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27972CBB">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"_Toc195003742" </w:instrText>
      </w:r>
      <w:r>
        <w:fldChar w:fldCharType="separate"/>
      </w:r>
      <w:r>
        <w:rPr>
          <w:rStyle w:val="47"/>
          <w:rFonts w:hint="eastAsia"/>
        </w:rPr>
        <w:t>7.3 辅助生产系统和公用工程</w:t>
      </w:r>
      <w:r>
        <w:rPr>
          <w:rFonts w:hint="eastAsia"/>
        </w:rPr>
        <w:tab/>
      </w:r>
      <w:r>
        <w:rPr>
          <w:rFonts w:hint="eastAsia"/>
        </w:rPr>
        <w:fldChar w:fldCharType="begin"/>
      </w:r>
      <w:r>
        <w:rPr>
          <w:rFonts w:hint="eastAsia"/>
        </w:rPr>
        <w:instrText xml:space="preserve"> </w:instrText>
      </w:r>
      <w:r>
        <w:instrText xml:space="preserve">PAGEREF _Toc195003742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6D9BC67E">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"_Toc195003743" </w:instrText>
      </w:r>
      <w:r>
        <w:fldChar w:fldCharType="separate"/>
      </w:r>
      <w:r>
        <w:rPr>
          <w:rStyle w:val="47"/>
          <w:rFonts w:hint="eastAsia"/>
        </w:rPr>
        <w:t>7.4 主要工程量</w:t>
      </w:r>
      <w:r>
        <w:rPr>
          <w:rFonts w:hint="eastAsia"/>
        </w:rPr>
        <w:tab/>
      </w:r>
      <w:r>
        <w:rPr>
          <w:rFonts w:hint="eastAsia"/>
        </w:rPr>
        <w:fldChar w:fldCharType="begin"/>
      </w:r>
      <w:r>
        <w:rPr>
          <w:rFonts w:hint="eastAsia"/>
        </w:rPr>
        <w:instrText xml:space="preserve"> </w:instrText>
      </w:r>
      <w:r>
        <w:instrText xml:space="preserve">PAGEREF _Toc195003743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0C1AB155">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"_Toc195003744" </w:instrText>
      </w:r>
      <w:r>
        <w:fldChar w:fldCharType="separate"/>
      </w:r>
      <w:r>
        <w:rPr>
          <w:rStyle w:val="47"/>
          <w:rFonts w:hint="eastAsia"/>
        </w:rPr>
        <w:t>8 危险有害因素分析</w:t>
      </w:r>
      <w:r>
        <w:rPr>
          <w:rFonts w:hint="eastAsia"/>
        </w:rPr>
        <w:tab/>
      </w:r>
      <w:r>
        <w:rPr>
          <w:rFonts w:hint="eastAsia"/>
        </w:rPr>
        <w:fldChar w:fldCharType="begin"/>
      </w:r>
      <w:r>
        <w:rPr>
          <w:rFonts w:hint="eastAsia"/>
        </w:rPr>
        <w:instrText xml:space="preserve"> </w:instrText>
      </w:r>
      <w:r>
        <w:instrText xml:space="preserve">PAGEREF _Toc195003744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711D089">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"_Toc195003749" </w:instrText>
      </w:r>
      <w:r>
        <w:fldChar w:fldCharType="separate"/>
      </w:r>
      <w:r>
        <w:rPr>
          <w:rStyle w:val="47"/>
          <w:rFonts w:hint="eastAsia"/>
        </w:rPr>
        <w:t>9 安全预评价响应</w:t>
      </w:r>
      <w:r>
        <w:rPr>
          <w:rFonts w:hint="eastAsia"/>
        </w:rPr>
        <w:tab/>
      </w:r>
      <w:r>
        <w:rPr>
          <w:rFonts w:hint="eastAsia"/>
        </w:rPr>
        <w:fldChar w:fldCharType="begin"/>
      </w:r>
      <w:r>
        <w:rPr>
          <w:rFonts w:hint="eastAsia"/>
        </w:rPr>
        <w:instrText xml:space="preserve"> </w:instrText>
      </w:r>
      <w:r>
        <w:instrText xml:space="preserve">PAGEREF _Toc195003749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0179FCA1">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"_Toc195003752" </w:instrText>
      </w:r>
      <w:r>
        <w:fldChar w:fldCharType="separate"/>
      </w:r>
      <w:r>
        <w:rPr>
          <w:rStyle w:val="47"/>
          <w:rFonts w:hint="eastAsia"/>
        </w:rPr>
        <w:t>10 区域布置及总平面布置安全措施</w:t>
      </w:r>
      <w:r>
        <w:rPr>
          <w:rFonts w:hint="eastAsia"/>
        </w:rPr>
        <w:tab/>
      </w:r>
      <w:r>
        <w:rPr>
          <w:rFonts w:hint="eastAsia"/>
        </w:rPr>
        <w:fldChar w:fldCharType="begin"/>
      </w:r>
      <w:r>
        <w:rPr>
          <w:rFonts w:hint="eastAsia"/>
        </w:rPr>
        <w:instrText xml:space="preserve"> </w:instrText>
      </w:r>
      <w:r>
        <w:instrText xml:space="preserve">PAGEREF _Toc195003752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3FDD4C7C">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"_Toc195003753" </w:instrText>
      </w:r>
      <w:r>
        <w:fldChar w:fldCharType="separate"/>
      </w:r>
      <w:r>
        <w:rPr>
          <w:rStyle w:val="47"/>
          <w:rFonts w:hint="eastAsia"/>
        </w:rPr>
        <w:t>10.1 区域布置</w:t>
      </w:r>
      <w:r>
        <w:rPr>
          <w:rFonts w:hint="eastAsia"/>
        </w:rPr>
        <w:tab/>
      </w:r>
      <w:r>
        <w:rPr>
          <w:rFonts w:hint="eastAsia"/>
        </w:rPr>
        <w:fldChar w:fldCharType="begin"/>
      </w:r>
      <w:r>
        <w:rPr>
          <w:rFonts w:hint="eastAsia"/>
        </w:rPr>
        <w:instrText xml:space="preserve"> </w:instrText>
      </w:r>
      <w:r>
        <w:instrText xml:space="preserve">PAGEREF _Toc195003753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7CBFA08">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"_Toc195003754" </w:instrText>
      </w:r>
      <w:r>
        <w:fldChar w:fldCharType="separate"/>
      </w:r>
      <w:r>
        <w:rPr>
          <w:rStyle w:val="47"/>
          <w:rFonts w:hint="eastAsia"/>
        </w:rPr>
        <w:t>10.2 总平面布置</w:t>
      </w:r>
      <w:r>
        <w:rPr>
          <w:rFonts w:hint="eastAsia"/>
        </w:rPr>
        <w:tab/>
      </w:r>
      <w:r>
        <w:rPr>
          <w:rFonts w:hint="eastAsia"/>
        </w:rPr>
        <w:fldChar w:fldCharType="begin"/>
      </w:r>
      <w:r>
        <w:rPr>
          <w:rFonts w:hint="eastAsia"/>
        </w:rPr>
        <w:instrText xml:space="preserve"> </w:instrText>
      </w:r>
      <w:r>
        <w:instrText xml:space="preserve">PAGEREF _Toc195003754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743C0B3">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"_Toc195003755" </w:instrText>
      </w:r>
      <w:r>
        <w:fldChar w:fldCharType="separate"/>
      </w:r>
      <w:r>
        <w:rPr>
          <w:rStyle w:val="47"/>
          <w:rFonts w:hint="eastAsia"/>
        </w:rPr>
        <w:t>11 工艺系统安全措施</w:t>
      </w:r>
      <w:r>
        <w:rPr>
          <w:rFonts w:hint="eastAsia"/>
        </w:rPr>
        <w:tab/>
      </w:r>
      <w:r>
        <w:rPr>
          <w:rFonts w:hint="eastAsia"/>
        </w:rPr>
        <w:fldChar w:fldCharType="begin"/>
      </w:r>
      <w:r>
        <w:rPr>
          <w:rFonts w:hint="eastAsia"/>
        </w:rPr>
        <w:instrText xml:space="preserve"> </w:instrText>
      </w:r>
      <w:r>
        <w:instrText xml:space="preserve">PAGEREF _Toc195003755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5D446AEB">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"_Toc195003756" </w:instrText>
      </w:r>
      <w:r>
        <w:fldChar w:fldCharType="separate"/>
      </w:r>
      <w:r>
        <w:rPr>
          <w:rStyle w:val="47"/>
          <w:rFonts w:hint="eastAsia"/>
        </w:rPr>
        <w:t>11.1 油气集输</w:t>
      </w:r>
      <w:r>
        <w:rPr>
          <w:rFonts w:hint="eastAsia"/>
        </w:rPr>
        <w:tab/>
      </w:r>
      <w:r>
        <w:rPr>
          <w:rFonts w:hint="eastAsia"/>
        </w:rPr>
        <w:fldChar w:fldCharType="begin"/>
      </w:r>
      <w:r>
        <w:rPr>
          <w:rFonts w:hint="eastAsia"/>
        </w:rPr>
        <w:instrText xml:space="preserve"> </w:instrText>
      </w:r>
      <w:r>
        <w:instrText xml:space="preserve">PAGEREF _Toc195003756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24C695AF">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"_Toc195003757" </w:instrText>
      </w:r>
      <w:r>
        <w:fldChar w:fldCharType="separate"/>
      </w:r>
      <w:r>
        <w:rPr>
          <w:rStyle w:val="47"/>
          <w:rFonts w:hint="eastAsia"/>
        </w:rPr>
        <w:t>11.2 油气处理及储运</w:t>
      </w:r>
      <w:r>
        <w:rPr>
          <w:rFonts w:hint="eastAsia"/>
        </w:rPr>
        <w:tab/>
      </w:r>
      <w:r>
        <w:rPr>
          <w:rFonts w:hint="eastAsia"/>
        </w:rPr>
        <w:fldChar w:fldCharType="begin"/>
      </w:r>
      <w:r>
        <w:rPr>
          <w:rFonts w:hint="eastAsia"/>
        </w:rPr>
        <w:instrText xml:space="preserve"> </w:instrText>
      </w:r>
      <w:r>
        <w:instrText xml:space="preserve">PAGEREF _Toc195003757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71692C0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"_Toc195003758" </w:instrText>
      </w:r>
      <w:r>
        <w:fldChar w:fldCharType="separate"/>
      </w:r>
      <w:r>
        <w:rPr>
          <w:rStyle w:val="47"/>
          <w:rFonts w:hint="eastAsia"/>
        </w:rPr>
        <w:t>11.3 水处理工艺</w:t>
      </w:r>
      <w:r>
        <w:rPr>
          <w:rFonts w:hint="eastAsia"/>
        </w:rPr>
        <w:tab/>
      </w:r>
      <w:r>
        <w:rPr>
          <w:rFonts w:hint="eastAsia"/>
        </w:rPr>
        <w:fldChar w:fldCharType="begin"/>
      </w:r>
      <w:r>
        <w:rPr>
          <w:rFonts w:hint="eastAsia"/>
        </w:rPr>
        <w:instrText xml:space="preserve"> </w:instrText>
      </w:r>
      <w:r>
        <w:instrText xml:space="preserve">PAGEREF _Toc195003758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6ACAA6A9">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"_Toc195003759" </w:instrText>
      </w:r>
      <w:r>
        <w:fldChar w:fldCharType="separate"/>
      </w:r>
      <w:r>
        <w:rPr>
          <w:rStyle w:val="47"/>
          <w:rFonts w:hint="eastAsia"/>
        </w:rPr>
        <w:t>11.4 注入系统</w:t>
      </w:r>
      <w:r>
        <w:rPr>
          <w:rFonts w:hint="eastAsia"/>
        </w:rPr>
        <w:tab/>
      </w:r>
      <w:r>
        <w:rPr>
          <w:rFonts w:hint="eastAsia"/>
        </w:rPr>
        <w:fldChar w:fldCharType="begin"/>
      </w:r>
      <w:r>
        <w:rPr>
          <w:rFonts w:hint="eastAsia"/>
        </w:rPr>
        <w:instrText xml:space="preserve"> </w:instrText>
      </w:r>
      <w:r>
        <w:instrText xml:space="preserve">PAGEREF _Toc195003759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B68A27E">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"_Toc195003760" </w:instrText>
      </w:r>
      <w:r>
        <w:fldChar w:fldCharType="separate"/>
      </w:r>
      <w:r>
        <w:rPr>
          <w:rStyle w:val="47"/>
          <w:rFonts w:hint="eastAsia"/>
        </w:rPr>
        <w:t>11.5 辅助生产设施</w:t>
      </w:r>
      <w:r>
        <w:rPr>
          <w:rFonts w:hint="eastAsia"/>
        </w:rPr>
        <w:tab/>
      </w:r>
      <w:r>
        <w:rPr>
          <w:rFonts w:hint="eastAsia"/>
        </w:rPr>
        <w:fldChar w:fldCharType="begin"/>
      </w:r>
      <w:r>
        <w:rPr>
          <w:rFonts w:hint="eastAsia"/>
        </w:rPr>
        <w:instrText xml:space="preserve"> </w:instrText>
      </w:r>
      <w:r>
        <w:instrText xml:space="preserve">PAGEREF _Toc195003760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82EBAC6">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"_Toc195003761" </w:instrText>
      </w:r>
      <w:r>
        <w:fldChar w:fldCharType="separate"/>
      </w:r>
      <w:r>
        <w:rPr>
          <w:rStyle w:val="47"/>
          <w:rFonts w:hint="eastAsia"/>
        </w:rPr>
        <w:t>11.6 材质选择</w:t>
      </w:r>
      <w:r>
        <w:rPr>
          <w:rFonts w:hint="eastAsia"/>
        </w:rPr>
        <w:tab/>
      </w:r>
      <w:r>
        <w:rPr>
          <w:rFonts w:hint="eastAsia"/>
        </w:rPr>
        <w:fldChar w:fldCharType="begin"/>
      </w:r>
      <w:r>
        <w:rPr>
          <w:rFonts w:hint="eastAsia"/>
        </w:rPr>
        <w:instrText xml:space="preserve"> </w:instrText>
      </w:r>
      <w:r>
        <w:instrText xml:space="preserve">PAGEREF _Toc195003761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33C039A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"_Toc195003762" </w:instrText>
      </w:r>
      <w:r>
        <w:fldChar w:fldCharType="separate"/>
      </w:r>
      <w:r>
        <w:rPr>
          <w:rStyle w:val="47"/>
          <w:rFonts w:hint="eastAsia"/>
        </w:rPr>
        <w:t>11.7 HAZOP落实情况</w:t>
      </w:r>
      <w:r>
        <w:rPr>
          <w:rFonts w:hint="eastAsia"/>
        </w:rPr>
        <w:tab/>
      </w:r>
      <w:r>
        <w:rPr>
          <w:rFonts w:hint="eastAsia"/>
        </w:rPr>
        <w:fldChar w:fldCharType="begin"/>
      </w:r>
      <w:r>
        <w:rPr>
          <w:rFonts w:hint="eastAsia"/>
        </w:rPr>
        <w:instrText xml:space="preserve"> </w:instrText>
      </w:r>
      <w:r>
        <w:instrText xml:space="preserve">PAGEREF _Toc195003762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706FF7DB">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"_Toc195003763" </w:instrText>
      </w:r>
      <w:r>
        <w:fldChar w:fldCharType="separate"/>
      </w:r>
      <w:r>
        <w:rPr>
          <w:rStyle w:val="47"/>
          <w:rFonts w:hint="eastAsia"/>
        </w:rPr>
        <w:t>12 线路工程安全措施</w:t>
      </w:r>
      <w:r>
        <w:rPr>
          <w:rFonts w:hint="eastAsia"/>
        </w:rPr>
        <w:tab/>
      </w:r>
      <w:r>
        <w:rPr>
          <w:rFonts w:hint="eastAsia"/>
        </w:rPr>
        <w:fldChar w:fldCharType="begin"/>
      </w:r>
      <w:r>
        <w:rPr>
          <w:rFonts w:hint="eastAsia"/>
        </w:rPr>
        <w:instrText xml:space="preserve"> </w:instrText>
      </w:r>
      <w:r>
        <w:instrText xml:space="preserve">PAGEREF _Toc195003763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12847E01">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"_Toc195003764" </w:instrText>
      </w:r>
      <w:r>
        <w:fldChar w:fldCharType="separate"/>
      </w:r>
      <w:r>
        <w:rPr>
          <w:rStyle w:val="47"/>
          <w:rFonts w:hint="eastAsia"/>
        </w:rPr>
        <w:t>12.1 管道本体</w:t>
      </w:r>
      <w:r>
        <w:rPr>
          <w:rFonts w:hint="eastAsia"/>
        </w:rPr>
        <w:tab/>
      </w:r>
      <w:r>
        <w:rPr>
          <w:rFonts w:hint="eastAsia"/>
        </w:rPr>
        <w:fldChar w:fldCharType="begin"/>
      </w:r>
      <w:r>
        <w:rPr>
          <w:rFonts w:hint="eastAsia"/>
        </w:rPr>
        <w:instrText xml:space="preserve"> </w:instrText>
      </w:r>
      <w:r>
        <w:instrText xml:space="preserve">PAGEREF _Toc195003764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7FE2A02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"_Toc195003765" </w:instrText>
      </w:r>
      <w:r>
        <w:fldChar w:fldCharType="separate"/>
      </w:r>
      <w:r>
        <w:rPr>
          <w:rStyle w:val="47"/>
          <w:rFonts w:hint="eastAsia"/>
        </w:rPr>
        <w:t>12.2 管道敷设</w:t>
      </w:r>
      <w:r>
        <w:rPr>
          <w:rFonts w:hint="eastAsia"/>
        </w:rPr>
        <w:tab/>
      </w:r>
      <w:r>
        <w:rPr>
          <w:rFonts w:hint="eastAsia"/>
        </w:rPr>
        <w:fldChar w:fldCharType="begin"/>
      </w:r>
      <w:r>
        <w:rPr>
          <w:rFonts w:hint="eastAsia"/>
        </w:rPr>
        <w:instrText xml:space="preserve"> </w:instrText>
      </w:r>
      <w:r>
        <w:instrText xml:space="preserve">PAGEREF _Toc195003765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4264C4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"_Toc195003766" </w:instrText>
      </w:r>
      <w:r>
        <w:fldChar w:fldCharType="separate"/>
      </w:r>
      <w:r>
        <w:rPr>
          <w:rStyle w:val="47"/>
          <w:rFonts w:hint="eastAsia"/>
        </w:rPr>
        <w:t>12.3 地质灾害</w:t>
      </w:r>
      <w:r>
        <w:rPr>
          <w:rFonts w:hint="eastAsia"/>
        </w:rPr>
        <w:tab/>
      </w:r>
      <w:r>
        <w:rPr>
          <w:rFonts w:hint="eastAsia"/>
        </w:rPr>
        <w:fldChar w:fldCharType="begin"/>
      </w:r>
      <w:r>
        <w:rPr>
          <w:rFonts w:hint="eastAsia"/>
        </w:rPr>
        <w:instrText xml:space="preserve"> </w:instrText>
      </w:r>
      <w:r>
        <w:instrText xml:space="preserve">PAGEREF _Toc195003766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C486F6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"_Toc195003767" </w:instrText>
      </w:r>
      <w:r>
        <w:fldChar w:fldCharType="separate"/>
      </w:r>
      <w:r>
        <w:rPr>
          <w:rStyle w:val="47"/>
          <w:rFonts w:hint="eastAsia"/>
        </w:rPr>
        <w:t>12.4 地震</w:t>
      </w:r>
      <w:r>
        <w:rPr>
          <w:rFonts w:hint="eastAsia"/>
        </w:rPr>
        <w:tab/>
      </w:r>
      <w:r>
        <w:rPr>
          <w:rFonts w:hint="eastAsia"/>
        </w:rPr>
        <w:fldChar w:fldCharType="begin"/>
      </w:r>
      <w:r>
        <w:rPr>
          <w:rFonts w:hint="eastAsia"/>
        </w:rPr>
        <w:instrText xml:space="preserve"> </w:instrText>
      </w:r>
      <w:r>
        <w:instrText xml:space="preserve">PAGEREF _Toc195003767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41E6535A">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"_Toc195003768" </w:instrText>
      </w:r>
      <w:r>
        <w:fldChar w:fldCharType="separate"/>
      </w:r>
      <w:r>
        <w:rPr>
          <w:rStyle w:val="47"/>
          <w:rFonts w:hint="eastAsia"/>
        </w:rPr>
        <w:t>12.5 采矿区</w:t>
      </w:r>
      <w:r>
        <w:rPr>
          <w:rFonts w:hint="eastAsia"/>
        </w:rPr>
        <w:tab/>
      </w:r>
      <w:r>
        <w:rPr>
          <w:rFonts w:hint="eastAsia"/>
        </w:rPr>
        <w:fldChar w:fldCharType="begin"/>
      </w:r>
      <w:r>
        <w:rPr>
          <w:rFonts w:hint="eastAsia"/>
        </w:rPr>
        <w:instrText xml:space="preserve"> </w:instrText>
      </w:r>
      <w:r>
        <w:instrText xml:space="preserve">PAGEREF _Toc195003768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C187F7C">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"_Toc195003769" </w:instrText>
      </w:r>
      <w:r>
        <w:fldChar w:fldCharType="separate"/>
      </w:r>
      <w:r>
        <w:rPr>
          <w:rStyle w:val="47"/>
          <w:rFonts w:hint="eastAsia"/>
        </w:rPr>
        <w:t>12.6 穿（跨）越段安全防护</w:t>
      </w:r>
      <w:r>
        <w:rPr>
          <w:rFonts w:hint="eastAsia"/>
        </w:rPr>
        <w:tab/>
      </w:r>
      <w:r>
        <w:rPr>
          <w:rFonts w:hint="eastAsia"/>
        </w:rPr>
        <w:fldChar w:fldCharType="begin"/>
      </w:r>
      <w:r>
        <w:rPr>
          <w:rFonts w:hint="eastAsia"/>
        </w:rPr>
        <w:instrText xml:space="preserve"> </w:instrText>
      </w:r>
      <w:r>
        <w:instrText xml:space="preserve">PAGEREF _Toc195003769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12DF7F1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"_Toc195003770" </w:instrText>
      </w:r>
      <w:r>
        <w:fldChar w:fldCharType="separate"/>
      </w:r>
      <w:r>
        <w:rPr>
          <w:rStyle w:val="47"/>
          <w:rFonts w:hint="eastAsia"/>
        </w:rPr>
        <w:t>12.7 并行段安全防护</w:t>
      </w:r>
      <w:r>
        <w:rPr>
          <w:rFonts w:hint="eastAsia"/>
        </w:rPr>
        <w:tab/>
      </w:r>
      <w:r>
        <w:rPr>
          <w:rFonts w:hint="eastAsia"/>
        </w:rPr>
        <w:fldChar w:fldCharType="begin"/>
      </w:r>
      <w:r>
        <w:rPr>
          <w:rFonts w:hint="eastAsia"/>
        </w:rPr>
        <w:instrText xml:space="preserve"> </w:instrText>
      </w:r>
      <w:r>
        <w:instrText xml:space="preserve">PAGEREF _Toc195003770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231B0399">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"_Toc195003771" </w:instrText>
      </w:r>
      <w:r>
        <w:fldChar w:fldCharType="separate"/>
      </w:r>
      <w:r>
        <w:rPr>
          <w:rStyle w:val="47"/>
          <w:rFonts w:hint="eastAsia"/>
        </w:rPr>
        <w:t>12.8 标识与伴行路</w:t>
      </w:r>
      <w:r>
        <w:rPr>
          <w:rFonts w:hint="eastAsia"/>
        </w:rPr>
        <w:tab/>
      </w:r>
      <w:r>
        <w:rPr>
          <w:rFonts w:hint="eastAsia"/>
        </w:rPr>
        <w:fldChar w:fldCharType="begin"/>
      </w:r>
      <w:r>
        <w:rPr>
          <w:rFonts w:hint="eastAsia"/>
        </w:rPr>
        <w:instrText xml:space="preserve"> </w:instrText>
      </w:r>
      <w:r>
        <w:instrText xml:space="preserve">PAGEREF _Toc195003771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E65DC8C">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"_Toc195003772" </w:instrText>
      </w:r>
      <w:r>
        <w:fldChar w:fldCharType="separate"/>
      </w:r>
      <w:r>
        <w:rPr>
          <w:rStyle w:val="47"/>
          <w:rFonts w:hint="eastAsia"/>
        </w:rPr>
        <w:t>12.9 截断阀室</w:t>
      </w:r>
      <w:r>
        <w:rPr>
          <w:rFonts w:hint="eastAsia"/>
        </w:rPr>
        <w:tab/>
      </w:r>
      <w:r>
        <w:rPr>
          <w:rFonts w:hint="eastAsia"/>
        </w:rPr>
        <w:fldChar w:fldCharType="begin"/>
      </w:r>
      <w:r>
        <w:rPr>
          <w:rFonts w:hint="eastAsia"/>
        </w:rPr>
        <w:instrText xml:space="preserve"> </w:instrText>
      </w:r>
      <w:r>
        <w:instrText xml:space="preserve">PAGEREF _Toc195003772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04CACA25">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"_Toc195003773" </w:instrText>
      </w:r>
      <w:r>
        <w:fldChar w:fldCharType="separate"/>
      </w:r>
      <w:r>
        <w:rPr>
          <w:rStyle w:val="47"/>
          <w:rFonts w:hint="eastAsia"/>
        </w:rPr>
        <w:t>13 自控安全措施</w:t>
      </w:r>
      <w:r>
        <w:rPr>
          <w:rFonts w:hint="eastAsia"/>
        </w:rPr>
        <w:tab/>
      </w:r>
      <w:r>
        <w:rPr>
          <w:rFonts w:hint="eastAsia"/>
        </w:rPr>
        <w:fldChar w:fldCharType="begin"/>
      </w:r>
      <w:r>
        <w:rPr>
          <w:rFonts w:hint="eastAsia"/>
        </w:rPr>
        <w:instrText xml:space="preserve"> </w:instrText>
      </w:r>
      <w:r>
        <w:instrText xml:space="preserve">PAGEREF _Toc195003773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72B99467">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"_Toc195003774" </w:instrText>
      </w:r>
      <w:r>
        <w:fldChar w:fldCharType="separate"/>
      </w:r>
      <w:r>
        <w:rPr>
          <w:rStyle w:val="47"/>
          <w:rFonts w:hint="eastAsia"/>
        </w:rPr>
        <w:t>13.1 SCADA系统和基本过程控制系统</w:t>
      </w:r>
      <w:r>
        <w:rPr>
          <w:rFonts w:hint="eastAsia"/>
        </w:rPr>
        <w:tab/>
      </w:r>
      <w:r>
        <w:rPr>
          <w:rFonts w:hint="eastAsia"/>
        </w:rPr>
        <w:fldChar w:fldCharType="begin"/>
      </w:r>
      <w:r>
        <w:rPr>
          <w:rFonts w:hint="eastAsia"/>
        </w:rPr>
        <w:instrText xml:space="preserve"> </w:instrText>
      </w:r>
      <w:r>
        <w:instrText xml:space="preserve">PAGEREF _Toc195003774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547F1EA4">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"_Toc195003775" </w:instrText>
      </w:r>
      <w:r>
        <w:fldChar w:fldCharType="separate"/>
      </w:r>
      <w:r>
        <w:rPr>
          <w:rStyle w:val="47"/>
          <w:rFonts w:hint="eastAsia"/>
        </w:rPr>
        <w:t>13.2 安全仪表系统</w:t>
      </w:r>
      <w:r>
        <w:rPr>
          <w:rFonts w:hint="eastAsia"/>
        </w:rPr>
        <w:tab/>
      </w:r>
      <w:r>
        <w:rPr>
          <w:rFonts w:hint="eastAsia"/>
        </w:rPr>
        <w:fldChar w:fldCharType="begin"/>
      </w:r>
      <w:r>
        <w:rPr>
          <w:rFonts w:hint="eastAsia"/>
        </w:rPr>
        <w:instrText xml:space="preserve"> </w:instrText>
      </w:r>
      <w:r>
        <w:instrText xml:space="preserve">PAGEREF _Toc195003775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2BC750B9">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"_Toc195003776" </w:instrText>
      </w:r>
      <w:r>
        <w:fldChar w:fldCharType="separate"/>
      </w:r>
      <w:r>
        <w:rPr>
          <w:rStyle w:val="47"/>
          <w:rFonts w:hint="eastAsia"/>
        </w:rPr>
        <w:t>13.3 井口控制系统</w:t>
      </w:r>
      <w:r>
        <w:rPr>
          <w:rFonts w:hint="eastAsia"/>
        </w:rPr>
        <w:tab/>
      </w:r>
      <w:r>
        <w:rPr>
          <w:rFonts w:hint="eastAsia"/>
        </w:rPr>
        <w:fldChar w:fldCharType="begin"/>
      </w:r>
      <w:r>
        <w:rPr>
          <w:rFonts w:hint="eastAsia"/>
        </w:rPr>
        <w:instrText xml:space="preserve"> </w:instrText>
      </w:r>
      <w:r>
        <w:instrText xml:space="preserve">PAGEREF _Toc195003776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18708634">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"_Toc195003777" </w:instrText>
      </w:r>
      <w:r>
        <w:fldChar w:fldCharType="separate"/>
      </w:r>
      <w:r>
        <w:rPr>
          <w:rStyle w:val="47"/>
          <w:rFonts w:hint="eastAsia"/>
        </w:rPr>
        <w:t>13.4 管道泄漏监测系统</w:t>
      </w:r>
      <w:r>
        <w:rPr>
          <w:rFonts w:hint="eastAsia"/>
        </w:rPr>
        <w:tab/>
      </w:r>
      <w:r>
        <w:rPr>
          <w:rFonts w:hint="eastAsia"/>
        </w:rPr>
        <w:fldChar w:fldCharType="begin"/>
      </w:r>
      <w:r>
        <w:rPr>
          <w:rFonts w:hint="eastAsia"/>
        </w:rPr>
        <w:instrText xml:space="preserve"> </w:instrText>
      </w:r>
      <w:r>
        <w:instrText xml:space="preserve">PAGEREF _Toc195003777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FD926D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"_Toc195003778" </w:instrText>
      </w:r>
      <w:r>
        <w:fldChar w:fldCharType="separate"/>
      </w:r>
      <w:r>
        <w:rPr>
          <w:rStyle w:val="47"/>
          <w:rFonts w:hint="eastAsia"/>
        </w:rPr>
        <w:t>13.5 气体检测和报警系统</w:t>
      </w:r>
      <w:r>
        <w:rPr>
          <w:rFonts w:hint="eastAsia"/>
        </w:rPr>
        <w:tab/>
      </w:r>
      <w:r>
        <w:rPr>
          <w:rFonts w:hint="eastAsia"/>
        </w:rPr>
        <w:fldChar w:fldCharType="begin"/>
      </w:r>
      <w:r>
        <w:rPr>
          <w:rFonts w:hint="eastAsia"/>
        </w:rPr>
        <w:instrText xml:space="preserve"> </w:instrText>
      </w:r>
      <w:r>
        <w:instrText xml:space="preserve">PAGEREF _Toc195003778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38B32D64">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"_Toc195003779" </w:instrText>
      </w:r>
      <w:r>
        <w:fldChar w:fldCharType="separate"/>
      </w:r>
      <w:r>
        <w:rPr>
          <w:rStyle w:val="47"/>
          <w:rFonts w:hint="eastAsia"/>
        </w:rPr>
        <w:t>13.6 火灾报警系统</w:t>
      </w:r>
      <w:r>
        <w:rPr>
          <w:rFonts w:hint="eastAsia"/>
        </w:rPr>
        <w:tab/>
      </w:r>
      <w:r>
        <w:rPr>
          <w:rFonts w:hint="eastAsia"/>
        </w:rPr>
        <w:fldChar w:fldCharType="begin"/>
      </w:r>
      <w:r>
        <w:rPr>
          <w:rFonts w:hint="eastAsia"/>
        </w:rPr>
        <w:instrText xml:space="preserve"> </w:instrText>
      </w:r>
      <w:r>
        <w:instrText xml:space="preserve">PAGEREF _Toc195003779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4CE12CC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"_Toc195003780" </w:instrText>
      </w:r>
      <w:r>
        <w:fldChar w:fldCharType="separate"/>
      </w:r>
      <w:r>
        <w:rPr>
          <w:rStyle w:val="47"/>
          <w:rFonts w:hint="eastAsia"/>
        </w:rPr>
        <w:t>13.7 站控制室的设置</w:t>
      </w:r>
      <w:r>
        <w:rPr>
          <w:rFonts w:hint="eastAsia"/>
        </w:rPr>
        <w:tab/>
      </w:r>
      <w:r>
        <w:rPr>
          <w:rFonts w:hint="eastAsia"/>
        </w:rPr>
        <w:fldChar w:fldCharType="begin"/>
      </w:r>
      <w:r>
        <w:rPr>
          <w:rFonts w:hint="eastAsia"/>
        </w:rPr>
        <w:instrText xml:space="preserve"> </w:instrText>
      </w:r>
      <w:r>
        <w:instrText xml:space="preserve">PAGEREF _Toc195003780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757F5A6E">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"_Toc195003781" </w:instrText>
      </w:r>
      <w:r>
        <w:fldChar w:fldCharType="separate"/>
      </w:r>
      <w:r>
        <w:rPr>
          <w:rStyle w:val="47"/>
          <w:rFonts w:hint="eastAsia"/>
        </w:rPr>
        <w:t>13.8 其他安全措施</w:t>
      </w:r>
      <w:r>
        <w:rPr>
          <w:rFonts w:hint="eastAsia"/>
        </w:rPr>
        <w:tab/>
      </w:r>
      <w:r>
        <w:rPr>
          <w:rFonts w:hint="eastAsia"/>
        </w:rPr>
        <w:fldChar w:fldCharType="begin"/>
      </w:r>
      <w:r>
        <w:rPr>
          <w:rFonts w:hint="eastAsia"/>
        </w:rPr>
        <w:instrText xml:space="preserve"> </w:instrText>
      </w:r>
      <w:r>
        <w:instrText xml:space="preserve">PAGEREF _Toc195003781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31BD1823">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"_Toc195003782" </w:instrText>
      </w:r>
      <w:r>
        <w:fldChar w:fldCharType="separate"/>
      </w:r>
      <w:r>
        <w:rPr>
          <w:rStyle w:val="47"/>
          <w:rFonts w:hint="eastAsia"/>
        </w:rPr>
        <w:t>14 公用工程安全措施</w:t>
      </w:r>
      <w:r>
        <w:rPr>
          <w:rFonts w:hint="eastAsia"/>
        </w:rPr>
        <w:tab/>
      </w:r>
      <w:r>
        <w:rPr>
          <w:rFonts w:hint="eastAsia"/>
        </w:rPr>
        <w:fldChar w:fldCharType="begin"/>
      </w:r>
      <w:r>
        <w:rPr>
          <w:rFonts w:hint="eastAsia"/>
        </w:rPr>
        <w:instrText xml:space="preserve"> </w:instrText>
      </w:r>
      <w:r>
        <w:instrText xml:space="preserve">PAGEREF _Toc195003782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3E53B907">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"_Toc195003783" </w:instrText>
      </w:r>
      <w:r>
        <w:fldChar w:fldCharType="separate"/>
      </w:r>
      <w:r>
        <w:rPr>
          <w:rStyle w:val="47"/>
          <w:rFonts w:hint="eastAsia"/>
        </w:rPr>
        <w:t>14.1 供配电</w:t>
      </w:r>
      <w:r>
        <w:rPr>
          <w:rFonts w:hint="eastAsia"/>
        </w:rPr>
        <w:tab/>
      </w:r>
      <w:r>
        <w:rPr>
          <w:rFonts w:hint="eastAsia"/>
        </w:rPr>
        <w:fldChar w:fldCharType="begin"/>
      </w:r>
      <w:r>
        <w:rPr>
          <w:rFonts w:hint="eastAsia"/>
        </w:rPr>
        <w:instrText xml:space="preserve"> </w:instrText>
      </w:r>
      <w:r>
        <w:instrText xml:space="preserve">PAGEREF _Toc195003783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2CEE11DE">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"_Toc195003784" </w:instrText>
      </w:r>
      <w:r>
        <w:fldChar w:fldCharType="separate"/>
      </w:r>
      <w:r>
        <w:rPr>
          <w:rStyle w:val="47"/>
          <w:rFonts w:hint="eastAsia"/>
        </w:rPr>
        <w:t>14.2 通信</w:t>
      </w:r>
      <w:r>
        <w:rPr>
          <w:rFonts w:hint="eastAsia"/>
        </w:rPr>
        <w:tab/>
      </w:r>
      <w:r>
        <w:rPr>
          <w:rFonts w:hint="eastAsia"/>
        </w:rPr>
        <w:fldChar w:fldCharType="begin"/>
      </w:r>
      <w:r>
        <w:rPr>
          <w:rFonts w:hint="eastAsia"/>
        </w:rPr>
        <w:instrText xml:space="preserve"> </w:instrText>
      </w:r>
      <w:r>
        <w:instrText xml:space="preserve">PAGEREF _Toc195003784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443040B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"_Toc195003785" </w:instrText>
      </w:r>
      <w:r>
        <w:fldChar w:fldCharType="separate"/>
      </w:r>
      <w:r>
        <w:rPr>
          <w:rStyle w:val="47"/>
          <w:rFonts w:hint="eastAsia"/>
        </w:rPr>
        <w:t>14.3 热工</w:t>
      </w:r>
      <w:r>
        <w:rPr>
          <w:rFonts w:hint="eastAsia"/>
        </w:rPr>
        <w:tab/>
      </w:r>
      <w:r>
        <w:rPr>
          <w:rFonts w:hint="eastAsia"/>
        </w:rPr>
        <w:fldChar w:fldCharType="begin"/>
      </w:r>
      <w:r>
        <w:rPr>
          <w:rFonts w:hint="eastAsia"/>
        </w:rPr>
        <w:instrText xml:space="preserve"> </w:instrText>
      </w:r>
      <w:r>
        <w:instrText xml:space="preserve">PAGEREF _Toc195003785 \h</w:instrText>
      </w:r>
      <w:r>
        <w:rPr>
          <w:rFonts w:hint="eastAsia"/>
        </w:rPr>
        <w:instrText xml:space="preserve"> </w:instrText>
      </w:r>
      <w:r>
        <w:rPr>
          <w:rFonts w:hint="eastAsia"/>
        </w:rPr>
        <w:fldChar w:fldCharType="separate"/>
      </w:r>
      <w:r>
        <w:t>12</w:t>
      </w:r>
      <w:r>
        <w:rPr>
          <w:rFonts w:hint="eastAsia"/>
        </w:rPr>
        <w:fldChar w:fldCharType="end"/>
      </w:r>
      <w:r>
        <w:rPr>
          <w:rFonts w:hint="eastAsia"/>
        </w:rPr>
        <w:fldChar w:fldCharType="end"/>
      </w:r>
    </w:p>
    <w:p w14:paraId="0A2EDEB5">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"_Toc195003786" </w:instrText>
      </w:r>
      <w:r>
        <w:fldChar w:fldCharType="separate"/>
      </w:r>
      <w:r>
        <w:rPr>
          <w:rStyle w:val="47"/>
          <w:rFonts w:hint="eastAsia"/>
        </w:rPr>
        <w:t>14.4 暖通</w:t>
      </w:r>
      <w:r>
        <w:rPr>
          <w:rFonts w:hint="eastAsia"/>
        </w:rPr>
        <w:tab/>
      </w:r>
      <w:r>
        <w:rPr>
          <w:rFonts w:hint="eastAsia"/>
        </w:rPr>
        <w:fldChar w:fldCharType="begin"/>
      </w:r>
      <w:r>
        <w:rPr>
          <w:rFonts w:hint="eastAsia"/>
        </w:rPr>
        <w:instrText xml:space="preserve"> </w:instrText>
      </w:r>
      <w:r>
        <w:instrText xml:space="preserve">PAGEREF _Toc195003786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43228AC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"_Toc195003787" </w:instrText>
      </w:r>
      <w:r>
        <w:fldChar w:fldCharType="separate"/>
      </w:r>
      <w:r>
        <w:rPr>
          <w:rStyle w:val="47"/>
          <w:rFonts w:hint="eastAsia"/>
        </w:rPr>
        <w:t>14.5 建筑与结构</w:t>
      </w:r>
      <w:r>
        <w:rPr>
          <w:rFonts w:hint="eastAsia"/>
        </w:rPr>
        <w:tab/>
      </w:r>
      <w:r>
        <w:rPr>
          <w:rFonts w:hint="eastAsia"/>
        </w:rPr>
        <w:fldChar w:fldCharType="begin"/>
      </w:r>
      <w:r>
        <w:rPr>
          <w:rFonts w:hint="eastAsia"/>
        </w:rPr>
        <w:instrText xml:space="preserve"> </w:instrText>
      </w:r>
      <w:r>
        <w:instrText xml:space="preserve">PAGEREF _Toc195003787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1F323FD8">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"_Toc195003788" </w:instrText>
      </w:r>
      <w:r>
        <w:fldChar w:fldCharType="separate"/>
      </w:r>
      <w:r>
        <w:rPr>
          <w:rStyle w:val="47"/>
          <w:rFonts w:hint="eastAsia"/>
        </w:rPr>
        <w:t>14.6 防腐及绝热</w:t>
      </w:r>
      <w:r>
        <w:rPr>
          <w:rFonts w:hint="eastAsia"/>
        </w:rPr>
        <w:tab/>
      </w:r>
      <w:r>
        <w:rPr>
          <w:rFonts w:hint="eastAsia"/>
        </w:rPr>
        <w:fldChar w:fldCharType="begin"/>
      </w:r>
      <w:r>
        <w:rPr>
          <w:rFonts w:hint="eastAsia"/>
        </w:rPr>
        <w:instrText xml:space="preserve"> </w:instrText>
      </w:r>
      <w:r>
        <w:instrText xml:space="preserve">PAGEREF _Toc195003788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65C8159C">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"_Toc195003789" </w:instrText>
      </w:r>
      <w:r>
        <w:fldChar w:fldCharType="separate"/>
      </w:r>
      <w:r>
        <w:rPr>
          <w:rStyle w:val="47"/>
          <w:rFonts w:hint="eastAsia"/>
        </w:rPr>
        <w:t>15 防范其他危险、危害因素的安全措施</w:t>
      </w:r>
      <w:r>
        <w:rPr>
          <w:rFonts w:hint="eastAsia"/>
        </w:rPr>
        <w:tab/>
      </w:r>
      <w:r>
        <w:rPr>
          <w:rFonts w:hint="eastAsia"/>
        </w:rPr>
        <w:fldChar w:fldCharType="begin"/>
      </w:r>
      <w:r>
        <w:rPr>
          <w:rFonts w:hint="eastAsia"/>
        </w:rPr>
        <w:instrText xml:space="preserve"> </w:instrText>
      </w:r>
      <w:r>
        <w:instrText xml:space="preserve">PAGEREF _Toc195003789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7F20133">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"_Toc195003793" </w:instrText>
      </w:r>
      <w:r>
        <w:fldChar w:fldCharType="separate"/>
      </w:r>
      <w:r>
        <w:rPr>
          <w:rStyle w:val="47"/>
          <w:rFonts w:hint="eastAsia"/>
        </w:rPr>
        <w:t>16 逃生及救生</w:t>
      </w:r>
      <w:r>
        <w:rPr>
          <w:rFonts w:hint="eastAsia"/>
        </w:rPr>
        <w:tab/>
      </w:r>
      <w:r>
        <w:rPr>
          <w:rFonts w:hint="eastAsia"/>
        </w:rPr>
        <w:fldChar w:fldCharType="begin"/>
      </w:r>
      <w:r>
        <w:rPr>
          <w:rFonts w:hint="eastAsia"/>
        </w:rPr>
        <w:instrText xml:space="preserve"> </w:instrText>
      </w:r>
      <w:r>
        <w:instrText xml:space="preserve">PAGEREF _Toc195003793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A24E136">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"_Toc195003794" </w:instrText>
      </w:r>
      <w:r>
        <w:fldChar w:fldCharType="separate"/>
      </w:r>
      <w:r>
        <w:rPr>
          <w:rStyle w:val="47"/>
          <w:rFonts w:hint="eastAsia"/>
        </w:rPr>
        <w:t>16.1 逃生</w:t>
      </w:r>
      <w:r>
        <w:rPr>
          <w:rFonts w:hint="eastAsia"/>
        </w:rPr>
        <w:tab/>
      </w:r>
      <w:r>
        <w:rPr>
          <w:rFonts w:hint="eastAsia"/>
        </w:rPr>
        <w:fldChar w:fldCharType="begin"/>
      </w:r>
      <w:r>
        <w:rPr>
          <w:rFonts w:hint="eastAsia"/>
        </w:rPr>
        <w:instrText xml:space="preserve"> </w:instrText>
      </w:r>
      <w:r>
        <w:instrText xml:space="preserve">PAGEREF _Toc195003794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63E0ACBB">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"_Toc195003795" </w:instrText>
      </w:r>
      <w:r>
        <w:fldChar w:fldCharType="separate"/>
      </w:r>
      <w:r>
        <w:rPr>
          <w:rStyle w:val="47"/>
          <w:rFonts w:hint="eastAsia"/>
        </w:rPr>
        <w:t>16.2 救生</w:t>
      </w:r>
      <w:r>
        <w:rPr>
          <w:rFonts w:hint="eastAsia"/>
        </w:rPr>
        <w:tab/>
      </w:r>
      <w:r>
        <w:rPr>
          <w:rFonts w:hint="eastAsia"/>
        </w:rPr>
        <w:fldChar w:fldCharType="begin"/>
      </w:r>
      <w:r>
        <w:rPr>
          <w:rFonts w:hint="eastAsia"/>
        </w:rPr>
        <w:instrText xml:space="preserve"> </w:instrText>
      </w:r>
      <w:r>
        <w:instrText xml:space="preserve">PAGEREF _Toc195003795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3D4F7327">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"_Toc195003796" </w:instrText>
      </w:r>
      <w:r>
        <w:fldChar w:fldCharType="separate"/>
      </w:r>
      <w:r>
        <w:rPr>
          <w:rStyle w:val="47"/>
          <w:rFonts w:hint="eastAsia"/>
        </w:rPr>
        <w:t>17 安全管理</w:t>
      </w:r>
      <w:r>
        <w:rPr>
          <w:rFonts w:hint="eastAsia"/>
        </w:rPr>
        <w:tab/>
      </w:r>
      <w:r>
        <w:rPr>
          <w:rFonts w:hint="eastAsia"/>
        </w:rPr>
        <w:fldChar w:fldCharType="begin"/>
      </w:r>
      <w:r>
        <w:rPr>
          <w:rFonts w:hint="eastAsia"/>
        </w:rPr>
        <w:instrText xml:space="preserve"> </w:instrText>
      </w:r>
      <w:r>
        <w:instrText xml:space="preserve">PAGEREF _Toc195003796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2C016441">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"_Toc195003797" </w:instrText>
      </w:r>
      <w:r>
        <w:fldChar w:fldCharType="separate"/>
      </w:r>
      <w:r>
        <w:rPr>
          <w:rStyle w:val="47"/>
          <w:rFonts w:hint="eastAsia"/>
        </w:rPr>
        <w:t>17.1 安全管理机构设置及人员配备</w:t>
      </w:r>
      <w:r>
        <w:rPr>
          <w:rFonts w:hint="eastAsia"/>
        </w:rPr>
        <w:tab/>
      </w:r>
      <w:r>
        <w:rPr>
          <w:rFonts w:hint="eastAsia"/>
        </w:rPr>
        <w:fldChar w:fldCharType="begin"/>
      </w:r>
      <w:r>
        <w:rPr>
          <w:rFonts w:hint="eastAsia"/>
        </w:rPr>
        <w:instrText xml:space="preserve"> </w:instrText>
      </w:r>
      <w:r>
        <w:instrText xml:space="preserve">PAGEREF _Toc195003797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4C6FD739">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"_Toc195003798" </w:instrText>
      </w:r>
      <w:r>
        <w:fldChar w:fldCharType="separate"/>
      </w:r>
      <w:r>
        <w:rPr>
          <w:rStyle w:val="47"/>
          <w:rFonts w:hint="eastAsia"/>
        </w:rPr>
        <w:t>17.2 安全教育和培训</w:t>
      </w:r>
      <w:r>
        <w:rPr>
          <w:rFonts w:hint="eastAsia"/>
        </w:rPr>
        <w:tab/>
      </w:r>
      <w:r>
        <w:rPr>
          <w:rFonts w:hint="eastAsia"/>
        </w:rPr>
        <w:fldChar w:fldCharType="begin"/>
      </w:r>
      <w:r>
        <w:rPr>
          <w:rFonts w:hint="eastAsia"/>
        </w:rPr>
        <w:instrText xml:space="preserve"> </w:instrText>
      </w:r>
      <w:r>
        <w:instrText xml:space="preserve">PAGEREF _Toc195003798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79A075BA">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"_Toc195003799" </w:instrText>
      </w:r>
      <w:r>
        <w:fldChar w:fldCharType="separate"/>
      </w:r>
      <w:r>
        <w:rPr>
          <w:rStyle w:val="47"/>
          <w:rFonts w:hint="eastAsia"/>
        </w:rPr>
        <w:t>17.3 劳动防护用品和装备</w:t>
      </w:r>
      <w:r>
        <w:rPr>
          <w:rFonts w:hint="eastAsia"/>
        </w:rPr>
        <w:tab/>
      </w:r>
      <w:r>
        <w:rPr>
          <w:rFonts w:hint="eastAsia"/>
        </w:rPr>
        <w:fldChar w:fldCharType="begin"/>
      </w:r>
      <w:r>
        <w:rPr>
          <w:rFonts w:hint="eastAsia"/>
        </w:rPr>
        <w:instrText xml:space="preserve"> </w:instrText>
      </w:r>
      <w:r>
        <w:instrText xml:space="preserve">PAGEREF _Toc195003799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BD1607A">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"_Toc195003800" </w:instrText>
      </w:r>
      <w:r>
        <w:fldChar w:fldCharType="separate"/>
      </w:r>
      <w:r>
        <w:rPr>
          <w:rStyle w:val="47"/>
          <w:rFonts w:hint="eastAsia"/>
        </w:rPr>
        <w:t>17.4 抢（维）修设备配备</w:t>
      </w:r>
      <w:r>
        <w:rPr>
          <w:rFonts w:hint="eastAsia"/>
        </w:rPr>
        <w:tab/>
      </w:r>
      <w:r>
        <w:rPr>
          <w:rFonts w:hint="eastAsia"/>
        </w:rPr>
        <w:fldChar w:fldCharType="begin"/>
      </w:r>
      <w:r>
        <w:rPr>
          <w:rFonts w:hint="eastAsia"/>
        </w:rPr>
        <w:instrText xml:space="preserve"> </w:instrText>
      </w:r>
      <w:r>
        <w:instrText xml:space="preserve">PAGEREF _Toc195003800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4A6EDE32">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"_Toc195003801" </w:instrText>
      </w:r>
      <w:r>
        <w:fldChar w:fldCharType="separate"/>
      </w:r>
      <w:r>
        <w:rPr>
          <w:rStyle w:val="47"/>
          <w:rFonts w:hint="eastAsia"/>
        </w:rPr>
        <w:t>17.5 应急机构及配置</w:t>
      </w:r>
      <w:r>
        <w:rPr>
          <w:rFonts w:hint="eastAsia"/>
        </w:rPr>
        <w:tab/>
      </w:r>
      <w:r>
        <w:rPr>
          <w:rFonts w:hint="eastAsia"/>
        </w:rPr>
        <w:fldChar w:fldCharType="begin"/>
      </w:r>
      <w:r>
        <w:rPr>
          <w:rFonts w:hint="eastAsia"/>
        </w:rPr>
        <w:instrText xml:space="preserve"> </w:instrText>
      </w:r>
      <w:r>
        <w:instrText xml:space="preserve">PAGEREF _Toc195003801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A4EEEA5">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"_Toc195003802" </w:instrText>
      </w:r>
      <w:r>
        <w:fldChar w:fldCharType="separate"/>
      </w:r>
      <w:r>
        <w:rPr>
          <w:rStyle w:val="47"/>
          <w:rFonts w:hint="eastAsia"/>
        </w:rPr>
        <w:t>18 专项投资概算</w:t>
      </w:r>
      <w:r>
        <w:rPr>
          <w:rFonts w:hint="eastAsia"/>
        </w:rPr>
        <w:tab/>
      </w:r>
      <w:r>
        <w:rPr>
          <w:rFonts w:hint="eastAsia"/>
        </w:rPr>
        <w:fldChar w:fldCharType="begin"/>
      </w:r>
      <w:r>
        <w:rPr>
          <w:rFonts w:hint="eastAsia"/>
        </w:rPr>
        <w:instrText xml:space="preserve"> </w:instrText>
      </w:r>
      <w:r>
        <w:instrText xml:space="preserve">PAGEREF _Toc195003802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6125F88C">
      <w:pPr>
        <w:pStyle w:val="26"/>
        <w:keepNext w:val="0"/>
        <w:keepLines w:val="0"/>
        <w:pageBreakBefore w:val="0"/>
        <w:widowControl w:val="0"/>
        <w:tabs>
          <w:tab w:val="right" w:leader="dot" w:pos="9344"/>
        </w:tabs>
        <w:kinsoku/>
        <w:wordWrap/>
        <w:overflowPunct/>
        <w:topLinePunct w:val="0"/>
        <w:autoSpaceDE/>
        <w:autoSpaceDN/>
        <w:bidi w:val="0"/>
        <w:adjustRightInd w:val="0"/>
        <w:snapToGrid/>
        <w:textAlignment w:val="auto"/>
        <w:rPr>
          <w:rFonts w:hint="eastAsia" w:asciiTheme="minorHAnsi" w:hAnsiTheme="minorHAnsi" w:eastAsiaTheme="minorEastAsia" w:cstheme="minorBidi"/>
          <w:sz w:val="22"/>
          <w:szCs w:val="24"/>
          <w14:ligatures w14:val="standardContextual"/>
        </w:rPr>
      </w:pPr>
      <w:r>
        <w:fldChar w:fldCharType="begin"/>
      </w:r>
      <w:r>
        <w:instrText xml:space="preserve"> HYPERLINK \l "_Toc195003803" </w:instrText>
      </w:r>
      <w:r>
        <w:fldChar w:fldCharType="separate"/>
      </w:r>
      <w:r>
        <w:rPr>
          <w:rStyle w:val="47"/>
          <w:rFonts w:hint="eastAsia"/>
        </w:rPr>
        <w:t>19 主要结论和建议</w:t>
      </w:r>
      <w:r>
        <w:rPr>
          <w:rFonts w:hint="eastAsia"/>
        </w:rPr>
        <w:tab/>
      </w:r>
      <w:r>
        <w:rPr>
          <w:rFonts w:hint="eastAsia"/>
        </w:rPr>
        <w:fldChar w:fldCharType="begin"/>
      </w:r>
      <w:r>
        <w:rPr>
          <w:rFonts w:hint="eastAsia"/>
        </w:rPr>
        <w:instrText xml:space="preserve"> </w:instrText>
      </w:r>
      <w:r>
        <w:instrText xml:space="preserve">PAGEREF _Toc195003803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08BCED14">
      <w:pPr>
        <w:pStyle w:val="31"/>
        <w:keepNext w:val="0"/>
        <w:keepLines w:val="0"/>
        <w:pageBreakBefore w:val="0"/>
        <w:widowControl w:val="0"/>
        <w:kinsoku/>
        <w:wordWrap/>
        <w:overflowPunct/>
        <w:topLinePunct w:val="0"/>
        <w:autoSpaceDE/>
        <w:autoSpaceDN/>
        <w:bidi w:val="0"/>
        <w:adjustRightInd w:val="0"/>
        <w:snapToGrid/>
        <w:textAlignment w:val="auto"/>
        <w:rPr>
          <w:rFonts w:hint="eastAsia" w:asciiTheme="minorHAnsi" w:hAnsiTheme="minorHAnsi" w:eastAsiaTheme="minorEastAsia" w:cstheme="minorBidi"/>
          <w:sz w:val="22"/>
          <w:szCs w:val="24"/>
          <w14:ligatures w14:val="standardContextual"/>
        </w:rPr>
      </w:pPr>
      <w:r>
        <w:fldChar w:fldCharType="begin"/>
      </w:r>
      <w:r>
        <w:instrText xml:space="preserve"> HYPERLINK \l "_Toc195003804" </w:instrText>
      </w:r>
      <w:r>
        <w:fldChar w:fldCharType="separate"/>
      </w:r>
      <w:r>
        <w:rPr>
          <w:rStyle w:val="47"/>
          <w:rFonts w:hint="eastAsia"/>
        </w:rPr>
        <w:t>19.1 主要结论</w:t>
      </w:r>
      <w:r>
        <w:rPr>
          <w:rFonts w:hint="eastAsia"/>
        </w:rPr>
        <w:tab/>
      </w:r>
      <w:r>
        <w:rPr>
          <w:rFonts w:hint="eastAsia"/>
        </w:rPr>
        <w:fldChar w:fldCharType="begin"/>
      </w:r>
      <w:r>
        <w:rPr>
          <w:rFonts w:hint="eastAsia"/>
        </w:rPr>
        <w:instrText xml:space="preserve"> </w:instrText>
      </w:r>
      <w:r>
        <w:instrText xml:space="preserve">PAGEREF _Toc195003804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52DFC00D">
      <w:pPr>
        <w:pStyle w:val="31"/>
        <w:keepNext w:val="0"/>
        <w:keepLines w:val="0"/>
        <w:pageBreakBefore w:val="0"/>
        <w:widowControl w:val="0"/>
        <w:kinsoku/>
        <w:wordWrap/>
        <w:overflowPunct/>
        <w:topLinePunct w:val="0"/>
        <w:autoSpaceDE/>
        <w:autoSpaceDN/>
        <w:bidi w:val="0"/>
        <w:adjustRightInd w:val="0"/>
        <w:snapToGrid/>
        <w:textAlignment w:val="auto"/>
        <w:rPr>
          <w:rFonts w:hint="eastAsia" w:asciiTheme="minorHAnsi" w:hAnsiTheme="minorHAnsi" w:eastAsiaTheme="minorEastAsia" w:cstheme="minorBidi"/>
          <w:sz w:val="22"/>
          <w:szCs w:val="24"/>
          <w14:ligatures w14:val="standardContextual"/>
        </w:rPr>
      </w:pPr>
      <w:r>
        <w:fldChar w:fldCharType="begin"/>
      </w:r>
      <w:r>
        <w:instrText xml:space="preserve"> HYPERLINK \l "_Toc195003805" </w:instrText>
      </w:r>
      <w:r>
        <w:fldChar w:fldCharType="separate"/>
      </w:r>
      <w:r>
        <w:rPr>
          <w:rStyle w:val="47"/>
          <w:rFonts w:hint="eastAsia"/>
        </w:rPr>
        <w:t>19.2 主要建议</w:t>
      </w:r>
      <w:r>
        <w:rPr>
          <w:rFonts w:hint="eastAsia"/>
        </w:rPr>
        <w:tab/>
      </w:r>
      <w:r>
        <w:rPr>
          <w:rFonts w:hint="eastAsia"/>
        </w:rPr>
        <w:fldChar w:fldCharType="begin"/>
      </w:r>
      <w:r>
        <w:rPr>
          <w:rFonts w:hint="eastAsia"/>
        </w:rPr>
        <w:instrText xml:space="preserve"> </w:instrText>
      </w:r>
      <w:r>
        <w:instrText xml:space="preserve">PAGEREF _Toc195003805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6CD79DDE">
      <w:pPr>
        <w:pStyle w:val="26"/>
        <w:keepNext w:val="0"/>
        <w:keepLines w:val="0"/>
        <w:pageBreakBefore w:val="0"/>
        <w:widowControl w:val="0"/>
        <w:tabs>
          <w:tab w:val="right" w:leader="dot" w:pos="9344"/>
        </w:tabs>
        <w:kinsoku/>
        <w:wordWrap/>
        <w:overflowPunct/>
        <w:topLinePunct w:val="0"/>
        <w:autoSpaceDE/>
        <w:autoSpaceDN/>
        <w:bidi w:val="0"/>
        <w:adjustRightInd w:val="0"/>
        <w:snapToGrid/>
        <w:textAlignment w:val="auto"/>
        <w:rPr>
          <w:rFonts w:hint="eastAsia" w:asciiTheme="minorHAnsi" w:hAnsiTheme="minorHAnsi" w:eastAsiaTheme="minorEastAsia" w:cstheme="minorBidi"/>
          <w:sz w:val="22"/>
          <w:szCs w:val="24"/>
          <w14:ligatures w14:val="standardContextual"/>
        </w:rPr>
      </w:pPr>
      <w:r>
        <w:fldChar w:fldCharType="begin"/>
      </w:r>
      <w:r>
        <w:instrText xml:space="preserve"> HYPERLINK \l "_Toc195003806" </w:instrText>
      </w:r>
      <w:r>
        <w:fldChar w:fldCharType="separate"/>
      </w:r>
      <w:r>
        <w:rPr>
          <w:rStyle w:val="47"/>
          <w:rFonts w:hint="eastAsia"/>
        </w:rPr>
        <w:t>20 格式要求</w:t>
      </w:r>
      <w:r>
        <w:rPr>
          <w:rFonts w:hint="eastAsia"/>
        </w:rPr>
        <w:tab/>
      </w:r>
      <w:r>
        <w:rPr>
          <w:rFonts w:hint="eastAsia"/>
        </w:rPr>
        <w:fldChar w:fldCharType="begin"/>
      </w:r>
      <w:r>
        <w:rPr>
          <w:rFonts w:hint="eastAsia"/>
        </w:rPr>
        <w:instrText xml:space="preserve"> </w:instrText>
      </w:r>
      <w:r>
        <w:instrText xml:space="preserve">PAGEREF _Toc195003806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26D0441D">
      <w:pPr>
        <w:pStyle w:val="31"/>
        <w:keepNext w:val="0"/>
        <w:keepLines w:val="0"/>
        <w:pageBreakBefore w:val="0"/>
        <w:widowControl w:val="0"/>
        <w:kinsoku/>
        <w:wordWrap/>
        <w:overflowPunct/>
        <w:topLinePunct w:val="0"/>
        <w:autoSpaceDE/>
        <w:autoSpaceDN/>
        <w:bidi w:val="0"/>
        <w:adjustRightInd w:val="0"/>
        <w:snapToGrid/>
        <w:textAlignment w:val="auto"/>
        <w:rPr>
          <w:rFonts w:hint="eastAsia" w:asciiTheme="minorHAnsi" w:hAnsiTheme="minorHAnsi" w:eastAsiaTheme="minorEastAsia" w:cstheme="minorBidi"/>
          <w:sz w:val="22"/>
          <w:szCs w:val="24"/>
          <w14:ligatures w14:val="standardContextual"/>
        </w:rPr>
      </w:pPr>
      <w:r>
        <w:fldChar w:fldCharType="begin"/>
      </w:r>
      <w:r>
        <w:instrText xml:space="preserve"> HYPERLINK \l "_Toc195003807" </w:instrText>
      </w:r>
      <w:r>
        <w:fldChar w:fldCharType="separate"/>
      </w:r>
      <w:r>
        <w:rPr>
          <w:rStyle w:val="47"/>
          <w:rFonts w:hint="eastAsia"/>
        </w:rPr>
        <w:t>20.1 结构</w:t>
      </w:r>
      <w:r>
        <w:rPr>
          <w:rFonts w:hint="eastAsia"/>
        </w:rPr>
        <w:tab/>
      </w:r>
      <w:r>
        <w:rPr>
          <w:rFonts w:hint="eastAsia"/>
        </w:rPr>
        <w:fldChar w:fldCharType="begin"/>
      </w:r>
      <w:r>
        <w:rPr>
          <w:rFonts w:hint="eastAsia"/>
        </w:rPr>
        <w:instrText xml:space="preserve"> </w:instrText>
      </w:r>
      <w:r>
        <w:instrText xml:space="preserve">PAGEREF _Toc195003807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1ED1C6C2">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"_Toc195003808" </w:instrText>
      </w:r>
      <w:r>
        <w:fldChar w:fldCharType="separate"/>
      </w:r>
      <w:r>
        <w:rPr>
          <w:rStyle w:val="47"/>
          <w:rFonts w:hint="eastAsia"/>
        </w:rPr>
        <w:t>20.2 纸张、排版</w:t>
      </w:r>
      <w:r>
        <w:rPr>
          <w:rFonts w:hint="eastAsia"/>
        </w:rPr>
        <w:tab/>
      </w:r>
      <w:r>
        <w:rPr>
          <w:rFonts w:hint="eastAsia"/>
        </w:rPr>
        <w:fldChar w:fldCharType="begin"/>
      </w:r>
      <w:r>
        <w:rPr>
          <w:rFonts w:hint="eastAsia"/>
        </w:rPr>
        <w:instrText xml:space="preserve"> </w:instrText>
      </w:r>
      <w:r>
        <w:instrText xml:space="preserve">PAGEREF _Toc195003808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70C2B91F">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"_Toc195003809" </w:instrText>
      </w:r>
      <w:r>
        <w:fldChar w:fldCharType="separate"/>
      </w:r>
      <w:r>
        <w:rPr>
          <w:rStyle w:val="47"/>
          <w:rFonts w:hint="eastAsia"/>
        </w:rPr>
        <w:t>20.3 印刷</w:t>
      </w:r>
      <w:r>
        <w:rPr>
          <w:rFonts w:hint="eastAsia"/>
        </w:rPr>
        <w:tab/>
      </w:r>
      <w:r>
        <w:rPr>
          <w:rFonts w:hint="eastAsia"/>
        </w:rPr>
        <w:fldChar w:fldCharType="begin"/>
      </w:r>
      <w:r>
        <w:rPr>
          <w:rFonts w:hint="eastAsia"/>
        </w:rPr>
        <w:instrText xml:space="preserve"> </w:instrText>
      </w:r>
      <w:r>
        <w:instrText xml:space="preserve">PAGEREF _Toc195003809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7944C063">
      <w:pPr>
        <w:pStyle w:val="31"/>
        <w:rPr>
          <w:rFonts w:hint="eastAsia" w:asciiTheme="minorHAnsi" w:hAnsiTheme="minorHAnsi" w:eastAsiaTheme="minorEastAsia" w:cstheme="minorBidi"/>
          <w:sz w:val="22"/>
          <w:szCs w:val="24"/>
          <w14:ligatures w14:val="standardContextual"/>
        </w:rPr>
      </w:pPr>
      <w:r>
        <w:fldChar w:fldCharType="begin"/>
      </w:r>
      <w:r>
        <w:instrText xml:space="preserve"> HYPERLINK \l "_Toc195003810" </w:instrText>
      </w:r>
      <w:r>
        <w:fldChar w:fldCharType="separate"/>
      </w:r>
      <w:r>
        <w:rPr>
          <w:rStyle w:val="47"/>
          <w:rFonts w:hint="eastAsia"/>
        </w:rPr>
        <w:t>20.4 封装</w:t>
      </w:r>
      <w:r>
        <w:rPr>
          <w:rFonts w:hint="eastAsia"/>
        </w:rPr>
        <w:tab/>
      </w:r>
      <w:r>
        <w:rPr>
          <w:rFonts w:hint="eastAsia"/>
        </w:rPr>
        <w:fldChar w:fldCharType="begin"/>
      </w:r>
      <w:r>
        <w:rPr>
          <w:rFonts w:hint="eastAsia"/>
        </w:rPr>
        <w:instrText xml:space="preserve"> </w:instrText>
      </w:r>
      <w:r>
        <w:instrText xml:space="preserve">PAGEREF _Toc195003810 \h</w:instrText>
      </w:r>
      <w:r>
        <w:rPr>
          <w:rFonts w:hint="eastAsia"/>
        </w:rPr>
        <w:instrText xml:space="preserve"> </w:instrText>
      </w:r>
      <w:r>
        <w:rPr>
          <w:rFonts w:hint="eastAsia"/>
        </w:rPr>
        <w:fldChar w:fldCharType="separate"/>
      </w:r>
      <w:r>
        <w:t>16</w:t>
      </w:r>
      <w:r>
        <w:rPr>
          <w:rFonts w:hint="eastAsia"/>
        </w:rPr>
        <w:fldChar w:fldCharType="end"/>
      </w:r>
      <w:r>
        <w:rPr>
          <w:rFonts w:hint="eastAsia"/>
        </w:rPr>
        <w:fldChar w:fldCharType="end"/>
      </w:r>
    </w:p>
    <w:p w14:paraId="5D9585FB">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"_Toc195003811" </w:instrText>
      </w:r>
      <w:r>
        <w:fldChar w:fldCharType="separate"/>
      </w:r>
      <w:r>
        <w:rPr>
          <w:rStyle w:val="47"/>
          <w:rFonts w:hint="eastAsia"/>
          <w:spacing w:val="100"/>
        </w:rPr>
        <w:t>附录A</w:t>
      </w:r>
      <w:r>
        <w:rPr>
          <w:rStyle w:val="47"/>
          <w:rFonts w:hint="eastAsia"/>
        </w:rPr>
        <w:t xml:space="preserve"> （资料性） 安全设施分类</w:t>
      </w:r>
      <w:r>
        <w:rPr>
          <w:rFonts w:hint="eastAsia"/>
        </w:rPr>
        <w:tab/>
      </w:r>
      <w:r>
        <w:rPr>
          <w:rFonts w:hint="eastAsia"/>
        </w:rPr>
        <w:fldChar w:fldCharType="begin"/>
      </w:r>
      <w:r>
        <w:rPr>
          <w:rFonts w:hint="eastAsia"/>
        </w:rPr>
        <w:instrText xml:space="preserve"> </w:instrText>
      </w:r>
      <w:r>
        <w:instrText xml:space="preserve">PAGEREF _Toc195003811 \h</w:instrText>
      </w:r>
      <w:r>
        <w:rPr>
          <w:rFonts w:hint="eastAsia"/>
        </w:rPr>
        <w:instrText xml:space="preserve"> </w:instrText>
      </w:r>
      <w:r>
        <w:rPr>
          <w:rFonts w:hint="eastAsia"/>
        </w:rPr>
        <w:fldChar w:fldCharType="separate"/>
      </w:r>
      <w:r>
        <w:t>17</w:t>
      </w:r>
      <w:r>
        <w:rPr>
          <w:rFonts w:hint="eastAsia"/>
        </w:rPr>
        <w:fldChar w:fldCharType="end"/>
      </w:r>
      <w:r>
        <w:rPr>
          <w:rFonts w:hint="eastAsia"/>
        </w:rPr>
        <w:fldChar w:fldCharType="end"/>
      </w:r>
    </w:p>
    <w:p w14:paraId="4C41DD4D">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"_Toc195003815" </w:instrText>
      </w:r>
      <w:r>
        <w:fldChar w:fldCharType="separate"/>
      </w:r>
      <w:r>
        <w:rPr>
          <w:rStyle w:val="47"/>
          <w:rFonts w:hint="eastAsia"/>
          <w:spacing w:val="100"/>
        </w:rPr>
        <w:t>附录B</w:t>
      </w:r>
      <w:r>
        <w:rPr>
          <w:rStyle w:val="47"/>
          <w:rFonts w:hint="eastAsia"/>
        </w:rPr>
        <w:t xml:space="preserve"> （规范性） 附表</w:t>
      </w:r>
      <w:r>
        <w:rPr>
          <w:rFonts w:hint="eastAsia"/>
        </w:rPr>
        <w:tab/>
      </w:r>
      <w:r>
        <w:rPr>
          <w:rFonts w:hint="eastAsia"/>
        </w:rPr>
        <w:fldChar w:fldCharType="begin"/>
      </w:r>
      <w:r>
        <w:rPr>
          <w:rFonts w:hint="eastAsia"/>
        </w:rPr>
        <w:instrText xml:space="preserve"> </w:instrText>
      </w:r>
      <w:r>
        <w:instrText xml:space="preserve">PAGEREF _Toc195003815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5D3BB20">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"_Toc195003816" </w:instrText>
      </w:r>
      <w:r>
        <w:fldChar w:fldCharType="separate"/>
      </w:r>
      <w:r>
        <w:rPr>
          <w:rStyle w:val="47"/>
          <w:rFonts w:hint="eastAsia"/>
          <w:spacing w:val="100"/>
        </w:rPr>
        <w:t>附录C</w:t>
      </w:r>
      <w:r>
        <w:rPr>
          <w:rStyle w:val="47"/>
          <w:rFonts w:hint="eastAsia"/>
        </w:rPr>
        <w:t xml:space="preserve"> （规范性） 安全设施设计封面格式</w:t>
      </w:r>
      <w:r>
        <w:rPr>
          <w:rFonts w:hint="eastAsia"/>
        </w:rPr>
        <w:tab/>
      </w:r>
      <w:r>
        <w:rPr>
          <w:rFonts w:hint="eastAsia"/>
        </w:rPr>
        <w:fldChar w:fldCharType="begin"/>
      </w:r>
      <w:r>
        <w:rPr>
          <w:rFonts w:hint="eastAsia"/>
        </w:rPr>
        <w:instrText xml:space="preserve"> </w:instrText>
      </w:r>
      <w:r>
        <w:instrText xml:space="preserve">PAGEREF _Toc195003816 \h</w:instrText>
      </w:r>
      <w:r>
        <w:rPr>
          <w:rFonts w:hint="eastAsia"/>
        </w:rPr>
        <w:instrText xml:space="preserve"> </w:instrText>
      </w:r>
      <w:r>
        <w:rPr>
          <w:rFonts w:hint="eastAsia"/>
        </w:rPr>
        <w:fldChar w:fldCharType="separate"/>
      </w:r>
      <w:r>
        <w:t>26</w:t>
      </w:r>
      <w:r>
        <w:rPr>
          <w:rFonts w:hint="eastAsia"/>
        </w:rPr>
        <w:fldChar w:fldCharType="end"/>
      </w:r>
      <w:r>
        <w:rPr>
          <w:rFonts w:hint="eastAsia"/>
        </w:rPr>
        <w:fldChar w:fldCharType="end"/>
      </w:r>
    </w:p>
    <w:p w14:paraId="76BE8088">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"_Toc195003817" </w:instrText>
      </w:r>
      <w:r>
        <w:fldChar w:fldCharType="separate"/>
      </w:r>
      <w:r>
        <w:rPr>
          <w:rStyle w:val="47"/>
          <w:rFonts w:hint="eastAsia"/>
          <w:spacing w:val="100"/>
        </w:rPr>
        <w:t>附录D</w:t>
      </w:r>
      <w:r>
        <w:rPr>
          <w:rStyle w:val="47"/>
          <w:rFonts w:hint="eastAsia"/>
        </w:rPr>
        <w:t xml:space="preserve"> （规范性） </w:t>
      </w:r>
      <w:r>
        <w:rPr>
          <w:rStyle w:val="47"/>
          <w:rFonts w:hint="eastAsia" w:hAnsi="黑体"/>
        </w:rPr>
        <w:t>安全设施设计扉页(著录项）格式</w:t>
      </w:r>
      <w:r>
        <w:rPr>
          <w:rFonts w:hint="eastAsia"/>
        </w:rPr>
        <w:tab/>
      </w:r>
      <w:r>
        <w:rPr>
          <w:rFonts w:hint="eastAsia"/>
        </w:rPr>
        <w:fldChar w:fldCharType="begin"/>
      </w:r>
      <w:r>
        <w:rPr>
          <w:rFonts w:hint="eastAsia"/>
        </w:rPr>
        <w:instrText xml:space="preserve"> </w:instrText>
      </w:r>
      <w:r>
        <w:instrText xml:space="preserve">PAGEREF _Toc195003817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0555CD4F">
      <w:pPr>
        <w:pStyle w:val="26"/>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"_Toc195003818" </w:instrText>
      </w:r>
      <w:r>
        <w:fldChar w:fldCharType="separate"/>
      </w:r>
      <w:r>
        <w:rPr>
          <w:rStyle w:val="47"/>
          <w:rFonts w:hint="eastAsia"/>
          <w:spacing w:val="100"/>
        </w:rPr>
        <w:t>附录E</w:t>
      </w:r>
      <w:r>
        <w:rPr>
          <w:rStyle w:val="47"/>
          <w:rFonts w:hint="eastAsia"/>
        </w:rPr>
        <w:t xml:space="preserve"> （规范性） 安全设施设计校审人员名单格式</w:t>
      </w:r>
      <w:r>
        <w:rPr>
          <w:rFonts w:hint="eastAsia"/>
        </w:rPr>
        <w:tab/>
      </w:r>
      <w:r>
        <w:rPr>
          <w:rFonts w:hint="eastAsia"/>
        </w:rPr>
        <w:fldChar w:fldCharType="begin"/>
      </w:r>
      <w:r>
        <w:rPr>
          <w:rFonts w:hint="eastAsia"/>
        </w:rPr>
        <w:instrText xml:space="preserve"> </w:instrText>
      </w:r>
      <w:r>
        <w:instrText xml:space="preserve">PAGEREF _Toc195003818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0B2F97AF">
      <w:pPr>
        <w:pStyle w:val="111"/>
        <w:spacing w:after="360"/>
        <w:sectPr>
          <w:headerReference r:id="rId8" w:type="default"/>
          <w:footerReference r:id="rId10" w:type="default"/>
          <w:headerReference r:id="rId9" w:type="even"/>
          <w:footerReference r:id="rId11"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5"/>
    <w:p w14:paraId="74F668D2">
      <w:pPr>
        <w:pStyle w:val="109"/>
        <w:spacing w:before="560" w:after="360"/>
      </w:pPr>
      <w:bookmarkStart w:id="16" w:name="_Toc195003725"/>
      <w:bookmarkStart w:id="17" w:name="BookMark2"/>
      <w:r>
        <w:rPr>
          <w:spacing w:val="320"/>
        </w:rPr>
        <w:t>前</w:t>
      </w:r>
      <w:r>
        <w:t>言</w:t>
      </w:r>
      <w:bookmarkEnd w:id="16"/>
    </w:p>
    <w:p w14:paraId="2C203B3F">
      <w:pPr>
        <w:pStyle w:val="76"/>
        <w:ind w:firstLine="420"/>
        <w:rPr>
          <w:rFonts w:hint="eastAsia" w:ascii="黑体" w:hAnsi="黑体" w:eastAsia="黑体"/>
        </w:rPr>
      </w:pPr>
      <w:bookmarkStart w:id="18" w:name="OLE_LINK1"/>
      <w:r>
        <w:rPr>
          <w:rFonts w:hint="eastAsia" w:ascii="黑体" w:hAnsi="黑体" w:eastAsia="黑体"/>
        </w:rPr>
        <w:t>本文件的全部技术内容为强制性。</w:t>
      </w:r>
    </w:p>
    <w:p w14:paraId="6B8DBC92">
      <w:pPr>
        <w:pStyle w:val="76"/>
        <w:ind w:firstLine="420"/>
      </w:pPr>
      <w:r>
        <w:rPr>
          <w:rFonts w:hint="eastAsia"/>
        </w:rPr>
        <w:t>本文件按照GB/T 1.1—2020《标准化工作导则  第1部分：标准化文件的结构和起草规则》的规定起草。</w:t>
      </w:r>
    </w:p>
    <w:p w14:paraId="37882154">
      <w:pPr>
        <w:pStyle w:val="76"/>
        <w:ind w:firstLine="420"/>
      </w:pPr>
      <w:r>
        <w:rPr>
          <w:rFonts w:hint="eastAsia"/>
        </w:rPr>
        <w:t>请注意本文件的某些内容可能涉及专利。本文件的发布机构不承担识别这些专利的责任。</w:t>
      </w:r>
    </w:p>
    <w:p w14:paraId="7C7369C1">
      <w:pPr>
        <w:pStyle w:val="76"/>
        <w:ind w:firstLine="420"/>
      </w:pPr>
      <w:r>
        <w:rPr>
          <w:rFonts w:hint="eastAsia"/>
        </w:rPr>
        <w:t>本文件由中华人民共和国应急管理部提出,危险化学品安全监督管理二司业务管理、政策法规司统筹管理。</w:t>
      </w:r>
    </w:p>
    <w:p w14:paraId="72AD13EF">
      <w:pPr>
        <w:pStyle w:val="76"/>
        <w:ind w:firstLine="420"/>
      </w:pPr>
      <w:r>
        <w:rPr>
          <w:rFonts w:hint="eastAsia"/>
        </w:rPr>
        <w:t>本文件由全国安全生产标准化技术委员会石油天然气开采安全分技术委员会(SAC/TC 288/SC 10)技术归口及咨询。</w:t>
      </w:r>
    </w:p>
    <w:p w14:paraId="74E2BDB8">
      <w:pPr>
        <w:pStyle w:val="251"/>
      </w:pPr>
      <w:r>
        <w:rPr>
          <w:rFonts w:hint="eastAsia"/>
        </w:rPr>
        <w:t>本文件起草单位：</w:t>
      </w:r>
      <w:r>
        <w:rPr>
          <w:rFonts w:ascii="Times New Roman"/>
        </w:rPr>
        <w:t>XXX</w:t>
      </w:r>
    </w:p>
    <w:p w14:paraId="39952C76">
      <w:pPr>
        <w:pStyle w:val="251"/>
      </w:pPr>
      <w:r>
        <w:rPr>
          <w:rFonts w:hint="eastAsia"/>
        </w:rPr>
        <w:t>本文件主要起草人：</w:t>
      </w:r>
      <w:r>
        <w:rPr>
          <w:rFonts w:ascii="Times New Roman"/>
        </w:rPr>
        <w:t>XXX</w:t>
      </w:r>
    </w:p>
    <w:p w14:paraId="19C67930">
      <w:pPr>
        <w:pStyle w:val="251"/>
        <w:rPr>
          <w:rFonts w:hint="eastAsia"/>
        </w:rPr>
      </w:pPr>
      <w:r>
        <w:rPr>
          <w:rFonts w:hint="eastAsia"/>
        </w:rPr>
        <w:t>本文件为首次发布。</w:t>
      </w:r>
      <w:bookmarkEnd w:id="18"/>
    </w:p>
    <w:p w14:paraId="2AD78502">
      <w:pPr>
        <w:rPr>
          <w:rFonts w:hint="eastAsia"/>
        </w:rPr>
        <w:sectPr>
          <w:headerReference r:id="rId12" w:type="default"/>
          <w:footerReference r:id="rId14" w:type="default"/>
          <w:headerReference r:id="rId13" w:type="even"/>
          <w:footerReference r:id="rId15" w:type="even"/>
          <w:pgSz w:w="11906" w:h="16838"/>
          <w:pgMar w:top="1928" w:right="1134" w:bottom="1134" w:left="1134" w:header="1418" w:footer="1134" w:gutter="284"/>
          <w:pgNumType w:fmt="upperRoman"/>
          <w:cols w:space="425" w:num="1"/>
          <w:formProt w:val="0"/>
          <w:docGrid w:linePitch="312" w:charSpace="0"/>
        </w:sectPr>
      </w:pPr>
      <w:r>
        <w:rPr>
          <w:rFonts w:hint="eastAsia"/>
        </w:rPr>
        <w:br w:type="page"/>
      </w:r>
    </w:p>
    <w:bookmarkEnd w:id="17"/>
    <w:p w14:paraId="6EC142C1">
      <w:pPr>
        <w:spacing w:line="20" w:lineRule="exact"/>
        <w:jc w:val="center"/>
        <w:rPr>
          <w:rFonts w:hint="eastAsia" w:ascii="黑体" w:hAnsi="黑体" w:eastAsia="黑体"/>
          <w:sz w:val="32"/>
          <w:szCs w:val="32"/>
        </w:rPr>
      </w:pPr>
      <w:bookmarkStart w:id="19" w:name="BookMark4"/>
    </w:p>
    <w:p w14:paraId="072ACEF1">
      <w:pPr>
        <w:spacing w:line="20" w:lineRule="exact"/>
        <w:jc w:val="center"/>
        <w:rPr>
          <w:rFonts w:hint="eastAsia" w:ascii="黑体" w:hAnsi="黑体" w:eastAsia="黑体"/>
          <w:sz w:val="32"/>
          <w:szCs w:val="32"/>
        </w:rPr>
      </w:pPr>
    </w:p>
    <w:sdt>
      <w:sdtPr>
        <w:tag w:val="NEW_STAND_NAME"/>
        <w:id w:val="595910757"/>
        <w:lock w:val="sdtLocked"/>
        <w:placeholder>
          <w:docPart w:val="B60D349DF74442B18583560B16BCC588"/>
        </w:placeholder>
      </w:sdtPr>
      <w:sdtContent>
        <w:p w14:paraId="1051AB87">
          <w:pPr>
            <w:pStyle w:val="197"/>
            <w:spacing w:before="240" w:beforeLines="100" w:after="2" w:afterLines="1"/>
            <w:rPr>
              <w:rFonts w:hint="eastAsia"/>
            </w:rPr>
          </w:pPr>
          <w:bookmarkStart w:id="20" w:name="NEW_STAND_NAME"/>
          <w:r>
            <w:rPr>
              <w:rFonts w:hint="eastAsia" w:cs="黑体"/>
              <w:color w:val="000000" w:themeColor="text1"/>
              <w14:textFill>
                <w14:solidFill>
                  <w14:schemeClr w14:val="tx1"/>
                </w14:solidFill>
              </w14:textFill>
            </w:rPr>
            <w:t>陆上石油天然气开采建设项目（地面工程）</w:t>
          </w:r>
        </w:p>
        <w:p w14:paraId="282E0175">
          <w:pPr>
            <w:pStyle w:val="197"/>
            <w:spacing w:before="2" w:beforeLines="1" w:after="680"/>
            <w:rPr>
              <w:rFonts w:hint="eastAsia"/>
            </w:rPr>
          </w:pPr>
          <w:r>
            <w:rPr>
              <w:rFonts w:hint="eastAsia"/>
            </w:rPr>
            <w:t>安全设施设计导则</w:t>
          </w:r>
        </w:p>
      </w:sdtContent>
    </w:sdt>
    <w:bookmarkEnd w:id="20"/>
    <w:p w14:paraId="07FAADD0">
      <w:pPr>
        <w:pStyle w:val="124"/>
        <w:spacing w:before="240" w:after="240"/>
      </w:pPr>
      <w:bookmarkStart w:id="21" w:name="_Toc26718930"/>
      <w:bookmarkStart w:id="22" w:name="_Toc26986530"/>
      <w:bookmarkStart w:id="23" w:name="_Toc17233333"/>
      <w:bookmarkStart w:id="24" w:name="_Toc195003726"/>
      <w:bookmarkStart w:id="25" w:name="_Toc24884211"/>
      <w:bookmarkStart w:id="26" w:name="_Toc26986771"/>
      <w:bookmarkStart w:id="27" w:name="_Toc17233325"/>
      <w:bookmarkStart w:id="28" w:name="_Toc24884218"/>
      <w:bookmarkStart w:id="29" w:name="_Toc97195091"/>
      <w:bookmarkStart w:id="30" w:name="_Toc26648465"/>
      <w:r>
        <w:rPr>
          <w:rFonts w:hint="eastAsia"/>
        </w:rPr>
        <w:t>范围</w:t>
      </w:r>
      <w:bookmarkEnd w:id="21"/>
      <w:bookmarkEnd w:id="22"/>
      <w:bookmarkEnd w:id="23"/>
      <w:bookmarkEnd w:id="24"/>
      <w:bookmarkEnd w:id="25"/>
      <w:bookmarkEnd w:id="26"/>
      <w:bookmarkEnd w:id="27"/>
      <w:bookmarkEnd w:id="28"/>
      <w:bookmarkEnd w:id="29"/>
      <w:bookmarkEnd w:id="30"/>
    </w:p>
    <w:p w14:paraId="36EAC2E7">
      <w:pPr>
        <w:pStyle w:val="76"/>
        <w:ind w:firstLine="420"/>
      </w:pPr>
      <w:bookmarkStart w:id="31" w:name="_Toc17233334"/>
      <w:bookmarkStart w:id="32" w:name="_Toc26648466"/>
      <w:bookmarkStart w:id="33" w:name="_Toc17233326"/>
      <w:bookmarkStart w:id="34" w:name="_Toc24884219"/>
      <w:bookmarkStart w:id="35" w:name="_Toc24884212"/>
      <w:r>
        <w:rPr>
          <w:rFonts w:hint="eastAsia"/>
        </w:rPr>
        <w:t>本文件规定了陆上石油天然气开采地面工程建设项目初步设计阶段安全设施设计的设计依据、项目概述、主要防护技术措施等内容及编制要求。</w:t>
      </w:r>
    </w:p>
    <w:p w14:paraId="6743F68D">
      <w:pPr>
        <w:pStyle w:val="76"/>
        <w:ind w:firstLine="420"/>
      </w:pPr>
      <w:r>
        <w:rPr>
          <w:rFonts w:hint="eastAsia"/>
        </w:rPr>
        <w:t>本文件适用于陆上油气田地面工程新建、改建、扩建项目安全设施设计的编写，滩海陆岸油气田地面工程参照执行。</w:t>
      </w:r>
    </w:p>
    <w:p w14:paraId="355668DF">
      <w:pPr>
        <w:pStyle w:val="76"/>
        <w:ind w:firstLine="420"/>
      </w:pPr>
      <w:r>
        <w:rPr>
          <w:rFonts w:hint="eastAsia"/>
        </w:rPr>
        <w:t>本文件不适用于油气田开发钻完井工程以及单独立项的天然气处理厂工程。</w:t>
      </w:r>
    </w:p>
    <w:p w14:paraId="4F021132">
      <w:pPr>
        <w:pStyle w:val="124"/>
        <w:spacing w:before="240" w:after="240"/>
      </w:pPr>
      <w:bookmarkStart w:id="36" w:name="_Toc26986772"/>
      <w:bookmarkStart w:id="37" w:name="_Toc195003727"/>
      <w:bookmarkStart w:id="38" w:name="_Toc26986531"/>
      <w:bookmarkStart w:id="39" w:name="_Toc97195092"/>
      <w:bookmarkStart w:id="40" w:name="_Toc26718931"/>
      <w:r>
        <w:rPr>
          <w:rFonts w:hint="eastAsia"/>
        </w:rPr>
        <w:t>规范性引用文件</w:t>
      </w:r>
      <w:bookmarkEnd w:id="31"/>
      <w:bookmarkEnd w:id="32"/>
      <w:bookmarkEnd w:id="33"/>
      <w:bookmarkEnd w:id="34"/>
      <w:bookmarkEnd w:id="35"/>
      <w:bookmarkEnd w:id="36"/>
      <w:bookmarkEnd w:id="37"/>
      <w:bookmarkEnd w:id="38"/>
      <w:bookmarkEnd w:id="39"/>
      <w:bookmarkEnd w:id="40"/>
    </w:p>
    <w:sdt>
      <w:sdtPr>
        <w:rPr>
          <w:rFonts w:hint="eastAsia"/>
        </w:rPr>
        <w:id w:val="715848253"/>
        <w:placeholder>
          <w:docPart w:val="516340E3109541F48E7FEDD9B266CF0D"/>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1D5A915E">
          <w:pPr>
            <w:pStyle w:val="7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68793B2">
      <w:pPr>
        <w:pStyle w:val="251"/>
        <w:rPr>
          <w:rFonts w:ascii="Times New Roman"/>
          <w:color w:val="000000" w:themeColor="text1"/>
          <w:lang w:bidi="ar"/>
          <w14:textFill>
            <w14:solidFill>
              <w14:schemeClr w14:val="tx1"/>
            </w14:solidFill>
          </w14:textFill>
        </w:rPr>
      </w:pPr>
      <w:bookmarkStart w:id="41" w:name="_Hlk193798849"/>
      <w:bookmarkStart w:id="42" w:name="_Toc97195093"/>
      <w:r>
        <w:rPr>
          <w:rFonts w:ascii="Times New Roman"/>
          <w:color w:val="000000" w:themeColor="text1"/>
          <w:lang w:bidi="ar"/>
          <w14:textFill>
            <w14:solidFill>
              <w14:schemeClr w14:val="tx1"/>
            </w14:solidFill>
          </w14:textFill>
        </w:rPr>
        <w:t xml:space="preserve">GB/T 150 </w:t>
      </w:r>
      <w:r>
        <w:rPr>
          <w:rFonts w:hint="eastAsia" w:ascii="Times New Roman"/>
          <w:color w:val="000000" w:themeColor="text1"/>
          <w:lang w:bidi="ar"/>
          <w14:textFill>
            <w14:solidFill>
              <w14:schemeClr w14:val="tx1"/>
            </w14:solidFill>
          </w14:textFill>
        </w:rPr>
        <w:t xml:space="preserve"> </w:t>
      </w:r>
      <w:r>
        <w:rPr>
          <w:rFonts w:ascii="Times New Roman"/>
          <w:color w:val="000000" w:themeColor="text1"/>
          <w:lang w:bidi="ar"/>
          <w14:textFill>
            <w14:solidFill>
              <w14:schemeClr w14:val="tx1"/>
            </w14:solidFill>
          </w14:textFill>
        </w:rPr>
        <w:t>压力容器</w:t>
      </w:r>
    </w:p>
    <w:p w14:paraId="0A39F79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GB/T</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21109</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过程工业领域安全仪表系统的功能安全</w:t>
      </w:r>
    </w:p>
    <w:p w14:paraId="6CDD4E13">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GB/T </w:t>
      </w:r>
      <w:r>
        <w:rPr>
          <w:rFonts w:ascii="Times New Roman"/>
          <w:color w:val="000000" w:themeColor="text1"/>
          <w:szCs w:val="22"/>
          <w14:textFill>
            <w14:solidFill>
              <w14:schemeClr w14:val="tx1"/>
            </w14:solidFill>
          </w14:textFill>
        </w:rPr>
        <w:t xml:space="preserve">21447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钢质管道外腐蚀控制规范</w:t>
      </w:r>
    </w:p>
    <w:p w14:paraId="01091B67">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GB/T </w:t>
      </w:r>
      <w:r>
        <w:rPr>
          <w:rFonts w:ascii="Times New Roman"/>
          <w:color w:val="000000" w:themeColor="text1"/>
          <w:szCs w:val="22"/>
          <w14:textFill>
            <w14:solidFill>
              <w14:schemeClr w14:val="tx1"/>
            </w14:solidFill>
          </w14:textFill>
        </w:rPr>
        <w:t xml:space="preserve">21448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埋地钢质管道阴极保护技术规范</w:t>
      </w:r>
    </w:p>
    <w:p w14:paraId="556CF27E">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GB/T </w:t>
      </w:r>
      <w:r>
        <w:rPr>
          <w:rFonts w:ascii="Times New Roman"/>
          <w:color w:val="000000" w:themeColor="text1"/>
          <w:szCs w:val="22"/>
          <w14:textFill>
            <w14:solidFill>
              <w14:schemeClr w14:val="tx1"/>
            </w14:solidFill>
          </w14:textFill>
        </w:rPr>
        <w:t xml:space="preserve">23257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埋地钢质管道聚乙烯防腐层</w:t>
      </w:r>
    </w:p>
    <w:p w14:paraId="4F9FAED4">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GB/T </w:t>
      </w:r>
      <w:r>
        <w:rPr>
          <w:rFonts w:ascii="Times New Roman"/>
          <w:color w:val="000000" w:themeColor="text1"/>
          <w:szCs w:val="22"/>
          <w14:textFill>
            <w14:solidFill>
              <w14:schemeClr w14:val="tx1"/>
            </w14:solidFill>
          </w14:textFill>
        </w:rPr>
        <w:t xml:space="preserve">23258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hd w:val="clear" w:color="auto" w:fill="FFFFFF"/>
          <w14:textFill>
            <w14:solidFill>
              <w14:schemeClr w14:val="tx1"/>
            </w14:solidFill>
          </w14:textFill>
        </w:rPr>
        <w:t>钢质管道内腐蚀控制规范</w:t>
      </w:r>
    </w:p>
    <w:p w14:paraId="3C02E544">
      <w:pPr>
        <w:pStyle w:val="251"/>
        <w:rPr>
          <w:rFonts w:ascii="Times New Roman"/>
          <w:color w:val="000000" w:themeColor="text1"/>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GB/T </w:t>
      </w:r>
      <w:r>
        <w:rPr>
          <w:rFonts w:ascii="Times New Roman"/>
          <w:color w:val="000000" w:themeColor="text1"/>
          <w:szCs w:val="22"/>
          <w14:textFill>
            <w14:solidFill>
              <w14:schemeClr w14:val="tx1"/>
            </w14:solidFill>
          </w14:textFill>
        </w:rPr>
        <w:t xml:space="preserve">36699 </w:t>
      </w:r>
      <w:r>
        <w:rPr>
          <w:rFonts w:hint="eastAsia" w:ascii="Times New Roman"/>
          <w:color w:val="000000" w:themeColor="text1"/>
          <w14:textFill>
            <w14:solidFill>
              <w14:schemeClr w14:val="tx1"/>
            </w14:solidFill>
          </w14:textFill>
        </w:rPr>
        <w:t xml:space="preserve"> </w:t>
      </w:r>
      <w:r>
        <w:rPr>
          <w:rFonts w:ascii="Times New Roman"/>
          <w:color w:val="000000" w:themeColor="text1"/>
          <w:shd w:val="clear" w:color="auto" w:fill="FFFFFF"/>
          <w14:textFill>
            <w14:solidFill>
              <w14:schemeClr w14:val="tx1"/>
            </w14:solidFill>
          </w14:textFill>
        </w:rPr>
        <w:t>锅炉用液体和气体燃料燃烧器技术条件</w:t>
      </w:r>
    </w:p>
    <w:p w14:paraId="56222AE8">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 50011</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 xml:space="preserve"> 建筑抗震设计标准</w:t>
      </w:r>
    </w:p>
    <w:p w14:paraId="77D4F1E0">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50016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建筑设计防火规范</w:t>
      </w:r>
    </w:p>
    <w:p w14:paraId="3F50184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50019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工业建筑供暖通风与空气调节设计规范</w:t>
      </w:r>
    </w:p>
    <w:p w14:paraId="7EC0705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50025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湿陷性黄土地区建筑标准</w:t>
      </w:r>
    </w:p>
    <w:p w14:paraId="37A3F42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50029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压缩空气站设计规范</w:t>
      </w:r>
    </w:p>
    <w:p w14:paraId="27D98D80">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50041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锅炉房设计标准</w:t>
      </w:r>
    </w:p>
    <w:p w14:paraId="6016367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50052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供配电系统设计规范</w:t>
      </w:r>
    </w:p>
    <w:p w14:paraId="4F34AB0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50054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低压配电设计规范</w:t>
      </w:r>
    </w:p>
    <w:p w14:paraId="32921B0A">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50057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建筑物防雷设计规范</w:t>
      </w:r>
    </w:p>
    <w:p w14:paraId="2A240CE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50058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爆炸危险环境电力装置设计规范</w:t>
      </w:r>
    </w:p>
    <w:p w14:paraId="440FAB3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50060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3~110kV高压配电装置设计规范</w:t>
      </w:r>
    </w:p>
    <w:p w14:paraId="2828711E">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GB/T 50064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交流电气装置的过电压保护和绝缘配合设计规范</w:t>
      </w:r>
    </w:p>
    <w:p w14:paraId="3288435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GB/T 50065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交流电气装置的接地设计规范</w:t>
      </w:r>
    </w:p>
    <w:p w14:paraId="308C70B2">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GB 50112</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膨胀土地区建筑技术规范</w:t>
      </w:r>
    </w:p>
    <w:p w14:paraId="16CC1B75">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GB/T 50115</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工业电视系统工程设计标准</w:t>
      </w:r>
    </w:p>
    <w:p w14:paraId="2F46133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50116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火灾自动报警系统设计规范</w:t>
      </w:r>
    </w:p>
    <w:p w14:paraId="2E5C42A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50183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石油天然气工程设计防火规范</w:t>
      </w:r>
    </w:p>
    <w:p w14:paraId="2474FAEC">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50223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建筑工程抗震设防分类标准</w:t>
      </w:r>
    </w:p>
    <w:p w14:paraId="36CB00C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50229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火力发电厂与变电站设计防火标准</w:t>
      </w:r>
    </w:p>
    <w:p w14:paraId="24EACD35">
      <w:pPr>
        <w:pStyle w:val="251"/>
        <w:rPr>
          <w:rFonts w:ascii="Times New Roman"/>
          <w:color w:val="000000" w:themeColor="text1"/>
          <w:szCs w:val="22"/>
          <w14:textFill>
            <w14:solidFill>
              <w14:schemeClr w14:val="tx1"/>
            </w14:solidFill>
          </w14:textFill>
        </w:rPr>
      </w:pPr>
      <w:r>
        <w:rPr>
          <w:rFonts w:ascii="Times New Roman"/>
          <w:color w:val="000000" w:themeColor="text1"/>
          <w14:textFill>
            <w14:solidFill>
              <w14:schemeClr w14:val="tx1"/>
            </w14:solidFill>
          </w14:textFill>
        </w:rPr>
        <w:t xml:space="preserve">GB 50264 </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工业设备及管道绝热工程设计规范</w:t>
      </w:r>
    </w:p>
    <w:p w14:paraId="5ECF3315">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50343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建筑物电子信息系统防雷技术规范</w:t>
      </w:r>
    </w:p>
    <w:p w14:paraId="4DE79BB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50349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气田集输设计规范</w:t>
      </w:r>
    </w:p>
    <w:p w14:paraId="494ED68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50350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油田油气集输设计规范</w:t>
      </w:r>
    </w:p>
    <w:p w14:paraId="7089320A">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50351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储罐区防火堤设计规范</w:t>
      </w:r>
    </w:p>
    <w:p w14:paraId="5A51958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50391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油田注水工程设计规范</w:t>
      </w:r>
    </w:p>
    <w:p w14:paraId="06E24B7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GB/T 50393</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 xml:space="preserve"> 钢质石油储罐防腐蚀工程技术标准</w:t>
      </w:r>
    </w:p>
    <w:p w14:paraId="3275CB8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50423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油气输送管道穿越工程设计规范</w:t>
      </w:r>
    </w:p>
    <w:p w14:paraId="6C0DD5D4">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 50428</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 xml:space="preserve"> 油田采出水处理设计规范</w:t>
      </w:r>
    </w:p>
    <w:p w14:paraId="69D1136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50459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油气输送管道跨越工程设计标准</w:t>
      </w:r>
    </w:p>
    <w:p w14:paraId="14E2847B">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50463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工程隔振设计标准</w:t>
      </w:r>
    </w:p>
    <w:p w14:paraId="51011449">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 xml:space="preserve">GB 50526  </w:t>
      </w:r>
      <w:r>
        <w:rPr>
          <w:rFonts w:ascii="Times New Roman"/>
          <w:color w:val="000000" w:themeColor="text1"/>
          <w:szCs w:val="22"/>
          <w14:textFill>
            <w14:solidFill>
              <w14:schemeClr w14:val="tx1"/>
            </w14:solidFill>
          </w14:textFill>
        </w:rPr>
        <w:t>公共广播系统工程技术标准</w:t>
      </w:r>
    </w:p>
    <w:p w14:paraId="317417CD">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GB/T 50538</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 xml:space="preserve"> 埋地钢质管道防腐保温层技术标准</w:t>
      </w:r>
    </w:p>
    <w:p w14:paraId="4DC1E0CC">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GB 50797</w:t>
      </w:r>
      <w:r>
        <w:rPr>
          <w:rFonts w:ascii="Times New Roman"/>
          <w:color w:val="000000" w:themeColor="text1"/>
          <w:szCs w:val="22"/>
          <w14:textFill>
            <w14:solidFill>
              <w14:schemeClr w14:val="tx1"/>
            </w14:solidFill>
          </w14:textFill>
        </w:rPr>
        <w:t xml:space="preserve">  光伏发电站设计标准</w:t>
      </w:r>
    </w:p>
    <w:p w14:paraId="21D9DD55">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GB/T 50942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盐渍土地区建筑技术规范</w:t>
      </w:r>
    </w:p>
    <w:p w14:paraId="3E0CDCF2">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GB/T 51096</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风力发电场设计规范</w:t>
      </w:r>
    </w:p>
    <w:p w14:paraId="0E850C4E">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51251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建筑防烟排烟系统技术标准</w:t>
      </w:r>
    </w:p>
    <w:p w14:paraId="2135BE64">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GB/T 51248</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天然气净化厂设计规范</w:t>
      </w:r>
    </w:p>
    <w:p w14:paraId="25D5C2B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51309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消防应急照明和疏散指示系统技术标准</w:t>
      </w:r>
    </w:p>
    <w:p w14:paraId="149ADB44">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GB</w:t>
      </w:r>
      <w:r>
        <w:rPr>
          <w:rFonts w:ascii="Times New Roman"/>
          <w:color w:val="000000" w:themeColor="text1"/>
          <w:szCs w:val="22"/>
          <w14:textFill>
            <w14:solidFill>
              <w14:schemeClr w14:val="tx1"/>
            </w14:solidFill>
          </w14:textFill>
        </w:rPr>
        <w:t xml:space="preserve"> </w:t>
      </w:r>
      <w:r>
        <w:rPr>
          <w:rFonts w:hint="eastAsia" w:ascii="Times New Roman"/>
          <w:color w:val="000000" w:themeColor="text1"/>
          <w:szCs w:val="22"/>
          <w14:textFill>
            <w14:solidFill>
              <w14:schemeClr w14:val="tx1"/>
            </w14:solidFill>
          </w14:textFill>
        </w:rPr>
        <w:t xml:space="preserve">55002  </w:t>
      </w:r>
      <w:r>
        <w:rPr>
          <w:rFonts w:ascii="Times New Roman"/>
          <w:color w:val="000000" w:themeColor="text1"/>
          <w:szCs w:val="22"/>
          <w14:textFill>
            <w14:solidFill>
              <w14:schemeClr w14:val="tx1"/>
            </w14:solidFill>
          </w14:textFill>
        </w:rPr>
        <w:t>建筑与市政工程抗震通用规范</w:t>
      </w:r>
    </w:p>
    <w:p w14:paraId="13DA86D0">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55036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消防设施通用规范</w:t>
      </w:r>
    </w:p>
    <w:p w14:paraId="41729B80">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GB 55037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建筑防火通用规范</w:t>
      </w:r>
    </w:p>
    <w:p w14:paraId="64C45158">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AQ 3053  立式圆筒形钢制焊接储罐安全技术规范</w:t>
      </w:r>
    </w:p>
    <w:p w14:paraId="5A71809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JGJ 79</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建筑地基处理技术规范</w:t>
      </w:r>
    </w:p>
    <w:p w14:paraId="4F6043EE">
      <w:pPr>
        <w:pStyle w:val="251"/>
        <w:rPr>
          <w:rFonts w:ascii="Times New Roman"/>
          <w:color w:val="000000" w:themeColor="text1"/>
          <w:lang w:bidi="ar"/>
          <w14:textFill>
            <w14:solidFill>
              <w14:schemeClr w14:val="tx1"/>
            </w14:solidFill>
          </w14:textFill>
        </w:rPr>
      </w:pPr>
      <w:r>
        <w:rPr>
          <w:rFonts w:ascii="Times New Roman"/>
          <w:color w:val="000000" w:themeColor="text1"/>
          <w:lang w:bidi="ar"/>
          <w14:textFill>
            <w14:solidFill>
              <w14:schemeClr w14:val="tx1"/>
            </w14:solidFill>
          </w14:textFill>
        </w:rPr>
        <w:t xml:space="preserve">SY/T 0027 </w:t>
      </w:r>
      <w:r>
        <w:rPr>
          <w:rFonts w:hint="eastAsia" w:ascii="Times New Roman"/>
          <w:color w:val="000000" w:themeColor="text1"/>
          <w:lang w:bidi="ar"/>
          <w14:textFill>
            <w14:solidFill>
              <w14:schemeClr w14:val="tx1"/>
            </w14:solidFill>
          </w14:textFill>
        </w:rPr>
        <w:t xml:space="preserve"> </w:t>
      </w:r>
      <w:r>
        <w:rPr>
          <w:rFonts w:ascii="Times New Roman"/>
          <w:color w:val="000000" w:themeColor="text1"/>
          <w:lang w:bidi="ar"/>
          <w14:textFill>
            <w14:solidFill>
              <w14:schemeClr w14:val="tx1"/>
            </w14:solidFill>
          </w14:textFill>
        </w:rPr>
        <w:t>稠油注汽系统设计规范</w:t>
      </w:r>
    </w:p>
    <w:p w14:paraId="3B1AD814">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0033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油气田变配电设计规范</w:t>
      </w:r>
    </w:p>
    <w:p w14:paraId="0FE05035">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0048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石油天然气工程总图设计规范</w:t>
      </w:r>
    </w:p>
    <w:p w14:paraId="2B71CC0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0060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油气田防静电接地设计规范</w:t>
      </w:r>
    </w:p>
    <w:p w14:paraId="47AD3363">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0319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钢质储罐防腐层技术规范</w:t>
      </w:r>
    </w:p>
    <w:p w14:paraId="5A9926B1">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0524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导热油加热炉系统规范</w:t>
      </w:r>
    </w:p>
    <w:p w14:paraId="406E4A50">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0599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天然气地面设施抗硫化物应力开裂和应力腐蚀开裂金属材料技术规范</w:t>
      </w:r>
    </w:p>
    <w:p w14:paraId="6225BC1F">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0611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高含硫化氢气田集输系统内腐蚀控制规范</w:t>
      </w:r>
    </w:p>
    <w:p w14:paraId="5CAEE20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6064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油气管道线路标识设置技术规范</w:t>
      </w:r>
    </w:p>
    <w:p w14:paraId="3C220E8B">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6360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油田注聚合物、碱液、表面活性剂安全规程</w:t>
      </w:r>
    </w:p>
    <w:p w14:paraId="0194C8D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SY</w:t>
      </w:r>
      <w:r>
        <w:rPr>
          <w:rFonts w:hint="eastAsia" w:ascii="Times New Roman"/>
          <w:color w:val="000000" w:themeColor="text1"/>
          <w:szCs w:val="22"/>
          <w14:textFill>
            <w14:solidFill>
              <w14:schemeClr w14:val="tx1"/>
            </w14:solidFill>
          </w14:textFill>
        </w:rPr>
        <w:t>/T</w:t>
      </w:r>
      <w:r>
        <w:rPr>
          <w:rFonts w:ascii="Times New Roman"/>
          <w:color w:val="000000" w:themeColor="text1"/>
          <w:szCs w:val="22"/>
          <w14:textFill>
            <w14:solidFill>
              <w14:schemeClr w14:val="tx1"/>
            </w14:solidFill>
          </w14:textFill>
        </w:rPr>
        <w:t xml:space="preserve"> 6503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石油天然气工程可燃气体和有毒气体检测报警系统安全规范</w:t>
      </w:r>
    </w:p>
    <w:p w14:paraId="43E96128">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6536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钢质储罐、容器内壁阴极保护技术规范</w:t>
      </w:r>
    </w:p>
    <w:p w14:paraId="6B4103D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6565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石油天然气开发注二氧化碳安全规范</w:t>
      </w:r>
    </w:p>
    <w:p w14:paraId="383D18E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6671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石油设施电气设备场所Ⅰ级0区、1区和2区的分类推荐作法</w:t>
      </w:r>
    </w:p>
    <w:p w14:paraId="1AF1795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6885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油气田及管道工程雷电防护设计规范</w:t>
      </w:r>
    </w:p>
    <w:p w14:paraId="3CC8B827">
      <w:pPr>
        <w:pStyle w:val="251"/>
        <w:rPr>
          <w:rFonts w:ascii="Times New Roman"/>
          <w:color w:val="000000" w:themeColor="text1"/>
          <w:szCs w:val="22"/>
          <w14:textFill>
            <w14:solidFill>
              <w14:schemeClr w14:val="tx1"/>
            </w14:solidFill>
          </w14:textFill>
        </w:rPr>
      </w:pPr>
      <w:r>
        <w:rPr>
          <w:rFonts w:ascii="Times New Roman"/>
          <w:color w:val="000000" w:themeColor="text1"/>
          <w14:textFill>
            <w14:solidFill>
              <w14:schemeClr w14:val="tx1"/>
            </w14:solidFill>
          </w14:textFill>
        </w:rPr>
        <w:t xml:space="preserve">SY/T 6964 </w:t>
      </w:r>
      <w:r>
        <w:rPr>
          <w:rFonts w:hint="eastAsia" w:ascii="Times New Roman"/>
          <w:color w:val="000000" w:themeColor="text1"/>
          <w14:textFill>
            <w14:solidFill>
              <w14:schemeClr w14:val="tx1"/>
            </w14:solidFill>
          </w14:textFill>
        </w:rPr>
        <w:t xml:space="preserve"> </w:t>
      </w:r>
      <w:r>
        <w:rPr>
          <w:rFonts w:ascii="Times New Roman"/>
          <w:color w:val="000000" w:themeColor="text1"/>
          <w14:textFill>
            <w14:solidFill>
              <w14:schemeClr w14:val="tx1"/>
            </w14:solidFill>
          </w14:textFill>
        </w:rPr>
        <w:t>石油天然气站场阴极保护技术规范</w:t>
      </w:r>
    </w:p>
    <w:p w14:paraId="7B4D76D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7021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石油天然气地面建设工程供暖通风与空气调节设计规范</w:t>
      </w:r>
    </w:p>
    <w:p w14:paraId="65D46181">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7036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石油天然气站场管道及设备外防腐层技术规范</w:t>
      </w:r>
    </w:p>
    <w:p w14:paraId="1FAD7E9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7350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低温管道与设备防腐保冷技术规范</w:t>
      </w:r>
    </w:p>
    <w:p w14:paraId="5DDE0979">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7351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油气田工程安全仪表系统设计规范</w:t>
      </w:r>
    </w:p>
    <w:p w14:paraId="2A1E3DA7">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7365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油气输送管道并行敷设技术规范</w:t>
      </w:r>
    </w:p>
    <w:p w14:paraId="652FE93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7368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穿越管道防腐层技术规范</w:t>
      </w:r>
    </w:p>
    <w:p w14:paraId="7A12A9A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7405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导热油供热站设计规范</w:t>
      </w:r>
    </w:p>
    <w:p w14:paraId="3902B712">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SY/T 7440</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 xml:space="preserve"> CO</w:t>
      </w:r>
      <w:r>
        <w:rPr>
          <w:rFonts w:ascii="Times New Roman"/>
          <w:color w:val="000000" w:themeColor="text1"/>
          <w:szCs w:val="22"/>
          <w:vertAlign w:val="subscript"/>
          <w14:textFill>
            <w14:solidFill>
              <w14:schemeClr w14:val="tx1"/>
            </w14:solidFill>
          </w14:textFill>
        </w:rPr>
        <w:t>2</w:t>
      </w:r>
      <w:r>
        <w:rPr>
          <w:rFonts w:ascii="Times New Roman"/>
          <w:color w:val="000000" w:themeColor="text1"/>
          <w:szCs w:val="22"/>
          <w14:textFill>
            <w14:solidFill>
              <w14:schemeClr w14:val="tx1"/>
            </w14:solidFill>
          </w14:textFill>
        </w:rPr>
        <w:t>驱油田注入及采出系统设计规范</w:t>
      </w:r>
    </w:p>
    <w:p w14:paraId="3835F3E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7474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油气田空氮站设计规范</w:t>
      </w:r>
    </w:p>
    <w:p w14:paraId="08DA878A">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 xml:space="preserve">SY/T 7628 </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油气田及管道工程计算机控制系统设计规范</w:t>
      </w:r>
    </w:p>
    <w:p w14:paraId="428E6976">
      <w:pPr>
        <w:pStyle w:val="251"/>
        <w:rPr>
          <w:rFonts w:ascii="Times New Roman"/>
          <w:color w:val="000000" w:themeColor="text1"/>
          <w:szCs w:val="22"/>
          <w14:textFill>
            <w14:solidFill>
              <w14:schemeClr w14:val="tx1"/>
            </w14:solidFill>
          </w14:textFill>
        </w:rPr>
      </w:pPr>
      <w:r>
        <w:rPr>
          <w:rFonts w:ascii="Times New Roman"/>
          <w:color w:val="000000" w:themeColor="text1"/>
          <w:szCs w:val="22"/>
          <w14:textFill>
            <w14:solidFill>
              <w14:schemeClr w14:val="tx1"/>
            </w14:solidFill>
          </w14:textFill>
        </w:rPr>
        <w:t>SY/T</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7700  油气田及管道工程仪表控制系统设计规范</w:t>
      </w:r>
    </w:p>
    <w:p w14:paraId="6C70B3C6">
      <w:pPr>
        <w:pStyle w:val="251"/>
        <w:rPr>
          <w:rFonts w:ascii="Times New Roman"/>
          <w:color w:val="000000" w:themeColor="text1"/>
          <w:szCs w:val="22"/>
          <w14:textFill>
            <w14:solidFill>
              <w14:schemeClr w14:val="tx1"/>
            </w14:solidFill>
          </w14:textFill>
        </w:rPr>
      </w:pPr>
      <w:r>
        <w:rPr>
          <w:rFonts w:hint="eastAsia" w:ascii="Times New Roman"/>
          <w:color w:val="000000" w:themeColor="text1"/>
          <w:szCs w:val="22"/>
          <w14:textFill>
            <w14:solidFill>
              <w14:schemeClr w14:val="tx1"/>
            </w14:solidFill>
          </w14:textFill>
        </w:rPr>
        <w:t>S</w:t>
      </w:r>
      <w:r>
        <w:rPr>
          <w:rFonts w:ascii="Times New Roman"/>
          <w:color w:val="000000" w:themeColor="text1"/>
          <w:szCs w:val="22"/>
          <w14:textFill>
            <w14:solidFill>
              <w14:schemeClr w14:val="tx1"/>
            </w14:solidFill>
          </w14:textFill>
        </w:rPr>
        <w:t>Y/T 10043</w:t>
      </w:r>
      <w:r>
        <w:rPr>
          <w:rFonts w:hint="eastAsia" w:ascii="Times New Roman"/>
          <w:color w:val="000000" w:themeColor="text1"/>
          <w:szCs w:val="22"/>
          <w14:textFill>
            <w14:solidFill>
              <w14:schemeClr w14:val="tx1"/>
            </w14:solidFill>
          </w14:textFill>
        </w:rPr>
        <w:t xml:space="preserve">  </w:t>
      </w:r>
      <w:r>
        <w:rPr>
          <w:rFonts w:ascii="Times New Roman"/>
          <w:color w:val="000000" w:themeColor="text1"/>
          <w:szCs w:val="22"/>
          <w14:textFill>
            <w14:solidFill>
              <w14:schemeClr w14:val="tx1"/>
            </w14:solidFill>
          </w14:textFill>
        </w:rPr>
        <w:t>泄压和减压系统指南</w:t>
      </w:r>
    </w:p>
    <w:p w14:paraId="3AAD9FF3">
      <w:pPr>
        <w:pStyle w:val="251"/>
      </w:pPr>
      <w:r>
        <w:rPr>
          <w:rFonts w:ascii="Times New Roman"/>
          <w:color w:val="000000" w:themeColor="text1"/>
          <w:lang w:bidi="ar"/>
          <w14:textFill>
            <w14:solidFill>
              <w14:schemeClr w14:val="tx1"/>
            </w14:solidFill>
          </w14:textFill>
        </w:rPr>
        <w:t>TSG 21  固定式压力容器安全技术监察规程</w:t>
      </w:r>
      <w:bookmarkEnd w:id="41"/>
    </w:p>
    <w:p w14:paraId="31DE1235">
      <w:pPr>
        <w:pStyle w:val="124"/>
        <w:spacing w:before="240" w:after="240"/>
      </w:pPr>
      <w:bookmarkStart w:id="43" w:name="_Toc195003728"/>
      <w:r>
        <w:rPr>
          <w:rFonts w:hint="eastAsia"/>
          <w:szCs w:val="21"/>
        </w:rPr>
        <w:t>术语和定义</w:t>
      </w:r>
      <w:bookmarkEnd w:id="42"/>
      <w:bookmarkEnd w:id="43"/>
    </w:p>
    <w:sdt>
      <w:sdtPr>
        <w:id w:val="-1909835108"/>
        <w:placeholder>
          <w:docPart w:val="B40EBE6BF10E4F089A0FA803A73CD0E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F6D486E">
          <w:pPr>
            <w:pStyle w:val="76"/>
            <w:ind w:firstLine="420"/>
          </w:pPr>
          <w:bookmarkStart w:id="44" w:name="OLE_LINK68"/>
          <w:bookmarkEnd w:id="44"/>
          <w:bookmarkStart w:id="45" w:name="_Toc26986532"/>
          <w:bookmarkEnd w:id="45"/>
          <w:bookmarkStart w:id="46" w:name="OLE_LINK70"/>
          <w:bookmarkEnd w:id="46"/>
          <w:bookmarkStart w:id="47" w:name="OLE_LINK69"/>
          <w:bookmarkEnd w:id="47"/>
          <w:bookmarkStart w:id="48" w:name="OLE_LINK67"/>
          <w:bookmarkEnd w:id="48"/>
          <w:r>
            <w:t>下列术语和定义适用于本文件。</w:t>
          </w:r>
        </w:p>
      </w:sdtContent>
    </w:sdt>
    <w:p w14:paraId="0E808140">
      <w:pPr>
        <w:pStyle w:val="243"/>
        <w:rPr>
          <w:rFonts w:hint="eastAsia" w:ascii="黑体" w:hAnsi="黑体" w:eastAsia="黑体"/>
        </w:rPr>
      </w:pPr>
      <w:bookmarkStart w:id="49" w:name="_Hlk164083359"/>
      <w:bookmarkStart w:id="50" w:name="_Toc493"/>
      <w:bookmarkStart w:id="51" w:name="_Toc164158303"/>
      <w:bookmarkStart w:id="52" w:name="_Toc668"/>
      <w:bookmarkStart w:id="53" w:name="_Toc25278"/>
      <w:bookmarkStart w:id="54" w:name="_Toc164158635"/>
      <w:bookmarkStart w:id="55" w:name="_Toc21445"/>
      <w:r>
        <w:rPr>
          <w:rFonts w:ascii="黑体" w:hAnsi="黑体" w:eastAsia="黑体"/>
        </w:rPr>
        <w:br w:type="textWrapping"/>
      </w:r>
      <w:r>
        <w:rPr>
          <w:rFonts w:hint="eastAsia" w:ascii="黑体" w:hAnsi="黑体" w:eastAsia="黑体"/>
        </w:rPr>
        <w:t xml:space="preserve">    安全设施</w:t>
      </w:r>
      <w:bookmarkEnd w:id="49"/>
      <w:r>
        <w:rPr>
          <w:rFonts w:hint="eastAsia" w:ascii="黑体" w:hAnsi="黑体" w:eastAsia="黑体"/>
        </w:rPr>
        <w:t xml:space="preserve">  </w:t>
      </w:r>
      <w:r>
        <w:rPr>
          <w:rFonts w:ascii="黑体" w:hAnsi="黑体" w:eastAsia="黑体"/>
        </w:rPr>
        <w:t>safety facilities</w:t>
      </w:r>
      <w:bookmarkEnd w:id="50"/>
      <w:bookmarkEnd w:id="51"/>
      <w:bookmarkEnd w:id="52"/>
      <w:bookmarkEnd w:id="53"/>
      <w:bookmarkEnd w:id="54"/>
      <w:bookmarkEnd w:id="55"/>
    </w:p>
    <w:p w14:paraId="72EB2D31">
      <w:pPr>
        <w:pStyle w:val="76"/>
        <w:ind w:firstLine="420"/>
      </w:pPr>
      <w:r>
        <w:t>生产经营单位在生产经营活动中用于预防生产安全事故的设备、设施、装置、构（建）筑物和其他技术措施的总称。</w:t>
      </w:r>
    </w:p>
    <w:p w14:paraId="4331B2CD">
      <w:pPr>
        <w:pStyle w:val="76"/>
        <w:ind w:firstLine="400"/>
        <w:rPr>
          <w:sz w:val="20"/>
          <w:szCs w:val="18"/>
        </w:rPr>
      </w:pPr>
      <w:r>
        <w:rPr>
          <w:rFonts w:hint="eastAsia" w:ascii="黑体" w:hAnsi="黑体" w:eastAsia="黑体"/>
          <w:sz w:val="20"/>
          <w:szCs w:val="18"/>
        </w:rPr>
        <w:t>注</w:t>
      </w:r>
      <w:r>
        <w:rPr>
          <w:rFonts w:hint="eastAsia"/>
          <w:sz w:val="20"/>
          <w:szCs w:val="18"/>
        </w:rPr>
        <w:t>：相关安全设施分类见附录A</w:t>
      </w:r>
    </w:p>
    <w:p w14:paraId="64A54201">
      <w:pPr>
        <w:pStyle w:val="243"/>
        <w:rPr>
          <w:rFonts w:hint="eastAsia" w:ascii="黑体" w:hAnsi="黑体" w:eastAsia="黑体"/>
        </w:rPr>
      </w:pPr>
      <w:r>
        <w:rPr>
          <w:rFonts w:ascii="黑体" w:hAnsi="黑体" w:eastAsia="黑体"/>
        </w:rPr>
        <w:br w:type="textWrapping"/>
      </w:r>
      <w:r>
        <w:rPr>
          <w:rFonts w:hint="eastAsia" w:ascii="黑体" w:hAnsi="黑体" w:eastAsia="黑体"/>
        </w:rPr>
        <w:t xml:space="preserve">    重大变更</w:t>
      </w:r>
      <w:r>
        <w:rPr>
          <w:rFonts w:ascii="黑体" w:hAnsi="黑体" w:eastAsia="黑体"/>
        </w:rPr>
        <w:t xml:space="preserve">  major change</w:t>
      </w:r>
    </w:p>
    <w:p w14:paraId="32E210E8">
      <w:pPr>
        <w:pStyle w:val="76"/>
        <w:ind w:firstLine="420"/>
      </w:pPr>
      <w:r>
        <w:rPr>
          <w:rFonts w:hint="eastAsia"/>
        </w:rPr>
        <w:t>对原有的设计、工艺、设备、材料、操作方式等进行大幅度改动，可能导致安全风险显著增加或者环境影响明显加重的情况。</w:t>
      </w:r>
    </w:p>
    <w:p w14:paraId="25AF6761">
      <w:pPr>
        <w:pStyle w:val="124"/>
        <w:spacing w:before="240" w:after="240"/>
        <w:rPr>
          <w:strike/>
        </w:rPr>
      </w:pPr>
      <w:bookmarkStart w:id="56" w:name="_Toc195003729"/>
      <w:r>
        <w:rPr>
          <w:rFonts w:hint="eastAsia"/>
        </w:rPr>
        <w:t>缩略语</w:t>
      </w:r>
      <w:bookmarkEnd w:id="56"/>
    </w:p>
    <w:p w14:paraId="551DB892">
      <w:pPr>
        <w:ind w:firstLine="420" w:firstLineChars="200"/>
        <w:rPr>
          <w:rFonts w:asci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下列缩略语适用于本文件：</w:t>
      </w:r>
    </w:p>
    <w:p w14:paraId="703EAC0D">
      <w:pPr>
        <w:pStyle w:val="251"/>
        <w:rPr>
          <w:rFonts w:ascii="Times New Roman"/>
        </w:rPr>
      </w:pPr>
      <w:r>
        <w:rPr>
          <w:rFonts w:hint="eastAsia" w:ascii="Times New Roman"/>
        </w:rPr>
        <w:t>BDV：紧急泄放阀（Blow down valve）</w:t>
      </w:r>
    </w:p>
    <w:p w14:paraId="2F5B67F5">
      <w:pPr>
        <w:pStyle w:val="251"/>
        <w:rPr>
          <w:rFonts w:ascii="Times New Roman"/>
        </w:rPr>
      </w:pPr>
      <w:r>
        <w:rPr>
          <w:rFonts w:ascii="Times New Roman"/>
        </w:rPr>
        <w:t>EPS</w:t>
      </w:r>
      <w:r>
        <w:rPr>
          <w:rFonts w:hint="eastAsia" w:ascii="Times New Roman"/>
        </w:rPr>
        <w:t>：</w:t>
      </w:r>
      <w:r>
        <w:rPr>
          <w:rFonts w:ascii="Times New Roman"/>
        </w:rPr>
        <w:t>紧急电源（Emergency Power Supply）</w:t>
      </w:r>
    </w:p>
    <w:p w14:paraId="60AFF7F2">
      <w:pPr>
        <w:pStyle w:val="251"/>
        <w:rPr>
          <w:rFonts w:ascii="Times New Roman"/>
        </w:rPr>
      </w:pPr>
      <w:r>
        <w:rPr>
          <w:rFonts w:ascii="Times New Roman"/>
        </w:rPr>
        <w:t>HAZOP</w:t>
      </w:r>
      <w:r>
        <w:rPr>
          <w:rFonts w:hint="eastAsia" w:ascii="Times New Roman"/>
        </w:rPr>
        <w:t>：</w:t>
      </w:r>
      <w:r>
        <w:rPr>
          <w:rFonts w:ascii="Times New Roman"/>
        </w:rPr>
        <w:t>危险与可操作性分析（Hazard and Operability Stud</w:t>
      </w:r>
      <w:r>
        <w:rPr>
          <w:rFonts w:hint="eastAsia" w:ascii="Times New Roman"/>
        </w:rPr>
        <w:t>ies</w:t>
      </w:r>
      <w:r>
        <w:rPr>
          <w:rFonts w:ascii="Times New Roman"/>
        </w:rPr>
        <w:t>）</w:t>
      </w:r>
    </w:p>
    <w:p w14:paraId="59C7E5DD">
      <w:pPr>
        <w:pStyle w:val="251"/>
        <w:rPr>
          <w:rFonts w:ascii="Times New Roman"/>
        </w:rPr>
      </w:pPr>
      <w:r>
        <w:rPr>
          <w:rFonts w:ascii="Times New Roman"/>
        </w:rPr>
        <w:t>SIL</w:t>
      </w:r>
      <w:r>
        <w:rPr>
          <w:rFonts w:hint="eastAsia" w:ascii="Times New Roman"/>
        </w:rPr>
        <w:t>：</w:t>
      </w:r>
      <w:r>
        <w:rPr>
          <w:rFonts w:ascii="Times New Roman"/>
        </w:rPr>
        <w:t>安全完整性等级（Safety Integrity Level）</w:t>
      </w:r>
    </w:p>
    <w:p w14:paraId="64CA3F27">
      <w:pPr>
        <w:pStyle w:val="251"/>
        <w:rPr>
          <w:rFonts w:ascii="Times New Roman"/>
        </w:rPr>
      </w:pPr>
      <w:r>
        <w:rPr>
          <w:rFonts w:hint="eastAsia" w:ascii="Times New Roman"/>
        </w:rPr>
        <w:t>SIF：安全仪表功能（Safety instrumented function）</w:t>
      </w:r>
    </w:p>
    <w:p w14:paraId="3DE59C47">
      <w:pPr>
        <w:pStyle w:val="251"/>
        <w:rPr>
          <w:rFonts w:ascii="Times New Roman"/>
        </w:rPr>
      </w:pPr>
      <w:r>
        <w:rPr>
          <w:rFonts w:ascii="Times New Roman"/>
        </w:rPr>
        <w:t>SIS</w:t>
      </w:r>
      <w:r>
        <w:rPr>
          <w:rFonts w:hint="eastAsia" w:ascii="Times New Roman"/>
        </w:rPr>
        <w:t>：</w:t>
      </w:r>
      <w:r>
        <w:rPr>
          <w:rFonts w:ascii="Times New Roman"/>
        </w:rPr>
        <w:t>安全仪表系统（Safety Instrumentation System）</w:t>
      </w:r>
    </w:p>
    <w:p w14:paraId="2CA912DB">
      <w:pPr>
        <w:pStyle w:val="251"/>
        <w:rPr>
          <w:rFonts w:ascii="Times New Roman"/>
        </w:rPr>
      </w:pPr>
      <w:r>
        <w:rPr>
          <w:rFonts w:ascii="Times New Roman"/>
        </w:rPr>
        <w:t>SCADA</w:t>
      </w:r>
      <w:r>
        <w:rPr>
          <w:rFonts w:hint="eastAsia" w:ascii="Times New Roman"/>
        </w:rPr>
        <w:t>：监控与数据采集系统（</w:t>
      </w:r>
      <w:r>
        <w:rPr>
          <w:rFonts w:ascii="Times New Roman"/>
        </w:rPr>
        <w:t>Supervisory Control and Data Acquisition</w:t>
      </w:r>
      <w:r>
        <w:rPr>
          <w:rFonts w:hint="eastAsia" w:ascii="Times New Roman"/>
        </w:rPr>
        <w:t>）</w:t>
      </w:r>
    </w:p>
    <w:p w14:paraId="6D4524D6">
      <w:pPr>
        <w:pStyle w:val="251"/>
      </w:pPr>
      <w:r>
        <w:rPr>
          <w:rFonts w:ascii="Times New Roman"/>
        </w:rPr>
        <w:t>UPS</w:t>
      </w:r>
      <w:r>
        <w:rPr>
          <w:rFonts w:hint="eastAsia" w:ascii="Times New Roman"/>
        </w:rPr>
        <w:t>：</w:t>
      </w:r>
      <w:r>
        <w:rPr>
          <w:rFonts w:ascii="Times New Roman"/>
        </w:rPr>
        <w:t>不间断电源系统（Uninterruptible Power System）</w:t>
      </w:r>
    </w:p>
    <w:p w14:paraId="10A31850">
      <w:pPr>
        <w:pStyle w:val="124"/>
        <w:spacing w:before="240" w:after="240"/>
      </w:pPr>
      <w:bookmarkStart w:id="57" w:name="_Toc193375307"/>
      <w:bookmarkStart w:id="58" w:name="_Toc23899596"/>
      <w:bookmarkStart w:id="59" w:name="_Toc163575723"/>
      <w:bookmarkStart w:id="60" w:name="_Toc23901975"/>
      <w:bookmarkStart w:id="61" w:name="_Toc23893549"/>
      <w:bookmarkStart w:id="62" w:name="_Toc23897318"/>
      <w:bookmarkStart w:id="63" w:name="_Toc23891381"/>
      <w:bookmarkStart w:id="64" w:name="_Toc23890249"/>
      <w:bookmarkStart w:id="65" w:name="_Toc23901356"/>
      <w:bookmarkStart w:id="66" w:name="_Toc29338"/>
      <w:bookmarkStart w:id="67" w:name="_Toc195003730"/>
      <w:bookmarkStart w:id="68" w:name="_Toc23905606"/>
      <w:bookmarkStart w:id="69" w:name="_Toc23897009"/>
      <w:bookmarkStart w:id="70" w:name="_Toc23897192"/>
      <w:r>
        <w:rPr>
          <w:rFonts w:hint="eastAsia"/>
        </w:rPr>
        <w:t>总体要求</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5BE85E32">
      <w:pPr>
        <w:pStyle w:val="125"/>
        <w:spacing w:beforeLines="0" w:afterLines="0"/>
        <w:outlineLvl w:val="9"/>
        <w:rPr>
          <w:rFonts w:hint="eastAsia" w:ascii="宋体" w:hAnsi="宋体" w:eastAsia="宋体"/>
        </w:rPr>
      </w:pPr>
      <w:bookmarkStart w:id="71" w:name="_Toc9765"/>
      <w:bookmarkStart w:id="72" w:name="_Toc28008"/>
      <w:bookmarkStart w:id="73" w:name="_Toc193830395"/>
      <w:bookmarkStart w:id="74" w:name="_Toc20305"/>
      <w:bookmarkStart w:id="75" w:name="_Toc164158306"/>
      <w:bookmarkStart w:id="76" w:name="_Toc195003731"/>
      <w:bookmarkStart w:id="77" w:name="_Toc193375308"/>
      <w:bookmarkStart w:id="78" w:name="_Toc18461"/>
      <w:bookmarkStart w:id="79" w:name="_Toc26611"/>
      <w:bookmarkStart w:id="80" w:name="_Toc3393"/>
      <w:bookmarkStart w:id="81" w:name="_Toc2580"/>
      <w:bookmarkStart w:id="82" w:name="_Toc164090054"/>
      <w:bookmarkStart w:id="83" w:name="_Toc18394"/>
      <w:bookmarkStart w:id="84" w:name="_Toc164158638"/>
      <w:bookmarkStart w:id="85" w:name="_Toc9804"/>
      <w:bookmarkStart w:id="86" w:name="_Toc193319094"/>
      <w:bookmarkStart w:id="87" w:name="_Toc20139"/>
      <w:bookmarkStart w:id="88" w:name="_Toc27853"/>
      <w:bookmarkStart w:id="89" w:name="_Toc5110"/>
      <w:bookmarkStart w:id="90" w:name="_Toc23890250"/>
      <w:r>
        <w:rPr>
          <w:rFonts w:ascii="宋体" w:hAnsi="宋体" w:eastAsia="宋体"/>
        </w:rPr>
        <w:t>建设项目初步设计时，</w:t>
      </w:r>
      <w:r>
        <w:rPr>
          <w:rFonts w:hint="eastAsia" w:ascii="宋体" w:hAnsi="宋体" w:eastAsia="宋体"/>
        </w:rPr>
        <w:t>应委托有相应资质的设计单位对建设项目安全设施同时进行设计，编制安全设施设计。</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C7299A6">
      <w:pPr>
        <w:pStyle w:val="125"/>
        <w:spacing w:beforeLines="0" w:afterLines="0"/>
        <w:outlineLvl w:val="9"/>
        <w:rPr>
          <w:rFonts w:hint="eastAsia" w:ascii="宋体" w:hAnsi="宋体" w:eastAsia="宋体"/>
        </w:rPr>
      </w:pPr>
      <w:bookmarkStart w:id="91" w:name="_Toc193319095"/>
      <w:bookmarkStart w:id="92" w:name="_Toc16434"/>
      <w:bookmarkStart w:id="93" w:name="_Toc193830396"/>
      <w:bookmarkStart w:id="94" w:name="_Toc193375309"/>
      <w:bookmarkStart w:id="95" w:name="_Toc195003732"/>
      <w:bookmarkStart w:id="96" w:name="_Toc22833"/>
      <w:bookmarkStart w:id="97" w:name="_Toc7425"/>
      <w:bookmarkStart w:id="98" w:name="_Toc22743"/>
      <w:bookmarkStart w:id="99" w:name="_Toc14960"/>
      <w:bookmarkStart w:id="100" w:name="_Toc30986"/>
      <w:r>
        <w:rPr>
          <w:rFonts w:hint="eastAsia" w:ascii="宋体" w:hAnsi="宋体" w:eastAsia="宋体"/>
        </w:rPr>
        <w:t>有下列重大变更的建设项目，</w:t>
      </w:r>
      <w:bookmarkEnd w:id="87"/>
      <w:bookmarkEnd w:id="88"/>
      <w:bookmarkEnd w:id="89"/>
      <w:r>
        <w:rPr>
          <w:rFonts w:hint="eastAsia" w:ascii="宋体" w:hAnsi="宋体" w:eastAsia="宋体"/>
        </w:rPr>
        <w:t>应重新编制安全设施设计：</w:t>
      </w:r>
      <w:bookmarkEnd w:id="91"/>
      <w:bookmarkEnd w:id="92"/>
      <w:bookmarkEnd w:id="93"/>
      <w:bookmarkEnd w:id="94"/>
      <w:bookmarkEnd w:id="95"/>
    </w:p>
    <w:bookmarkEnd w:id="96"/>
    <w:bookmarkEnd w:id="97"/>
    <w:bookmarkEnd w:id="98"/>
    <w:bookmarkEnd w:id="99"/>
    <w:bookmarkEnd w:id="100"/>
    <w:p w14:paraId="537D6E50">
      <w:pPr>
        <w:pStyle w:val="194"/>
        <w:numPr>
          <w:ilvl w:val="0"/>
          <w:numId w:val="35"/>
        </w:numPr>
      </w:pPr>
      <w:r>
        <w:rPr>
          <w:rFonts w:hint="eastAsia"/>
        </w:rPr>
        <w:t>建设产能规模增大20%及以上；</w:t>
      </w:r>
    </w:p>
    <w:p w14:paraId="0DFDDA64">
      <w:pPr>
        <w:pStyle w:val="194"/>
        <w:numPr>
          <w:ilvl w:val="0"/>
          <w:numId w:val="35"/>
        </w:numPr>
      </w:pPr>
      <w:r>
        <w:t>站场选址变更后需重新</w:t>
      </w:r>
      <w:r>
        <w:rPr>
          <w:rFonts w:hint="eastAsia"/>
        </w:rPr>
        <w:t>办理土地预审手续</w:t>
      </w:r>
      <w:r>
        <w:t>；</w:t>
      </w:r>
    </w:p>
    <w:p w14:paraId="5EAFF44F">
      <w:pPr>
        <w:pStyle w:val="194"/>
        <w:numPr>
          <w:ilvl w:val="0"/>
          <w:numId w:val="35"/>
        </w:numPr>
      </w:pPr>
      <w:r>
        <w:t>主体</w:t>
      </w:r>
      <w:r>
        <w:rPr>
          <w:rFonts w:hint="eastAsia"/>
        </w:rPr>
        <w:t>生产</w:t>
      </w:r>
      <w:r>
        <w:t>工艺技术发生变化</w:t>
      </w:r>
      <w:r>
        <w:rPr>
          <w:rFonts w:hint="eastAsia"/>
        </w:rPr>
        <w:t>；</w:t>
      </w:r>
    </w:p>
    <w:p w14:paraId="1F3C6D91">
      <w:pPr>
        <w:pStyle w:val="194"/>
        <w:numPr>
          <w:ilvl w:val="0"/>
          <w:numId w:val="35"/>
        </w:numPr>
      </w:pPr>
      <w:r>
        <w:rPr>
          <w:rFonts w:hint="eastAsia"/>
        </w:rPr>
        <w:t>关键设备类型及关键参数</w:t>
      </w:r>
      <w:r>
        <w:t>发生变化；</w:t>
      </w:r>
    </w:p>
    <w:p w14:paraId="6C44189C">
      <w:pPr>
        <w:pStyle w:val="194"/>
        <w:numPr>
          <w:ilvl w:val="0"/>
          <w:numId w:val="35"/>
        </w:numPr>
      </w:pPr>
      <w:r>
        <w:rPr>
          <w:rFonts w:hint="eastAsia"/>
        </w:rPr>
        <w:t>原料</w:t>
      </w:r>
      <w:r>
        <w:t>组分</w:t>
      </w:r>
      <w:r>
        <w:rPr>
          <w:rFonts w:hint="eastAsia"/>
        </w:rPr>
        <w:t>（</w:t>
      </w:r>
      <w:r>
        <w:t>硫化氢、二氧化碳等</w:t>
      </w:r>
      <w:r>
        <w:rPr>
          <w:rFonts w:hint="eastAsia"/>
        </w:rPr>
        <w:t>）</w:t>
      </w:r>
      <w:r>
        <w:t>含量</w:t>
      </w:r>
      <w:r>
        <w:rPr>
          <w:rFonts w:hint="eastAsia"/>
        </w:rPr>
        <w:t>变化</w:t>
      </w:r>
      <w:r>
        <w:t>引起</w:t>
      </w:r>
      <w:r>
        <w:rPr>
          <w:rFonts w:hint="eastAsia"/>
        </w:rPr>
        <w:t>主体</w:t>
      </w:r>
      <w:r>
        <w:t>材质选型变化</w:t>
      </w:r>
      <w:r>
        <w:rPr>
          <w:rFonts w:hint="eastAsia"/>
        </w:rPr>
        <w:t>；</w:t>
      </w:r>
    </w:p>
    <w:p w14:paraId="0B70F6B6">
      <w:pPr>
        <w:pStyle w:val="194"/>
        <w:numPr>
          <w:ilvl w:val="0"/>
          <w:numId w:val="35"/>
        </w:numPr>
      </w:pPr>
      <w:r>
        <w:rPr>
          <w:rFonts w:hint="eastAsia"/>
        </w:rPr>
        <w:t>改变安全设施设计且可能降低安全性能的。</w:t>
      </w:r>
    </w:p>
    <w:p w14:paraId="07B55619">
      <w:pPr>
        <w:pStyle w:val="125"/>
        <w:spacing w:beforeLines="0" w:afterLines="0"/>
        <w:outlineLvl w:val="9"/>
        <w:rPr>
          <w:rFonts w:hint="eastAsia" w:ascii="宋体" w:hAnsi="宋体" w:eastAsia="宋体"/>
        </w:rPr>
      </w:pPr>
      <w:bookmarkStart w:id="101" w:name="_Toc29509"/>
      <w:bookmarkStart w:id="102" w:name="_Toc193375310"/>
      <w:bookmarkStart w:id="103" w:name="_Toc195003733"/>
      <w:bookmarkStart w:id="104" w:name="_Toc193319096"/>
      <w:bookmarkStart w:id="105" w:name="_Toc193830397"/>
      <w:bookmarkStart w:id="106" w:name="_Toc5661"/>
      <w:bookmarkStart w:id="107" w:name="_Toc21935"/>
      <w:bookmarkStart w:id="108" w:name="_Toc17347"/>
      <w:bookmarkStart w:id="109" w:name="_Toc14476"/>
      <w:bookmarkStart w:id="110" w:name="_Toc17291"/>
      <w:r>
        <w:rPr>
          <w:rFonts w:ascii="宋体" w:hAnsi="宋体" w:eastAsia="宋体"/>
        </w:rPr>
        <w:t>安全设施设计章节</w:t>
      </w:r>
      <w:r>
        <w:rPr>
          <w:rFonts w:hint="eastAsia" w:ascii="宋体" w:hAnsi="宋体" w:eastAsia="宋体"/>
        </w:rPr>
        <w:t>应</w:t>
      </w:r>
      <w:r>
        <w:rPr>
          <w:rFonts w:ascii="宋体" w:hAnsi="宋体" w:eastAsia="宋体"/>
        </w:rPr>
        <w:t>分为</w:t>
      </w:r>
      <w:r>
        <w:rPr>
          <w:rFonts w:hint="eastAsia" w:ascii="宋体" w:hAnsi="宋体" w:eastAsia="宋体"/>
        </w:rPr>
        <w:t>：</w:t>
      </w:r>
      <w:bookmarkEnd w:id="101"/>
      <w:bookmarkEnd w:id="102"/>
      <w:bookmarkEnd w:id="103"/>
      <w:bookmarkEnd w:id="104"/>
      <w:bookmarkEnd w:id="105"/>
    </w:p>
    <w:p w14:paraId="52B4B67A">
      <w:pPr>
        <w:pStyle w:val="194"/>
        <w:numPr>
          <w:ilvl w:val="0"/>
          <w:numId w:val="36"/>
        </w:numPr>
      </w:pPr>
      <w:r>
        <w:rPr>
          <w:rFonts w:hint="eastAsia"/>
        </w:rPr>
        <w:t>设计依据，</w:t>
      </w:r>
    </w:p>
    <w:p w14:paraId="79C94567">
      <w:pPr>
        <w:pStyle w:val="194"/>
        <w:numPr>
          <w:ilvl w:val="0"/>
          <w:numId w:val="35"/>
        </w:numPr>
      </w:pPr>
      <w:r>
        <w:rPr>
          <w:rFonts w:hint="eastAsia"/>
        </w:rPr>
        <w:t>建设项目概述，</w:t>
      </w:r>
    </w:p>
    <w:p w14:paraId="39786D84">
      <w:pPr>
        <w:pStyle w:val="194"/>
        <w:numPr>
          <w:ilvl w:val="0"/>
          <w:numId w:val="35"/>
        </w:numPr>
      </w:pPr>
      <w:r>
        <w:rPr>
          <w:rFonts w:hint="eastAsia"/>
        </w:rPr>
        <w:t>危险有害因素分析，</w:t>
      </w:r>
    </w:p>
    <w:p w14:paraId="5C0E2669">
      <w:pPr>
        <w:pStyle w:val="194"/>
        <w:numPr>
          <w:ilvl w:val="0"/>
          <w:numId w:val="35"/>
        </w:numPr>
      </w:pPr>
      <w:r>
        <w:rPr>
          <w:rFonts w:hint="eastAsia"/>
        </w:rPr>
        <w:t>安全预评价响应，</w:t>
      </w:r>
    </w:p>
    <w:p w14:paraId="25E47299">
      <w:pPr>
        <w:pStyle w:val="194"/>
        <w:numPr>
          <w:ilvl w:val="0"/>
          <w:numId w:val="35"/>
        </w:numPr>
      </w:pPr>
      <w:r>
        <w:rPr>
          <w:rFonts w:hint="eastAsia"/>
        </w:rPr>
        <w:t>区域布置及总平面布置安全措施，</w:t>
      </w:r>
    </w:p>
    <w:p w14:paraId="480D1300">
      <w:pPr>
        <w:pStyle w:val="194"/>
        <w:numPr>
          <w:ilvl w:val="0"/>
          <w:numId w:val="35"/>
        </w:numPr>
      </w:pPr>
      <w:r>
        <w:rPr>
          <w:rFonts w:hint="eastAsia"/>
        </w:rPr>
        <w:t>工艺系统安全措施，</w:t>
      </w:r>
    </w:p>
    <w:p w14:paraId="389EC26A">
      <w:pPr>
        <w:pStyle w:val="194"/>
        <w:numPr>
          <w:ilvl w:val="0"/>
          <w:numId w:val="35"/>
        </w:numPr>
      </w:pPr>
      <w:r>
        <w:rPr>
          <w:rFonts w:hint="eastAsia"/>
        </w:rPr>
        <w:t>线路工程安全措施，</w:t>
      </w:r>
    </w:p>
    <w:p w14:paraId="3D952710">
      <w:pPr>
        <w:pStyle w:val="194"/>
        <w:numPr>
          <w:ilvl w:val="0"/>
          <w:numId w:val="35"/>
        </w:numPr>
      </w:pPr>
      <w:r>
        <w:rPr>
          <w:rFonts w:hint="eastAsia"/>
        </w:rPr>
        <w:t>自控安全措施，</w:t>
      </w:r>
    </w:p>
    <w:p w14:paraId="1E086064">
      <w:pPr>
        <w:pStyle w:val="194"/>
        <w:numPr>
          <w:ilvl w:val="0"/>
          <w:numId w:val="35"/>
        </w:numPr>
      </w:pPr>
      <w:r>
        <w:rPr>
          <w:rFonts w:hint="eastAsia"/>
        </w:rPr>
        <w:t>公用工程安全措施，</w:t>
      </w:r>
    </w:p>
    <w:p w14:paraId="42668C0F">
      <w:pPr>
        <w:pStyle w:val="194"/>
        <w:numPr>
          <w:ilvl w:val="0"/>
          <w:numId w:val="35"/>
        </w:numPr>
      </w:pPr>
      <w:r>
        <w:rPr>
          <w:rFonts w:hint="eastAsia"/>
        </w:rPr>
        <w:t>防范其他危险、危害因素的安全措施，</w:t>
      </w:r>
    </w:p>
    <w:p w14:paraId="7317E9F9">
      <w:pPr>
        <w:pStyle w:val="194"/>
        <w:numPr>
          <w:ilvl w:val="0"/>
          <w:numId w:val="35"/>
        </w:numPr>
      </w:pPr>
      <w:r>
        <w:rPr>
          <w:rFonts w:hint="eastAsia"/>
        </w:rPr>
        <w:t>逃生及救生，</w:t>
      </w:r>
    </w:p>
    <w:p w14:paraId="7777DD14">
      <w:pPr>
        <w:pStyle w:val="194"/>
        <w:numPr>
          <w:ilvl w:val="0"/>
          <w:numId w:val="35"/>
        </w:numPr>
      </w:pPr>
      <w:r>
        <w:rPr>
          <w:rFonts w:hint="eastAsia"/>
        </w:rPr>
        <w:t>安全管理，</w:t>
      </w:r>
    </w:p>
    <w:p w14:paraId="4C69508F">
      <w:pPr>
        <w:pStyle w:val="194"/>
        <w:numPr>
          <w:ilvl w:val="0"/>
          <w:numId w:val="35"/>
        </w:numPr>
      </w:pPr>
      <w:r>
        <w:rPr>
          <w:rFonts w:hint="eastAsia"/>
        </w:rPr>
        <w:t>专项投资概算，</w:t>
      </w:r>
    </w:p>
    <w:p w14:paraId="7F44675F">
      <w:pPr>
        <w:pStyle w:val="194"/>
        <w:numPr>
          <w:ilvl w:val="0"/>
          <w:numId w:val="35"/>
        </w:numPr>
      </w:pPr>
      <w:r>
        <w:rPr>
          <w:rFonts w:hint="eastAsia"/>
        </w:rPr>
        <w:t>主要结论和建议。</w:t>
      </w:r>
      <w:bookmarkEnd w:id="106"/>
      <w:bookmarkEnd w:id="107"/>
      <w:bookmarkEnd w:id="108"/>
      <w:bookmarkEnd w:id="109"/>
      <w:bookmarkEnd w:id="110"/>
    </w:p>
    <w:bookmarkEnd w:id="90"/>
    <w:p w14:paraId="7E3E9727">
      <w:pPr>
        <w:pStyle w:val="124"/>
        <w:spacing w:before="240" w:after="240"/>
      </w:pPr>
      <w:bookmarkStart w:id="111" w:name="_Toc14470"/>
      <w:bookmarkStart w:id="112" w:name="_Toc195003734"/>
      <w:bookmarkStart w:id="113" w:name="_Toc193375311"/>
      <w:r>
        <w:rPr>
          <w:rFonts w:hint="eastAsia"/>
        </w:rPr>
        <w:t>设计依据</w:t>
      </w:r>
      <w:bookmarkEnd w:id="111"/>
      <w:bookmarkEnd w:id="112"/>
      <w:bookmarkEnd w:id="113"/>
    </w:p>
    <w:p w14:paraId="4239A5E2">
      <w:pPr>
        <w:pStyle w:val="125"/>
        <w:spacing w:before="120" w:after="120"/>
      </w:pPr>
      <w:bookmarkStart w:id="114" w:name="_Toc195003735"/>
      <w:bookmarkStart w:id="115" w:name="_Toc31744"/>
      <w:bookmarkStart w:id="116" w:name="_Toc26822"/>
      <w:bookmarkStart w:id="117" w:name="_Toc193319098"/>
      <w:bookmarkStart w:id="118" w:name="_Toc18658"/>
      <w:bookmarkStart w:id="119" w:name="_Toc193375312"/>
      <w:bookmarkStart w:id="120" w:name="_Toc163575727"/>
      <w:r>
        <w:rPr>
          <w:rFonts w:hint="eastAsia"/>
        </w:rPr>
        <w:t>依据的批复文件</w:t>
      </w:r>
      <w:bookmarkEnd w:id="114"/>
      <w:bookmarkEnd w:id="115"/>
      <w:bookmarkEnd w:id="116"/>
      <w:bookmarkEnd w:id="117"/>
      <w:bookmarkEnd w:id="118"/>
      <w:bookmarkEnd w:id="119"/>
    </w:p>
    <w:p w14:paraId="389DAC8A">
      <w:pPr>
        <w:pStyle w:val="76"/>
        <w:ind w:firstLine="420"/>
      </w:pPr>
      <w:bookmarkStart w:id="121" w:name="_Toc24091"/>
      <w:r>
        <w:rPr>
          <w:rFonts w:hint="eastAsia"/>
        </w:rPr>
        <w:t>列出该建设项目设计所依据的文件名称、编制单位、发文单位、文件号、日期等相关内容。主要包括下列文件：</w:t>
      </w:r>
    </w:p>
    <w:bookmarkEnd w:id="121"/>
    <w:p w14:paraId="13F0F105">
      <w:pPr>
        <w:pStyle w:val="194"/>
        <w:numPr>
          <w:ilvl w:val="0"/>
          <w:numId w:val="37"/>
        </w:numPr>
      </w:pPr>
      <w:r>
        <w:rPr>
          <w:rFonts w:hint="eastAsia"/>
        </w:rPr>
        <w:t>建设项目审批、核准或者备案的文件；</w:t>
      </w:r>
    </w:p>
    <w:p w14:paraId="1D5AF9DA">
      <w:pPr>
        <w:pStyle w:val="194"/>
        <w:numPr>
          <w:ilvl w:val="0"/>
          <w:numId w:val="35"/>
        </w:numPr>
      </w:pPr>
      <w:r>
        <w:rPr>
          <w:rFonts w:hint="eastAsia"/>
        </w:rPr>
        <w:t>建设项目设计委托书（任务书、合同书）；</w:t>
      </w:r>
    </w:p>
    <w:p w14:paraId="462FDA0A">
      <w:pPr>
        <w:pStyle w:val="194"/>
        <w:numPr>
          <w:ilvl w:val="0"/>
          <w:numId w:val="35"/>
        </w:numPr>
      </w:pPr>
      <w:r>
        <w:rPr>
          <w:rFonts w:hint="eastAsia"/>
        </w:rPr>
        <w:t>建设项目可行性研究报告（或开发方案）及批复文件；</w:t>
      </w:r>
    </w:p>
    <w:p w14:paraId="34CC942A">
      <w:pPr>
        <w:pStyle w:val="194"/>
        <w:numPr>
          <w:ilvl w:val="0"/>
          <w:numId w:val="35"/>
        </w:numPr>
      </w:pPr>
      <w:r>
        <w:rPr>
          <w:rFonts w:hint="eastAsia"/>
        </w:rPr>
        <w:t>建设项目安全预评价报告及审批或备案文件等。</w:t>
      </w:r>
    </w:p>
    <w:p w14:paraId="275CE3A1">
      <w:pPr>
        <w:pStyle w:val="125"/>
        <w:spacing w:before="120" w:after="120"/>
      </w:pPr>
      <w:bookmarkStart w:id="122" w:name="_Toc11214"/>
      <w:bookmarkStart w:id="123" w:name="_Toc195003736"/>
      <w:bookmarkStart w:id="124" w:name="_Toc193375313"/>
      <w:bookmarkStart w:id="125" w:name="_Toc4815"/>
      <w:bookmarkStart w:id="126" w:name="_Toc193319099"/>
      <w:bookmarkStart w:id="127" w:name="_Toc27797"/>
      <w:r>
        <w:rPr>
          <w:rFonts w:hint="eastAsia"/>
        </w:rPr>
        <w:t>遵循的主要法律法规</w:t>
      </w:r>
      <w:bookmarkEnd w:id="122"/>
      <w:bookmarkEnd w:id="123"/>
      <w:bookmarkEnd w:id="124"/>
      <w:bookmarkEnd w:id="125"/>
      <w:bookmarkEnd w:id="126"/>
    </w:p>
    <w:p w14:paraId="31955F32">
      <w:pPr>
        <w:pStyle w:val="76"/>
        <w:ind w:firstLine="420"/>
      </w:pPr>
      <w:r>
        <w:t>分层次列出</w:t>
      </w:r>
      <w:r>
        <w:rPr>
          <w:rFonts w:hint="eastAsia"/>
        </w:rPr>
        <w:t>建设项目执行的有关安全生产的现行国家法律、法规、部门规章、地方性法规</w:t>
      </w:r>
      <w:bookmarkEnd w:id="127"/>
      <w:r>
        <w:rPr>
          <w:rFonts w:hint="eastAsia"/>
        </w:rPr>
        <w:t>及其它规范性文件</w:t>
      </w:r>
      <w:r>
        <w:t>，标明发布机构、令号和施行日期</w:t>
      </w:r>
      <w:r>
        <w:rPr>
          <w:rFonts w:hint="eastAsia"/>
        </w:rPr>
        <w:t>。</w:t>
      </w:r>
    </w:p>
    <w:p w14:paraId="4A71D47C">
      <w:pPr>
        <w:pStyle w:val="125"/>
        <w:spacing w:before="120" w:after="120"/>
      </w:pPr>
      <w:bookmarkStart w:id="128" w:name="_Toc24509"/>
      <w:bookmarkStart w:id="129" w:name="_Toc20963"/>
      <w:bookmarkStart w:id="130" w:name="_Toc195003737"/>
      <w:bookmarkStart w:id="131" w:name="_Toc193375314"/>
      <w:bookmarkStart w:id="132" w:name="_Toc193319100"/>
      <w:r>
        <w:rPr>
          <w:rFonts w:hint="eastAsia"/>
        </w:rPr>
        <w:t>执行</w:t>
      </w:r>
      <w:r>
        <w:t>的</w:t>
      </w:r>
      <w:r>
        <w:rPr>
          <w:rFonts w:hint="eastAsia"/>
        </w:rPr>
        <w:t>主要</w:t>
      </w:r>
      <w:r>
        <w:t>标准</w:t>
      </w:r>
      <w:bookmarkEnd w:id="128"/>
      <w:r>
        <w:rPr>
          <w:rFonts w:hint="eastAsia"/>
        </w:rPr>
        <w:t>规范</w:t>
      </w:r>
      <w:bookmarkEnd w:id="129"/>
      <w:bookmarkEnd w:id="130"/>
      <w:bookmarkEnd w:id="131"/>
      <w:bookmarkEnd w:id="132"/>
    </w:p>
    <w:p w14:paraId="0BF1724A">
      <w:pPr>
        <w:pStyle w:val="76"/>
        <w:ind w:firstLine="420"/>
      </w:pPr>
      <w:r>
        <w:t>列出设计依据的现行国家和行业标准目录，应标明</w:t>
      </w:r>
      <w:r>
        <w:rPr>
          <w:rFonts w:hint="eastAsia"/>
        </w:rPr>
        <w:t>文件编号</w:t>
      </w:r>
      <w:r>
        <w:t>。</w:t>
      </w:r>
    </w:p>
    <w:p w14:paraId="48BA412C">
      <w:pPr>
        <w:pStyle w:val="125"/>
        <w:spacing w:before="120" w:after="120"/>
      </w:pPr>
      <w:bookmarkStart w:id="133" w:name="_Toc195003738"/>
      <w:bookmarkStart w:id="134" w:name="_Toc193319101"/>
      <w:bookmarkStart w:id="135" w:name="_Toc21308"/>
      <w:bookmarkStart w:id="136" w:name="_Toc193375315"/>
      <w:bookmarkStart w:id="137" w:name="_Toc4761"/>
      <w:r>
        <w:t>其它文件</w:t>
      </w:r>
      <w:bookmarkEnd w:id="133"/>
      <w:bookmarkEnd w:id="134"/>
      <w:bookmarkEnd w:id="135"/>
      <w:bookmarkEnd w:id="136"/>
      <w:bookmarkEnd w:id="137"/>
    </w:p>
    <w:p w14:paraId="2C6308FB">
      <w:pPr>
        <w:pStyle w:val="76"/>
        <w:ind w:firstLine="420"/>
      </w:pPr>
      <w:r>
        <w:rPr>
          <w:rFonts w:hint="eastAsia"/>
        </w:rPr>
        <w:t>列出项目开展的专项评价报告名称、编制单位和完成情况，如：</w:t>
      </w:r>
      <w:r>
        <w:t>地质灾害危险性评估、地震安全性评价、压覆矿产资源评估</w:t>
      </w:r>
      <w:r>
        <w:rPr>
          <w:rFonts w:hint="eastAsia"/>
        </w:rPr>
        <w:t>、防洪评价等。</w:t>
      </w:r>
    </w:p>
    <w:p w14:paraId="6E5C5069">
      <w:pPr>
        <w:pStyle w:val="124"/>
        <w:spacing w:before="240" w:after="240"/>
      </w:pPr>
      <w:bookmarkStart w:id="138" w:name="_Toc193375316"/>
      <w:bookmarkStart w:id="139" w:name="_Toc32069"/>
      <w:bookmarkStart w:id="140" w:name="_Toc195003739"/>
      <w:r>
        <w:rPr>
          <w:rFonts w:hint="eastAsia"/>
        </w:rPr>
        <w:t>建设项目概述</w:t>
      </w:r>
      <w:bookmarkEnd w:id="138"/>
      <w:bookmarkEnd w:id="139"/>
      <w:bookmarkEnd w:id="140"/>
    </w:p>
    <w:bookmarkEnd w:id="120"/>
    <w:p w14:paraId="6685B411">
      <w:pPr>
        <w:pStyle w:val="125"/>
        <w:spacing w:before="120" w:after="120"/>
      </w:pPr>
      <w:bookmarkStart w:id="141" w:name="_Toc193375317"/>
      <w:bookmarkStart w:id="142" w:name="_Toc193319103"/>
      <w:bookmarkStart w:id="143" w:name="_Toc195003740"/>
      <w:bookmarkStart w:id="144" w:name="_Toc9670"/>
      <w:r>
        <w:rPr>
          <w:rFonts w:hint="eastAsia"/>
        </w:rPr>
        <w:t>项目概况</w:t>
      </w:r>
      <w:bookmarkEnd w:id="141"/>
      <w:bookmarkEnd w:id="142"/>
      <w:bookmarkEnd w:id="143"/>
      <w:bookmarkEnd w:id="144"/>
    </w:p>
    <w:p w14:paraId="3259EDFB">
      <w:pPr>
        <w:pStyle w:val="85"/>
        <w:spacing w:before="120" w:after="120"/>
      </w:pPr>
      <w:bookmarkStart w:id="145" w:name="_Toc193375318"/>
      <w:bookmarkStart w:id="146" w:name="_Toc193319104"/>
      <w:r>
        <w:rPr>
          <w:rFonts w:hint="eastAsia"/>
        </w:rPr>
        <w:t>基本信息</w:t>
      </w:r>
      <w:bookmarkEnd w:id="145"/>
      <w:bookmarkEnd w:id="146"/>
    </w:p>
    <w:p w14:paraId="3F0B8F0D">
      <w:pPr>
        <w:pStyle w:val="185"/>
        <w:numPr>
          <w:ilvl w:val="4"/>
          <w:numId w:val="2"/>
        </w:numPr>
      </w:pPr>
      <w:r>
        <w:rPr>
          <w:rFonts w:hint="eastAsia"/>
        </w:rPr>
        <w:t>简述</w:t>
      </w:r>
      <w:r>
        <w:t>项目建设单位、生产管理单位基本情况、建设项目性质（新建、改建、扩建</w:t>
      </w:r>
      <w:r>
        <w:rPr>
          <w:rFonts w:hint="eastAsia"/>
        </w:rPr>
        <w:t>）</w:t>
      </w:r>
      <w:r>
        <w:t>。</w:t>
      </w:r>
    </w:p>
    <w:p w14:paraId="397BA989">
      <w:pPr>
        <w:pStyle w:val="185"/>
        <w:numPr>
          <w:ilvl w:val="4"/>
          <w:numId w:val="2"/>
        </w:numPr>
      </w:pPr>
      <w:r>
        <w:rPr>
          <w:rFonts w:hint="eastAsia"/>
        </w:rPr>
        <w:t>简述</w:t>
      </w:r>
      <w:r>
        <w:t>建设项目的地理位置、项目规模（总体产能或总处理量</w:t>
      </w:r>
      <w:r>
        <w:rPr>
          <w:rFonts w:hint="eastAsia"/>
        </w:rPr>
        <w:t>）</w:t>
      </w:r>
      <w:r>
        <w:t>及</w:t>
      </w:r>
      <w:r>
        <w:rPr>
          <w:rFonts w:hint="eastAsia"/>
        </w:rPr>
        <w:t>投资概算</w:t>
      </w:r>
      <w:r>
        <w:t>。</w:t>
      </w:r>
    </w:p>
    <w:p w14:paraId="5823AF01">
      <w:pPr>
        <w:pStyle w:val="85"/>
        <w:spacing w:before="120" w:after="120"/>
      </w:pPr>
      <w:bookmarkStart w:id="147" w:name="_Toc193319105"/>
      <w:bookmarkStart w:id="148" w:name="_Toc193375319"/>
      <w:r>
        <w:rPr>
          <w:rFonts w:hint="eastAsia"/>
        </w:rPr>
        <w:t>开发方案</w:t>
      </w:r>
      <w:bookmarkEnd w:id="147"/>
      <w:bookmarkEnd w:id="148"/>
    </w:p>
    <w:p w14:paraId="6BFDA914">
      <w:pPr>
        <w:pStyle w:val="185"/>
        <w:numPr>
          <w:ilvl w:val="4"/>
          <w:numId w:val="2"/>
        </w:numPr>
      </w:pPr>
      <w:r>
        <w:rPr>
          <w:rFonts w:hint="eastAsia"/>
        </w:rPr>
        <w:t>简述油气田开发动用的面积和储量。</w:t>
      </w:r>
    </w:p>
    <w:p w14:paraId="7D4C5DCC">
      <w:pPr>
        <w:pStyle w:val="185"/>
        <w:numPr>
          <w:ilvl w:val="4"/>
          <w:numId w:val="2"/>
        </w:numPr>
      </w:pPr>
      <w:r>
        <w:rPr>
          <w:rFonts w:hint="eastAsia"/>
        </w:rPr>
        <w:t>简述开发方式及生产井、注水（入）井的数量、产油量、产气量、注水量。</w:t>
      </w:r>
    </w:p>
    <w:p w14:paraId="75B74CEC">
      <w:pPr>
        <w:pStyle w:val="185"/>
        <w:numPr>
          <w:ilvl w:val="4"/>
          <w:numId w:val="2"/>
        </w:numPr>
      </w:pPr>
      <w:r>
        <w:rPr>
          <w:rFonts w:hint="eastAsia"/>
        </w:rPr>
        <w:t>按表</w:t>
      </w:r>
      <w:r>
        <w:t>B.1</w:t>
      </w:r>
      <w:r>
        <w:rPr>
          <w:rFonts w:hint="eastAsia"/>
        </w:rPr>
        <w:t>列表说明油田开发指标预测，按表B.2列表说明气田开发指标预测。</w:t>
      </w:r>
    </w:p>
    <w:p w14:paraId="140EF6A5">
      <w:pPr>
        <w:pStyle w:val="85"/>
        <w:spacing w:before="120" w:after="120"/>
      </w:pPr>
      <w:bookmarkStart w:id="149" w:name="_Toc193375320"/>
      <w:bookmarkStart w:id="150" w:name="_Toc193319106"/>
      <w:r>
        <w:rPr>
          <w:rFonts w:hint="eastAsia"/>
        </w:rPr>
        <w:t>自然及社会环境</w:t>
      </w:r>
      <w:bookmarkEnd w:id="149"/>
      <w:bookmarkEnd w:id="150"/>
    </w:p>
    <w:p w14:paraId="1D18C3A1">
      <w:pPr>
        <w:pStyle w:val="185"/>
        <w:numPr>
          <w:ilvl w:val="4"/>
          <w:numId w:val="2"/>
        </w:numPr>
      </w:pPr>
      <w:r>
        <w:rPr>
          <w:rFonts w:hint="eastAsia"/>
        </w:rPr>
        <w:t>简述</w:t>
      </w:r>
      <w:r>
        <w:t>工程所处区域的自然条件，包括</w:t>
      </w:r>
      <w:r>
        <w:rPr>
          <w:rFonts w:hint="eastAsia"/>
        </w:rPr>
        <w:t>油气田</w:t>
      </w:r>
      <w:r>
        <w:t>地形地貌、工程地质、</w:t>
      </w:r>
      <w:r>
        <w:rPr>
          <w:rFonts w:hint="eastAsia"/>
        </w:rPr>
        <w:t>水文、</w:t>
      </w:r>
      <w:r>
        <w:t>气象、地震烈度等。</w:t>
      </w:r>
    </w:p>
    <w:p w14:paraId="5A15A6FE">
      <w:pPr>
        <w:pStyle w:val="185"/>
        <w:numPr>
          <w:ilvl w:val="4"/>
          <w:numId w:val="2"/>
        </w:numPr>
      </w:pPr>
      <w:r>
        <w:rPr>
          <w:rFonts w:hint="eastAsia"/>
        </w:rPr>
        <w:t>简述</w:t>
      </w:r>
      <w:r>
        <w:t>工程所处社会环境，包括人文、经济及交通条件等。</w:t>
      </w:r>
    </w:p>
    <w:p w14:paraId="0BB43E43">
      <w:pPr>
        <w:pStyle w:val="185"/>
        <w:numPr>
          <w:ilvl w:val="4"/>
          <w:numId w:val="2"/>
        </w:numPr>
      </w:pPr>
      <w:r>
        <w:rPr>
          <w:rFonts w:hint="eastAsia"/>
        </w:rPr>
        <w:t>简述</w:t>
      </w:r>
      <w:r>
        <w:t>新建、改建、扩建石油天然气场站的地理位置，以及与周边城镇、居民点、相邻厂矿企业、交通线路等的方位和距离。</w:t>
      </w:r>
    </w:p>
    <w:p w14:paraId="1CC5379B">
      <w:pPr>
        <w:pStyle w:val="85"/>
        <w:spacing w:before="120" w:after="120"/>
      </w:pPr>
      <w:bookmarkStart w:id="151" w:name="_Toc193319107"/>
      <w:bookmarkStart w:id="152" w:name="_Toc31100"/>
      <w:bookmarkStart w:id="153" w:name="_Toc193375321"/>
      <w:r>
        <w:rPr>
          <w:rFonts w:hint="eastAsia"/>
        </w:rPr>
        <w:t>外部依托条件</w:t>
      </w:r>
      <w:bookmarkEnd w:id="151"/>
      <w:bookmarkEnd w:id="152"/>
      <w:bookmarkEnd w:id="153"/>
    </w:p>
    <w:p w14:paraId="54F2EFAD">
      <w:pPr>
        <w:pStyle w:val="76"/>
        <w:ind w:firstLine="420"/>
      </w:pPr>
      <w:r>
        <w:rPr>
          <w:rFonts w:hint="eastAsia"/>
        </w:rPr>
        <w:t>简述</w:t>
      </w:r>
      <w:r>
        <w:t>外部依托</w:t>
      </w:r>
      <w:r>
        <w:rPr>
          <w:rFonts w:hint="eastAsia"/>
        </w:rPr>
        <w:t>的</w:t>
      </w:r>
      <w:r>
        <w:t>电源、消防</w:t>
      </w:r>
      <w:r>
        <w:rPr>
          <w:rFonts w:hint="eastAsia"/>
        </w:rPr>
        <w:t>、维抢修</w:t>
      </w:r>
      <w:r>
        <w:t>等</w:t>
      </w:r>
      <w:r>
        <w:rPr>
          <w:rFonts w:hint="eastAsia"/>
        </w:rPr>
        <w:t>情况</w:t>
      </w:r>
      <w:r>
        <w:t>。</w:t>
      </w:r>
    </w:p>
    <w:p w14:paraId="06E1ACCC">
      <w:pPr>
        <w:pStyle w:val="85"/>
        <w:spacing w:before="120" w:after="120"/>
      </w:pPr>
      <w:bookmarkStart w:id="154" w:name="_Toc193319108"/>
      <w:bookmarkStart w:id="155" w:name="_Toc193375322"/>
      <w:r>
        <w:rPr>
          <w:rFonts w:hint="eastAsia"/>
        </w:rPr>
        <w:t>物料与产品</w:t>
      </w:r>
      <w:bookmarkEnd w:id="154"/>
      <w:bookmarkEnd w:id="155"/>
    </w:p>
    <w:p w14:paraId="1AAEC5A2">
      <w:pPr>
        <w:pStyle w:val="185"/>
        <w:numPr>
          <w:ilvl w:val="4"/>
          <w:numId w:val="2"/>
        </w:numPr>
      </w:pPr>
      <w:r>
        <w:rPr>
          <w:rFonts w:hint="eastAsia"/>
        </w:rPr>
        <w:t>按表</w:t>
      </w:r>
      <w:r>
        <w:t>B.</w:t>
      </w:r>
      <w:r>
        <w:rPr>
          <w:rFonts w:hint="eastAsia"/>
        </w:rPr>
        <w:t>3</w:t>
      </w:r>
      <w:r>
        <w:t>列表说明工程所涉及的原油及凝析油物性，</w:t>
      </w:r>
      <w:r>
        <w:rPr>
          <w:rFonts w:hint="eastAsia"/>
        </w:rPr>
        <w:t>按表</w:t>
      </w:r>
      <w:r>
        <w:t>B.</w:t>
      </w:r>
      <w:r>
        <w:rPr>
          <w:rFonts w:hint="eastAsia"/>
        </w:rPr>
        <w:t>4</w:t>
      </w:r>
      <w:r>
        <w:t>列表说明天然气物性及组成，</w:t>
      </w:r>
      <w:r>
        <w:rPr>
          <w:rFonts w:hint="eastAsia"/>
        </w:rPr>
        <w:t>按表</w:t>
      </w:r>
      <w:r>
        <w:t>B.</w:t>
      </w:r>
      <w:r>
        <w:rPr>
          <w:rFonts w:hint="eastAsia"/>
        </w:rPr>
        <w:t>5</w:t>
      </w:r>
      <w:r>
        <w:t>列表说明采出水物性。</w:t>
      </w:r>
    </w:p>
    <w:p w14:paraId="3DE0A22E">
      <w:pPr>
        <w:pStyle w:val="185"/>
        <w:numPr>
          <w:ilvl w:val="4"/>
          <w:numId w:val="2"/>
        </w:numPr>
      </w:pPr>
      <w:r>
        <w:rPr>
          <w:rFonts w:hint="eastAsia"/>
        </w:rPr>
        <w:t>按表B.6</w:t>
      </w:r>
      <w:r>
        <w:t>列表说明工程所涉及的其他危险物质或化学药剂的种类、名称</w:t>
      </w:r>
      <w:r>
        <w:rPr>
          <w:rFonts w:hint="eastAsia"/>
        </w:rPr>
        <w:t>、火灾危险性分类、爆炸极限</w:t>
      </w:r>
      <w:r>
        <w:t>和用量</w:t>
      </w:r>
      <w:r>
        <w:rPr>
          <w:rFonts w:hint="eastAsia"/>
        </w:rPr>
        <w:t>。</w:t>
      </w:r>
    </w:p>
    <w:p w14:paraId="6DBA9FBE">
      <w:pPr>
        <w:pStyle w:val="185"/>
        <w:numPr>
          <w:ilvl w:val="4"/>
          <w:numId w:val="2"/>
        </w:numPr>
      </w:pPr>
      <w:r>
        <w:rPr>
          <w:rFonts w:hint="eastAsia"/>
        </w:rPr>
        <w:t>按表B.7</w:t>
      </w:r>
      <w:r>
        <w:t>列表说明工程所涉及的</w:t>
      </w:r>
      <w:r>
        <w:rPr>
          <w:rFonts w:hint="eastAsia"/>
        </w:rPr>
        <w:t>产品名称、闪点、燃点、爆炸极限及火灾危险性分类</w:t>
      </w:r>
      <w:r>
        <w:t>。</w:t>
      </w:r>
    </w:p>
    <w:p w14:paraId="2B8F1E7B">
      <w:pPr>
        <w:pStyle w:val="125"/>
        <w:spacing w:before="120" w:after="120"/>
      </w:pPr>
      <w:bookmarkStart w:id="156" w:name="_Toc195003741"/>
      <w:bookmarkStart w:id="157" w:name="_Toc26089"/>
      <w:bookmarkStart w:id="158" w:name="_Toc193375323"/>
      <w:bookmarkStart w:id="159" w:name="_Toc193319109"/>
      <w:r>
        <w:rPr>
          <w:rFonts w:hint="eastAsia"/>
        </w:rPr>
        <w:t>工艺方案</w:t>
      </w:r>
      <w:bookmarkEnd w:id="156"/>
      <w:bookmarkEnd w:id="157"/>
      <w:bookmarkEnd w:id="158"/>
      <w:bookmarkEnd w:id="159"/>
    </w:p>
    <w:p w14:paraId="2C91223C">
      <w:pPr>
        <w:pStyle w:val="85"/>
        <w:spacing w:before="120" w:after="120"/>
      </w:pPr>
      <w:bookmarkStart w:id="160" w:name="_Toc193375324"/>
      <w:bookmarkStart w:id="161" w:name="_Toc193319110"/>
      <w:r>
        <w:t>建设规模与总体布局</w:t>
      </w:r>
      <w:bookmarkEnd w:id="160"/>
      <w:bookmarkEnd w:id="161"/>
    </w:p>
    <w:p w14:paraId="56DB318F">
      <w:pPr>
        <w:pStyle w:val="76"/>
        <w:ind w:firstLine="420"/>
      </w:pPr>
      <w:r>
        <w:rPr>
          <w:rFonts w:hint="eastAsia"/>
        </w:rPr>
        <w:t>简述地面工程建设规模与</w:t>
      </w:r>
      <w:r>
        <w:t>总体布局</w:t>
      </w:r>
      <w:r>
        <w:rPr>
          <w:rFonts w:hint="eastAsia"/>
        </w:rPr>
        <w:t>，主要</w:t>
      </w:r>
      <w:r>
        <w:t>包括：</w:t>
      </w:r>
    </w:p>
    <w:p w14:paraId="32092C04">
      <w:pPr>
        <w:pStyle w:val="194"/>
        <w:numPr>
          <w:ilvl w:val="0"/>
          <w:numId w:val="38"/>
        </w:numPr>
      </w:pPr>
      <w:r>
        <w:rPr>
          <w:rFonts w:hint="eastAsia"/>
        </w:rPr>
        <w:t>油气集输、原油处理、伴生气处理和外输的设计规模；</w:t>
      </w:r>
    </w:p>
    <w:p w14:paraId="24EA72F7">
      <w:pPr>
        <w:pStyle w:val="194"/>
        <w:numPr>
          <w:ilvl w:val="0"/>
          <w:numId w:val="35"/>
        </w:numPr>
      </w:pPr>
      <w:r>
        <w:t>布站方式、站场</w:t>
      </w:r>
      <w:r>
        <w:rPr>
          <w:rFonts w:hint="eastAsia"/>
        </w:rPr>
        <w:t>数量、站场性质、工艺系统示意图，附总体布局图</w:t>
      </w:r>
      <w:r>
        <w:t>；</w:t>
      </w:r>
    </w:p>
    <w:p w14:paraId="51493B95">
      <w:pPr>
        <w:pStyle w:val="194"/>
        <w:numPr>
          <w:ilvl w:val="0"/>
          <w:numId w:val="35"/>
        </w:numPr>
      </w:pPr>
      <w:r>
        <w:t>原油、天然气</w:t>
      </w:r>
      <w:r>
        <w:rPr>
          <w:rFonts w:hint="eastAsia"/>
        </w:rPr>
        <w:t>等产品及采出水的流向和</w:t>
      </w:r>
      <w:r>
        <w:t>外输方式</w:t>
      </w:r>
      <w:r>
        <w:rPr>
          <w:rFonts w:hint="eastAsia"/>
        </w:rPr>
        <w:t>。</w:t>
      </w:r>
    </w:p>
    <w:p w14:paraId="017F9268">
      <w:pPr>
        <w:pStyle w:val="85"/>
        <w:spacing w:before="120" w:after="120"/>
      </w:pPr>
      <w:bookmarkStart w:id="162" w:name="_Toc193375325"/>
      <w:bookmarkStart w:id="163" w:name="_Toc193319111"/>
      <w:r>
        <w:rPr>
          <w:rFonts w:hint="eastAsia"/>
        </w:rPr>
        <w:t>油气集输系统</w:t>
      </w:r>
      <w:bookmarkEnd w:id="162"/>
      <w:bookmarkEnd w:id="163"/>
    </w:p>
    <w:p w14:paraId="16205A01">
      <w:pPr>
        <w:pStyle w:val="76"/>
        <w:ind w:firstLine="420"/>
      </w:pPr>
      <w:r>
        <w:rPr>
          <w:rFonts w:hint="eastAsia"/>
        </w:rPr>
        <w:t>简述油气集输系统主要设计方案，主要包括：集输工艺技术路线、介质流向；集输工艺设计参数、工艺方案、压力级制、管网形式。</w:t>
      </w:r>
    </w:p>
    <w:p w14:paraId="72299102">
      <w:pPr>
        <w:pStyle w:val="85"/>
        <w:spacing w:before="120" w:after="120"/>
      </w:pPr>
      <w:bookmarkStart w:id="164" w:name="_Toc193375326"/>
      <w:bookmarkStart w:id="165" w:name="_Toc193319112"/>
      <w:r>
        <w:rPr>
          <w:rFonts w:hint="eastAsia"/>
        </w:rPr>
        <w:t>油气集输站场</w:t>
      </w:r>
      <w:bookmarkEnd w:id="164"/>
      <w:bookmarkEnd w:id="165"/>
    </w:p>
    <w:p w14:paraId="3FACEB5B">
      <w:pPr>
        <w:pStyle w:val="76"/>
        <w:ind w:firstLine="420"/>
      </w:pPr>
      <w:r>
        <w:rPr>
          <w:rFonts w:hint="eastAsia"/>
        </w:rPr>
        <w:t>简述油气集输站场设计方案，主要包括：站场名称、功能、设计规模、设计参数等；逐站说明站场的主要工艺流程，绘制工艺系统示意图。</w:t>
      </w:r>
    </w:p>
    <w:p w14:paraId="67CDDA66">
      <w:pPr>
        <w:pStyle w:val="85"/>
        <w:spacing w:before="120" w:after="120"/>
      </w:pPr>
      <w:bookmarkStart w:id="166" w:name="_Toc193319113"/>
      <w:bookmarkStart w:id="167" w:name="_Toc193375327"/>
      <w:r>
        <w:t>油气处理</w:t>
      </w:r>
      <w:r>
        <w:rPr>
          <w:rFonts w:hint="eastAsia"/>
        </w:rPr>
        <w:t>站场</w:t>
      </w:r>
      <w:bookmarkEnd w:id="166"/>
      <w:bookmarkEnd w:id="167"/>
    </w:p>
    <w:p w14:paraId="5F405AD0">
      <w:pPr>
        <w:pStyle w:val="76"/>
        <w:ind w:firstLine="420"/>
      </w:pPr>
      <w:r>
        <w:rPr>
          <w:rFonts w:hint="eastAsia"/>
        </w:rPr>
        <w:t>简述油气处理站场设计方案，主要包括：</w:t>
      </w:r>
    </w:p>
    <w:p w14:paraId="42E8BCA6">
      <w:pPr>
        <w:pStyle w:val="194"/>
        <w:numPr>
          <w:ilvl w:val="0"/>
          <w:numId w:val="39"/>
        </w:numPr>
      </w:pPr>
      <w:r>
        <w:rPr>
          <w:rFonts w:hint="eastAsia"/>
        </w:rPr>
        <w:t>站场名称、功能、设计规模、设计参数等；</w:t>
      </w:r>
    </w:p>
    <w:p w14:paraId="7599F309">
      <w:pPr>
        <w:pStyle w:val="194"/>
        <w:numPr>
          <w:ilvl w:val="0"/>
          <w:numId w:val="35"/>
        </w:numPr>
      </w:pPr>
      <w:r>
        <w:t>各工艺装置的处理能力、工艺方法</w:t>
      </w:r>
      <w:r>
        <w:rPr>
          <w:rFonts w:hint="eastAsia"/>
        </w:rPr>
        <w:t>、</w:t>
      </w:r>
      <w:r>
        <w:t>装置列数、运行时间等</w:t>
      </w:r>
      <w:r>
        <w:rPr>
          <w:rFonts w:hint="eastAsia"/>
        </w:rPr>
        <w:t>；</w:t>
      </w:r>
    </w:p>
    <w:p w14:paraId="2E0D8C18">
      <w:pPr>
        <w:pStyle w:val="194"/>
        <w:numPr>
          <w:ilvl w:val="0"/>
          <w:numId w:val="35"/>
        </w:numPr>
      </w:pPr>
      <w:r>
        <w:t>说明站场主要工艺流程</w:t>
      </w:r>
      <w:r>
        <w:rPr>
          <w:rFonts w:hint="eastAsia"/>
        </w:rPr>
        <w:t>，绘制工艺系统示意图。</w:t>
      </w:r>
    </w:p>
    <w:p w14:paraId="58C436E1">
      <w:pPr>
        <w:pStyle w:val="85"/>
        <w:spacing w:before="120" w:after="120"/>
      </w:pPr>
      <w:bookmarkStart w:id="168" w:name="_Toc193319114"/>
      <w:bookmarkStart w:id="169" w:name="_Toc193375328"/>
      <w:r>
        <w:t>采出水处理</w:t>
      </w:r>
      <w:bookmarkEnd w:id="168"/>
      <w:bookmarkEnd w:id="169"/>
    </w:p>
    <w:p w14:paraId="7A7A3E7C">
      <w:pPr>
        <w:pStyle w:val="76"/>
        <w:ind w:firstLine="420"/>
      </w:pPr>
      <w:r>
        <w:rPr>
          <w:rFonts w:hint="eastAsia"/>
        </w:rPr>
        <w:t>简述采出水处理系统建设规模、设备配置，绘制工艺系统示意图以及加药、采出水回收、污水污油污泥回收、放空气收集等辅助流程框图</w:t>
      </w:r>
      <w:r>
        <w:t>。</w:t>
      </w:r>
    </w:p>
    <w:p w14:paraId="3EBC18B4">
      <w:pPr>
        <w:pStyle w:val="85"/>
        <w:spacing w:before="120" w:after="120"/>
      </w:pPr>
      <w:bookmarkStart w:id="170" w:name="_Toc193375329"/>
      <w:bookmarkStart w:id="171" w:name="_Toc193319115"/>
      <w:r>
        <w:t>注入系统</w:t>
      </w:r>
      <w:bookmarkEnd w:id="170"/>
      <w:bookmarkEnd w:id="171"/>
    </w:p>
    <w:p w14:paraId="510C7C65">
      <w:pPr>
        <w:pStyle w:val="76"/>
        <w:ind w:firstLine="420"/>
      </w:pPr>
      <w:r>
        <w:rPr>
          <w:rFonts w:hint="eastAsia"/>
        </w:rPr>
        <w:t>简述注入系统设计方案，主要包括：</w:t>
      </w:r>
    </w:p>
    <w:p w14:paraId="670D01B6">
      <w:pPr>
        <w:pStyle w:val="194"/>
        <w:numPr>
          <w:ilvl w:val="0"/>
          <w:numId w:val="40"/>
        </w:numPr>
      </w:pPr>
      <w:r>
        <w:rPr>
          <w:rFonts w:hint="eastAsia"/>
        </w:rPr>
        <w:t>总体布局、注入方案、注入流程；</w:t>
      </w:r>
    </w:p>
    <w:p w14:paraId="790786D8">
      <w:pPr>
        <w:pStyle w:val="194"/>
        <w:numPr>
          <w:ilvl w:val="0"/>
          <w:numId w:val="35"/>
        </w:numPr>
      </w:pPr>
      <w:r>
        <w:rPr>
          <w:rFonts w:hint="eastAsia"/>
        </w:rPr>
        <w:t>注入站场</w:t>
      </w:r>
      <w:r>
        <w:t>功能、工艺流程、工艺</w:t>
      </w:r>
      <w:r>
        <w:rPr>
          <w:rFonts w:hint="eastAsia"/>
        </w:rPr>
        <w:t>设备配置、设计参数。</w:t>
      </w:r>
    </w:p>
    <w:p w14:paraId="30CD039B">
      <w:pPr>
        <w:pStyle w:val="85"/>
        <w:spacing w:before="120" w:after="120"/>
      </w:pPr>
      <w:bookmarkStart w:id="172" w:name="_Toc193375330"/>
      <w:bookmarkStart w:id="173" w:name="_Toc193319116"/>
      <w:r>
        <w:t>线路工程</w:t>
      </w:r>
      <w:bookmarkEnd w:id="172"/>
      <w:bookmarkEnd w:id="173"/>
    </w:p>
    <w:p w14:paraId="441023F4">
      <w:pPr>
        <w:pStyle w:val="76"/>
        <w:ind w:firstLine="420"/>
      </w:pPr>
      <w:r>
        <w:rPr>
          <w:rFonts w:hint="eastAsia"/>
        </w:rPr>
        <w:t>简述线路工程设计方案，主要包括：</w:t>
      </w:r>
    </w:p>
    <w:p w14:paraId="3A402EE4">
      <w:pPr>
        <w:pStyle w:val="194"/>
        <w:numPr>
          <w:ilvl w:val="0"/>
          <w:numId w:val="41"/>
        </w:numPr>
      </w:pPr>
      <w:r>
        <w:rPr>
          <w:rFonts w:hint="eastAsia"/>
        </w:rPr>
        <w:t>集输管道的设计范围和内容，并按表B.8列表说明管道名称、输送介质、起点、终点、设计压力、管道规格材质、线路长度</w:t>
      </w:r>
      <w:r>
        <w:t>；</w:t>
      </w:r>
    </w:p>
    <w:p w14:paraId="4B53C635">
      <w:pPr>
        <w:pStyle w:val="194"/>
        <w:numPr>
          <w:ilvl w:val="0"/>
          <w:numId w:val="35"/>
        </w:numPr>
      </w:pPr>
      <w:r>
        <w:rPr>
          <w:rFonts w:hint="eastAsia"/>
        </w:rPr>
        <w:t>按表B.9列表说明管道名称、阀室名称、里程、阀室间距、地区等级、阀室类型；</w:t>
      </w:r>
    </w:p>
    <w:p w14:paraId="67E7AFE0">
      <w:pPr>
        <w:pStyle w:val="194"/>
        <w:numPr>
          <w:ilvl w:val="0"/>
          <w:numId w:val="35"/>
        </w:numPr>
      </w:pPr>
      <w:r>
        <w:rPr>
          <w:rFonts w:hint="eastAsia"/>
        </w:rPr>
        <w:t>集输管道总体走向、管道经行政区划分、地形地貌等，并绘制总体走向示意图。</w:t>
      </w:r>
    </w:p>
    <w:p w14:paraId="3E530F4C">
      <w:pPr>
        <w:pStyle w:val="125"/>
        <w:spacing w:before="120" w:after="120"/>
      </w:pPr>
      <w:bookmarkStart w:id="174" w:name="_Toc24314"/>
      <w:bookmarkStart w:id="175" w:name="_Toc193319117"/>
      <w:bookmarkStart w:id="176" w:name="_Toc195003742"/>
      <w:bookmarkStart w:id="177" w:name="_Toc193375331"/>
      <w:r>
        <w:rPr>
          <w:rFonts w:hint="eastAsia"/>
        </w:rPr>
        <w:t>辅助生产系统和公用工程</w:t>
      </w:r>
      <w:bookmarkEnd w:id="174"/>
      <w:bookmarkEnd w:id="175"/>
      <w:bookmarkEnd w:id="176"/>
      <w:bookmarkEnd w:id="177"/>
    </w:p>
    <w:p w14:paraId="137EB82B">
      <w:pPr>
        <w:pStyle w:val="85"/>
        <w:spacing w:before="120" w:after="120"/>
      </w:pPr>
      <w:bookmarkStart w:id="178" w:name="_Toc193375332"/>
      <w:bookmarkStart w:id="179" w:name="_Toc193319118"/>
      <w:r>
        <w:rPr>
          <w:rFonts w:hint="eastAsia"/>
        </w:rPr>
        <w:t>仪表控制</w:t>
      </w:r>
      <w:bookmarkEnd w:id="178"/>
      <w:bookmarkEnd w:id="179"/>
    </w:p>
    <w:p w14:paraId="7F6C1020">
      <w:pPr>
        <w:pStyle w:val="76"/>
        <w:ind w:firstLine="420"/>
      </w:pPr>
      <w:r>
        <w:rPr>
          <w:rFonts w:hint="eastAsia"/>
        </w:rPr>
        <w:t>简述仪表控制系统设计方案，主要包括：</w:t>
      </w:r>
    </w:p>
    <w:p w14:paraId="6FB398E7">
      <w:pPr>
        <w:pStyle w:val="194"/>
        <w:numPr>
          <w:ilvl w:val="0"/>
          <w:numId w:val="42"/>
        </w:numPr>
      </w:pPr>
      <w:r>
        <w:rPr>
          <w:rFonts w:hint="eastAsia"/>
        </w:rPr>
        <w:t>自动控制水平；</w:t>
      </w:r>
    </w:p>
    <w:p w14:paraId="57FDCABB">
      <w:pPr>
        <w:pStyle w:val="194"/>
        <w:numPr>
          <w:ilvl w:val="0"/>
          <w:numId w:val="35"/>
        </w:numPr>
      </w:pPr>
      <w:r>
        <w:rPr>
          <w:rFonts w:hint="eastAsia"/>
        </w:rPr>
        <w:t>自控系统构成、数据传输方式、数据流向及网络安全系统架构；</w:t>
      </w:r>
    </w:p>
    <w:p w14:paraId="3E5748AB">
      <w:pPr>
        <w:pStyle w:val="194"/>
        <w:numPr>
          <w:ilvl w:val="0"/>
          <w:numId w:val="35"/>
        </w:numPr>
      </w:pPr>
      <w:r>
        <w:rPr>
          <w:rFonts w:hint="eastAsia"/>
        </w:rPr>
        <w:t>管道泄漏检测系统、气体检测和报警系统、火灾报警系统的设置情况。</w:t>
      </w:r>
    </w:p>
    <w:p w14:paraId="358B8EB4">
      <w:pPr>
        <w:pStyle w:val="85"/>
        <w:spacing w:before="120" w:after="120"/>
      </w:pPr>
      <w:bookmarkStart w:id="180" w:name="_Toc193319119"/>
      <w:bookmarkStart w:id="181" w:name="_Toc193375333"/>
      <w:r>
        <w:rPr>
          <w:rFonts w:hint="eastAsia"/>
        </w:rPr>
        <w:t>供配电</w:t>
      </w:r>
      <w:bookmarkEnd w:id="180"/>
      <w:bookmarkEnd w:id="181"/>
    </w:p>
    <w:p w14:paraId="45EE6D47">
      <w:pPr>
        <w:pStyle w:val="118"/>
        <w:numPr>
          <w:ilvl w:val="4"/>
          <w:numId w:val="2"/>
        </w:numPr>
        <w:spacing w:before="120" w:after="120"/>
      </w:pPr>
      <w:r>
        <w:t>用电负荷及负荷分级</w:t>
      </w:r>
    </w:p>
    <w:p w14:paraId="66E3071F">
      <w:pPr>
        <w:pStyle w:val="76"/>
        <w:ind w:firstLine="420"/>
      </w:pPr>
      <w:r>
        <w:rPr>
          <w:rFonts w:hint="eastAsia"/>
        </w:rPr>
        <w:t>说明总计算负荷，明确井场、站场用电负荷等级。</w:t>
      </w:r>
    </w:p>
    <w:p w14:paraId="2E95114C">
      <w:pPr>
        <w:pStyle w:val="118"/>
        <w:numPr>
          <w:ilvl w:val="4"/>
          <w:numId w:val="2"/>
        </w:numPr>
        <w:spacing w:before="120" w:after="120"/>
      </w:pPr>
      <w:r>
        <w:t>供</w:t>
      </w:r>
      <w:r>
        <w:rPr>
          <w:rFonts w:hint="eastAsia"/>
        </w:rPr>
        <w:t>配电</w:t>
      </w:r>
      <w:r>
        <w:t>方案</w:t>
      </w:r>
    </w:p>
    <w:p w14:paraId="27C54CB4">
      <w:pPr>
        <w:pStyle w:val="76"/>
        <w:ind w:firstLine="420"/>
      </w:pPr>
      <w:r>
        <w:rPr>
          <w:rFonts w:hint="eastAsia"/>
        </w:rPr>
        <w:t>简述电源方案、内部供配电网络结构、各级变配电所设置情况，主要包括：</w:t>
      </w:r>
    </w:p>
    <w:p w14:paraId="571C62CA">
      <w:pPr>
        <w:pStyle w:val="194"/>
        <w:numPr>
          <w:ilvl w:val="0"/>
          <w:numId w:val="43"/>
        </w:numPr>
      </w:pPr>
      <w:r>
        <w:rPr>
          <w:rFonts w:hint="eastAsia"/>
        </w:rPr>
        <w:t>外电电源位置、电压等级、回路数、供电方式、电源线路长度等；设置自备电源作为主供或第二电源时，简要说明自备电源的确定原则、型式、电压等级、装机容量、台数、运行方式等；需要设置自备电源作为重要负荷的应急电源时，简要说明应急电源配置原则；</w:t>
      </w:r>
    </w:p>
    <w:p w14:paraId="7706D192">
      <w:pPr>
        <w:pStyle w:val="194"/>
        <w:numPr>
          <w:ilvl w:val="0"/>
          <w:numId w:val="35"/>
        </w:numPr>
      </w:pPr>
      <w:r>
        <w:rPr>
          <w:rFonts w:hint="eastAsia"/>
        </w:rPr>
        <w:t>油气田内部供配电网络结构，包括各级供配电网络的电压等级、接线方式、配电线路长度及导线（电缆）规格等；</w:t>
      </w:r>
    </w:p>
    <w:p w14:paraId="5BA2C759">
      <w:pPr>
        <w:pStyle w:val="194"/>
        <w:numPr>
          <w:ilvl w:val="0"/>
          <w:numId w:val="35"/>
        </w:numPr>
      </w:pPr>
      <w:r>
        <w:t>总变电所和分变配电所位置、电压等级、建设规模、座数和型式、电气主接线方式、无功补偿及容量、变配电所自动化水平等</w:t>
      </w:r>
      <w:r>
        <w:rPr>
          <w:rFonts w:hint="eastAsia"/>
        </w:rPr>
        <w:t>；</w:t>
      </w:r>
    </w:p>
    <w:p w14:paraId="0EC67E2C">
      <w:pPr>
        <w:pStyle w:val="194"/>
        <w:numPr>
          <w:ilvl w:val="0"/>
          <w:numId w:val="35"/>
        </w:numPr>
      </w:pPr>
      <w:r>
        <w:t>设置风、光等新能源分布式发电、储能系统时，</w:t>
      </w:r>
      <w:r>
        <w:rPr>
          <w:rFonts w:hint="eastAsia"/>
        </w:rPr>
        <w:t>说明</w:t>
      </w:r>
      <w:r>
        <w:t>安装地点、容量、接入系统方案等。</w:t>
      </w:r>
    </w:p>
    <w:p w14:paraId="6FE3137B">
      <w:pPr>
        <w:pStyle w:val="85"/>
        <w:spacing w:before="120" w:after="120"/>
      </w:pPr>
      <w:bookmarkStart w:id="182" w:name="_Toc193375334"/>
      <w:bookmarkStart w:id="183" w:name="_Toc193319120"/>
      <w:r>
        <w:rPr>
          <w:rFonts w:hint="eastAsia"/>
        </w:rPr>
        <w:t>通信</w:t>
      </w:r>
      <w:bookmarkEnd w:id="182"/>
      <w:bookmarkEnd w:id="183"/>
    </w:p>
    <w:p w14:paraId="756F4A0B">
      <w:pPr>
        <w:pStyle w:val="185"/>
        <w:numPr>
          <w:ilvl w:val="4"/>
          <w:numId w:val="2"/>
        </w:numPr>
      </w:pPr>
      <w:r>
        <w:rPr>
          <w:rFonts w:hint="eastAsia"/>
        </w:rPr>
        <w:t>简述通信专用网络及公网现状，包括规划、网络现状、通信站点设备和设施现状等。改（扩）建工程说明与本工程相关的通信设施现状及其他需要说明的外部条件的工程建设界面。</w:t>
      </w:r>
    </w:p>
    <w:p w14:paraId="49788BA5">
      <w:pPr>
        <w:pStyle w:val="185"/>
        <w:numPr>
          <w:ilvl w:val="4"/>
          <w:numId w:val="2"/>
        </w:numPr>
      </w:pPr>
      <w:r>
        <w:rPr>
          <w:rFonts w:hint="eastAsia"/>
        </w:rPr>
        <w:t>简述通信业务需求、传输方向、传输方式、链路要求、系统组成、传输及通路组织方案。</w:t>
      </w:r>
    </w:p>
    <w:p w14:paraId="30921854">
      <w:pPr>
        <w:pStyle w:val="185"/>
        <w:numPr>
          <w:ilvl w:val="4"/>
          <w:numId w:val="2"/>
        </w:numPr>
      </w:pPr>
      <w:r>
        <w:rPr>
          <w:rFonts w:hint="eastAsia"/>
        </w:rPr>
        <w:t>简述数据传输系统、扩音对讲及广播系统、应急、检修（巡检）系统的功能要求及主要技术方案。</w:t>
      </w:r>
    </w:p>
    <w:p w14:paraId="6FBC0AC1">
      <w:pPr>
        <w:pStyle w:val="85"/>
        <w:spacing w:before="120" w:after="120"/>
      </w:pPr>
      <w:bookmarkStart w:id="184" w:name="_Toc193375335"/>
      <w:bookmarkStart w:id="185" w:name="_Toc193319121"/>
      <w:r>
        <w:rPr>
          <w:rFonts w:hint="eastAsia"/>
        </w:rPr>
        <w:t>给排水</w:t>
      </w:r>
      <w:bookmarkEnd w:id="184"/>
      <w:bookmarkEnd w:id="185"/>
    </w:p>
    <w:p w14:paraId="1BF58FD1">
      <w:pPr>
        <w:pStyle w:val="76"/>
        <w:ind w:firstLine="420"/>
      </w:pPr>
      <w:bookmarkStart w:id="186" w:name="_Hlk192684817"/>
      <w:r>
        <w:rPr>
          <w:rFonts w:hint="eastAsia"/>
        </w:rPr>
        <w:t>简述给水排水设计方案，主要包括：</w:t>
      </w:r>
      <w:bookmarkEnd w:id="186"/>
      <w:r>
        <w:rPr>
          <w:rFonts w:hint="eastAsia"/>
        </w:rPr>
        <w:t>供水方式、水质及供给能力；排水方式、排放标准、处置措施。</w:t>
      </w:r>
    </w:p>
    <w:p w14:paraId="369B0896">
      <w:pPr>
        <w:pStyle w:val="85"/>
        <w:spacing w:before="120" w:after="120"/>
      </w:pPr>
      <w:bookmarkStart w:id="187" w:name="_Toc193375336"/>
      <w:bookmarkStart w:id="188" w:name="_Toc193319122"/>
      <w:r>
        <w:rPr>
          <w:rFonts w:hint="eastAsia"/>
        </w:rPr>
        <w:t>热工</w:t>
      </w:r>
      <w:bookmarkEnd w:id="187"/>
      <w:bookmarkEnd w:id="188"/>
    </w:p>
    <w:p w14:paraId="74A53D27">
      <w:pPr>
        <w:pStyle w:val="76"/>
        <w:ind w:firstLine="420"/>
      </w:pPr>
      <w:r>
        <w:rPr>
          <w:rFonts w:hint="eastAsia"/>
        </w:rPr>
        <w:t>简述热力系统设计方案，主要包括：设计范围、供热系统设施、供热介质与参数；燃料种类、来源、参数、燃料供给流程及输送方式。</w:t>
      </w:r>
    </w:p>
    <w:p w14:paraId="0227F922">
      <w:pPr>
        <w:pStyle w:val="85"/>
        <w:spacing w:before="120" w:after="120"/>
      </w:pPr>
      <w:bookmarkStart w:id="189" w:name="_Toc193319123"/>
      <w:bookmarkStart w:id="190" w:name="_Toc193375337"/>
      <w:r>
        <w:rPr>
          <w:rFonts w:hint="eastAsia"/>
        </w:rPr>
        <w:t>建筑与结构</w:t>
      </w:r>
      <w:bookmarkEnd w:id="189"/>
      <w:bookmarkEnd w:id="190"/>
    </w:p>
    <w:p w14:paraId="528D397C">
      <w:pPr>
        <w:pStyle w:val="76"/>
        <w:ind w:firstLine="420"/>
      </w:pPr>
      <w:r>
        <w:rPr>
          <w:rFonts w:hint="eastAsia"/>
        </w:rPr>
        <w:t>按表B.10列表说明主要建筑物的名称、建筑面积、结构形式、层数、通风形式；按表B.11列表说明主要构筑物的名称、主要材料及做法。</w:t>
      </w:r>
    </w:p>
    <w:p w14:paraId="0EE3235E">
      <w:pPr>
        <w:pStyle w:val="85"/>
        <w:spacing w:before="120" w:after="120"/>
      </w:pPr>
      <w:bookmarkStart w:id="191" w:name="_Toc193319124"/>
      <w:bookmarkStart w:id="192" w:name="_Toc193375338"/>
      <w:r>
        <w:rPr>
          <w:rFonts w:hint="eastAsia"/>
        </w:rPr>
        <w:t>通风</w:t>
      </w:r>
      <w:bookmarkEnd w:id="191"/>
      <w:bookmarkEnd w:id="192"/>
    </w:p>
    <w:p w14:paraId="3AD0850C">
      <w:pPr>
        <w:pStyle w:val="76"/>
        <w:ind w:firstLine="420"/>
      </w:pPr>
      <w:r>
        <w:rPr>
          <w:rFonts w:hint="eastAsia"/>
        </w:rPr>
        <w:t>简述通风系统方式、防排烟系统方式。</w:t>
      </w:r>
    </w:p>
    <w:p w14:paraId="6C8CE42A">
      <w:pPr>
        <w:pStyle w:val="85"/>
        <w:spacing w:before="120" w:after="120"/>
      </w:pPr>
      <w:bookmarkStart w:id="193" w:name="_Toc193375339"/>
      <w:bookmarkStart w:id="194" w:name="_Toc193319125"/>
      <w:r>
        <w:rPr>
          <w:rFonts w:hint="eastAsia"/>
        </w:rPr>
        <w:t>总图与道路</w:t>
      </w:r>
      <w:bookmarkEnd w:id="193"/>
      <w:bookmarkEnd w:id="194"/>
    </w:p>
    <w:p w14:paraId="741A120C">
      <w:pPr>
        <w:pStyle w:val="76"/>
        <w:ind w:firstLine="420"/>
      </w:pPr>
      <w:r>
        <w:rPr>
          <w:rFonts w:hint="eastAsia"/>
        </w:rPr>
        <w:t>简述总图与道路设计方案，主要包括：</w:t>
      </w:r>
    </w:p>
    <w:p w14:paraId="27333AB1">
      <w:pPr>
        <w:pStyle w:val="194"/>
        <w:numPr>
          <w:ilvl w:val="0"/>
          <w:numId w:val="44"/>
        </w:numPr>
      </w:pPr>
      <w:r>
        <w:rPr>
          <w:rFonts w:hint="eastAsia"/>
        </w:rPr>
        <w:t>按表B.12列表说明站场名称、地理位置、功能、站场等级、性质（新建、改建、扩建）、占地面积；</w:t>
      </w:r>
    </w:p>
    <w:p w14:paraId="735F542A">
      <w:pPr>
        <w:pStyle w:val="194"/>
        <w:numPr>
          <w:ilvl w:val="0"/>
          <w:numId w:val="35"/>
        </w:numPr>
      </w:pPr>
      <w:r>
        <w:rPr>
          <w:rFonts w:hint="eastAsia"/>
        </w:rPr>
        <w:t>站外道路长度、宽度及结构层做法。</w:t>
      </w:r>
    </w:p>
    <w:p w14:paraId="2B2CD47B">
      <w:pPr>
        <w:pStyle w:val="85"/>
        <w:spacing w:before="120" w:after="120"/>
      </w:pPr>
      <w:bookmarkStart w:id="195" w:name="_Toc193319126"/>
      <w:bookmarkStart w:id="196" w:name="_Toc193375340"/>
      <w:r>
        <w:rPr>
          <w:rFonts w:hint="eastAsia"/>
        </w:rPr>
        <w:t>防腐及绝热</w:t>
      </w:r>
      <w:bookmarkEnd w:id="195"/>
      <w:bookmarkEnd w:id="196"/>
    </w:p>
    <w:p w14:paraId="71E04B05">
      <w:pPr>
        <w:pStyle w:val="185"/>
        <w:numPr>
          <w:ilvl w:val="4"/>
          <w:numId w:val="2"/>
        </w:numPr>
      </w:pPr>
      <w:r>
        <w:rPr>
          <w:rFonts w:hint="eastAsia"/>
        </w:rPr>
        <w:t>简述线路管道、站内管道、站内设备、储罐等的防腐及绝热范围。管道采用内防腐层/内衬层时，应说明管道内腐蚀控制的范围；采用缓释剂注入或腐蚀监测时，应说明缓释剂注入或腐蚀监测的位置。</w:t>
      </w:r>
    </w:p>
    <w:p w14:paraId="44AB04F0">
      <w:pPr>
        <w:pStyle w:val="185"/>
        <w:numPr>
          <w:ilvl w:val="4"/>
          <w:numId w:val="2"/>
        </w:numPr>
      </w:pPr>
      <w:r>
        <w:rPr>
          <w:rFonts w:hint="eastAsia"/>
        </w:rPr>
        <w:t>简述线路埋地管道阴极保护的范围及类型。站内埋地管道采用区域阴极保护时，应说明区域阴极保护的类型；设备和储罐内部需采用阴极保护时，应说明采用阴极保护的范围及类型。</w:t>
      </w:r>
    </w:p>
    <w:p w14:paraId="6FE94A6B">
      <w:pPr>
        <w:pStyle w:val="125"/>
        <w:spacing w:before="120" w:after="120"/>
      </w:pPr>
      <w:bookmarkStart w:id="197" w:name="_Toc195003743"/>
      <w:bookmarkStart w:id="198" w:name="_Toc193319127"/>
      <w:bookmarkStart w:id="199" w:name="_Toc193375341"/>
      <w:bookmarkStart w:id="200" w:name="_Toc21509"/>
      <w:r>
        <w:rPr>
          <w:rFonts w:hint="eastAsia"/>
        </w:rPr>
        <w:t>主要工程量</w:t>
      </w:r>
      <w:bookmarkEnd w:id="197"/>
      <w:bookmarkEnd w:id="198"/>
      <w:bookmarkEnd w:id="199"/>
      <w:bookmarkEnd w:id="200"/>
    </w:p>
    <w:p w14:paraId="63D8E5E7">
      <w:pPr>
        <w:pStyle w:val="185"/>
      </w:pPr>
      <w:bookmarkStart w:id="201" w:name="_Toc193375342"/>
      <w:bookmarkStart w:id="202" w:name="_Toc193319128"/>
      <w:r>
        <w:rPr>
          <w:rFonts w:hint="eastAsia"/>
        </w:rPr>
        <w:t>按表B.13</w:t>
      </w:r>
      <w:r>
        <w:t>列表</w:t>
      </w:r>
      <w:r>
        <w:rPr>
          <w:rFonts w:hint="eastAsia"/>
        </w:rPr>
        <w:t>说明新建、改建、扩建各类井口、生产场站、管道的数量</w:t>
      </w:r>
      <w:r>
        <w:t>等</w:t>
      </w:r>
      <w:r>
        <w:rPr>
          <w:rFonts w:hint="eastAsia"/>
        </w:rPr>
        <w:t>主要工程量。</w:t>
      </w:r>
      <w:bookmarkEnd w:id="201"/>
      <w:bookmarkEnd w:id="202"/>
    </w:p>
    <w:p w14:paraId="12F8B2A7">
      <w:pPr>
        <w:pStyle w:val="185"/>
      </w:pPr>
      <w:bookmarkStart w:id="203" w:name="_Toc193319129"/>
      <w:bookmarkStart w:id="204" w:name="_Toc193375343"/>
      <w:r>
        <w:rPr>
          <w:rFonts w:hint="eastAsia"/>
        </w:rPr>
        <w:t>按表B.14列表说明主要设备名称、规格型号、数量、主要介质和主要材料。</w:t>
      </w:r>
      <w:bookmarkEnd w:id="203"/>
      <w:bookmarkEnd w:id="204"/>
    </w:p>
    <w:p w14:paraId="69EA5B13">
      <w:pPr>
        <w:pStyle w:val="124"/>
        <w:spacing w:before="240" w:after="240"/>
      </w:pPr>
      <w:bookmarkStart w:id="205" w:name="_Toc193375344"/>
      <w:bookmarkStart w:id="206" w:name="_Toc195003744"/>
      <w:bookmarkStart w:id="207" w:name="_Toc28188"/>
      <w:bookmarkStart w:id="208" w:name="_Toc163057346"/>
      <w:bookmarkStart w:id="209" w:name="_Toc163575730"/>
      <w:r>
        <w:rPr>
          <w:rFonts w:hint="eastAsia"/>
        </w:rPr>
        <w:t>危险有害因素分析</w:t>
      </w:r>
      <w:bookmarkEnd w:id="205"/>
      <w:bookmarkEnd w:id="206"/>
      <w:bookmarkEnd w:id="207"/>
    </w:p>
    <w:p w14:paraId="5EB4E0C3">
      <w:pPr>
        <w:pStyle w:val="125"/>
        <w:spacing w:beforeLines="0" w:afterLines="0"/>
        <w:outlineLvl w:val="9"/>
        <w:rPr>
          <w:rFonts w:hint="eastAsia" w:ascii="宋体" w:hAnsi="宋体" w:eastAsia="宋体"/>
        </w:rPr>
      </w:pPr>
      <w:bookmarkStart w:id="210" w:name="_Toc193375345"/>
      <w:bookmarkStart w:id="211" w:name="_Toc8830"/>
      <w:bookmarkStart w:id="212" w:name="_Toc195003745"/>
      <w:bookmarkStart w:id="213" w:name="_Toc9825"/>
      <w:bookmarkStart w:id="214" w:name="_Toc193319131"/>
      <w:bookmarkStart w:id="215" w:name="_Toc193830409"/>
      <w:r>
        <w:rPr>
          <w:rFonts w:hint="eastAsia" w:ascii="宋体" w:hAnsi="宋体" w:eastAsia="宋体"/>
        </w:rPr>
        <w:t>说明安全预评价报告危险有害因素分析结论。</w:t>
      </w:r>
      <w:bookmarkEnd w:id="210"/>
      <w:bookmarkEnd w:id="211"/>
      <w:bookmarkEnd w:id="212"/>
      <w:bookmarkEnd w:id="213"/>
      <w:bookmarkEnd w:id="214"/>
      <w:bookmarkEnd w:id="215"/>
    </w:p>
    <w:p w14:paraId="5C1F7227">
      <w:pPr>
        <w:pStyle w:val="125"/>
        <w:spacing w:beforeLines="0" w:afterLines="0"/>
        <w:outlineLvl w:val="9"/>
        <w:rPr>
          <w:rFonts w:hint="eastAsia" w:ascii="宋体" w:hAnsi="宋体" w:eastAsia="宋体"/>
        </w:rPr>
      </w:pPr>
      <w:bookmarkStart w:id="216" w:name="_Toc10969"/>
      <w:bookmarkStart w:id="217" w:name="_Toc195003746"/>
      <w:bookmarkStart w:id="218" w:name="_Toc193375346"/>
      <w:bookmarkStart w:id="219" w:name="_Toc21344"/>
      <w:bookmarkStart w:id="220" w:name="_Toc193830410"/>
      <w:bookmarkStart w:id="221" w:name="_Toc193319132"/>
      <w:r>
        <w:rPr>
          <w:rFonts w:hint="eastAsia" w:ascii="宋体" w:hAnsi="宋体" w:eastAsia="宋体"/>
        </w:rPr>
        <w:t>若出现变更(除5.2重大变更外），应对变更部分进行危险有害因素辨识并提出安全措施，按表B.15列出设计变更情况分析表。</w:t>
      </w:r>
      <w:bookmarkEnd w:id="216"/>
      <w:bookmarkEnd w:id="217"/>
      <w:bookmarkEnd w:id="218"/>
      <w:bookmarkEnd w:id="219"/>
      <w:bookmarkEnd w:id="220"/>
      <w:bookmarkEnd w:id="221"/>
    </w:p>
    <w:p w14:paraId="3D6B2FCA">
      <w:pPr>
        <w:pStyle w:val="125"/>
        <w:spacing w:beforeLines="0" w:afterLines="0"/>
        <w:outlineLvl w:val="9"/>
        <w:rPr>
          <w:rFonts w:hint="eastAsia" w:ascii="宋体" w:hAnsi="宋体" w:eastAsia="宋体"/>
        </w:rPr>
      </w:pPr>
      <w:bookmarkStart w:id="222" w:name="_Toc20141"/>
      <w:bookmarkStart w:id="223" w:name="_Toc193375347"/>
      <w:bookmarkStart w:id="224" w:name="_Toc193319133"/>
      <w:bookmarkStart w:id="225" w:name="_Toc195003747"/>
      <w:bookmarkStart w:id="226" w:name="_Toc4304"/>
      <w:bookmarkStart w:id="227" w:name="_Toc193830411"/>
      <w:r>
        <w:rPr>
          <w:rFonts w:hint="eastAsia" w:ascii="宋体" w:hAnsi="宋体" w:eastAsia="宋体"/>
        </w:rPr>
        <w:t>对开展了HAZOP、SIL定级等研究或其他安全风险分析的站场，说明主要分析结果。</w:t>
      </w:r>
      <w:bookmarkEnd w:id="222"/>
      <w:bookmarkEnd w:id="223"/>
      <w:bookmarkEnd w:id="224"/>
      <w:bookmarkEnd w:id="225"/>
      <w:bookmarkEnd w:id="226"/>
      <w:bookmarkEnd w:id="227"/>
    </w:p>
    <w:p w14:paraId="54152841">
      <w:pPr>
        <w:pStyle w:val="125"/>
        <w:spacing w:beforeLines="0" w:afterLines="0"/>
        <w:outlineLvl w:val="9"/>
        <w:rPr>
          <w:rFonts w:hint="eastAsia" w:ascii="宋体" w:hAnsi="宋体" w:eastAsia="宋体"/>
        </w:rPr>
      </w:pPr>
      <w:bookmarkStart w:id="228" w:name="_Toc195003748"/>
      <w:bookmarkStart w:id="229" w:name="_Toc193375348"/>
      <w:bookmarkStart w:id="230" w:name="_Toc193830412"/>
      <w:bookmarkStart w:id="231" w:name="_Toc2781"/>
      <w:bookmarkStart w:id="232" w:name="_Toc193319134"/>
      <w:r>
        <w:rPr>
          <w:rFonts w:hint="eastAsia" w:ascii="宋体" w:hAnsi="宋体" w:eastAsia="宋体"/>
        </w:rPr>
        <w:t>当采用了新工艺、新技术、新材料或新设备，应对其可能产生的危险有害因素进行重点分析。</w:t>
      </w:r>
      <w:bookmarkEnd w:id="228"/>
      <w:bookmarkEnd w:id="229"/>
      <w:bookmarkEnd w:id="230"/>
      <w:bookmarkEnd w:id="231"/>
      <w:bookmarkEnd w:id="232"/>
    </w:p>
    <w:p w14:paraId="4AB63794">
      <w:pPr>
        <w:pStyle w:val="124"/>
        <w:spacing w:before="240" w:after="240"/>
      </w:pPr>
      <w:bookmarkStart w:id="233" w:name="_Toc27959"/>
      <w:bookmarkStart w:id="234" w:name="_Toc195003749"/>
      <w:bookmarkStart w:id="235" w:name="_Toc193375349"/>
      <w:r>
        <w:rPr>
          <w:rFonts w:hint="eastAsia"/>
        </w:rPr>
        <w:t>安全预评价</w:t>
      </w:r>
      <w:bookmarkEnd w:id="233"/>
      <w:r>
        <w:rPr>
          <w:rFonts w:hint="eastAsia"/>
        </w:rPr>
        <w:t>响应</w:t>
      </w:r>
      <w:bookmarkEnd w:id="234"/>
      <w:bookmarkEnd w:id="235"/>
    </w:p>
    <w:p w14:paraId="4B7F0D2B">
      <w:pPr>
        <w:pStyle w:val="125"/>
        <w:spacing w:beforeLines="0" w:afterLines="0"/>
        <w:outlineLvl w:val="9"/>
        <w:rPr>
          <w:rFonts w:hint="eastAsia" w:ascii="宋体" w:hAnsi="宋体" w:eastAsia="宋体"/>
        </w:rPr>
      </w:pPr>
      <w:bookmarkStart w:id="236" w:name="_Toc195003750"/>
      <w:bookmarkStart w:id="237" w:name="_Toc24020"/>
      <w:bookmarkStart w:id="238" w:name="_Toc193830414"/>
      <w:bookmarkStart w:id="239" w:name="_Toc193319136"/>
      <w:bookmarkStart w:id="240" w:name="_Toc193375350"/>
      <w:r>
        <w:rPr>
          <w:rFonts w:hint="eastAsia" w:ascii="宋体" w:hAnsi="宋体" w:eastAsia="宋体"/>
        </w:rPr>
        <w:t>简述安全预评价结论。</w:t>
      </w:r>
      <w:bookmarkEnd w:id="236"/>
      <w:bookmarkEnd w:id="237"/>
      <w:bookmarkEnd w:id="238"/>
      <w:bookmarkEnd w:id="239"/>
      <w:bookmarkEnd w:id="240"/>
    </w:p>
    <w:p w14:paraId="642913BE">
      <w:pPr>
        <w:pStyle w:val="125"/>
        <w:spacing w:beforeLines="0" w:afterLines="0"/>
        <w:outlineLvl w:val="9"/>
        <w:rPr>
          <w:rFonts w:hint="eastAsia" w:ascii="宋体" w:hAnsi="宋体" w:eastAsia="宋体"/>
        </w:rPr>
      </w:pPr>
      <w:bookmarkStart w:id="241" w:name="_Toc193319137"/>
      <w:bookmarkStart w:id="242" w:name="_Toc195003751"/>
      <w:bookmarkStart w:id="243" w:name="_Toc193375351"/>
      <w:bookmarkStart w:id="244" w:name="_Toc193830415"/>
      <w:bookmarkStart w:id="245" w:name="_Toc28590"/>
      <w:r>
        <w:rPr>
          <w:rFonts w:hint="eastAsia" w:ascii="宋体" w:hAnsi="宋体" w:eastAsia="宋体"/>
        </w:rPr>
        <w:t>分类列出建设项目安全预评价报告中提出的安全对策措施的采纳情况，对未采纳的或部分采纳的措施作充分论证说明。</w:t>
      </w:r>
      <w:bookmarkEnd w:id="241"/>
      <w:bookmarkEnd w:id="242"/>
      <w:bookmarkEnd w:id="243"/>
      <w:bookmarkEnd w:id="244"/>
      <w:bookmarkEnd w:id="245"/>
    </w:p>
    <w:bookmarkEnd w:id="208"/>
    <w:bookmarkEnd w:id="209"/>
    <w:p w14:paraId="16E75A29">
      <w:pPr>
        <w:pStyle w:val="124"/>
        <w:spacing w:before="240" w:after="240"/>
      </w:pPr>
      <w:bookmarkStart w:id="246" w:name="_Toc193375352"/>
      <w:bookmarkStart w:id="247" w:name="_Toc163575733"/>
      <w:bookmarkStart w:id="248" w:name="_Toc20225"/>
      <w:bookmarkStart w:id="249" w:name="_Toc195003752"/>
      <w:bookmarkStart w:id="250" w:name="_Toc163057349"/>
      <w:bookmarkStart w:id="251" w:name="_Toc163057352"/>
      <w:bookmarkStart w:id="252" w:name="_Toc163575736"/>
      <w:r>
        <w:rPr>
          <w:rFonts w:hint="eastAsia"/>
        </w:rPr>
        <w:t>区域布置及总平面布置安全措施</w:t>
      </w:r>
      <w:bookmarkEnd w:id="246"/>
      <w:bookmarkEnd w:id="247"/>
      <w:bookmarkEnd w:id="248"/>
      <w:bookmarkEnd w:id="249"/>
      <w:bookmarkEnd w:id="250"/>
    </w:p>
    <w:p w14:paraId="447A8D38">
      <w:pPr>
        <w:pStyle w:val="125"/>
        <w:spacing w:before="120" w:after="120"/>
      </w:pPr>
      <w:bookmarkStart w:id="253" w:name="_Toc193319139"/>
      <w:bookmarkStart w:id="254" w:name="_Toc195003753"/>
      <w:bookmarkStart w:id="255" w:name="_Toc29329"/>
      <w:bookmarkStart w:id="256" w:name="_Toc193375353"/>
      <w:r>
        <w:t>区域布置</w:t>
      </w:r>
      <w:bookmarkEnd w:id="253"/>
      <w:bookmarkEnd w:id="254"/>
      <w:bookmarkEnd w:id="255"/>
      <w:bookmarkEnd w:id="256"/>
    </w:p>
    <w:p w14:paraId="2C886B45">
      <w:pPr>
        <w:pStyle w:val="185"/>
      </w:pPr>
      <w:bookmarkStart w:id="257" w:name="_Toc193375354"/>
      <w:bookmarkStart w:id="258" w:name="_Toc193319140"/>
      <w:bookmarkStart w:id="259" w:name="_Toc163057351"/>
      <w:bookmarkStart w:id="260" w:name="_Toc163575735"/>
      <w:bookmarkStart w:id="261" w:name="_Toc22749"/>
      <w:r>
        <w:rPr>
          <w:rFonts w:hint="eastAsia"/>
        </w:rPr>
        <w:t>说明石油天然气站场、井场的地理位置及周边环境情况，并绘制站场区域位置图。</w:t>
      </w:r>
      <w:bookmarkEnd w:id="257"/>
      <w:bookmarkEnd w:id="258"/>
    </w:p>
    <w:p w14:paraId="08880C50">
      <w:pPr>
        <w:pStyle w:val="185"/>
      </w:pPr>
      <w:bookmarkStart w:id="262" w:name="_Toc193375355"/>
      <w:bookmarkStart w:id="263" w:name="_Toc193319141"/>
      <w:r>
        <w:t>石油天然气站场邻近城镇或居住区布置时，说明生产区与邻近城镇或居住区的风频风向的相对关系。</w:t>
      </w:r>
      <w:bookmarkEnd w:id="262"/>
      <w:bookmarkEnd w:id="263"/>
    </w:p>
    <w:p w14:paraId="664D0F29">
      <w:pPr>
        <w:pStyle w:val="185"/>
      </w:pPr>
      <w:bookmarkStart w:id="264" w:name="_Toc193319142"/>
      <w:bookmarkStart w:id="265" w:name="_Toc193375356"/>
      <w:r>
        <w:rPr>
          <w:rFonts w:hint="eastAsia"/>
        </w:rPr>
        <w:t>按照GB</w:t>
      </w:r>
      <w:r>
        <w:t xml:space="preserve"> </w:t>
      </w:r>
      <w:r>
        <w:rPr>
          <w:rFonts w:hint="eastAsia"/>
        </w:rPr>
        <w:t>50183、</w:t>
      </w:r>
      <w:r>
        <w:t xml:space="preserve">SY/T </w:t>
      </w:r>
      <w:r>
        <w:rPr>
          <w:rFonts w:hint="eastAsia"/>
        </w:rPr>
        <w:t>0048等相关要求，按表B.</w:t>
      </w:r>
      <w:r>
        <w:t>16</w:t>
      </w:r>
      <w:r>
        <w:rPr>
          <w:rFonts w:hint="eastAsia"/>
        </w:rPr>
        <w:t>列表说明站场与周边城镇、居民点、交通线、危险品仓库、爆炸作业场地、相邻厂矿企业等的外部最小允许距离的标准规范符合性。</w:t>
      </w:r>
      <w:bookmarkEnd w:id="264"/>
      <w:bookmarkEnd w:id="265"/>
    </w:p>
    <w:p w14:paraId="354B7747">
      <w:pPr>
        <w:pStyle w:val="125"/>
        <w:spacing w:before="120" w:after="120"/>
      </w:pPr>
      <w:bookmarkStart w:id="266" w:name="_Toc193375357"/>
      <w:bookmarkStart w:id="267" w:name="_Toc695"/>
      <w:bookmarkStart w:id="268" w:name="_Toc193319143"/>
      <w:bookmarkStart w:id="269" w:name="_Toc195003754"/>
      <w:r>
        <w:t>总平面布置</w:t>
      </w:r>
      <w:bookmarkEnd w:id="259"/>
      <w:bookmarkEnd w:id="260"/>
      <w:bookmarkEnd w:id="261"/>
      <w:bookmarkEnd w:id="266"/>
      <w:bookmarkEnd w:id="267"/>
      <w:bookmarkEnd w:id="268"/>
      <w:bookmarkEnd w:id="269"/>
    </w:p>
    <w:p w14:paraId="2B2BC166">
      <w:pPr>
        <w:pStyle w:val="85"/>
        <w:spacing w:before="120" w:after="120"/>
      </w:pPr>
      <w:bookmarkStart w:id="270" w:name="_Toc193319144"/>
      <w:bookmarkStart w:id="271" w:name="_Toc193375358"/>
      <w:r>
        <w:t>平面设计方案</w:t>
      </w:r>
      <w:bookmarkEnd w:id="270"/>
      <w:bookmarkEnd w:id="271"/>
    </w:p>
    <w:p w14:paraId="48A74164">
      <w:pPr>
        <w:pStyle w:val="76"/>
        <w:ind w:firstLine="420"/>
      </w:pPr>
      <w:r>
        <w:t>按照GB 50183、</w:t>
      </w:r>
      <w:r>
        <w:rPr>
          <w:rFonts w:hint="eastAsia"/>
        </w:rPr>
        <w:t>SY/T 0048等相关要求</w:t>
      </w:r>
      <w:r>
        <w:t>，说明站场内各装置</w:t>
      </w:r>
      <w:r>
        <w:rPr>
          <w:rFonts w:hint="eastAsia"/>
        </w:rPr>
        <w:t>、</w:t>
      </w:r>
      <w:r>
        <w:t>设施布置的安全</w:t>
      </w:r>
      <w:r>
        <w:rPr>
          <w:rFonts w:hint="eastAsia"/>
        </w:rPr>
        <w:t>措施</w:t>
      </w:r>
      <w:r>
        <w:t>，主要包括：</w:t>
      </w:r>
    </w:p>
    <w:p w14:paraId="53848347">
      <w:pPr>
        <w:pStyle w:val="194"/>
        <w:numPr>
          <w:ilvl w:val="0"/>
          <w:numId w:val="45"/>
        </w:numPr>
      </w:pPr>
      <w:r>
        <w:t>总平面布置</w:t>
      </w:r>
      <w:r>
        <w:rPr>
          <w:rFonts w:hint="eastAsia"/>
        </w:rPr>
        <w:t>分区布置情况，各分区之间的风频风向的相对关系</w:t>
      </w:r>
      <w:r>
        <w:t>；</w:t>
      </w:r>
    </w:p>
    <w:p w14:paraId="1DAD0E7E">
      <w:pPr>
        <w:pStyle w:val="194"/>
        <w:numPr>
          <w:ilvl w:val="0"/>
          <w:numId w:val="35"/>
        </w:numPr>
      </w:pPr>
      <w:r>
        <w:rPr>
          <w:rFonts w:hint="eastAsia"/>
        </w:rPr>
        <w:t>按表B.17</w:t>
      </w:r>
      <w:r>
        <w:t>列表说明站场内主要设施</w:t>
      </w:r>
      <w:r>
        <w:rPr>
          <w:rFonts w:hint="eastAsia"/>
        </w:rPr>
        <w:t>、储罐组</w:t>
      </w:r>
      <w:r>
        <w:t>防火间距及标准规范</w:t>
      </w:r>
      <w:r>
        <w:rPr>
          <w:rFonts w:hint="eastAsia"/>
        </w:rPr>
        <w:t>的</w:t>
      </w:r>
      <w:r>
        <w:t>符合情况</w:t>
      </w:r>
      <w:r>
        <w:rPr>
          <w:rFonts w:hint="eastAsia"/>
        </w:rPr>
        <w:t>；</w:t>
      </w:r>
    </w:p>
    <w:p w14:paraId="1311A722">
      <w:pPr>
        <w:pStyle w:val="194"/>
        <w:numPr>
          <w:ilvl w:val="0"/>
          <w:numId w:val="35"/>
        </w:numPr>
      </w:pPr>
      <w:r>
        <w:rPr>
          <w:rFonts w:hint="eastAsia"/>
        </w:rPr>
        <w:t>储罐组储罐布置、防火堤/防护堤设置等规范符合性；</w:t>
      </w:r>
    </w:p>
    <w:p w14:paraId="27456F09">
      <w:pPr>
        <w:pStyle w:val="194"/>
        <w:numPr>
          <w:ilvl w:val="0"/>
          <w:numId w:val="35"/>
        </w:numPr>
      </w:pPr>
      <w:r>
        <w:rPr>
          <w:rFonts w:hint="eastAsia"/>
        </w:rPr>
        <w:t>沙漠地区的石油天然气站场采取的防风固沙等措施。</w:t>
      </w:r>
    </w:p>
    <w:p w14:paraId="2DC18224">
      <w:pPr>
        <w:pStyle w:val="85"/>
        <w:spacing w:before="120" w:after="120"/>
      </w:pPr>
      <w:bookmarkStart w:id="272" w:name="_Toc193319145"/>
      <w:bookmarkStart w:id="273" w:name="_Toc193375359"/>
      <w:r>
        <w:t>竖向设计方案</w:t>
      </w:r>
      <w:bookmarkEnd w:id="272"/>
      <w:bookmarkEnd w:id="273"/>
    </w:p>
    <w:p w14:paraId="73AA58B2">
      <w:pPr>
        <w:pStyle w:val="76"/>
        <w:ind w:firstLine="420"/>
      </w:pPr>
      <w:r>
        <w:rPr>
          <w:rFonts w:hint="eastAsia"/>
        </w:rPr>
        <w:t>按照GB 50025、GB 50112、GB/T 50942、SY/T 0048等相关要求，</w:t>
      </w:r>
      <w:r>
        <w:t>说明站场所在位置自然地形情况及竖向设计的安全</w:t>
      </w:r>
      <w:r>
        <w:rPr>
          <w:rFonts w:hint="eastAsia"/>
        </w:rPr>
        <w:t>措施</w:t>
      </w:r>
      <w:r>
        <w:t>，主要包括：</w:t>
      </w:r>
    </w:p>
    <w:p w14:paraId="691998A7">
      <w:pPr>
        <w:pStyle w:val="194"/>
        <w:numPr>
          <w:ilvl w:val="0"/>
          <w:numId w:val="46"/>
        </w:numPr>
      </w:pPr>
      <w:r>
        <w:rPr>
          <w:rFonts w:hint="eastAsia"/>
        </w:rPr>
        <w:t>站场、井场等竖向设计的设计依据及采取的支挡护措施；</w:t>
      </w:r>
    </w:p>
    <w:p w14:paraId="16021F67">
      <w:pPr>
        <w:pStyle w:val="194"/>
        <w:numPr>
          <w:ilvl w:val="0"/>
          <w:numId w:val="35"/>
        </w:numPr>
      </w:pPr>
      <w:r>
        <w:rPr>
          <w:rFonts w:hint="eastAsia"/>
        </w:rPr>
        <w:t>采用阶梯式竖向设计时，说明为防止泄漏的可燃液体在阶梯间漫流以及流向站外工业、民用建筑或其他重要设施的区域所采取有效措施；</w:t>
      </w:r>
    </w:p>
    <w:p w14:paraId="6A7B7900">
      <w:pPr>
        <w:pStyle w:val="194"/>
        <w:numPr>
          <w:ilvl w:val="0"/>
          <w:numId w:val="35"/>
        </w:numPr>
      </w:pPr>
      <w:r>
        <w:rPr>
          <w:rFonts w:hint="eastAsia"/>
        </w:rPr>
        <w:t>站场防洪标准及其竖向设计的符合性；</w:t>
      </w:r>
    </w:p>
    <w:p w14:paraId="1DDDD2E3">
      <w:pPr>
        <w:pStyle w:val="194"/>
        <w:numPr>
          <w:ilvl w:val="0"/>
          <w:numId w:val="35"/>
        </w:numPr>
      </w:pPr>
      <w:r>
        <w:rPr>
          <w:rFonts w:hint="eastAsia"/>
        </w:rPr>
        <w:t>站场所在区域存在湿陷性黄土、膨胀土、盐渍土等特殊地质情况时，说明竖向设计对特殊地质采取的措施。</w:t>
      </w:r>
    </w:p>
    <w:p w14:paraId="61F018CB">
      <w:pPr>
        <w:pStyle w:val="85"/>
        <w:spacing w:before="120" w:after="120"/>
      </w:pPr>
      <w:bookmarkStart w:id="274" w:name="_Toc193375360"/>
      <w:bookmarkStart w:id="275" w:name="_Toc193319146"/>
      <w:r>
        <w:t>安全通道</w:t>
      </w:r>
      <w:bookmarkEnd w:id="274"/>
      <w:bookmarkEnd w:id="275"/>
    </w:p>
    <w:p w14:paraId="52F404C7">
      <w:pPr>
        <w:pStyle w:val="76"/>
        <w:ind w:firstLine="420"/>
      </w:pPr>
      <w:r>
        <w:t>说明站场消防道路及出入口设置情况，主要包括：</w:t>
      </w:r>
    </w:p>
    <w:p w14:paraId="766828BF">
      <w:pPr>
        <w:pStyle w:val="194"/>
        <w:numPr>
          <w:ilvl w:val="0"/>
          <w:numId w:val="47"/>
        </w:numPr>
      </w:pPr>
      <w:r>
        <w:t>站场内消防车道宽度、转弯半径、净空高度、回车场地等消防通道适应性；</w:t>
      </w:r>
    </w:p>
    <w:p w14:paraId="14F01B27">
      <w:pPr>
        <w:pStyle w:val="194"/>
        <w:numPr>
          <w:ilvl w:val="0"/>
          <w:numId w:val="35"/>
        </w:numPr>
      </w:pPr>
      <w:r>
        <w:t>安全疏散通道及出口设置情况。</w:t>
      </w:r>
    </w:p>
    <w:p w14:paraId="5A4E7312">
      <w:pPr>
        <w:pStyle w:val="124"/>
        <w:spacing w:before="240" w:after="240"/>
      </w:pPr>
      <w:bookmarkStart w:id="276" w:name="_Toc193375361"/>
      <w:bookmarkStart w:id="277" w:name="_Toc25462"/>
      <w:bookmarkStart w:id="278" w:name="_Toc195003755"/>
      <w:r>
        <w:rPr>
          <w:rFonts w:hint="eastAsia"/>
        </w:rPr>
        <w:t>工艺系统安全措施</w:t>
      </w:r>
      <w:bookmarkEnd w:id="251"/>
      <w:bookmarkEnd w:id="252"/>
      <w:bookmarkEnd w:id="276"/>
      <w:bookmarkEnd w:id="277"/>
      <w:bookmarkEnd w:id="278"/>
      <w:bookmarkStart w:id="279" w:name="_Toc163057353"/>
      <w:bookmarkStart w:id="280" w:name="_Toc163575737"/>
    </w:p>
    <w:bookmarkEnd w:id="279"/>
    <w:bookmarkEnd w:id="280"/>
    <w:p w14:paraId="0EA15375">
      <w:pPr>
        <w:pStyle w:val="125"/>
        <w:spacing w:before="120" w:after="120"/>
      </w:pPr>
      <w:bookmarkStart w:id="281" w:name="_Toc193375362"/>
      <w:bookmarkStart w:id="282" w:name="_Toc195003756"/>
      <w:bookmarkStart w:id="283" w:name="_Toc193319148"/>
      <w:bookmarkStart w:id="284" w:name="_Toc18579"/>
      <w:r>
        <w:t>油气集输</w:t>
      </w:r>
      <w:bookmarkEnd w:id="281"/>
      <w:bookmarkEnd w:id="282"/>
      <w:bookmarkEnd w:id="283"/>
      <w:bookmarkEnd w:id="284"/>
    </w:p>
    <w:p w14:paraId="5E0B61C7">
      <w:pPr>
        <w:pStyle w:val="85"/>
        <w:spacing w:before="120" w:after="120"/>
      </w:pPr>
      <w:bookmarkStart w:id="285" w:name="_Toc193319149"/>
      <w:bookmarkStart w:id="286" w:name="_Toc193375363"/>
      <w:r>
        <w:rPr>
          <w:rFonts w:hint="eastAsia"/>
        </w:rPr>
        <w:t>集输管道</w:t>
      </w:r>
      <w:bookmarkEnd w:id="285"/>
      <w:bookmarkEnd w:id="286"/>
    </w:p>
    <w:p w14:paraId="75B30AEC">
      <w:pPr>
        <w:pStyle w:val="76"/>
        <w:ind w:firstLine="420"/>
      </w:pPr>
      <w:r>
        <w:rPr>
          <w:rFonts w:hint="eastAsia"/>
        </w:rPr>
        <w:t>按照G</w:t>
      </w:r>
      <w:r>
        <w:t>B 50183</w:t>
      </w:r>
      <w:r>
        <w:rPr>
          <w:rFonts w:hint="eastAsia"/>
        </w:rPr>
        <w:t>、GB 50349、GB 50350等相关要求，说明油气集输管道采取的工艺安全措施，主要包括：</w:t>
      </w:r>
    </w:p>
    <w:p w14:paraId="70B6F4B2">
      <w:pPr>
        <w:pStyle w:val="194"/>
        <w:numPr>
          <w:ilvl w:val="0"/>
          <w:numId w:val="48"/>
        </w:numPr>
      </w:pPr>
      <w:r>
        <w:rPr>
          <w:rFonts w:hint="eastAsia"/>
        </w:rPr>
        <w:t>原油集输管道的防凝、防</w:t>
      </w:r>
      <w:r>
        <w:t>水击</w:t>
      </w:r>
      <w:r>
        <w:rPr>
          <w:rFonts w:hint="eastAsia"/>
        </w:rPr>
        <w:t>、防高点拉空</w:t>
      </w:r>
      <w:r>
        <w:t>等</w:t>
      </w:r>
      <w:r>
        <w:rPr>
          <w:rFonts w:hint="eastAsia"/>
        </w:rPr>
        <w:t>的安全防护措施</w:t>
      </w:r>
      <w:r>
        <w:t>；</w:t>
      </w:r>
    </w:p>
    <w:p w14:paraId="35D63F56">
      <w:pPr>
        <w:pStyle w:val="194"/>
        <w:numPr>
          <w:ilvl w:val="0"/>
          <w:numId w:val="35"/>
        </w:numPr>
      </w:pPr>
      <w:r>
        <w:rPr>
          <w:rFonts w:hint="eastAsia"/>
        </w:rPr>
        <w:t>轻烃管道防气蚀、防</w:t>
      </w:r>
      <w:r>
        <w:t>水击</w:t>
      </w:r>
      <w:r>
        <w:rPr>
          <w:rFonts w:hint="eastAsia"/>
        </w:rPr>
        <w:t>等的安全防护措施；</w:t>
      </w:r>
    </w:p>
    <w:p w14:paraId="774884A8">
      <w:pPr>
        <w:pStyle w:val="194"/>
        <w:numPr>
          <w:ilvl w:val="0"/>
          <w:numId w:val="35"/>
        </w:numPr>
      </w:pPr>
      <w:r>
        <w:rPr>
          <w:rFonts w:hint="eastAsia"/>
        </w:rPr>
        <w:t>天然气集输管道的防冻、防凝等安全防护措施。</w:t>
      </w:r>
    </w:p>
    <w:p w14:paraId="341606A3">
      <w:pPr>
        <w:pStyle w:val="85"/>
        <w:spacing w:before="120" w:after="120"/>
      </w:pPr>
      <w:bookmarkStart w:id="287" w:name="_Toc193375364"/>
      <w:bookmarkStart w:id="288" w:name="_Toc193319150"/>
      <w:r>
        <w:rPr>
          <w:rFonts w:hint="eastAsia"/>
        </w:rPr>
        <w:t>集输站场</w:t>
      </w:r>
      <w:bookmarkEnd w:id="287"/>
      <w:bookmarkEnd w:id="288"/>
    </w:p>
    <w:p w14:paraId="4C095A61">
      <w:pPr>
        <w:pStyle w:val="76"/>
        <w:ind w:firstLine="420"/>
      </w:pPr>
      <w:bookmarkStart w:id="289" w:name="OLE_LINK2"/>
      <w:r>
        <w:rPr>
          <w:rFonts w:hint="eastAsia"/>
        </w:rPr>
        <w:t>按照G</w:t>
      </w:r>
      <w:r>
        <w:t>B 50183</w:t>
      </w:r>
      <w:r>
        <w:rPr>
          <w:rFonts w:hint="eastAsia"/>
        </w:rPr>
        <w:t>、GB 50349、GB 50350、AQ 3053等相关要求，说明井场、站场采取的工艺安全措施，主要包括：</w:t>
      </w:r>
    </w:p>
    <w:bookmarkEnd w:id="289"/>
    <w:p w14:paraId="1DDD19CD">
      <w:pPr>
        <w:pStyle w:val="194"/>
        <w:numPr>
          <w:ilvl w:val="0"/>
          <w:numId w:val="49"/>
        </w:numPr>
      </w:pPr>
      <w:bookmarkStart w:id="290" w:name="_Toc26978"/>
      <w:r>
        <w:rPr>
          <w:rFonts w:hint="eastAsia"/>
        </w:rPr>
        <w:t>工艺运行参数（压力、温度、流量、液位等）超出限定值时的报警及安全联锁调节、保护措施；</w:t>
      </w:r>
    </w:p>
    <w:p w14:paraId="463389CA">
      <w:pPr>
        <w:pStyle w:val="194"/>
        <w:numPr>
          <w:ilvl w:val="0"/>
          <w:numId w:val="35"/>
        </w:numPr>
      </w:pPr>
      <w:r>
        <w:rPr>
          <w:rFonts w:hint="eastAsia"/>
        </w:rPr>
        <w:t>紧急截断、紧急停车、安全泄放等非正常工况下系统采取的防超压措施；</w:t>
      </w:r>
    </w:p>
    <w:p w14:paraId="4239ECB0">
      <w:pPr>
        <w:pStyle w:val="194"/>
        <w:numPr>
          <w:ilvl w:val="0"/>
          <w:numId w:val="35"/>
        </w:numPr>
      </w:pPr>
      <w:r>
        <w:rPr>
          <w:rFonts w:hint="eastAsia"/>
        </w:rPr>
        <w:t>按表B.18列表说明安全阀、BDV安装位置、规格、设计压力、整定压力等参数，封闭液体管道安全阀设置情况；</w:t>
      </w:r>
    </w:p>
    <w:p w14:paraId="433A01C4">
      <w:pPr>
        <w:pStyle w:val="194"/>
        <w:numPr>
          <w:ilvl w:val="0"/>
          <w:numId w:val="35"/>
        </w:numPr>
      </w:pPr>
      <w:r>
        <w:rPr>
          <w:rFonts w:hint="eastAsia"/>
        </w:rPr>
        <w:t>管道及设备采取的防凝、防冻堵措施；</w:t>
      </w:r>
    </w:p>
    <w:p w14:paraId="23629046">
      <w:pPr>
        <w:pStyle w:val="194"/>
        <w:numPr>
          <w:ilvl w:val="0"/>
          <w:numId w:val="35"/>
        </w:numPr>
      </w:pPr>
      <w:r>
        <w:rPr>
          <w:rFonts w:hint="eastAsia"/>
        </w:rPr>
        <w:t>对可能发生冻堵的井口防冻降凝措施；</w:t>
      </w:r>
    </w:p>
    <w:p w14:paraId="17459FA1">
      <w:pPr>
        <w:pStyle w:val="194"/>
        <w:numPr>
          <w:ilvl w:val="0"/>
          <w:numId w:val="35"/>
        </w:numPr>
      </w:pPr>
      <w:r>
        <w:rPr>
          <w:rFonts w:hint="eastAsia"/>
        </w:rPr>
        <w:t>采出井流物中含有腐蚀性介质时采取的腐蚀监测及控制措施；</w:t>
      </w:r>
    </w:p>
    <w:p w14:paraId="6509A0ED">
      <w:pPr>
        <w:pStyle w:val="194"/>
        <w:numPr>
          <w:ilvl w:val="0"/>
          <w:numId w:val="35"/>
        </w:numPr>
      </w:pPr>
      <w:r>
        <w:rPr>
          <w:rFonts w:hint="eastAsia"/>
        </w:rPr>
        <w:t>采气井口有节流时的超压保护措施。</w:t>
      </w:r>
    </w:p>
    <w:bookmarkEnd w:id="290"/>
    <w:p w14:paraId="3D6FA234">
      <w:pPr>
        <w:pStyle w:val="125"/>
        <w:spacing w:before="120" w:after="120"/>
      </w:pPr>
      <w:bookmarkStart w:id="291" w:name="_Toc4702"/>
      <w:bookmarkStart w:id="292" w:name="_Toc193375365"/>
      <w:bookmarkStart w:id="293" w:name="_Toc193319151"/>
      <w:bookmarkStart w:id="294" w:name="_Toc195003757"/>
      <w:r>
        <w:rPr>
          <w:rFonts w:hint="eastAsia"/>
        </w:rPr>
        <w:t>油气处理</w:t>
      </w:r>
      <w:bookmarkEnd w:id="291"/>
      <w:r>
        <w:rPr>
          <w:rFonts w:hint="eastAsia"/>
        </w:rPr>
        <w:t>及储运</w:t>
      </w:r>
      <w:bookmarkEnd w:id="292"/>
      <w:bookmarkEnd w:id="293"/>
      <w:bookmarkEnd w:id="294"/>
    </w:p>
    <w:p w14:paraId="7EAE7343">
      <w:pPr>
        <w:pStyle w:val="85"/>
        <w:spacing w:before="120" w:after="120"/>
      </w:pPr>
      <w:bookmarkStart w:id="295" w:name="_Toc193319152"/>
      <w:bookmarkStart w:id="296" w:name="_Toc193375366"/>
      <w:r>
        <w:rPr>
          <w:rFonts w:hint="eastAsia"/>
        </w:rPr>
        <w:t>原油处理及储运</w:t>
      </w:r>
      <w:bookmarkEnd w:id="295"/>
      <w:bookmarkEnd w:id="296"/>
    </w:p>
    <w:p w14:paraId="0588D165">
      <w:pPr>
        <w:pStyle w:val="76"/>
        <w:ind w:firstLine="420"/>
      </w:pPr>
      <w:r>
        <w:rPr>
          <w:rFonts w:hint="eastAsia"/>
        </w:rPr>
        <w:t>按照G</w:t>
      </w:r>
      <w:r>
        <w:t>B 50183</w:t>
      </w:r>
      <w:r>
        <w:rPr>
          <w:rFonts w:hint="eastAsia"/>
        </w:rPr>
        <w:t>、GB 50350等相关要求，分站说明站场原油处理采取的工艺安全措施，主要包括：</w:t>
      </w:r>
    </w:p>
    <w:p w14:paraId="6CD5D380">
      <w:pPr>
        <w:pStyle w:val="194"/>
        <w:numPr>
          <w:ilvl w:val="0"/>
          <w:numId w:val="50"/>
        </w:numPr>
      </w:pPr>
      <w:r>
        <w:rPr>
          <w:rFonts w:hint="eastAsia"/>
        </w:rPr>
        <w:t>工艺运行参数（压力、温度、流量、液位等）超出限定值时的报警及安全联锁调节、保护措施；</w:t>
      </w:r>
    </w:p>
    <w:p w14:paraId="621FBE19">
      <w:pPr>
        <w:pStyle w:val="194"/>
        <w:numPr>
          <w:ilvl w:val="0"/>
          <w:numId w:val="35"/>
        </w:numPr>
      </w:pPr>
      <w:r>
        <w:rPr>
          <w:rFonts w:hint="eastAsia"/>
        </w:rPr>
        <w:t>非正常工况下系统采取的安全措施，包括紧急截断、紧急停车、安全泄放等；</w:t>
      </w:r>
    </w:p>
    <w:p w14:paraId="76CCB4CC">
      <w:pPr>
        <w:pStyle w:val="194"/>
        <w:numPr>
          <w:ilvl w:val="0"/>
          <w:numId w:val="35"/>
        </w:numPr>
      </w:pPr>
      <w:r>
        <w:rPr>
          <w:rFonts w:hint="eastAsia"/>
        </w:rPr>
        <w:t>按表B.18列表说明安全阀、BDV安装位置、规格、设计压力、整定压力等参数，封闭液体管道安全阀设置情况；</w:t>
      </w:r>
    </w:p>
    <w:p w14:paraId="2640EFA5">
      <w:pPr>
        <w:pStyle w:val="194"/>
        <w:numPr>
          <w:ilvl w:val="0"/>
          <w:numId w:val="35"/>
        </w:numPr>
      </w:pPr>
      <w:r>
        <w:rPr>
          <w:rFonts w:hint="eastAsia"/>
        </w:rPr>
        <w:t>存贮稳定原油、甲</w:t>
      </w:r>
      <w:r>
        <w:rPr>
          <w:rFonts w:hint="eastAsia"/>
          <w:vertAlign w:val="subscript"/>
        </w:rPr>
        <w:t>B</w:t>
      </w:r>
      <w:r>
        <w:rPr>
          <w:rFonts w:hint="eastAsia"/>
        </w:rPr>
        <w:t>、乙</w:t>
      </w:r>
      <w:r>
        <w:rPr>
          <w:rFonts w:hint="eastAsia"/>
          <w:vertAlign w:val="subscript"/>
        </w:rPr>
        <w:t>A</w:t>
      </w:r>
      <w:r>
        <w:rPr>
          <w:rFonts w:hint="eastAsia"/>
        </w:rPr>
        <w:t>类油品、不稳定原油储罐的类型及罐顶呼吸阀、阻火器、液压安全阀设置数量及参数；</w:t>
      </w:r>
    </w:p>
    <w:p w14:paraId="24365865">
      <w:pPr>
        <w:pStyle w:val="194"/>
        <w:numPr>
          <w:ilvl w:val="0"/>
          <w:numId w:val="35"/>
        </w:numPr>
      </w:pPr>
      <w:r>
        <w:rPr>
          <w:rFonts w:hint="eastAsia"/>
        </w:rPr>
        <w:t>油罐烃蒸气回收采取的防含氧超标、储罐抽空、管线冻堵等措施；</w:t>
      </w:r>
    </w:p>
    <w:p w14:paraId="53E9F128">
      <w:pPr>
        <w:pStyle w:val="194"/>
        <w:numPr>
          <w:ilvl w:val="0"/>
          <w:numId w:val="35"/>
        </w:numPr>
      </w:pPr>
      <w:r>
        <w:rPr>
          <w:rFonts w:hint="eastAsia"/>
        </w:rPr>
        <w:t>负压原油稳定装置的负压系统防止空气进入系统的措施；</w:t>
      </w:r>
    </w:p>
    <w:p w14:paraId="50D57CE6">
      <w:pPr>
        <w:pStyle w:val="194"/>
        <w:numPr>
          <w:ilvl w:val="0"/>
          <w:numId w:val="35"/>
        </w:numPr>
      </w:pPr>
      <w:r>
        <w:rPr>
          <w:rFonts w:hint="eastAsia"/>
        </w:rPr>
        <w:t>顶部敞口装车的甲</w:t>
      </w:r>
      <w:r>
        <w:rPr>
          <w:rFonts w:hint="eastAsia"/>
          <w:vertAlign w:val="subscript"/>
        </w:rPr>
        <w:t>B</w:t>
      </w:r>
      <w:r>
        <w:rPr>
          <w:rFonts w:hint="eastAsia"/>
        </w:rPr>
        <w:t>、乙类油品采用的鹤管形式；</w:t>
      </w:r>
    </w:p>
    <w:p w14:paraId="29255694">
      <w:pPr>
        <w:pStyle w:val="194"/>
        <w:numPr>
          <w:ilvl w:val="0"/>
          <w:numId w:val="35"/>
        </w:numPr>
      </w:pPr>
      <w:r>
        <w:rPr>
          <w:rFonts w:hint="eastAsia"/>
        </w:rPr>
        <w:t>管道及设备采取的防凝、防冻堵措施。</w:t>
      </w:r>
    </w:p>
    <w:p w14:paraId="18772922">
      <w:pPr>
        <w:pStyle w:val="85"/>
        <w:spacing w:before="120" w:after="120"/>
      </w:pPr>
      <w:bookmarkStart w:id="297" w:name="_Toc193319153"/>
      <w:bookmarkStart w:id="298" w:name="_Toc193375367"/>
      <w:r>
        <w:rPr>
          <w:rFonts w:hint="eastAsia"/>
        </w:rPr>
        <w:t>天然气处理及储运</w:t>
      </w:r>
      <w:bookmarkEnd w:id="297"/>
      <w:bookmarkEnd w:id="298"/>
    </w:p>
    <w:p w14:paraId="2E71CE20">
      <w:pPr>
        <w:pStyle w:val="76"/>
        <w:ind w:firstLine="420"/>
      </w:pPr>
      <w:r>
        <w:rPr>
          <w:rFonts w:hint="eastAsia"/>
        </w:rPr>
        <w:t>按照G</w:t>
      </w:r>
      <w:r>
        <w:t>B 50183</w:t>
      </w:r>
      <w:r>
        <w:rPr>
          <w:rFonts w:hint="eastAsia"/>
        </w:rPr>
        <w:t>、GB 50349、GB 50350、GB/T 51248等相关要求，分站说明井场、站场采取的工艺安全措施，主要包括：</w:t>
      </w:r>
    </w:p>
    <w:p w14:paraId="5EFD741F">
      <w:pPr>
        <w:pStyle w:val="194"/>
        <w:numPr>
          <w:ilvl w:val="0"/>
          <w:numId w:val="51"/>
        </w:numPr>
      </w:pPr>
      <w:r>
        <w:rPr>
          <w:rFonts w:hint="eastAsia"/>
        </w:rPr>
        <w:t>脱硫（脱碳）、脱水、凝液回收、凝析油处理、天然气液化、硫磺回收、尾气处理、二氧化碳回收、提氦、脱汞等装置工艺运行参数（压力、温度、流量、液位等）控制、超出限定值时的报警和安全联锁等保护措施；</w:t>
      </w:r>
    </w:p>
    <w:p w14:paraId="3C5CA294">
      <w:pPr>
        <w:pStyle w:val="194"/>
        <w:numPr>
          <w:ilvl w:val="0"/>
          <w:numId w:val="35"/>
        </w:numPr>
      </w:pPr>
      <w:r>
        <w:rPr>
          <w:rFonts w:hint="eastAsia"/>
        </w:rPr>
        <w:t>紧急截断、紧急停车、安全泄放等非正常工况下安全措施；</w:t>
      </w:r>
    </w:p>
    <w:p w14:paraId="48D5CF06">
      <w:pPr>
        <w:pStyle w:val="194"/>
        <w:numPr>
          <w:ilvl w:val="0"/>
          <w:numId w:val="35"/>
        </w:numPr>
      </w:pPr>
      <w:r>
        <w:rPr>
          <w:rFonts w:hint="eastAsia"/>
        </w:rPr>
        <w:t>按表B.18列表说明安全阀、BDV的安装位置、规格、设计压力、设定压力等参数；</w:t>
      </w:r>
    </w:p>
    <w:p w14:paraId="4D73E90E">
      <w:pPr>
        <w:pStyle w:val="194"/>
        <w:numPr>
          <w:ilvl w:val="0"/>
          <w:numId w:val="35"/>
        </w:numPr>
      </w:pPr>
      <w:r>
        <w:rPr>
          <w:rFonts w:hint="eastAsia"/>
        </w:rPr>
        <w:t>管道及设备采取的防应力开裂、防凝、防冻堵、防超温、防气化、防堵塞、防泄漏等措施；</w:t>
      </w:r>
    </w:p>
    <w:p w14:paraId="72C089B0">
      <w:pPr>
        <w:pStyle w:val="194"/>
        <w:numPr>
          <w:ilvl w:val="0"/>
          <w:numId w:val="35"/>
        </w:numPr>
      </w:pPr>
      <w:r>
        <w:rPr>
          <w:rFonts w:hint="eastAsia"/>
        </w:rPr>
        <w:t>含有毒介质的放空和排污，应根据毒性介质的排放限制要求说明采取的毒性消减或防控措施；</w:t>
      </w:r>
    </w:p>
    <w:p w14:paraId="5F6F0957">
      <w:pPr>
        <w:pStyle w:val="194"/>
        <w:numPr>
          <w:ilvl w:val="0"/>
          <w:numId w:val="35"/>
        </w:numPr>
      </w:pPr>
      <w:r>
        <w:rPr>
          <w:rFonts w:hint="eastAsia"/>
        </w:rPr>
        <w:t>天然气凝液及液化石油气储罐排水口和切水装置采取的防冻措施；</w:t>
      </w:r>
    </w:p>
    <w:p w14:paraId="41C637BB">
      <w:pPr>
        <w:pStyle w:val="194"/>
        <w:numPr>
          <w:ilvl w:val="0"/>
          <w:numId w:val="35"/>
        </w:numPr>
      </w:pPr>
      <w:r>
        <w:rPr>
          <w:rFonts w:hint="eastAsia"/>
        </w:rPr>
        <w:t>低温储罐抗低温措施。</w:t>
      </w:r>
    </w:p>
    <w:p w14:paraId="6C54D4B3">
      <w:pPr>
        <w:pStyle w:val="125"/>
        <w:spacing w:before="120" w:after="120"/>
      </w:pPr>
      <w:bookmarkStart w:id="299" w:name="_Toc193375368"/>
      <w:bookmarkStart w:id="300" w:name="_Toc195003758"/>
      <w:bookmarkStart w:id="301" w:name="_Toc23558"/>
      <w:bookmarkStart w:id="302" w:name="_Toc193319154"/>
      <w:r>
        <w:t>水处理工艺</w:t>
      </w:r>
      <w:bookmarkEnd w:id="299"/>
      <w:bookmarkEnd w:id="300"/>
      <w:bookmarkEnd w:id="301"/>
      <w:bookmarkEnd w:id="302"/>
    </w:p>
    <w:p w14:paraId="0D70DA15">
      <w:pPr>
        <w:pStyle w:val="76"/>
        <w:ind w:firstLine="420"/>
      </w:pPr>
      <w:r>
        <w:rPr>
          <w:rFonts w:hint="eastAsia"/>
        </w:rPr>
        <w:t>按照G</w:t>
      </w:r>
      <w:r>
        <w:t>B 50183</w:t>
      </w:r>
      <w:r>
        <w:rPr>
          <w:rFonts w:hint="eastAsia"/>
        </w:rPr>
        <w:t>、GB 50349、GB 50428等相关要求，说明水处理工艺采取的安全措施，主要包括：</w:t>
      </w:r>
    </w:p>
    <w:p w14:paraId="3D6AFF44">
      <w:pPr>
        <w:pStyle w:val="194"/>
        <w:numPr>
          <w:ilvl w:val="0"/>
          <w:numId w:val="52"/>
        </w:numPr>
      </w:pPr>
      <w:r>
        <w:rPr>
          <w:rFonts w:hint="eastAsia"/>
        </w:rPr>
        <w:t>密闭流程中温度、压力检测仪表设置位置、超出限定值时联锁保护措施；</w:t>
      </w:r>
    </w:p>
    <w:p w14:paraId="4CCFB0EA">
      <w:pPr>
        <w:pStyle w:val="194"/>
        <w:numPr>
          <w:ilvl w:val="0"/>
          <w:numId w:val="35"/>
        </w:numPr>
      </w:pPr>
      <w:r>
        <w:rPr>
          <w:rFonts w:hint="eastAsia"/>
        </w:rPr>
        <w:t>处理过程中细菌腐蚀、结垢的控制措施，包括杀菌剂、阻垢剂等；</w:t>
      </w:r>
    </w:p>
    <w:p w14:paraId="56C2D959">
      <w:pPr>
        <w:pStyle w:val="194"/>
        <w:numPr>
          <w:ilvl w:val="0"/>
          <w:numId w:val="35"/>
        </w:numPr>
      </w:pPr>
      <w:r>
        <w:rPr>
          <w:rFonts w:hint="eastAsia"/>
        </w:rPr>
        <w:t>有毒物质在工艺、设备和设施中采用的防毒安全设施；</w:t>
      </w:r>
    </w:p>
    <w:p w14:paraId="0C190B18">
      <w:pPr>
        <w:pStyle w:val="194"/>
        <w:numPr>
          <w:ilvl w:val="0"/>
          <w:numId w:val="35"/>
        </w:numPr>
      </w:pPr>
      <w:bookmarkStart w:id="303" w:name="_Hlk192683407"/>
      <w:r>
        <w:rPr>
          <w:rFonts w:hint="eastAsia"/>
        </w:rPr>
        <w:t>除油罐、沉降罐顶部积油厚度控制措施；</w:t>
      </w:r>
    </w:p>
    <w:p w14:paraId="37CB5071">
      <w:pPr>
        <w:pStyle w:val="194"/>
        <w:numPr>
          <w:ilvl w:val="0"/>
          <w:numId w:val="35"/>
        </w:numPr>
      </w:pPr>
      <w:r>
        <w:rPr>
          <w:rFonts w:hint="eastAsia"/>
        </w:rPr>
        <w:t>污油罐、除油罐及沉降罐呼吸阀、阻火器、液压安全阀设置数量及参数；</w:t>
      </w:r>
    </w:p>
    <w:p w14:paraId="0DD9C5C9">
      <w:pPr>
        <w:pStyle w:val="194"/>
        <w:numPr>
          <w:ilvl w:val="0"/>
          <w:numId w:val="35"/>
        </w:numPr>
      </w:pPr>
      <w:r>
        <w:rPr>
          <w:rFonts w:hint="eastAsia"/>
        </w:rPr>
        <w:t>采用气体（天然气、氮气）密封的罐与大气相通的管道阻火器、水封装置、水封补水设施设置方案；当采用天然气密封且多座水罐共用一条干管调压时，应说明每座罐的支管上截断阀和阻火器的设置方案；</w:t>
      </w:r>
    </w:p>
    <w:p w14:paraId="7685757A">
      <w:pPr>
        <w:pStyle w:val="194"/>
        <w:numPr>
          <w:ilvl w:val="0"/>
          <w:numId w:val="35"/>
        </w:numPr>
      </w:pPr>
      <w:r>
        <w:rPr>
          <w:rFonts w:hint="eastAsia"/>
        </w:rPr>
        <w:t>散发有害、易燃、易爆气体的污水安全措施，包括管道布置、水封井设置、截断阀设置等。</w:t>
      </w:r>
    </w:p>
    <w:bookmarkEnd w:id="303"/>
    <w:p w14:paraId="78F8B1C4">
      <w:pPr>
        <w:pStyle w:val="125"/>
        <w:spacing w:before="120" w:after="120"/>
      </w:pPr>
      <w:bookmarkStart w:id="304" w:name="_Toc193375369"/>
      <w:bookmarkStart w:id="305" w:name="_Toc193319155"/>
      <w:bookmarkStart w:id="306" w:name="_Toc195003759"/>
      <w:r>
        <w:t>注入系统</w:t>
      </w:r>
      <w:bookmarkEnd w:id="304"/>
      <w:bookmarkEnd w:id="305"/>
      <w:bookmarkEnd w:id="306"/>
    </w:p>
    <w:p w14:paraId="77C8B47F">
      <w:pPr>
        <w:pStyle w:val="76"/>
        <w:ind w:firstLine="420"/>
      </w:pPr>
      <w:r>
        <w:t>按照GB 50183、GB 50349、GB 503</w:t>
      </w:r>
      <w:r>
        <w:rPr>
          <w:rFonts w:hint="eastAsia"/>
        </w:rPr>
        <w:t>91</w:t>
      </w:r>
      <w:r>
        <w:t>、SY/T 6360</w:t>
      </w:r>
      <w:r>
        <w:rPr>
          <w:rFonts w:hint="eastAsia"/>
        </w:rPr>
        <w:t>、</w:t>
      </w:r>
      <w:r>
        <w:t>SY/T 6565</w:t>
      </w:r>
      <w:r>
        <w:rPr>
          <w:rFonts w:hint="eastAsia"/>
        </w:rPr>
        <w:t>、SY/T 7440</w:t>
      </w:r>
      <w:r>
        <w:t>等相关要求，说明</w:t>
      </w:r>
      <w:r>
        <w:rPr>
          <w:rFonts w:hint="eastAsia"/>
        </w:rPr>
        <w:t>注入系统</w:t>
      </w:r>
      <w:r>
        <w:t>采取的工艺安全措施，主要包括：</w:t>
      </w:r>
    </w:p>
    <w:p w14:paraId="69C1558F">
      <w:pPr>
        <w:pStyle w:val="194"/>
        <w:numPr>
          <w:ilvl w:val="0"/>
          <w:numId w:val="53"/>
        </w:numPr>
      </w:pPr>
      <w:r>
        <w:rPr>
          <w:rFonts w:hint="eastAsia"/>
        </w:rPr>
        <w:t>注入</w:t>
      </w:r>
      <w:r>
        <w:t>系统压力分界处采取的安全保护措施；</w:t>
      </w:r>
    </w:p>
    <w:p w14:paraId="38FC3EAB">
      <w:pPr>
        <w:pStyle w:val="194"/>
        <w:numPr>
          <w:ilvl w:val="0"/>
          <w:numId w:val="35"/>
        </w:numPr>
      </w:pPr>
      <w:r>
        <w:t>紧急</w:t>
      </w:r>
      <w:r>
        <w:rPr>
          <w:rFonts w:hint="eastAsia"/>
        </w:rPr>
        <w:t>切断</w:t>
      </w:r>
      <w:r>
        <w:t>、联锁保护、安全泄放</w:t>
      </w:r>
      <w:r>
        <w:rPr>
          <w:rFonts w:hint="eastAsia"/>
        </w:rPr>
        <w:t>、事故排放</w:t>
      </w:r>
      <w:r>
        <w:t>等措施</w:t>
      </w:r>
      <w:r>
        <w:rPr>
          <w:rFonts w:hint="eastAsia"/>
        </w:rPr>
        <w:t>的</w:t>
      </w:r>
      <w:r>
        <w:t>工艺运行参数（压力、温度、流量、液位等）超出限定值时的报警及安全联锁保护措施，对限值要列表说明；</w:t>
      </w:r>
    </w:p>
    <w:p w14:paraId="3FFCF94B">
      <w:pPr>
        <w:pStyle w:val="194"/>
        <w:numPr>
          <w:ilvl w:val="0"/>
          <w:numId w:val="35"/>
        </w:numPr>
      </w:pPr>
      <w:r>
        <w:t>井场、站场采取的防水击、防止高点拉空、防高差超压、防相态变化、防凝、防冻堵、防低温脆裂等措施；</w:t>
      </w:r>
    </w:p>
    <w:p w14:paraId="66F47D8C">
      <w:pPr>
        <w:pStyle w:val="194"/>
        <w:numPr>
          <w:ilvl w:val="0"/>
          <w:numId w:val="35"/>
        </w:numPr>
      </w:pPr>
      <w:r>
        <w:t>防止压缩机、泵类设备振动及离心泵气蚀的措施；</w:t>
      </w:r>
    </w:p>
    <w:p w14:paraId="4C8152C1">
      <w:pPr>
        <w:pStyle w:val="194"/>
        <w:numPr>
          <w:ilvl w:val="0"/>
          <w:numId w:val="35"/>
        </w:numPr>
      </w:pPr>
      <w:r>
        <w:t>防止管道应力破坏措施</w:t>
      </w:r>
      <w:r>
        <w:rPr>
          <w:rFonts w:hint="eastAsia"/>
        </w:rPr>
        <w:t>。</w:t>
      </w:r>
    </w:p>
    <w:p w14:paraId="1850895D">
      <w:pPr>
        <w:pStyle w:val="125"/>
        <w:spacing w:before="120" w:after="120"/>
      </w:pPr>
      <w:bookmarkStart w:id="307" w:name="_Toc193375370"/>
      <w:bookmarkStart w:id="308" w:name="_Toc195003760"/>
      <w:bookmarkStart w:id="309" w:name="_Toc193319156"/>
      <w:bookmarkStart w:id="310" w:name="_Toc23058"/>
      <w:r>
        <w:rPr>
          <w:rFonts w:hint="eastAsia"/>
        </w:rPr>
        <w:t>辅助生产设施</w:t>
      </w:r>
      <w:bookmarkEnd w:id="307"/>
      <w:bookmarkEnd w:id="308"/>
      <w:bookmarkEnd w:id="309"/>
      <w:bookmarkEnd w:id="310"/>
    </w:p>
    <w:p w14:paraId="64B260B1">
      <w:pPr>
        <w:pStyle w:val="85"/>
        <w:spacing w:before="120" w:after="120"/>
      </w:pPr>
      <w:bookmarkStart w:id="311" w:name="_Toc193375371"/>
      <w:bookmarkStart w:id="312" w:name="_Toc193319157"/>
      <w:r>
        <w:t>安全泄放系统</w:t>
      </w:r>
      <w:bookmarkEnd w:id="311"/>
      <w:bookmarkEnd w:id="312"/>
    </w:p>
    <w:p w14:paraId="2A345113">
      <w:pPr>
        <w:pStyle w:val="76"/>
        <w:ind w:firstLine="420"/>
      </w:pPr>
      <w:r>
        <w:t>按照GB 50183、SY/T 10043等相关要求，说明安全泄放系统采取的</w:t>
      </w:r>
      <w:r>
        <w:rPr>
          <w:rFonts w:hint="eastAsia"/>
        </w:rPr>
        <w:t>安全</w:t>
      </w:r>
      <w:r>
        <w:t>措施，主要包括：</w:t>
      </w:r>
    </w:p>
    <w:p w14:paraId="34171986">
      <w:pPr>
        <w:pStyle w:val="194"/>
        <w:numPr>
          <w:ilvl w:val="0"/>
          <w:numId w:val="54"/>
        </w:numPr>
      </w:pPr>
      <w:r>
        <w:t>放空管或放空火炬的设计放空量</w:t>
      </w:r>
      <w:r>
        <w:rPr>
          <w:rFonts w:hint="eastAsia"/>
        </w:rPr>
        <w:t>、</w:t>
      </w:r>
      <w:r>
        <w:t>直径、高度；</w:t>
      </w:r>
    </w:p>
    <w:p w14:paraId="753AF86D">
      <w:pPr>
        <w:pStyle w:val="194"/>
        <w:numPr>
          <w:ilvl w:val="0"/>
          <w:numId w:val="35"/>
        </w:numPr>
      </w:pPr>
      <w:r>
        <w:t>放空火炬热辐射强度、干气密封、气体吹扫、防止回火措施</w:t>
      </w:r>
      <w:r>
        <w:rPr>
          <w:rFonts w:hint="eastAsia"/>
        </w:rPr>
        <w:t>；</w:t>
      </w:r>
    </w:p>
    <w:p w14:paraId="72596A20">
      <w:pPr>
        <w:pStyle w:val="194"/>
        <w:numPr>
          <w:ilvl w:val="0"/>
          <w:numId w:val="35"/>
        </w:numPr>
      </w:pPr>
      <w:r>
        <w:t>不同设计压力放空管道的压力界面</w:t>
      </w:r>
      <w:r>
        <w:rPr>
          <w:rFonts w:hint="eastAsia"/>
        </w:rPr>
        <w:t>；</w:t>
      </w:r>
    </w:p>
    <w:p w14:paraId="6B4949A1">
      <w:pPr>
        <w:pStyle w:val="194"/>
        <w:numPr>
          <w:ilvl w:val="0"/>
          <w:numId w:val="35"/>
        </w:numPr>
      </w:pPr>
      <w:r>
        <w:t>放空分液罐、限流孔板、阻火器、爆破片的安装位置、规格、设计压力等参数</w:t>
      </w:r>
      <w:r>
        <w:rPr>
          <w:rFonts w:hint="eastAsia"/>
        </w:rPr>
        <w:t>。</w:t>
      </w:r>
    </w:p>
    <w:p w14:paraId="759A9700">
      <w:pPr>
        <w:pStyle w:val="85"/>
        <w:spacing w:before="120" w:after="120"/>
      </w:pPr>
      <w:bookmarkStart w:id="313" w:name="_Toc193375372"/>
      <w:bookmarkStart w:id="314" w:name="_Toc193319158"/>
      <w:r>
        <w:rPr>
          <w:rFonts w:hint="eastAsia"/>
        </w:rPr>
        <w:t>空氮系统</w:t>
      </w:r>
      <w:bookmarkEnd w:id="313"/>
      <w:bookmarkEnd w:id="314"/>
    </w:p>
    <w:p w14:paraId="469FE265">
      <w:pPr>
        <w:pStyle w:val="76"/>
        <w:ind w:firstLine="420"/>
      </w:pPr>
      <w:r>
        <w:rPr>
          <w:rFonts w:hint="eastAsia"/>
        </w:rPr>
        <w:t>按照G</w:t>
      </w:r>
      <w:r>
        <w:t>B 50029</w:t>
      </w:r>
      <w:r>
        <w:rPr>
          <w:rFonts w:hint="eastAsia"/>
        </w:rPr>
        <w:t>、</w:t>
      </w:r>
      <w:r>
        <w:t>SY/T 7474</w:t>
      </w:r>
      <w:r>
        <w:rPr>
          <w:rFonts w:hint="eastAsia"/>
        </w:rPr>
        <w:t>等相关要求</w:t>
      </w:r>
      <w:r>
        <w:t>，</w:t>
      </w:r>
      <w:r>
        <w:rPr>
          <w:rFonts w:hint="eastAsia"/>
        </w:rPr>
        <w:t>说明空氮系统采取的措施，主要包括：</w:t>
      </w:r>
    </w:p>
    <w:p w14:paraId="7EBD1F38">
      <w:pPr>
        <w:pStyle w:val="194"/>
        <w:numPr>
          <w:ilvl w:val="0"/>
          <w:numId w:val="55"/>
        </w:numPr>
      </w:pPr>
      <w:r>
        <w:rPr>
          <w:rFonts w:hint="eastAsia"/>
        </w:rPr>
        <w:t>空气、氮气站净化空气、非净化空气、氮气的生产规模、气质条件、供气压力；</w:t>
      </w:r>
    </w:p>
    <w:p w14:paraId="3863A214">
      <w:pPr>
        <w:pStyle w:val="194"/>
        <w:numPr>
          <w:ilvl w:val="0"/>
          <w:numId w:val="35"/>
        </w:numPr>
      </w:pPr>
      <w:r>
        <w:rPr>
          <w:rFonts w:hint="eastAsia"/>
        </w:rPr>
        <w:t>泄压保护设施；</w:t>
      </w:r>
    </w:p>
    <w:p w14:paraId="614DA11F">
      <w:pPr>
        <w:pStyle w:val="194"/>
        <w:numPr>
          <w:ilvl w:val="0"/>
          <w:numId w:val="35"/>
        </w:numPr>
      </w:pPr>
      <w:r>
        <w:rPr>
          <w:rFonts w:hint="eastAsia"/>
        </w:rPr>
        <w:t>仪表用净化空气储罐维持时间。</w:t>
      </w:r>
    </w:p>
    <w:p w14:paraId="7A2B0384">
      <w:pPr>
        <w:pStyle w:val="85"/>
        <w:spacing w:before="120" w:after="120"/>
      </w:pPr>
      <w:bookmarkStart w:id="315" w:name="_Toc193375373"/>
      <w:bookmarkStart w:id="316" w:name="_Toc193319159"/>
      <w:r>
        <w:rPr>
          <w:rFonts w:hint="eastAsia"/>
        </w:rPr>
        <w:t>燃料气系统</w:t>
      </w:r>
      <w:bookmarkEnd w:id="315"/>
      <w:bookmarkEnd w:id="316"/>
    </w:p>
    <w:p w14:paraId="5F32D650">
      <w:pPr>
        <w:pStyle w:val="76"/>
        <w:ind w:firstLine="420"/>
      </w:pPr>
      <w:r>
        <w:rPr>
          <w:rFonts w:hint="eastAsia"/>
        </w:rPr>
        <w:t>说明燃料气系统采取的措施，主要包括：</w:t>
      </w:r>
    </w:p>
    <w:p w14:paraId="3C54A28A">
      <w:pPr>
        <w:pStyle w:val="194"/>
        <w:numPr>
          <w:ilvl w:val="0"/>
          <w:numId w:val="56"/>
        </w:numPr>
      </w:pPr>
      <w:r>
        <w:rPr>
          <w:rFonts w:hint="eastAsia"/>
        </w:rPr>
        <w:t>燃料气用量，正常生产及开、停工燃料气来源、供气压力；</w:t>
      </w:r>
    </w:p>
    <w:p w14:paraId="15EC5C0E">
      <w:pPr>
        <w:pStyle w:val="194"/>
        <w:numPr>
          <w:ilvl w:val="0"/>
          <w:numId w:val="35"/>
        </w:numPr>
      </w:pPr>
      <w:r>
        <w:rPr>
          <w:rFonts w:hint="eastAsia"/>
        </w:rPr>
        <w:t>防止燃料气超压措施。</w:t>
      </w:r>
    </w:p>
    <w:p w14:paraId="27944959">
      <w:pPr>
        <w:pStyle w:val="125"/>
        <w:spacing w:before="120" w:after="120"/>
      </w:pPr>
      <w:bookmarkStart w:id="317" w:name="_Toc195003761"/>
      <w:bookmarkStart w:id="318" w:name="_Toc193319160"/>
      <w:bookmarkStart w:id="319" w:name="_Toc193375374"/>
      <w:bookmarkStart w:id="320" w:name="_Toc4146"/>
      <w:r>
        <w:rPr>
          <w:rFonts w:hint="eastAsia"/>
        </w:rPr>
        <w:t>材质选择</w:t>
      </w:r>
      <w:bookmarkEnd w:id="317"/>
      <w:bookmarkEnd w:id="318"/>
      <w:bookmarkEnd w:id="319"/>
      <w:bookmarkEnd w:id="320"/>
    </w:p>
    <w:p w14:paraId="7ECEA103">
      <w:pPr>
        <w:pStyle w:val="76"/>
        <w:ind w:firstLine="420"/>
      </w:pPr>
      <w:r>
        <w:t>按照GB/T 150、SY/T 0599</w:t>
      </w:r>
      <w:r>
        <w:rPr>
          <w:rFonts w:hint="eastAsia"/>
        </w:rPr>
        <w:t>、</w:t>
      </w:r>
      <w:r>
        <w:t>TSG 21等相关要求，说明</w:t>
      </w:r>
      <w:r>
        <w:rPr>
          <w:rFonts w:hint="eastAsia"/>
        </w:rPr>
        <w:t>工艺设备、管线选材的选择依据</w:t>
      </w:r>
      <w:r>
        <w:t>，主要包括：</w:t>
      </w:r>
    </w:p>
    <w:p w14:paraId="5803ED72">
      <w:pPr>
        <w:pStyle w:val="194"/>
        <w:numPr>
          <w:ilvl w:val="0"/>
          <w:numId w:val="57"/>
        </w:numPr>
      </w:pPr>
      <w:r>
        <w:rPr>
          <w:rFonts w:hint="eastAsia"/>
        </w:rPr>
        <w:t>结合介质、工况说明主要工艺设备、阀门的材质和选择依据；</w:t>
      </w:r>
    </w:p>
    <w:p w14:paraId="29B903E9">
      <w:pPr>
        <w:pStyle w:val="194"/>
        <w:numPr>
          <w:ilvl w:val="0"/>
          <w:numId w:val="35"/>
        </w:numPr>
      </w:pPr>
      <w:r>
        <w:rPr>
          <w:rFonts w:hint="eastAsia"/>
        </w:rPr>
        <w:t>结合介质、工况说明管道的材质和选择依据；</w:t>
      </w:r>
    </w:p>
    <w:p w14:paraId="39D7BEC9">
      <w:pPr>
        <w:pStyle w:val="194"/>
        <w:numPr>
          <w:ilvl w:val="0"/>
          <w:numId w:val="35"/>
        </w:numPr>
      </w:pPr>
      <w:r>
        <w:rPr>
          <w:rFonts w:hint="eastAsia"/>
        </w:rPr>
        <w:t>说明主要工艺介质接触的仪表设备、材料的材质和选择依据。</w:t>
      </w:r>
    </w:p>
    <w:p w14:paraId="24BF0741">
      <w:pPr>
        <w:pStyle w:val="125"/>
        <w:spacing w:before="120" w:after="120"/>
      </w:pPr>
      <w:bookmarkStart w:id="321" w:name="_Toc195003762"/>
      <w:bookmarkStart w:id="322" w:name="_Toc193375375"/>
      <w:bookmarkStart w:id="323" w:name="_Toc7645"/>
      <w:bookmarkStart w:id="324" w:name="_Toc193319161"/>
      <w:r>
        <w:rPr>
          <w:rFonts w:hint="eastAsia"/>
        </w:rPr>
        <w:t>HAZOP落实情况</w:t>
      </w:r>
      <w:bookmarkEnd w:id="321"/>
      <w:bookmarkEnd w:id="322"/>
      <w:bookmarkEnd w:id="323"/>
      <w:bookmarkEnd w:id="324"/>
    </w:p>
    <w:p w14:paraId="4F86011C">
      <w:pPr>
        <w:pStyle w:val="76"/>
        <w:ind w:firstLine="420"/>
      </w:pPr>
      <w:r>
        <w:rPr>
          <w:rFonts w:hint="eastAsia"/>
        </w:rPr>
        <w:t>按表B.19列表说明HAZOP及其他危险性评估报告建议措施落实情况。</w:t>
      </w:r>
    </w:p>
    <w:p w14:paraId="62E5675C">
      <w:pPr>
        <w:pStyle w:val="124"/>
        <w:spacing w:before="240" w:after="240"/>
      </w:pPr>
      <w:bookmarkStart w:id="325" w:name="_Toc195003763"/>
      <w:bookmarkStart w:id="326" w:name="_Toc9319"/>
      <w:bookmarkStart w:id="327" w:name="_Toc193375376"/>
      <w:r>
        <w:rPr>
          <w:rFonts w:hint="eastAsia"/>
        </w:rPr>
        <w:t>线路工程安全措施</w:t>
      </w:r>
      <w:bookmarkEnd w:id="325"/>
      <w:bookmarkEnd w:id="326"/>
      <w:bookmarkEnd w:id="327"/>
    </w:p>
    <w:p w14:paraId="15BB2C9C">
      <w:pPr>
        <w:pStyle w:val="125"/>
        <w:spacing w:before="120" w:after="120"/>
      </w:pPr>
      <w:bookmarkStart w:id="328" w:name="_Toc193375377"/>
      <w:bookmarkStart w:id="329" w:name="_Toc193319163"/>
      <w:bookmarkStart w:id="330" w:name="_Toc790"/>
      <w:bookmarkStart w:id="331" w:name="_Toc195003764"/>
      <w:bookmarkStart w:id="332" w:name="_Toc6672"/>
      <w:r>
        <w:t>管道本体</w:t>
      </w:r>
      <w:bookmarkEnd w:id="328"/>
      <w:bookmarkEnd w:id="329"/>
      <w:bookmarkEnd w:id="330"/>
      <w:bookmarkEnd w:id="331"/>
    </w:p>
    <w:p w14:paraId="48AB1DA2">
      <w:pPr>
        <w:pStyle w:val="76"/>
        <w:ind w:firstLine="420"/>
      </w:pPr>
      <w:r>
        <w:rPr>
          <w:rFonts w:hint="eastAsia"/>
        </w:rPr>
        <w:t>按照GB 50349、GB 50350等相关要求，从管道强度设计系数取值、管材、管件主要技术条件、焊接与无损检测、清管、测径、试压等方面说明管道本体设计采取的安全措施。</w:t>
      </w:r>
      <w:bookmarkEnd w:id="332"/>
    </w:p>
    <w:p w14:paraId="679CBC32">
      <w:pPr>
        <w:pStyle w:val="125"/>
        <w:spacing w:before="120" w:after="120"/>
      </w:pPr>
      <w:bookmarkStart w:id="333" w:name="_Toc19793"/>
      <w:bookmarkStart w:id="334" w:name="_Toc193319164"/>
      <w:bookmarkStart w:id="335" w:name="_Toc193375378"/>
      <w:bookmarkStart w:id="336" w:name="_Toc195003765"/>
      <w:bookmarkStart w:id="337" w:name="_Toc28236"/>
      <w:r>
        <w:rPr>
          <w:rFonts w:hint="eastAsia"/>
        </w:rPr>
        <w:t>管道敷设</w:t>
      </w:r>
      <w:bookmarkEnd w:id="333"/>
      <w:bookmarkEnd w:id="334"/>
      <w:bookmarkEnd w:id="335"/>
      <w:bookmarkEnd w:id="336"/>
    </w:p>
    <w:p w14:paraId="02ECBD08">
      <w:pPr>
        <w:pStyle w:val="76"/>
        <w:ind w:firstLine="420"/>
      </w:pPr>
      <w:r>
        <w:rPr>
          <w:rFonts w:hint="eastAsia"/>
        </w:rPr>
        <w:t>按照GB 50349、GB 50350等相关要求，从管道埋深、管沟开挖、管沟回填、地貌恢复等方面说明管道敷设的安全措施。</w:t>
      </w:r>
    </w:p>
    <w:bookmarkEnd w:id="337"/>
    <w:p w14:paraId="4F1CA0D7">
      <w:pPr>
        <w:pStyle w:val="125"/>
        <w:spacing w:before="120" w:after="120"/>
      </w:pPr>
      <w:bookmarkStart w:id="338" w:name="_Toc17466"/>
      <w:bookmarkStart w:id="339" w:name="_Toc193375379"/>
      <w:bookmarkStart w:id="340" w:name="_Toc195003766"/>
      <w:bookmarkStart w:id="341" w:name="_Toc193319165"/>
      <w:bookmarkStart w:id="342" w:name="_Toc25120"/>
      <w:r>
        <w:rPr>
          <w:rFonts w:hint="eastAsia"/>
        </w:rPr>
        <w:t>地质灾害</w:t>
      </w:r>
      <w:bookmarkEnd w:id="338"/>
      <w:bookmarkEnd w:id="339"/>
      <w:bookmarkEnd w:id="340"/>
      <w:bookmarkEnd w:id="341"/>
    </w:p>
    <w:p w14:paraId="18533625">
      <w:pPr>
        <w:pStyle w:val="76"/>
        <w:ind w:firstLine="420"/>
      </w:pPr>
      <w:r>
        <w:rPr>
          <w:rFonts w:hint="eastAsia"/>
        </w:rPr>
        <w:t>根据地质灾害危险性评估报告、地质勘察报告，描述建设项目沿线地质灾害分布情况，说明管道经过地质灾害段采取的安全措施。</w:t>
      </w:r>
      <w:bookmarkEnd w:id="342"/>
    </w:p>
    <w:p w14:paraId="4B50F259">
      <w:pPr>
        <w:pStyle w:val="125"/>
        <w:spacing w:before="120" w:after="120"/>
      </w:pPr>
      <w:bookmarkStart w:id="343" w:name="_Toc193375380"/>
      <w:bookmarkStart w:id="344" w:name="_Toc195003767"/>
      <w:bookmarkStart w:id="345" w:name="_Toc1377"/>
      <w:bookmarkStart w:id="346" w:name="_Toc193319166"/>
      <w:bookmarkStart w:id="347" w:name="_Toc10740"/>
      <w:r>
        <w:rPr>
          <w:rFonts w:hint="eastAsia"/>
        </w:rPr>
        <w:t>地震</w:t>
      </w:r>
      <w:bookmarkEnd w:id="343"/>
      <w:bookmarkEnd w:id="344"/>
      <w:bookmarkEnd w:id="345"/>
      <w:bookmarkEnd w:id="346"/>
    </w:p>
    <w:p w14:paraId="7B6E100D">
      <w:pPr>
        <w:pStyle w:val="76"/>
        <w:ind w:firstLine="420"/>
      </w:pPr>
      <w:r>
        <w:rPr>
          <w:rFonts w:hint="eastAsia"/>
        </w:rPr>
        <w:t>根据地震安全性评价报告和中国地震动参数区划图</w:t>
      </w:r>
      <w:r>
        <w:t>，</w:t>
      </w:r>
      <w:r>
        <w:rPr>
          <w:rFonts w:hint="eastAsia"/>
        </w:rPr>
        <w:t>描述建设项目管道沿线地震参数及全新世活动断裂带分布情况</w:t>
      </w:r>
      <w:r>
        <w:t>，</w:t>
      </w:r>
      <w:r>
        <w:rPr>
          <w:rFonts w:hint="eastAsia"/>
        </w:rPr>
        <w:t>说明管道经过地震及全新世活动断裂带采取的安全措施。</w:t>
      </w:r>
      <w:bookmarkEnd w:id="347"/>
    </w:p>
    <w:p w14:paraId="486ACD1D">
      <w:pPr>
        <w:pStyle w:val="125"/>
        <w:spacing w:before="120" w:after="120"/>
      </w:pPr>
      <w:bookmarkStart w:id="348" w:name="_Toc195003768"/>
      <w:bookmarkStart w:id="349" w:name="_Toc193319167"/>
      <w:bookmarkStart w:id="350" w:name="_Toc7222"/>
      <w:bookmarkStart w:id="351" w:name="_Toc193375381"/>
      <w:bookmarkStart w:id="352" w:name="_Toc4740"/>
      <w:r>
        <w:rPr>
          <w:rFonts w:hint="eastAsia"/>
        </w:rPr>
        <w:t>采矿区</w:t>
      </w:r>
      <w:bookmarkEnd w:id="348"/>
      <w:bookmarkEnd w:id="349"/>
      <w:bookmarkEnd w:id="350"/>
      <w:bookmarkEnd w:id="351"/>
    </w:p>
    <w:p w14:paraId="444BBE42">
      <w:pPr>
        <w:pStyle w:val="76"/>
        <w:ind w:firstLine="420"/>
      </w:pPr>
      <w:r>
        <w:rPr>
          <w:rFonts w:hint="eastAsia"/>
        </w:rPr>
        <w:t>根据压覆矿产资源评估报告，简述建设项目经过采矿区（含固体、液体、气体采矿区）情况，说明管道经过采矿区采取的安全措施。</w:t>
      </w:r>
    </w:p>
    <w:p w14:paraId="28CEB2F5">
      <w:pPr>
        <w:pStyle w:val="125"/>
        <w:spacing w:before="120" w:after="120"/>
      </w:pPr>
      <w:bookmarkStart w:id="353" w:name="_Toc9482"/>
      <w:bookmarkStart w:id="354" w:name="_Toc195003769"/>
      <w:bookmarkStart w:id="355" w:name="_Toc193375382"/>
      <w:bookmarkStart w:id="356" w:name="_Toc193319168"/>
      <w:r>
        <w:rPr>
          <w:rFonts w:hint="eastAsia"/>
        </w:rPr>
        <w:t>穿（跨）越段安全防护</w:t>
      </w:r>
      <w:bookmarkEnd w:id="353"/>
      <w:bookmarkEnd w:id="354"/>
      <w:bookmarkEnd w:id="355"/>
      <w:bookmarkEnd w:id="356"/>
    </w:p>
    <w:p w14:paraId="1CB437B3">
      <w:pPr>
        <w:pStyle w:val="76"/>
        <w:ind w:firstLine="420"/>
      </w:pPr>
      <w:r>
        <w:rPr>
          <w:rFonts w:hint="eastAsia"/>
        </w:rPr>
        <w:t>按照G</w:t>
      </w:r>
      <w:r>
        <w:t xml:space="preserve">B </w:t>
      </w:r>
      <w:r>
        <w:rPr>
          <w:rFonts w:hint="eastAsia"/>
        </w:rPr>
        <w:t>50349、GB</w:t>
      </w:r>
      <w:r>
        <w:t xml:space="preserve"> </w:t>
      </w:r>
      <w:r>
        <w:rPr>
          <w:rFonts w:hint="eastAsia"/>
        </w:rPr>
        <w:t>50350、GB</w:t>
      </w:r>
      <w:r>
        <w:t xml:space="preserve"> </w:t>
      </w:r>
      <w:r>
        <w:rPr>
          <w:rFonts w:hint="eastAsia"/>
        </w:rPr>
        <w:t>50423、GB</w:t>
      </w:r>
      <w:r>
        <w:t xml:space="preserve"> </w:t>
      </w:r>
      <w:r>
        <w:rPr>
          <w:rFonts w:hint="eastAsia"/>
        </w:rPr>
        <w:t>50459等相关要求，按表B.20列表说明河流大、中型穿（跨）越、铁路穿越、公路穿越、隧道穿越、架空线路穿越、管道穿越等情况及采取的安全措施。</w:t>
      </w:r>
      <w:bookmarkEnd w:id="352"/>
    </w:p>
    <w:p w14:paraId="48C98792">
      <w:pPr>
        <w:pStyle w:val="125"/>
        <w:spacing w:before="120" w:after="120"/>
      </w:pPr>
      <w:bookmarkStart w:id="357" w:name="_Toc193319169"/>
      <w:bookmarkStart w:id="358" w:name="_Toc19972"/>
      <w:bookmarkStart w:id="359" w:name="_Toc193375383"/>
      <w:bookmarkStart w:id="360" w:name="_Toc195003770"/>
      <w:bookmarkStart w:id="361" w:name="_Toc27109"/>
      <w:r>
        <w:rPr>
          <w:rFonts w:hint="eastAsia"/>
        </w:rPr>
        <w:t>并行段安全防护</w:t>
      </w:r>
      <w:bookmarkEnd w:id="357"/>
      <w:bookmarkEnd w:id="358"/>
      <w:bookmarkEnd w:id="359"/>
      <w:bookmarkEnd w:id="360"/>
    </w:p>
    <w:p w14:paraId="7662D90F">
      <w:pPr>
        <w:pStyle w:val="76"/>
        <w:ind w:firstLine="420"/>
      </w:pPr>
      <w:r>
        <w:rPr>
          <w:rFonts w:hint="eastAsia"/>
        </w:rPr>
        <w:t>按照GB 50349、GB 50350、SY/T 7365等相关要求，按表B.21列表说明管道与铁路、公路、架空输电线路、其他管道等并行情况及采取的安全措施。</w:t>
      </w:r>
      <w:bookmarkEnd w:id="361"/>
    </w:p>
    <w:p w14:paraId="492DF94D">
      <w:pPr>
        <w:pStyle w:val="125"/>
        <w:spacing w:before="120" w:after="120"/>
      </w:pPr>
      <w:bookmarkStart w:id="362" w:name="_Toc193319170"/>
      <w:bookmarkStart w:id="363" w:name="_Toc18026"/>
      <w:bookmarkStart w:id="364" w:name="_Toc195003771"/>
      <w:bookmarkStart w:id="365" w:name="_Toc193375384"/>
      <w:bookmarkStart w:id="366" w:name="_Toc4181"/>
      <w:r>
        <w:rPr>
          <w:rFonts w:hint="eastAsia"/>
        </w:rPr>
        <w:t>标识与伴行路</w:t>
      </w:r>
      <w:bookmarkEnd w:id="362"/>
      <w:bookmarkEnd w:id="363"/>
      <w:bookmarkEnd w:id="364"/>
      <w:bookmarkEnd w:id="365"/>
    </w:p>
    <w:p w14:paraId="03C1EBB3">
      <w:pPr>
        <w:pStyle w:val="76"/>
        <w:ind w:firstLine="420"/>
      </w:pPr>
      <w:r>
        <w:rPr>
          <w:rFonts w:hint="eastAsia"/>
        </w:rPr>
        <w:t>按照GB 50349、GB 50350、</w:t>
      </w:r>
      <w:r>
        <w:t>SY/T 6064</w:t>
      </w:r>
      <w:r>
        <w:rPr>
          <w:rFonts w:hint="eastAsia"/>
        </w:rPr>
        <w:t>等相关要求，说明管道标识种类、伴行路设置情况及设置要求。</w:t>
      </w:r>
      <w:bookmarkEnd w:id="366"/>
    </w:p>
    <w:p w14:paraId="417BD4A5">
      <w:pPr>
        <w:pStyle w:val="125"/>
        <w:spacing w:before="120" w:after="120"/>
      </w:pPr>
      <w:bookmarkStart w:id="367" w:name="_Toc193375385"/>
      <w:bookmarkStart w:id="368" w:name="_Toc2602"/>
      <w:bookmarkStart w:id="369" w:name="_Toc195003772"/>
      <w:bookmarkStart w:id="370" w:name="_Toc193319171"/>
      <w:r>
        <w:rPr>
          <w:rFonts w:hint="eastAsia"/>
        </w:rPr>
        <w:t>截断阀室</w:t>
      </w:r>
      <w:bookmarkEnd w:id="367"/>
      <w:bookmarkEnd w:id="368"/>
      <w:bookmarkEnd w:id="369"/>
      <w:bookmarkEnd w:id="370"/>
    </w:p>
    <w:p w14:paraId="469994A2">
      <w:pPr>
        <w:pStyle w:val="76"/>
        <w:ind w:firstLine="420"/>
      </w:pPr>
      <w:r>
        <w:rPr>
          <w:rFonts w:hint="eastAsia"/>
        </w:rPr>
        <w:t>按照GB 50349、GB 50350等相关要求，说明线路截断阀室设置情况及设置要求</w:t>
      </w:r>
      <w:bookmarkStart w:id="371" w:name="_Toc11311"/>
      <w:r>
        <w:rPr>
          <w:rFonts w:hint="eastAsia"/>
        </w:rPr>
        <w:t>。</w:t>
      </w:r>
    </w:p>
    <w:bookmarkEnd w:id="371"/>
    <w:p w14:paraId="0CE7EAC3">
      <w:pPr>
        <w:pStyle w:val="124"/>
        <w:spacing w:before="240" w:after="240"/>
      </w:pPr>
      <w:bookmarkStart w:id="372" w:name="_Toc25414"/>
      <w:bookmarkStart w:id="373" w:name="_Toc193375386"/>
      <w:bookmarkStart w:id="374" w:name="_Toc195003773"/>
      <w:r>
        <w:rPr>
          <w:rFonts w:hint="eastAsia"/>
        </w:rPr>
        <w:t>自控安全措施</w:t>
      </w:r>
      <w:bookmarkEnd w:id="372"/>
      <w:bookmarkEnd w:id="373"/>
      <w:bookmarkEnd w:id="374"/>
    </w:p>
    <w:p w14:paraId="3826017F">
      <w:pPr>
        <w:pStyle w:val="125"/>
        <w:spacing w:before="120" w:after="120"/>
      </w:pPr>
      <w:bookmarkStart w:id="375" w:name="_Toc22228"/>
      <w:bookmarkStart w:id="376" w:name="_Toc195003774"/>
      <w:bookmarkStart w:id="377" w:name="_Toc193375387"/>
      <w:bookmarkStart w:id="378" w:name="_Toc27731"/>
      <w:bookmarkStart w:id="379" w:name="_Toc193319173"/>
      <w:bookmarkStart w:id="380" w:name="_Toc10572"/>
      <w:r>
        <w:t>SCADA</w:t>
      </w:r>
      <w:r>
        <w:rPr>
          <w:rFonts w:hint="eastAsia"/>
        </w:rPr>
        <w:t>系统和基本过程控制</w:t>
      </w:r>
      <w:r>
        <w:t>系统</w:t>
      </w:r>
      <w:bookmarkEnd w:id="375"/>
      <w:bookmarkEnd w:id="376"/>
      <w:bookmarkEnd w:id="377"/>
      <w:bookmarkEnd w:id="378"/>
      <w:bookmarkEnd w:id="379"/>
      <w:bookmarkEnd w:id="380"/>
    </w:p>
    <w:p w14:paraId="251449FE">
      <w:pPr>
        <w:pStyle w:val="76"/>
        <w:ind w:firstLine="420"/>
      </w:pPr>
      <w:r>
        <w:rPr>
          <w:rFonts w:hint="eastAsia"/>
        </w:rPr>
        <w:t>按照S</w:t>
      </w:r>
      <w:r>
        <w:t>Y/T</w:t>
      </w:r>
      <w:r>
        <w:rPr>
          <w:rFonts w:hint="eastAsia"/>
        </w:rPr>
        <w:t xml:space="preserve"> </w:t>
      </w:r>
      <w:r>
        <w:t>7628、SY/T</w:t>
      </w:r>
      <w:r>
        <w:rPr>
          <w:rFonts w:hint="eastAsia"/>
        </w:rPr>
        <w:t xml:space="preserve"> </w:t>
      </w:r>
      <w:r>
        <w:t>7700</w:t>
      </w:r>
      <w:r>
        <w:rPr>
          <w:rFonts w:hint="eastAsia"/>
        </w:rPr>
        <w:t>等相关要求，</w:t>
      </w:r>
      <w:r>
        <w:t>说明SCADA系统</w:t>
      </w:r>
      <w:r>
        <w:rPr>
          <w:rFonts w:hint="eastAsia"/>
        </w:rPr>
        <w:t>和</w:t>
      </w:r>
      <w:r>
        <w:t>基本</w:t>
      </w:r>
      <w:r>
        <w:rPr>
          <w:rFonts w:hint="eastAsia"/>
        </w:rPr>
        <w:t>过程</w:t>
      </w:r>
      <w:r>
        <w:t>控制系统的系统结构、报警及联锁保护功能，</w:t>
      </w:r>
      <w:r>
        <w:rPr>
          <w:rFonts w:hint="eastAsia"/>
        </w:rPr>
        <w:t>系统间的网络安全防护功能及设置，通信中断处理方法。</w:t>
      </w:r>
      <w:r>
        <w:t>附SCADA系统及基本过程控制系统结构图。</w:t>
      </w:r>
    </w:p>
    <w:p w14:paraId="16675B7C">
      <w:pPr>
        <w:pStyle w:val="125"/>
        <w:spacing w:before="120" w:after="120"/>
      </w:pPr>
      <w:bookmarkStart w:id="381" w:name="_Toc195003775"/>
      <w:bookmarkStart w:id="382" w:name="_Toc26589"/>
      <w:bookmarkStart w:id="383" w:name="_Toc31587"/>
      <w:bookmarkStart w:id="384" w:name="_Toc193375388"/>
      <w:bookmarkStart w:id="385" w:name="_Toc31747"/>
      <w:bookmarkStart w:id="386" w:name="_Toc193319174"/>
      <w:r>
        <w:rPr>
          <w:rFonts w:hint="eastAsia"/>
        </w:rPr>
        <w:t>安全仪表系统</w:t>
      </w:r>
      <w:bookmarkEnd w:id="381"/>
      <w:bookmarkEnd w:id="382"/>
      <w:bookmarkEnd w:id="383"/>
      <w:bookmarkEnd w:id="384"/>
      <w:bookmarkEnd w:id="385"/>
      <w:bookmarkEnd w:id="386"/>
    </w:p>
    <w:p w14:paraId="162D5F18">
      <w:pPr>
        <w:pStyle w:val="76"/>
        <w:ind w:firstLine="420"/>
      </w:pPr>
      <w:r>
        <w:rPr>
          <w:rFonts w:hint="eastAsia"/>
        </w:rPr>
        <w:t>按照G</w:t>
      </w:r>
      <w:r>
        <w:t>B/T</w:t>
      </w:r>
      <w:r>
        <w:rPr>
          <w:rFonts w:hint="eastAsia"/>
        </w:rPr>
        <w:t xml:space="preserve"> </w:t>
      </w:r>
      <w:r>
        <w:t>21109、SY/T</w:t>
      </w:r>
      <w:r>
        <w:rPr>
          <w:rFonts w:hint="eastAsia"/>
        </w:rPr>
        <w:t xml:space="preserve"> </w:t>
      </w:r>
      <w:r>
        <w:t>7351</w:t>
      </w:r>
      <w:r>
        <w:rPr>
          <w:rFonts w:hint="eastAsia"/>
        </w:rPr>
        <w:t>、</w:t>
      </w:r>
      <w:r>
        <w:t>SY/T</w:t>
      </w:r>
      <w:r>
        <w:rPr>
          <w:rFonts w:hint="eastAsia"/>
        </w:rPr>
        <w:t xml:space="preserve"> </w:t>
      </w:r>
      <w:r>
        <w:t>7628</w:t>
      </w:r>
      <w:r>
        <w:rPr>
          <w:rFonts w:hint="eastAsia"/>
        </w:rPr>
        <w:t>等相关要求，说明</w:t>
      </w:r>
      <w:r>
        <w:t>安全仪表系统</w:t>
      </w:r>
      <w:r>
        <w:rPr>
          <w:rFonts w:hint="eastAsia"/>
        </w:rPr>
        <w:t>设置情况，主要包括：</w:t>
      </w:r>
    </w:p>
    <w:p w14:paraId="65A5D44A">
      <w:pPr>
        <w:pStyle w:val="194"/>
        <w:numPr>
          <w:ilvl w:val="0"/>
          <w:numId w:val="58"/>
        </w:numPr>
      </w:pPr>
      <w:r>
        <w:rPr>
          <w:rFonts w:hint="eastAsia"/>
        </w:rPr>
        <w:t>安全仪表系统结构、配置、功能，设备选型原则及安全完整性等级（SIL），附安全仪表系统结构图和因果表（图）；</w:t>
      </w:r>
    </w:p>
    <w:p w14:paraId="25CDFA0B">
      <w:pPr>
        <w:pStyle w:val="194"/>
        <w:numPr>
          <w:ilvl w:val="0"/>
          <w:numId w:val="35"/>
        </w:numPr>
      </w:pPr>
      <w:r>
        <w:rPr>
          <w:rFonts w:hint="eastAsia"/>
        </w:rPr>
        <w:t>按表B.22列表说明安全仪表系统SIF回路描述及SIL定级结果；</w:t>
      </w:r>
    </w:p>
    <w:p w14:paraId="69FE45B2">
      <w:pPr>
        <w:pStyle w:val="194"/>
        <w:numPr>
          <w:ilvl w:val="0"/>
          <w:numId w:val="35"/>
        </w:numPr>
      </w:pPr>
      <w:r>
        <w:rPr>
          <w:rFonts w:hint="eastAsia"/>
        </w:rPr>
        <w:t>安全联锁关断级别；</w:t>
      </w:r>
    </w:p>
    <w:p w14:paraId="5AC4A55D">
      <w:pPr>
        <w:pStyle w:val="194"/>
        <w:numPr>
          <w:ilvl w:val="0"/>
          <w:numId w:val="35"/>
        </w:numPr>
      </w:pPr>
      <w:r>
        <w:rPr>
          <w:rFonts w:hint="eastAsia"/>
        </w:rPr>
        <w:t>控制室辅助操作台、ESD按钮、声光报警器的设置情况。</w:t>
      </w:r>
    </w:p>
    <w:p w14:paraId="4508C99C">
      <w:pPr>
        <w:pStyle w:val="125"/>
        <w:spacing w:before="120" w:after="120"/>
      </w:pPr>
      <w:bookmarkStart w:id="387" w:name="_Toc193319175"/>
      <w:bookmarkStart w:id="388" w:name="_Toc193375389"/>
      <w:bookmarkStart w:id="389" w:name="_Toc195003776"/>
      <w:bookmarkStart w:id="390" w:name="_Toc11309"/>
      <w:r>
        <w:rPr>
          <w:rFonts w:hint="eastAsia"/>
        </w:rPr>
        <w:t>井口控制系统</w:t>
      </w:r>
      <w:bookmarkEnd w:id="387"/>
      <w:bookmarkEnd w:id="388"/>
      <w:bookmarkEnd w:id="389"/>
      <w:bookmarkEnd w:id="390"/>
    </w:p>
    <w:p w14:paraId="7D2B43EE">
      <w:pPr>
        <w:pStyle w:val="76"/>
        <w:ind w:firstLine="420"/>
      </w:pPr>
      <w:bookmarkStart w:id="391" w:name="_Toc9694"/>
      <w:bookmarkStart w:id="392" w:name="_Toc13332"/>
      <w:r>
        <w:t>说明井口控制系统配置、功能以及其余场站控制系统联系。</w:t>
      </w:r>
      <w:bookmarkEnd w:id="391"/>
      <w:bookmarkEnd w:id="392"/>
    </w:p>
    <w:p w14:paraId="7FD9EEA1">
      <w:pPr>
        <w:pStyle w:val="125"/>
        <w:spacing w:before="120" w:after="120"/>
      </w:pPr>
      <w:bookmarkStart w:id="393" w:name="_Toc193375390"/>
      <w:bookmarkStart w:id="394" w:name="_Toc2400"/>
      <w:bookmarkStart w:id="395" w:name="_Toc195003777"/>
      <w:bookmarkStart w:id="396" w:name="_Toc193319176"/>
      <w:r>
        <w:t>管道泄漏</w:t>
      </w:r>
      <w:r>
        <w:rPr>
          <w:rFonts w:hint="eastAsia"/>
        </w:rPr>
        <w:t>监</w:t>
      </w:r>
      <w:r>
        <w:t>测系统</w:t>
      </w:r>
      <w:bookmarkEnd w:id="393"/>
      <w:bookmarkEnd w:id="394"/>
      <w:bookmarkEnd w:id="395"/>
      <w:bookmarkEnd w:id="396"/>
    </w:p>
    <w:p w14:paraId="66A4895A">
      <w:pPr>
        <w:pStyle w:val="76"/>
        <w:ind w:firstLine="420"/>
      </w:pPr>
      <w:r>
        <w:t>当设置管道泄漏</w:t>
      </w:r>
      <w:r>
        <w:rPr>
          <w:rFonts w:hint="eastAsia"/>
        </w:rPr>
        <w:t>监</w:t>
      </w:r>
      <w:r>
        <w:t>测系统时，应说明系统软硬件配置、检测原理、定位精度、灵敏度、报警响应时间。</w:t>
      </w:r>
    </w:p>
    <w:p w14:paraId="51362D11">
      <w:pPr>
        <w:pStyle w:val="125"/>
        <w:spacing w:before="120" w:after="120"/>
      </w:pPr>
      <w:bookmarkStart w:id="397" w:name="_Toc193375391"/>
      <w:bookmarkStart w:id="398" w:name="_Toc195003778"/>
      <w:bookmarkStart w:id="399" w:name="_Toc23914"/>
      <w:bookmarkStart w:id="400" w:name="_Toc13522"/>
      <w:bookmarkStart w:id="401" w:name="_Toc23664"/>
      <w:bookmarkStart w:id="402" w:name="_Toc193319177"/>
      <w:r>
        <w:t>气体检测和报警系统</w:t>
      </w:r>
      <w:bookmarkEnd w:id="397"/>
      <w:bookmarkEnd w:id="398"/>
      <w:bookmarkEnd w:id="399"/>
      <w:bookmarkEnd w:id="400"/>
      <w:bookmarkEnd w:id="401"/>
      <w:bookmarkEnd w:id="402"/>
    </w:p>
    <w:p w14:paraId="266BCA2E">
      <w:pPr>
        <w:pStyle w:val="76"/>
        <w:ind w:firstLine="420"/>
      </w:pPr>
      <w:r>
        <w:rPr>
          <w:rFonts w:hint="eastAsia"/>
        </w:rPr>
        <w:t>按照S</w:t>
      </w:r>
      <w:r>
        <w:t>Y</w:t>
      </w:r>
      <w:r>
        <w:rPr>
          <w:rFonts w:hint="eastAsia"/>
        </w:rPr>
        <w:t>/T</w:t>
      </w:r>
      <w:r>
        <w:t>6503</w:t>
      </w:r>
      <w:r>
        <w:rPr>
          <w:rFonts w:hint="eastAsia"/>
        </w:rPr>
        <w:t>等相关要求，说明</w:t>
      </w:r>
      <w:r>
        <w:t>气体检测和报警系统</w:t>
      </w:r>
      <w:r>
        <w:rPr>
          <w:rFonts w:hint="eastAsia"/>
        </w:rPr>
        <w:t>设置情况，主要包括：</w:t>
      </w:r>
    </w:p>
    <w:p w14:paraId="10381ADC">
      <w:pPr>
        <w:pStyle w:val="194"/>
        <w:numPr>
          <w:ilvl w:val="0"/>
          <w:numId w:val="59"/>
        </w:numPr>
      </w:pPr>
      <w:r>
        <w:rPr>
          <w:rFonts w:hint="eastAsia"/>
        </w:rPr>
        <w:t>检测内容和气体类型等；</w:t>
      </w:r>
    </w:p>
    <w:p w14:paraId="536B1CB9">
      <w:pPr>
        <w:pStyle w:val="194"/>
        <w:numPr>
          <w:ilvl w:val="0"/>
          <w:numId w:val="35"/>
        </w:numPr>
      </w:pPr>
      <w:r>
        <w:rPr>
          <w:rFonts w:hint="eastAsia"/>
        </w:rPr>
        <w:t>系统</w:t>
      </w:r>
      <w:r>
        <w:t>设置及报警联锁功能</w:t>
      </w:r>
      <w:r>
        <w:rPr>
          <w:rFonts w:hint="eastAsia"/>
        </w:rPr>
        <w:t>；</w:t>
      </w:r>
    </w:p>
    <w:p w14:paraId="4F39C4E4">
      <w:pPr>
        <w:pStyle w:val="194"/>
        <w:numPr>
          <w:ilvl w:val="0"/>
          <w:numId w:val="35"/>
        </w:numPr>
      </w:pPr>
      <w:r>
        <w:t>探测器</w:t>
      </w:r>
      <w:r>
        <w:rPr>
          <w:rFonts w:hint="eastAsia"/>
        </w:rPr>
        <w:t>和报警控制器的</w:t>
      </w:r>
      <w:r>
        <w:t>设置原则、选型、数量及安装位置，</w:t>
      </w:r>
      <w:r>
        <w:rPr>
          <w:rFonts w:hint="eastAsia"/>
        </w:rPr>
        <w:t>并</w:t>
      </w:r>
      <w:r>
        <w:t>附气体检测报警设备布置图</w:t>
      </w:r>
      <w:r>
        <w:rPr>
          <w:rFonts w:hint="eastAsia"/>
        </w:rPr>
        <w:t>。</w:t>
      </w:r>
    </w:p>
    <w:p w14:paraId="764336F1">
      <w:pPr>
        <w:pStyle w:val="125"/>
        <w:spacing w:before="120" w:after="120"/>
      </w:pPr>
      <w:bookmarkStart w:id="403" w:name="_Toc11906"/>
      <w:bookmarkStart w:id="404" w:name="_Toc193319178"/>
      <w:bookmarkStart w:id="405" w:name="_Toc18280"/>
      <w:bookmarkStart w:id="406" w:name="_Toc25867"/>
      <w:bookmarkStart w:id="407" w:name="_Toc195003779"/>
      <w:bookmarkStart w:id="408" w:name="_Toc193375392"/>
      <w:r>
        <w:t>火灾报警系统</w:t>
      </w:r>
      <w:bookmarkEnd w:id="403"/>
      <w:bookmarkEnd w:id="404"/>
      <w:bookmarkEnd w:id="405"/>
      <w:bookmarkEnd w:id="406"/>
      <w:bookmarkEnd w:id="407"/>
      <w:bookmarkEnd w:id="408"/>
    </w:p>
    <w:p w14:paraId="0B9FACC5">
      <w:pPr>
        <w:pStyle w:val="76"/>
        <w:ind w:firstLine="420"/>
      </w:pPr>
      <w:r>
        <w:rPr>
          <w:rFonts w:hint="eastAsia"/>
        </w:rPr>
        <w:t>按照G</w:t>
      </w:r>
      <w:r>
        <w:t>B</w:t>
      </w:r>
      <w:r>
        <w:rPr>
          <w:rFonts w:hint="eastAsia"/>
        </w:rPr>
        <w:t xml:space="preserve"> </w:t>
      </w:r>
      <w:r>
        <w:t>50116的</w:t>
      </w:r>
      <w:r>
        <w:rPr>
          <w:rFonts w:hint="eastAsia"/>
        </w:rPr>
        <w:t>相关要求，说明</w:t>
      </w:r>
      <w:r>
        <w:t>火灾自动报警系统</w:t>
      </w:r>
      <w:r>
        <w:rPr>
          <w:rFonts w:hint="eastAsia"/>
        </w:rPr>
        <w:t>设置情况，主要包括：</w:t>
      </w:r>
    </w:p>
    <w:p w14:paraId="07B3C6BB">
      <w:pPr>
        <w:pStyle w:val="194"/>
        <w:numPr>
          <w:ilvl w:val="0"/>
          <w:numId w:val="60"/>
        </w:numPr>
      </w:pPr>
      <w:r>
        <w:rPr>
          <w:rFonts w:hint="eastAsia"/>
        </w:rPr>
        <w:t>系统</w:t>
      </w:r>
      <w:r>
        <w:t>设置及报警联锁功能</w:t>
      </w:r>
      <w:r>
        <w:rPr>
          <w:rFonts w:hint="eastAsia"/>
        </w:rPr>
        <w:t>；</w:t>
      </w:r>
    </w:p>
    <w:p w14:paraId="16DB9A26">
      <w:pPr>
        <w:pStyle w:val="194"/>
        <w:numPr>
          <w:ilvl w:val="0"/>
          <w:numId w:val="35"/>
        </w:numPr>
      </w:pPr>
      <w:r>
        <w:t>探测器</w:t>
      </w:r>
      <w:r>
        <w:rPr>
          <w:rFonts w:hint="eastAsia"/>
        </w:rPr>
        <w:t>和警报器</w:t>
      </w:r>
      <w:r>
        <w:t>设置原则、选型、数量及安装位置，</w:t>
      </w:r>
      <w:r>
        <w:rPr>
          <w:rFonts w:hint="eastAsia"/>
        </w:rPr>
        <w:t>并</w:t>
      </w:r>
      <w:r>
        <w:t>附火灾报警系统图</w:t>
      </w:r>
      <w:r>
        <w:rPr>
          <w:rFonts w:hint="eastAsia"/>
        </w:rPr>
        <w:t>；</w:t>
      </w:r>
    </w:p>
    <w:p w14:paraId="01B56FB6">
      <w:pPr>
        <w:pStyle w:val="194"/>
        <w:numPr>
          <w:ilvl w:val="0"/>
          <w:numId w:val="35"/>
        </w:numPr>
      </w:pPr>
      <w:r>
        <w:rPr>
          <w:rFonts w:hint="eastAsia"/>
        </w:rPr>
        <w:t>消防联动控制系统的设置、构成、配置、功能及触发条件，传感器的设置、报警及联锁控制功能。</w:t>
      </w:r>
    </w:p>
    <w:p w14:paraId="288B4CAB">
      <w:pPr>
        <w:pStyle w:val="125"/>
        <w:spacing w:before="120" w:after="120"/>
      </w:pPr>
      <w:bookmarkStart w:id="409" w:name="_Toc193319179"/>
      <w:bookmarkStart w:id="410" w:name="_Toc2469"/>
      <w:bookmarkStart w:id="411" w:name="_Toc193375393"/>
      <w:bookmarkStart w:id="412" w:name="_Toc195003780"/>
      <w:r>
        <w:rPr>
          <w:rFonts w:hint="eastAsia"/>
        </w:rPr>
        <w:t>站控制室的设置</w:t>
      </w:r>
      <w:bookmarkEnd w:id="409"/>
      <w:bookmarkEnd w:id="410"/>
      <w:bookmarkEnd w:id="411"/>
      <w:bookmarkEnd w:id="412"/>
    </w:p>
    <w:p w14:paraId="030914C5">
      <w:pPr>
        <w:pStyle w:val="76"/>
        <w:ind w:firstLine="420"/>
      </w:pPr>
      <w:r>
        <w:rPr>
          <w:rFonts w:hint="eastAsia"/>
        </w:rPr>
        <w:t>按照GB 50183、SY/T 7628等相关要求，说明控制系统机柜房间（如控制室、机柜间等）的设置情况。如果采用橇装化设备间，说明采取的安全措施。</w:t>
      </w:r>
    </w:p>
    <w:p w14:paraId="0E6E691D">
      <w:pPr>
        <w:pStyle w:val="125"/>
        <w:spacing w:before="120" w:after="120"/>
      </w:pPr>
      <w:bookmarkStart w:id="413" w:name="_Toc195003781"/>
      <w:bookmarkStart w:id="414" w:name="_Toc193375394"/>
      <w:bookmarkStart w:id="415" w:name="_Toc21815"/>
      <w:bookmarkStart w:id="416" w:name="_Toc2670"/>
      <w:bookmarkStart w:id="417" w:name="_Toc8091"/>
      <w:bookmarkStart w:id="418" w:name="_Toc193319180"/>
      <w:r>
        <w:t>其他安全措施</w:t>
      </w:r>
      <w:bookmarkEnd w:id="413"/>
      <w:bookmarkEnd w:id="414"/>
      <w:bookmarkEnd w:id="415"/>
      <w:bookmarkEnd w:id="416"/>
      <w:bookmarkEnd w:id="417"/>
      <w:bookmarkEnd w:id="418"/>
    </w:p>
    <w:p w14:paraId="3CC34312">
      <w:pPr>
        <w:pStyle w:val="76"/>
        <w:ind w:firstLine="420"/>
      </w:pPr>
      <w:r>
        <w:rPr>
          <w:rFonts w:hint="eastAsia"/>
        </w:rPr>
        <w:t>说明自控系统其他安全措施，主要包括：</w:t>
      </w:r>
    </w:p>
    <w:p w14:paraId="29F0E999">
      <w:pPr>
        <w:pStyle w:val="194"/>
        <w:numPr>
          <w:ilvl w:val="0"/>
          <w:numId w:val="61"/>
        </w:numPr>
      </w:pPr>
      <w:r>
        <w:rPr>
          <w:rFonts w:hint="eastAsia"/>
        </w:rPr>
        <w:t>仪表设备的防爆和防护等级，保温伴热的安全措施；</w:t>
      </w:r>
    </w:p>
    <w:p w14:paraId="1A3E672E">
      <w:pPr>
        <w:pStyle w:val="194"/>
        <w:numPr>
          <w:ilvl w:val="0"/>
          <w:numId w:val="35"/>
        </w:numPr>
      </w:pPr>
      <w:r>
        <w:rPr>
          <w:rFonts w:hint="eastAsia"/>
        </w:rPr>
        <w:t>仪表系统的接地电阻要求，工作接地、保护接地和防雷接地方式，防电涌保护措施；</w:t>
      </w:r>
    </w:p>
    <w:p w14:paraId="670905F5">
      <w:pPr>
        <w:pStyle w:val="194"/>
        <w:numPr>
          <w:ilvl w:val="0"/>
          <w:numId w:val="35"/>
        </w:numPr>
      </w:pPr>
      <w:r>
        <w:rPr>
          <w:rFonts w:hint="eastAsia"/>
        </w:rPr>
        <w:t>仪表电缆的阻燃及耐火特性，敷设方式，与工艺管道、设备、电力电缆的安全间距；</w:t>
      </w:r>
    </w:p>
    <w:p w14:paraId="60367553">
      <w:pPr>
        <w:pStyle w:val="194"/>
        <w:numPr>
          <w:ilvl w:val="0"/>
          <w:numId w:val="35"/>
        </w:numPr>
      </w:pPr>
      <w:r>
        <w:rPr>
          <w:rFonts w:hint="eastAsia"/>
        </w:rPr>
        <w:t>酷热、寒冷、存在盐雾腐蚀、多雷暴和多狂风等特殊地区的仪表选型、材料选择、安装要求；</w:t>
      </w:r>
    </w:p>
    <w:p w14:paraId="243FCB85">
      <w:pPr>
        <w:pStyle w:val="194"/>
        <w:numPr>
          <w:ilvl w:val="0"/>
          <w:numId w:val="35"/>
        </w:numPr>
      </w:pPr>
      <w:r>
        <w:rPr>
          <w:rFonts w:hint="eastAsia"/>
        </w:rPr>
        <w:t>用电仪表的供电电源类型、电压等级、UPS电源后备时间；</w:t>
      </w:r>
    </w:p>
    <w:p w14:paraId="3E6F630A">
      <w:pPr>
        <w:pStyle w:val="194"/>
        <w:numPr>
          <w:ilvl w:val="0"/>
          <w:numId w:val="35"/>
        </w:numPr>
      </w:pPr>
      <w:r>
        <w:rPr>
          <w:rFonts w:hint="eastAsia"/>
        </w:rPr>
        <w:t>仪表风介质、压力、露点、断电后供气时间。</w:t>
      </w:r>
    </w:p>
    <w:p w14:paraId="5237598A">
      <w:pPr>
        <w:pStyle w:val="124"/>
        <w:spacing w:before="240" w:after="240"/>
      </w:pPr>
      <w:bookmarkStart w:id="419" w:name="_Toc195003782"/>
      <w:bookmarkStart w:id="420" w:name="_Toc193375395"/>
      <w:bookmarkStart w:id="421" w:name="_Toc31435"/>
      <w:r>
        <w:rPr>
          <w:rFonts w:hint="eastAsia"/>
        </w:rPr>
        <w:t>公用工程安全措施</w:t>
      </w:r>
      <w:bookmarkEnd w:id="419"/>
      <w:bookmarkEnd w:id="420"/>
      <w:bookmarkEnd w:id="421"/>
    </w:p>
    <w:p w14:paraId="3072D3FB">
      <w:pPr>
        <w:pStyle w:val="125"/>
        <w:spacing w:before="120" w:after="120"/>
      </w:pPr>
      <w:bookmarkStart w:id="422" w:name="_Toc5093"/>
      <w:bookmarkStart w:id="423" w:name="_Toc195003783"/>
      <w:bookmarkStart w:id="424" w:name="_Toc193375396"/>
      <w:bookmarkStart w:id="425" w:name="_Toc193319182"/>
      <w:r>
        <w:t>供配电</w:t>
      </w:r>
      <w:bookmarkEnd w:id="422"/>
      <w:bookmarkEnd w:id="423"/>
      <w:bookmarkEnd w:id="424"/>
      <w:bookmarkEnd w:id="425"/>
    </w:p>
    <w:p w14:paraId="403B1DA6">
      <w:pPr>
        <w:pStyle w:val="85"/>
        <w:spacing w:before="120" w:after="120"/>
      </w:pPr>
      <w:bookmarkStart w:id="426" w:name="_Toc193375397"/>
      <w:bookmarkStart w:id="427" w:name="_Toc193319183"/>
      <w:r>
        <w:t>应急电源</w:t>
      </w:r>
      <w:bookmarkEnd w:id="426"/>
      <w:bookmarkEnd w:id="427"/>
    </w:p>
    <w:p w14:paraId="36ED3E80">
      <w:pPr>
        <w:pStyle w:val="76"/>
        <w:ind w:firstLine="420"/>
      </w:pPr>
      <w:r>
        <w:rPr>
          <w:rFonts w:hint="eastAsia"/>
        </w:rPr>
        <w:t>按照GB 50052、SY/T 0033等相关要求，</w:t>
      </w:r>
      <w:r>
        <w:t>说明应急电源的设置情况</w:t>
      </w:r>
      <w:r>
        <w:rPr>
          <w:rFonts w:hint="eastAsia"/>
        </w:rPr>
        <w:t>，主要包括：</w:t>
      </w:r>
    </w:p>
    <w:p w14:paraId="46837C22">
      <w:pPr>
        <w:pStyle w:val="194"/>
        <w:numPr>
          <w:ilvl w:val="0"/>
          <w:numId w:val="62"/>
        </w:numPr>
      </w:pPr>
      <w:r>
        <w:rPr>
          <w:rFonts w:hint="eastAsia"/>
        </w:rPr>
        <w:t>采用UPS、EPS或直流电源等作为应急电源时，列表说明安装场所、容量、台数、型式、蓄电池后备供电时间、计算负荷等；</w:t>
      </w:r>
    </w:p>
    <w:p w14:paraId="3D3DF0B4">
      <w:pPr>
        <w:pStyle w:val="194"/>
        <w:numPr>
          <w:ilvl w:val="0"/>
          <w:numId w:val="35"/>
        </w:numPr>
      </w:pPr>
      <w:r>
        <w:rPr>
          <w:rFonts w:hint="eastAsia"/>
        </w:rPr>
        <w:t>采用发电机作为应急电源时，说明安装场所、设备选型、电压等级、容量、台数、运行方式、计算负荷等。</w:t>
      </w:r>
    </w:p>
    <w:p w14:paraId="0C4806C1">
      <w:pPr>
        <w:pStyle w:val="85"/>
        <w:spacing w:before="120" w:after="120"/>
      </w:pPr>
      <w:bookmarkStart w:id="428" w:name="_Toc193319184"/>
      <w:bookmarkStart w:id="429" w:name="_Toc193375398"/>
      <w:r>
        <w:t>防火防爆</w:t>
      </w:r>
      <w:bookmarkEnd w:id="428"/>
      <w:bookmarkEnd w:id="429"/>
    </w:p>
    <w:p w14:paraId="4237DA07">
      <w:pPr>
        <w:pStyle w:val="76"/>
        <w:ind w:firstLine="420"/>
      </w:pPr>
      <w:r>
        <w:rPr>
          <w:rFonts w:hint="eastAsia"/>
        </w:rPr>
        <w:t>按照SY/T 6671的要求说明爆炸危险区域划分情况。按照GB 50016、GB 55037、GB 50058、GB 50229等相关要求说明爆炸和火灾危险场所采取的防爆、防火措施，主要包括：</w:t>
      </w:r>
    </w:p>
    <w:p w14:paraId="73B4160E">
      <w:pPr>
        <w:pStyle w:val="194"/>
        <w:numPr>
          <w:ilvl w:val="0"/>
          <w:numId w:val="63"/>
        </w:numPr>
      </w:pPr>
      <w:r>
        <w:t>电气设备的防爆和防护等级</w:t>
      </w:r>
      <w:r>
        <w:rPr>
          <w:rFonts w:hint="eastAsia"/>
        </w:rPr>
        <w:t>，</w:t>
      </w:r>
      <w:r>
        <w:t>户外电气设备的防腐措施</w:t>
      </w:r>
      <w:r>
        <w:rPr>
          <w:rFonts w:hint="eastAsia"/>
        </w:rPr>
        <w:t>；</w:t>
      </w:r>
    </w:p>
    <w:p w14:paraId="5EBF1D48">
      <w:pPr>
        <w:pStyle w:val="194"/>
        <w:numPr>
          <w:ilvl w:val="0"/>
          <w:numId w:val="35"/>
        </w:numPr>
      </w:pPr>
      <w:r>
        <w:t>电缆选型</w:t>
      </w:r>
      <w:r>
        <w:rPr>
          <w:rFonts w:hint="eastAsia"/>
        </w:rPr>
        <w:t>；</w:t>
      </w:r>
    </w:p>
    <w:p w14:paraId="64D33948">
      <w:pPr>
        <w:pStyle w:val="194"/>
        <w:numPr>
          <w:ilvl w:val="0"/>
          <w:numId w:val="35"/>
        </w:numPr>
      </w:pPr>
      <w:r>
        <w:t>电气线路敷设方案及防爆防火封堵措施等。</w:t>
      </w:r>
    </w:p>
    <w:p w14:paraId="16496F1A">
      <w:pPr>
        <w:pStyle w:val="85"/>
        <w:spacing w:before="120" w:after="120"/>
      </w:pPr>
      <w:bookmarkStart w:id="430" w:name="_Toc193375399"/>
      <w:bookmarkStart w:id="431" w:name="_Toc27068"/>
      <w:bookmarkStart w:id="432" w:name="_Toc193319185"/>
      <w:r>
        <w:rPr>
          <w:rFonts w:hint="eastAsia"/>
        </w:rPr>
        <w:t>应急照明</w:t>
      </w:r>
      <w:bookmarkEnd w:id="430"/>
      <w:bookmarkEnd w:id="431"/>
      <w:bookmarkEnd w:id="432"/>
    </w:p>
    <w:p w14:paraId="1A37FA29">
      <w:pPr>
        <w:pStyle w:val="76"/>
        <w:ind w:firstLine="420"/>
      </w:pPr>
      <w:r>
        <w:rPr>
          <w:rFonts w:hint="eastAsia"/>
        </w:rPr>
        <w:t>按照GB 50183、GB 50229、GB 51309、GB 55037等相关要求，分别说明备用照明、消防应急疏散照明和指示系统的设置场所、照度值、控制方式、电源型式、持续时间等。</w:t>
      </w:r>
    </w:p>
    <w:p w14:paraId="7084B5D5">
      <w:pPr>
        <w:pStyle w:val="85"/>
        <w:spacing w:before="120" w:after="120"/>
      </w:pPr>
      <w:bookmarkStart w:id="433" w:name="_Toc193375400"/>
      <w:bookmarkStart w:id="434" w:name="_Toc193319186"/>
      <w:r>
        <w:t>防雷、防静电</w:t>
      </w:r>
      <w:r>
        <w:rPr>
          <w:rFonts w:hint="eastAsia"/>
        </w:rPr>
        <w:t>措施</w:t>
      </w:r>
      <w:bookmarkEnd w:id="433"/>
      <w:bookmarkEnd w:id="434"/>
    </w:p>
    <w:p w14:paraId="2E409C66">
      <w:pPr>
        <w:pStyle w:val="76"/>
        <w:ind w:firstLine="420"/>
      </w:pPr>
      <w:r>
        <w:rPr>
          <w:rFonts w:hint="eastAsia"/>
        </w:rPr>
        <w:t>按照GB 50057、GB/T 50064、GB/T 50065、GB 50183、GB 50343、SY/T 0060、SY/T 6885等相关要求，说明</w:t>
      </w:r>
      <w:r>
        <w:t>工艺设施、建（构）筑物、电气设施等采取</w:t>
      </w:r>
      <w:r>
        <w:rPr>
          <w:rFonts w:hint="eastAsia"/>
        </w:rPr>
        <w:t>的</w:t>
      </w:r>
      <w:r>
        <w:t>防雷、防静电措施，</w:t>
      </w:r>
      <w:r>
        <w:rPr>
          <w:rFonts w:hint="eastAsia"/>
        </w:rPr>
        <w:t>主要包括：</w:t>
      </w:r>
    </w:p>
    <w:p w14:paraId="7FBCBDCE">
      <w:pPr>
        <w:pStyle w:val="194"/>
        <w:numPr>
          <w:ilvl w:val="0"/>
          <w:numId w:val="64"/>
        </w:numPr>
      </w:pPr>
      <w:r>
        <w:t>35kV及以上变配电所防雷措施</w:t>
      </w:r>
      <w:r>
        <w:rPr>
          <w:rFonts w:hint="eastAsia"/>
        </w:rPr>
        <w:t>；</w:t>
      </w:r>
    </w:p>
    <w:p w14:paraId="06CA965A">
      <w:pPr>
        <w:pStyle w:val="194"/>
        <w:numPr>
          <w:ilvl w:val="0"/>
          <w:numId w:val="35"/>
        </w:numPr>
      </w:pPr>
      <w:r>
        <w:t>建筑物防雷分类及相应防雷措施</w:t>
      </w:r>
      <w:r>
        <w:rPr>
          <w:rFonts w:hint="eastAsia"/>
        </w:rPr>
        <w:t>；</w:t>
      </w:r>
    </w:p>
    <w:p w14:paraId="24F6C0C1">
      <w:pPr>
        <w:pStyle w:val="194"/>
        <w:numPr>
          <w:ilvl w:val="0"/>
          <w:numId w:val="35"/>
        </w:numPr>
      </w:pPr>
      <w:r>
        <w:rPr>
          <w:rFonts w:hint="eastAsia"/>
        </w:rPr>
        <w:t>工艺设施</w:t>
      </w:r>
      <w:r>
        <w:t>防雷及防静电措施</w:t>
      </w:r>
      <w:r>
        <w:rPr>
          <w:rFonts w:hint="eastAsia"/>
        </w:rPr>
        <w:t>；</w:t>
      </w:r>
    </w:p>
    <w:p w14:paraId="294D7F96">
      <w:pPr>
        <w:pStyle w:val="194"/>
        <w:numPr>
          <w:ilvl w:val="0"/>
          <w:numId w:val="35"/>
        </w:numPr>
      </w:pPr>
      <w:r>
        <w:t>消除人体静电装置</w:t>
      </w:r>
      <w:r>
        <w:rPr>
          <w:rFonts w:hint="eastAsia"/>
        </w:rPr>
        <w:t>设置情况；</w:t>
      </w:r>
    </w:p>
    <w:p w14:paraId="1D245E4F">
      <w:pPr>
        <w:pStyle w:val="194"/>
        <w:numPr>
          <w:ilvl w:val="0"/>
          <w:numId w:val="35"/>
        </w:numPr>
      </w:pPr>
      <w:r>
        <w:t>电子信息系统的电源防雷击电磁脉冲</w:t>
      </w:r>
      <w:r>
        <w:rPr>
          <w:rFonts w:hint="eastAsia"/>
        </w:rPr>
        <w:t>措施；</w:t>
      </w:r>
    </w:p>
    <w:p w14:paraId="1742B4C0">
      <w:pPr>
        <w:pStyle w:val="194"/>
        <w:numPr>
          <w:ilvl w:val="0"/>
          <w:numId w:val="35"/>
        </w:numPr>
      </w:pPr>
      <w:r>
        <w:t>接地</w:t>
      </w:r>
      <w:r>
        <w:rPr>
          <w:rFonts w:hint="eastAsia"/>
        </w:rPr>
        <w:t>系统</w:t>
      </w:r>
      <w:r>
        <w:t>设计及阻值要求</w:t>
      </w:r>
      <w:r>
        <w:rPr>
          <w:rFonts w:hint="eastAsia"/>
        </w:rPr>
        <w:t>等。</w:t>
      </w:r>
    </w:p>
    <w:p w14:paraId="751CD821">
      <w:pPr>
        <w:pStyle w:val="85"/>
        <w:spacing w:before="120" w:after="120"/>
      </w:pPr>
      <w:bookmarkStart w:id="435" w:name="_Toc193375401"/>
      <w:bookmarkStart w:id="436" w:name="_Toc193319187"/>
      <w:r>
        <w:t>电击防护</w:t>
      </w:r>
      <w:bookmarkEnd w:id="435"/>
      <w:bookmarkEnd w:id="436"/>
    </w:p>
    <w:p w14:paraId="6E9C5489">
      <w:pPr>
        <w:pStyle w:val="76"/>
        <w:ind w:firstLine="420"/>
      </w:pPr>
      <w:r>
        <w:rPr>
          <w:rFonts w:hint="eastAsia"/>
        </w:rPr>
        <w:t>按照G</w:t>
      </w:r>
      <w:r>
        <w:t>B 50054、GB 50060、GB/T 50064、GB/T 50065、</w:t>
      </w:r>
      <w:r>
        <w:rPr>
          <w:rFonts w:hint="eastAsia"/>
        </w:rPr>
        <w:t>GB 50797、GB/T 51096</w:t>
      </w:r>
      <w:r>
        <w:t>等相关要求</w:t>
      </w:r>
      <w:r>
        <w:rPr>
          <w:rFonts w:hint="eastAsia"/>
        </w:rPr>
        <w:t>，说明直接接触、间接接触采取的电击防护措施，主要包括：</w:t>
      </w:r>
    </w:p>
    <w:p w14:paraId="7E63F0FF">
      <w:pPr>
        <w:pStyle w:val="194"/>
        <w:numPr>
          <w:ilvl w:val="0"/>
          <w:numId w:val="65"/>
        </w:numPr>
      </w:pPr>
      <w:r>
        <w:t>电气设备的绝缘水平、外壳防护等级、防护遮栏设置、安全间距、防误操作等直接接触防护措施，设置剩余电流保护器等附加防护措施</w:t>
      </w:r>
      <w:r>
        <w:rPr>
          <w:rFonts w:hint="eastAsia"/>
        </w:rPr>
        <w:t>；</w:t>
      </w:r>
    </w:p>
    <w:p w14:paraId="5B214FC3">
      <w:pPr>
        <w:pStyle w:val="194"/>
        <w:numPr>
          <w:ilvl w:val="0"/>
          <w:numId w:val="35"/>
        </w:numPr>
      </w:pPr>
      <w:r>
        <w:rPr>
          <w:rFonts w:hint="eastAsia"/>
        </w:rPr>
        <w:t>风、光等新能源分布式发电、储能系统等防孤岛措施；</w:t>
      </w:r>
    </w:p>
    <w:p w14:paraId="27FDBFB0">
      <w:pPr>
        <w:pStyle w:val="194"/>
        <w:numPr>
          <w:ilvl w:val="0"/>
          <w:numId w:val="35"/>
        </w:numPr>
      </w:pPr>
      <w:r>
        <w:t>变压器中性点接地方式、重复接地、电气设备和电气装置的保护接地、等电位联结、自动切断电源等间接接触防护措施。</w:t>
      </w:r>
    </w:p>
    <w:p w14:paraId="4CAF803A">
      <w:pPr>
        <w:pStyle w:val="125"/>
        <w:spacing w:before="120" w:after="120"/>
      </w:pPr>
      <w:bookmarkStart w:id="437" w:name="_Toc193319188"/>
      <w:bookmarkStart w:id="438" w:name="_Toc195003784"/>
      <w:bookmarkStart w:id="439" w:name="_Toc774"/>
      <w:bookmarkStart w:id="440" w:name="_Toc193375402"/>
      <w:r>
        <w:t>通信</w:t>
      </w:r>
      <w:bookmarkEnd w:id="437"/>
      <w:bookmarkEnd w:id="438"/>
      <w:bookmarkEnd w:id="439"/>
      <w:bookmarkEnd w:id="440"/>
    </w:p>
    <w:p w14:paraId="03D7213E">
      <w:pPr>
        <w:pStyle w:val="85"/>
        <w:spacing w:before="120" w:after="120"/>
      </w:pPr>
      <w:bookmarkStart w:id="441" w:name="_Toc193375403"/>
      <w:bookmarkStart w:id="442" w:name="_Toc193319189"/>
      <w:r>
        <w:rPr>
          <w:rFonts w:hint="eastAsia"/>
        </w:rPr>
        <w:t>电话系统</w:t>
      </w:r>
      <w:bookmarkEnd w:id="441"/>
      <w:bookmarkEnd w:id="442"/>
    </w:p>
    <w:p w14:paraId="6F22F7C6">
      <w:pPr>
        <w:pStyle w:val="76"/>
        <w:ind w:firstLine="420"/>
      </w:pPr>
      <w:r>
        <w:rPr>
          <w:rFonts w:hint="eastAsia"/>
        </w:rPr>
        <w:t>应说明电话系统的设置情况，主要包括：生产调度电话的系统组成、网络结构、点位布置、中继方式等；消防直通电话的接入方式、点位布置、接警要求等。</w:t>
      </w:r>
    </w:p>
    <w:p w14:paraId="2B88663C">
      <w:pPr>
        <w:pStyle w:val="85"/>
        <w:spacing w:before="120" w:after="120"/>
      </w:pPr>
      <w:bookmarkStart w:id="443" w:name="_Toc193375404"/>
      <w:bookmarkStart w:id="444" w:name="_Toc193319190"/>
      <w:r>
        <w:rPr>
          <w:rFonts w:hint="eastAsia"/>
        </w:rPr>
        <w:t>扩音对讲及广播系统</w:t>
      </w:r>
      <w:bookmarkEnd w:id="443"/>
      <w:bookmarkEnd w:id="444"/>
    </w:p>
    <w:p w14:paraId="2AC6D6A7">
      <w:pPr>
        <w:pStyle w:val="76"/>
        <w:ind w:firstLine="420"/>
      </w:pPr>
      <w:r>
        <w:rPr>
          <w:rFonts w:hint="eastAsia"/>
        </w:rPr>
        <w:t>按照GB 50526相关要求，说明扩音对讲及广播系统设置情况，主要包括：</w:t>
      </w:r>
    </w:p>
    <w:p w14:paraId="292589C1">
      <w:pPr>
        <w:pStyle w:val="194"/>
        <w:numPr>
          <w:ilvl w:val="0"/>
          <w:numId w:val="66"/>
        </w:numPr>
      </w:pPr>
      <w:r>
        <w:rPr>
          <w:rFonts w:hint="eastAsia"/>
        </w:rPr>
        <w:t>扩音对讲及广播系统的技术制式、设备组成以及系统架构；</w:t>
      </w:r>
    </w:p>
    <w:p w14:paraId="202276B9">
      <w:pPr>
        <w:pStyle w:val="194"/>
        <w:numPr>
          <w:ilvl w:val="0"/>
          <w:numId w:val="35"/>
        </w:numPr>
      </w:pPr>
      <w:r>
        <w:rPr>
          <w:rFonts w:hint="eastAsia"/>
        </w:rPr>
        <w:t>扬声器及话站的配置原则及安装位置；</w:t>
      </w:r>
    </w:p>
    <w:p w14:paraId="6531673A">
      <w:pPr>
        <w:pStyle w:val="194"/>
        <w:numPr>
          <w:ilvl w:val="0"/>
          <w:numId w:val="35"/>
        </w:numPr>
      </w:pPr>
      <w:r>
        <w:rPr>
          <w:rFonts w:hint="eastAsia"/>
        </w:rPr>
        <w:t>系统与火灾报警、可燃气体探测等第三方系统的联动报警方案；</w:t>
      </w:r>
    </w:p>
    <w:p w14:paraId="33521BF9">
      <w:pPr>
        <w:pStyle w:val="194"/>
        <w:numPr>
          <w:ilvl w:val="0"/>
          <w:numId w:val="35"/>
        </w:numPr>
      </w:pPr>
      <w:r>
        <w:rPr>
          <w:rFonts w:hint="eastAsia"/>
        </w:rPr>
        <w:t>针对高含硫化氢工况，说明应急疏散广播和社区广播的工程配置，包括技术制式、设备组成、系统架构、点位布置、联动报警方案等。</w:t>
      </w:r>
    </w:p>
    <w:p w14:paraId="7007FB9E">
      <w:pPr>
        <w:pStyle w:val="85"/>
        <w:spacing w:before="120" w:after="120"/>
      </w:pPr>
      <w:bookmarkStart w:id="445" w:name="_Toc193319191"/>
      <w:bookmarkStart w:id="446" w:name="_Toc193375405"/>
      <w:r>
        <w:rPr>
          <w:rFonts w:hint="eastAsia"/>
        </w:rPr>
        <w:t>应急通信系统</w:t>
      </w:r>
      <w:bookmarkEnd w:id="445"/>
      <w:bookmarkEnd w:id="446"/>
    </w:p>
    <w:p w14:paraId="7D4CC645">
      <w:pPr>
        <w:pStyle w:val="76"/>
        <w:ind w:firstLine="420"/>
      </w:pPr>
      <w:r>
        <w:rPr>
          <w:rFonts w:hint="eastAsia"/>
        </w:rPr>
        <w:t>说明应急通信系统设置情况，主要包括：应急通信采用的技术制式、设备类型；设备的环境要求。</w:t>
      </w:r>
    </w:p>
    <w:p w14:paraId="055F383C">
      <w:pPr>
        <w:pStyle w:val="125"/>
        <w:spacing w:before="120" w:after="120"/>
      </w:pPr>
      <w:bookmarkStart w:id="447" w:name="_Toc193375406"/>
      <w:bookmarkStart w:id="448" w:name="_Toc195003785"/>
      <w:bookmarkStart w:id="449" w:name="_Toc193319192"/>
      <w:bookmarkStart w:id="450" w:name="_Toc16002"/>
      <w:r>
        <w:rPr>
          <w:rFonts w:hint="eastAsia"/>
        </w:rPr>
        <w:t>热工</w:t>
      </w:r>
      <w:bookmarkEnd w:id="447"/>
      <w:bookmarkEnd w:id="448"/>
      <w:bookmarkEnd w:id="449"/>
      <w:bookmarkEnd w:id="450"/>
    </w:p>
    <w:p w14:paraId="30FD1051">
      <w:pPr>
        <w:pStyle w:val="76"/>
        <w:ind w:firstLine="420"/>
      </w:pPr>
      <w:r>
        <w:rPr>
          <w:rFonts w:hint="eastAsia"/>
        </w:rPr>
        <w:t>按照G</w:t>
      </w:r>
      <w:r>
        <w:t>B</w:t>
      </w:r>
      <w:r>
        <w:rPr>
          <w:rFonts w:hint="eastAsia"/>
        </w:rPr>
        <w:t xml:space="preserve"> </w:t>
      </w:r>
      <w:r>
        <w:t>50041</w:t>
      </w:r>
      <w:r>
        <w:rPr>
          <w:rFonts w:hint="eastAsia"/>
        </w:rPr>
        <w:t>、</w:t>
      </w:r>
      <w:bookmarkStart w:id="451" w:name="OLE_LINK5"/>
      <w:r>
        <w:t>GB/T 36699</w:t>
      </w:r>
      <w:bookmarkEnd w:id="451"/>
      <w:r>
        <w:rPr>
          <w:rFonts w:hint="eastAsia"/>
        </w:rPr>
        <w:t>、</w:t>
      </w:r>
      <w:r>
        <w:t>SY/T 0524</w:t>
      </w:r>
      <w:r>
        <w:rPr>
          <w:rFonts w:hint="eastAsia"/>
        </w:rPr>
        <w:t>、</w:t>
      </w:r>
      <w:r>
        <w:t>SY/T 7405</w:t>
      </w:r>
      <w:r>
        <w:rPr>
          <w:rFonts w:hint="eastAsia"/>
        </w:rPr>
        <w:t>等相关要求，说明热力的安全措施，主要包括：</w:t>
      </w:r>
    </w:p>
    <w:p w14:paraId="7767C7F1">
      <w:pPr>
        <w:pStyle w:val="194"/>
        <w:numPr>
          <w:ilvl w:val="0"/>
          <w:numId w:val="67"/>
        </w:numPr>
      </w:pPr>
      <w:r>
        <w:rPr>
          <w:rFonts w:hint="eastAsia"/>
        </w:rPr>
        <w:t>锅炉及管道系统泄放措施；</w:t>
      </w:r>
    </w:p>
    <w:p w14:paraId="636E648E">
      <w:pPr>
        <w:pStyle w:val="194"/>
        <w:numPr>
          <w:ilvl w:val="0"/>
          <w:numId w:val="35"/>
        </w:numPr>
      </w:pPr>
      <w:r>
        <w:rPr>
          <w:rFonts w:hint="eastAsia"/>
        </w:rPr>
        <w:t>燃料气供应管道紧急切断措施；</w:t>
      </w:r>
    </w:p>
    <w:p w14:paraId="1D148D1B">
      <w:pPr>
        <w:pStyle w:val="194"/>
        <w:numPr>
          <w:ilvl w:val="0"/>
          <w:numId w:val="35"/>
        </w:numPr>
      </w:pPr>
      <w:r>
        <w:rPr>
          <w:rFonts w:hint="eastAsia"/>
        </w:rPr>
        <w:t>锅炉、加热炉等燃烧器熄火保护、设备过热保护措施；热泵机组压缩机与换热器过热保护、冷剂泄漏保护、流量开关措施；</w:t>
      </w:r>
    </w:p>
    <w:p w14:paraId="3875FF67">
      <w:pPr>
        <w:pStyle w:val="194"/>
        <w:numPr>
          <w:ilvl w:val="0"/>
          <w:numId w:val="35"/>
        </w:numPr>
      </w:pPr>
      <w:r>
        <w:rPr>
          <w:rFonts w:hint="eastAsia"/>
        </w:rPr>
        <w:t>管道及设备采取的保温、防腐、防冻及热膨胀补偿措施。</w:t>
      </w:r>
    </w:p>
    <w:p w14:paraId="21D3EDE8">
      <w:pPr>
        <w:pStyle w:val="125"/>
        <w:spacing w:before="120" w:after="120"/>
      </w:pPr>
      <w:bookmarkStart w:id="452" w:name="_Toc195003786"/>
      <w:r>
        <w:rPr>
          <w:rFonts w:hint="eastAsia"/>
        </w:rPr>
        <w:t>暖通</w:t>
      </w:r>
      <w:bookmarkEnd w:id="452"/>
    </w:p>
    <w:p w14:paraId="5A5AAECD">
      <w:pPr>
        <w:pStyle w:val="85"/>
        <w:spacing w:before="120" w:after="120"/>
      </w:pPr>
      <w:bookmarkStart w:id="453" w:name="_Toc193319194"/>
      <w:bookmarkStart w:id="454" w:name="_Toc193375408"/>
      <w:r>
        <w:rPr>
          <w:rFonts w:hint="eastAsia"/>
        </w:rPr>
        <w:t>通风</w:t>
      </w:r>
      <w:bookmarkEnd w:id="453"/>
      <w:bookmarkEnd w:id="454"/>
    </w:p>
    <w:p w14:paraId="63F0E049">
      <w:pPr>
        <w:pStyle w:val="76"/>
        <w:ind w:firstLine="420"/>
      </w:pPr>
      <w:r>
        <w:rPr>
          <w:rFonts w:hint="eastAsia"/>
        </w:rPr>
        <w:t>按照GB</w:t>
      </w:r>
      <w:r>
        <w:t xml:space="preserve"> </w:t>
      </w:r>
      <w:r>
        <w:rPr>
          <w:rFonts w:hint="eastAsia"/>
        </w:rPr>
        <w:t>50019、SY/T 7021等相关要求，说明建筑物通风及通风设备的设置情况。主要包括：</w:t>
      </w:r>
    </w:p>
    <w:p w14:paraId="2AD94D5A">
      <w:pPr>
        <w:pStyle w:val="194"/>
        <w:numPr>
          <w:ilvl w:val="0"/>
          <w:numId w:val="68"/>
        </w:numPr>
      </w:pPr>
      <w:r>
        <w:rPr>
          <w:rFonts w:hint="eastAsia"/>
        </w:rPr>
        <w:t>房间名称、通风方式、换气次数，明确通风设备的形式、防爆等级；</w:t>
      </w:r>
    </w:p>
    <w:p w14:paraId="6D7940B2">
      <w:pPr>
        <w:pStyle w:val="194"/>
        <w:numPr>
          <w:ilvl w:val="0"/>
          <w:numId w:val="35"/>
        </w:numPr>
      </w:pPr>
      <w:r>
        <w:rPr>
          <w:rFonts w:hint="eastAsia"/>
        </w:rPr>
        <w:t>可能突然散发大量有毒有害气体或爆炸危险气体的建筑物的事故通风设置及运行情况。</w:t>
      </w:r>
    </w:p>
    <w:p w14:paraId="5FB3E60C">
      <w:pPr>
        <w:pStyle w:val="85"/>
        <w:spacing w:before="120" w:after="120"/>
      </w:pPr>
      <w:bookmarkStart w:id="455" w:name="_Toc193375409"/>
      <w:bookmarkStart w:id="456" w:name="_Toc193319195"/>
      <w:r>
        <w:rPr>
          <w:rFonts w:hint="eastAsia"/>
        </w:rPr>
        <w:t>防烟排烟</w:t>
      </w:r>
      <w:bookmarkEnd w:id="455"/>
      <w:bookmarkEnd w:id="456"/>
    </w:p>
    <w:p w14:paraId="138D3E18">
      <w:pPr>
        <w:pStyle w:val="76"/>
        <w:ind w:firstLine="420"/>
      </w:pPr>
      <w:r>
        <w:rPr>
          <w:rFonts w:hint="eastAsia"/>
        </w:rPr>
        <w:t>按照GB</w:t>
      </w:r>
      <w:r>
        <w:t xml:space="preserve"> </w:t>
      </w:r>
      <w:r>
        <w:rPr>
          <w:rFonts w:hint="eastAsia"/>
        </w:rPr>
        <w:t>55036、GB</w:t>
      </w:r>
      <w:r>
        <w:t xml:space="preserve"> </w:t>
      </w:r>
      <w:r>
        <w:rPr>
          <w:rFonts w:hint="eastAsia"/>
        </w:rPr>
        <w:t>55037、GB</w:t>
      </w:r>
      <w:r>
        <w:t xml:space="preserve"> </w:t>
      </w:r>
      <w:r>
        <w:rPr>
          <w:rFonts w:hint="eastAsia"/>
        </w:rPr>
        <w:t>51251等相关要求，说明防排烟区域、形式及系统设置情况，主要包括：</w:t>
      </w:r>
    </w:p>
    <w:p w14:paraId="2C93C921">
      <w:pPr>
        <w:pStyle w:val="194"/>
        <w:numPr>
          <w:ilvl w:val="0"/>
          <w:numId w:val="69"/>
        </w:numPr>
      </w:pPr>
      <w:r>
        <w:rPr>
          <w:rFonts w:hint="eastAsia"/>
        </w:rPr>
        <w:t>自然排烟和/或机械排烟的区域、系统设置、挡烟垂壁的设置等；</w:t>
      </w:r>
    </w:p>
    <w:p w14:paraId="3C97C97C">
      <w:pPr>
        <w:pStyle w:val="194"/>
        <w:numPr>
          <w:ilvl w:val="0"/>
          <w:numId w:val="35"/>
        </w:numPr>
      </w:pPr>
      <w:r>
        <w:rPr>
          <w:rFonts w:hint="eastAsia"/>
        </w:rPr>
        <w:t>设置补风系统时，应说明排烟补风的方式及设置情况；</w:t>
      </w:r>
    </w:p>
    <w:p w14:paraId="2619735D">
      <w:pPr>
        <w:pStyle w:val="194"/>
        <w:numPr>
          <w:ilvl w:val="0"/>
          <w:numId w:val="35"/>
        </w:numPr>
      </w:pPr>
      <w:r>
        <w:rPr>
          <w:rFonts w:hint="eastAsia"/>
        </w:rPr>
        <w:t>挡烟垂壁、防排烟系统的控制方式。</w:t>
      </w:r>
    </w:p>
    <w:p w14:paraId="396B7E0B">
      <w:pPr>
        <w:pStyle w:val="125"/>
        <w:spacing w:before="120" w:after="120"/>
      </w:pPr>
      <w:bookmarkStart w:id="457" w:name="_Toc193319196"/>
      <w:bookmarkStart w:id="458" w:name="_Toc193375410"/>
      <w:bookmarkStart w:id="459" w:name="_Toc11516"/>
      <w:bookmarkStart w:id="460" w:name="_Toc195003787"/>
      <w:r>
        <w:t>建</w:t>
      </w:r>
      <w:bookmarkEnd w:id="457"/>
      <w:bookmarkEnd w:id="458"/>
      <w:bookmarkEnd w:id="459"/>
      <w:r>
        <w:rPr>
          <w:rFonts w:hint="eastAsia"/>
        </w:rPr>
        <w:t>筑与结构</w:t>
      </w:r>
      <w:bookmarkEnd w:id="460"/>
    </w:p>
    <w:p w14:paraId="6BCF3BDE">
      <w:pPr>
        <w:pStyle w:val="85"/>
        <w:spacing w:before="120" w:after="120"/>
      </w:pPr>
      <w:r>
        <w:t>主要建(构)筑物</w:t>
      </w:r>
    </w:p>
    <w:p w14:paraId="0838A59E">
      <w:pPr>
        <w:pStyle w:val="76"/>
        <w:ind w:firstLine="420"/>
      </w:pPr>
      <w:r>
        <w:rPr>
          <w:rFonts w:hint="eastAsia"/>
        </w:rPr>
        <w:t>按照GB</w:t>
      </w:r>
      <w:r>
        <w:t xml:space="preserve"> </w:t>
      </w:r>
      <w:r>
        <w:rPr>
          <w:rFonts w:hint="eastAsia"/>
        </w:rPr>
        <w:t>50016、GB</w:t>
      </w:r>
      <w:r>
        <w:t xml:space="preserve"> </w:t>
      </w:r>
      <w:r>
        <w:rPr>
          <w:rFonts w:hint="eastAsia"/>
        </w:rPr>
        <w:t>51251、GB</w:t>
      </w:r>
      <w:r>
        <w:t xml:space="preserve"> </w:t>
      </w:r>
      <w:r>
        <w:rPr>
          <w:rFonts w:hint="eastAsia"/>
        </w:rPr>
        <w:t>55037等相关要求，说明</w:t>
      </w:r>
      <w:r>
        <w:t>建（构）筑物防火分区、安全出口及安全疏散距离</w:t>
      </w:r>
      <w:r>
        <w:rPr>
          <w:rFonts w:hint="eastAsia"/>
        </w:rPr>
        <w:t>，建（构）筑物设置的防火、泄爆、抗爆、排烟、防腐等安全措施，主要包括：</w:t>
      </w:r>
    </w:p>
    <w:p w14:paraId="00365C85">
      <w:pPr>
        <w:pStyle w:val="194"/>
        <w:numPr>
          <w:ilvl w:val="0"/>
          <w:numId w:val="70"/>
        </w:numPr>
      </w:pPr>
      <w:r>
        <w:rPr>
          <w:rFonts w:hint="eastAsia"/>
        </w:rPr>
        <w:t>建筑物火灾危险性类别、规范限值、防火分区的设置及面积；</w:t>
      </w:r>
    </w:p>
    <w:p w14:paraId="4087FDAF">
      <w:pPr>
        <w:pStyle w:val="194"/>
        <w:numPr>
          <w:ilvl w:val="0"/>
          <w:numId w:val="70"/>
        </w:numPr>
      </w:pPr>
      <w:r>
        <w:rPr>
          <w:rFonts w:hint="eastAsia"/>
        </w:rPr>
        <w:t>建筑物安全出口的数量、安全疏散距离、疏散通道宽度等；</w:t>
      </w:r>
    </w:p>
    <w:p w14:paraId="3C1BF23A">
      <w:pPr>
        <w:pStyle w:val="194"/>
        <w:numPr>
          <w:ilvl w:val="0"/>
          <w:numId w:val="70"/>
        </w:numPr>
      </w:pPr>
      <w:r>
        <w:rPr>
          <w:rFonts w:hint="eastAsia"/>
        </w:rPr>
        <w:t>建筑物主体材料的耐火极限、保温材料的燃烧性能等级，防火墙、防火门窗的设置位置及耐火等级；</w:t>
      </w:r>
    </w:p>
    <w:p w14:paraId="17286028">
      <w:pPr>
        <w:pStyle w:val="194"/>
        <w:numPr>
          <w:ilvl w:val="0"/>
          <w:numId w:val="70"/>
        </w:numPr>
      </w:pPr>
      <w:r>
        <w:rPr>
          <w:rFonts w:hint="eastAsia"/>
        </w:rPr>
        <w:t>处于爆炸危险区范围内建筑物的爆炸冲击波峰值，以及采取的抗爆措施；</w:t>
      </w:r>
    </w:p>
    <w:p w14:paraId="02FDA425">
      <w:pPr>
        <w:pStyle w:val="194"/>
        <w:numPr>
          <w:ilvl w:val="0"/>
          <w:numId w:val="70"/>
        </w:numPr>
      </w:pPr>
      <w:r>
        <w:rPr>
          <w:rFonts w:hint="eastAsia"/>
        </w:rPr>
        <w:t>有爆炸危险建筑物的介质、泄压面积，采取的泄压、防静电、防止可燃气体积聚等的措施；</w:t>
      </w:r>
    </w:p>
    <w:p w14:paraId="578EC91A">
      <w:pPr>
        <w:pStyle w:val="194"/>
        <w:numPr>
          <w:ilvl w:val="0"/>
          <w:numId w:val="70"/>
        </w:numPr>
      </w:pPr>
      <w:r>
        <w:rPr>
          <w:rFonts w:hint="eastAsia"/>
        </w:rPr>
        <w:t>建筑物采取的其他安全防范设施；</w:t>
      </w:r>
    </w:p>
    <w:p w14:paraId="1BC5C3FD">
      <w:pPr>
        <w:pStyle w:val="194"/>
        <w:numPr>
          <w:ilvl w:val="0"/>
          <w:numId w:val="70"/>
        </w:numPr>
      </w:pPr>
      <w:r>
        <w:rPr>
          <w:rFonts w:hint="eastAsia"/>
        </w:rPr>
        <w:t>按表B.23列表说明生产场站新建、改建、扩建的建筑物建筑面积和高度、建筑结构、火灾危险性、耐火等级、泄压比值（对有爆炸危险的甲、乙类生产厂房）等。</w:t>
      </w:r>
    </w:p>
    <w:p w14:paraId="0CFC8DB7">
      <w:pPr>
        <w:pStyle w:val="85"/>
        <w:spacing w:before="120" w:after="120"/>
      </w:pPr>
      <w:r>
        <w:rPr>
          <w:rFonts w:hint="eastAsia"/>
        </w:rPr>
        <w:t>抗震</w:t>
      </w:r>
    </w:p>
    <w:p w14:paraId="4FD55FED">
      <w:pPr>
        <w:pStyle w:val="76"/>
        <w:ind w:firstLine="420"/>
      </w:pPr>
      <w:r>
        <w:rPr>
          <w:rFonts w:hint="eastAsia"/>
        </w:rPr>
        <w:t>按照GB</w:t>
      </w:r>
      <w:r>
        <w:t xml:space="preserve"> </w:t>
      </w:r>
      <w:r>
        <w:rPr>
          <w:rFonts w:hint="eastAsia"/>
        </w:rPr>
        <w:t>50011、GB</w:t>
      </w:r>
      <w:r>
        <w:t xml:space="preserve"> </w:t>
      </w:r>
      <w:r>
        <w:rPr>
          <w:rFonts w:hint="eastAsia"/>
        </w:rPr>
        <w:t>50223、GB</w:t>
      </w:r>
      <w:r>
        <w:t xml:space="preserve"> </w:t>
      </w:r>
      <w:r>
        <w:rPr>
          <w:rFonts w:hint="eastAsia"/>
        </w:rPr>
        <w:t>55002等相关要求，说明所在区域的抗震设防烈度、建（构）筑物抗震设防分类、结构抗震等级、结构形式及采用的抗震构造措施等；说明重点设防类、标准设防类等建（构）筑物在不同场地类别、不同抗震设防烈度区域采取的抗震措施。</w:t>
      </w:r>
    </w:p>
    <w:p w14:paraId="47CDD4A6">
      <w:pPr>
        <w:pStyle w:val="85"/>
        <w:spacing w:before="120" w:after="120"/>
      </w:pPr>
      <w:r>
        <w:t>地基处理</w:t>
      </w:r>
    </w:p>
    <w:p w14:paraId="3E63BE12">
      <w:pPr>
        <w:pStyle w:val="76"/>
        <w:ind w:firstLine="420"/>
      </w:pPr>
      <w:r>
        <w:rPr>
          <w:rFonts w:hint="eastAsia"/>
        </w:rPr>
        <w:t>按照GB 50025、GB/T 50942、GB 50112、JGJ 79等相关要求，说明液化土、湿陷性黄土、盐渍土、膨胀岩土、厚填土、淤泥、溶洞等不良地质土层的地基处理方案和采取的安全措施。</w:t>
      </w:r>
    </w:p>
    <w:p w14:paraId="137F833F">
      <w:pPr>
        <w:pStyle w:val="125"/>
        <w:spacing w:before="120" w:after="120"/>
      </w:pPr>
      <w:bookmarkStart w:id="461" w:name="_Toc193319200"/>
      <w:bookmarkStart w:id="462" w:name="_Toc195003788"/>
      <w:bookmarkStart w:id="463" w:name="_Toc193375414"/>
      <w:bookmarkStart w:id="464" w:name="_Toc2548"/>
      <w:r>
        <w:t>防腐</w:t>
      </w:r>
      <w:r>
        <w:rPr>
          <w:rFonts w:hint="eastAsia"/>
        </w:rPr>
        <w:t>及绝热</w:t>
      </w:r>
      <w:bookmarkEnd w:id="461"/>
      <w:bookmarkEnd w:id="462"/>
      <w:bookmarkEnd w:id="463"/>
      <w:bookmarkEnd w:id="464"/>
    </w:p>
    <w:p w14:paraId="1DDABF09">
      <w:pPr>
        <w:pStyle w:val="85"/>
        <w:spacing w:before="120" w:after="120"/>
      </w:pPr>
      <w:bookmarkStart w:id="465" w:name="_Toc193319201"/>
      <w:bookmarkStart w:id="466" w:name="_Toc193375415"/>
      <w:r>
        <w:rPr>
          <w:rFonts w:hint="eastAsia"/>
        </w:rPr>
        <w:t>防腐</w:t>
      </w:r>
      <w:bookmarkEnd w:id="465"/>
      <w:bookmarkEnd w:id="466"/>
    </w:p>
    <w:p w14:paraId="6BDF8A1E">
      <w:pPr>
        <w:pStyle w:val="118"/>
        <w:numPr>
          <w:ilvl w:val="4"/>
          <w:numId w:val="2"/>
        </w:numPr>
        <w:spacing w:before="120" w:after="120"/>
      </w:pPr>
      <w:r>
        <w:rPr>
          <w:rFonts w:hint="eastAsia"/>
        </w:rPr>
        <w:t>线路管道防腐</w:t>
      </w:r>
    </w:p>
    <w:p w14:paraId="79C29688">
      <w:pPr>
        <w:pStyle w:val="76"/>
        <w:ind w:firstLine="420"/>
      </w:pPr>
      <w:r>
        <w:rPr>
          <w:rFonts w:hint="eastAsia"/>
        </w:rPr>
        <w:t>按照GB/T 21447、</w:t>
      </w:r>
      <w:r>
        <w:t>GB/T 50538</w:t>
      </w:r>
      <w:r>
        <w:rPr>
          <w:rFonts w:hint="eastAsia"/>
        </w:rPr>
        <w:t>、GB/T 23257、SY/T 0611等相关要求，说明线路</w:t>
      </w:r>
      <w:r>
        <w:t>管道防腐</w:t>
      </w:r>
      <w:r>
        <w:rPr>
          <w:rFonts w:hint="eastAsia"/>
        </w:rPr>
        <w:t>方案，主要包括：</w:t>
      </w:r>
    </w:p>
    <w:p w14:paraId="3915E681">
      <w:pPr>
        <w:pStyle w:val="194"/>
        <w:numPr>
          <w:ilvl w:val="0"/>
          <w:numId w:val="71"/>
        </w:numPr>
      </w:pPr>
      <w:r>
        <w:rPr>
          <w:rFonts w:hint="eastAsia"/>
        </w:rPr>
        <w:t>直管段</w:t>
      </w:r>
      <w:r>
        <w:t>防腐</w:t>
      </w:r>
      <w:r>
        <w:rPr>
          <w:rFonts w:hint="eastAsia"/>
        </w:rPr>
        <w:t>结构及防腐方案；</w:t>
      </w:r>
    </w:p>
    <w:p w14:paraId="1838A986">
      <w:pPr>
        <w:pStyle w:val="194"/>
        <w:numPr>
          <w:ilvl w:val="0"/>
          <w:numId w:val="35"/>
        </w:numPr>
      </w:pPr>
      <w:r>
        <w:rPr>
          <w:rFonts w:hint="eastAsia"/>
        </w:rPr>
        <w:t>冷弯弯管、热煨弯管防腐方案；</w:t>
      </w:r>
    </w:p>
    <w:p w14:paraId="50CC382B">
      <w:pPr>
        <w:pStyle w:val="194"/>
        <w:numPr>
          <w:ilvl w:val="0"/>
          <w:numId w:val="35"/>
        </w:numPr>
      </w:pPr>
      <w:bookmarkStart w:id="467" w:name="_Hlk179538590"/>
      <w:r>
        <w:t>特殊地段管道外防腐层及防护方案</w:t>
      </w:r>
      <w:bookmarkEnd w:id="467"/>
      <w:r>
        <w:rPr>
          <w:rFonts w:hint="eastAsia"/>
        </w:rPr>
        <w:t>；</w:t>
      </w:r>
    </w:p>
    <w:p w14:paraId="4593B631">
      <w:pPr>
        <w:pStyle w:val="194"/>
        <w:numPr>
          <w:ilvl w:val="0"/>
          <w:numId w:val="35"/>
        </w:numPr>
      </w:pPr>
      <w:r>
        <w:rPr>
          <w:rFonts w:hint="eastAsia"/>
        </w:rPr>
        <w:t>线路</w:t>
      </w:r>
      <w:r>
        <w:t>管道补口</w:t>
      </w:r>
      <w:r>
        <w:rPr>
          <w:rFonts w:hint="eastAsia"/>
        </w:rPr>
        <w:t>、补伤方案。</w:t>
      </w:r>
    </w:p>
    <w:p w14:paraId="4EC15735">
      <w:pPr>
        <w:pStyle w:val="118"/>
        <w:numPr>
          <w:ilvl w:val="4"/>
          <w:numId w:val="2"/>
        </w:numPr>
        <w:spacing w:before="120" w:after="120"/>
      </w:pPr>
      <w:r>
        <w:rPr>
          <w:rFonts w:hint="eastAsia"/>
        </w:rPr>
        <w:t>站内管道设备及储罐防腐</w:t>
      </w:r>
    </w:p>
    <w:p w14:paraId="6A3B6B30">
      <w:pPr>
        <w:pStyle w:val="76"/>
        <w:ind w:firstLine="420"/>
      </w:pPr>
      <w:r>
        <w:rPr>
          <w:rFonts w:hint="eastAsia"/>
        </w:rPr>
        <w:t>按照GB/T 21447、GB/T 50393、SY/T 0319、SY/T 7036等相关要求，说明站内管道、设备及储罐防腐方案，主要包括：站内管道、设备的防腐层方案、补口方案；储罐内防腐方案、外防腐方案、罐底板边缘防护。</w:t>
      </w:r>
    </w:p>
    <w:p w14:paraId="048BEF9A">
      <w:pPr>
        <w:pStyle w:val="118"/>
        <w:numPr>
          <w:ilvl w:val="4"/>
          <w:numId w:val="2"/>
        </w:numPr>
        <w:spacing w:before="120" w:after="120"/>
      </w:pPr>
      <w:r>
        <w:rPr>
          <w:rFonts w:hint="eastAsia"/>
        </w:rPr>
        <w:t>管道内腐蚀控制</w:t>
      </w:r>
    </w:p>
    <w:p w14:paraId="07738E49">
      <w:pPr>
        <w:pStyle w:val="76"/>
        <w:ind w:firstLine="420"/>
      </w:pPr>
      <w:r>
        <w:rPr>
          <w:rFonts w:hint="eastAsia"/>
        </w:rPr>
        <w:t>按照G</w:t>
      </w:r>
      <w:r>
        <w:t>B/T 23258</w:t>
      </w:r>
      <w:r>
        <w:rPr>
          <w:rFonts w:hint="eastAsia"/>
        </w:rPr>
        <w:t>、</w:t>
      </w:r>
      <w:r>
        <w:t>GB</w:t>
      </w:r>
      <w:r>
        <w:rPr>
          <w:rFonts w:hint="eastAsia"/>
        </w:rPr>
        <w:t xml:space="preserve"> </w:t>
      </w:r>
      <w:r>
        <w:t>50349</w:t>
      </w:r>
      <w:r>
        <w:rPr>
          <w:rFonts w:hint="eastAsia"/>
        </w:rPr>
        <w:t>、SY/T 0611等相关要求，说明管道内腐蚀控制方案，主要包括内防腐层/内衬层方案、缓蚀剂及加注方案、内腐蚀监测方案。</w:t>
      </w:r>
    </w:p>
    <w:p w14:paraId="772647DB">
      <w:pPr>
        <w:pStyle w:val="118"/>
        <w:numPr>
          <w:ilvl w:val="4"/>
          <w:numId w:val="2"/>
        </w:numPr>
        <w:spacing w:before="120" w:after="120"/>
      </w:pPr>
      <w:r>
        <w:rPr>
          <w:rFonts w:hint="eastAsia"/>
        </w:rPr>
        <w:t>阴极保护</w:t>
      </w:r>
    </w:p>
    <w:p w14:paraId="129F8563">
      <w:pPr>
        <w:pStyle w:val="76"/>
        <w:ind w:firstLine="420"/>
      </w:pPr>
      <w:r>
        <w:rPr>
          <w:rFonts w:hint="eastAsia"/>
        </w:rPr>
        <w:t>按照GB/T 21447、</w:t>
      </w:r>
      <w:r>
        <w:t>GB/T 2144</w:t>
      </w:r>
      <w:r>
        <w:rPr>
          <w:rFonts w:hint="eastAsia"/>
        </w:rPr>
        <w:t>8、</w:t>
      </w:r>
      <w:r>
        <w:t>GB</w:t>
      </w:r>
      <w:r>
        <w:rPr>
          <w:rFonts w:hint="eastAsia"/>
        </w:rPr>
        <w:t xml:space="preserve"> </w:t>
      </w:r>
      <w:r>
        <w:t>50349</w:t>
      </w:r>
      <w:r>
        <w:rPr>
          <w:rFonts w:hint="eastAsia"/>
        </w:rPr>
        <w:t>等相关要求，说明线路管道阴极保护方案；按照GB/T 21447、</w:t>
      </w:r>
      <w:r>
        <w:t>GB/T 2144</w:t>
      </w:r>
      <w:r>
        <w:rPr>
          <w:rFonts w:hint="eastAsia"/>
        </w:rPr>
        <w:t>8、GB/T 50393、SY/T 6536、</w:t>
      </w:r>
      <w:r>
        <w:t>SY</w:t>
      </w:r>
      <w:r>
        <w:rPr>
          <w:rFonts w:hint="eastAsia"/>
        </w:rPr>
        <w:t>/</w:t>
      </w:r>
      <w:r>
        <w:t>T 6964</w:t>
      </w:r>
      <w:r>
        <w:rPr>
          <w:rFonts w:hint="eastAsia"/>
        </w:rPr>
        <w:t>等相关要求，说明站内阴极保护方案，主要包括：</w:t>
      </w:r>
    </w:p>
    <w:p w14:paraId="0CCCDEF1">
      <w:pPr>
        <w:pStyle w:val="194"/>
        <w:numPr>
          <w:ilvl w:val="0"/>
          <w:numId w:val="72"/>
        </w:numPr>
      </w:pPr>
      <w:r>
        <w:rPr>
          <w:rFonts w:hint="eastAsia"/>
        </w:rPr>
        <w:t>线路管道阴极保护方案，包含线路管道阴极保护措施、并行管道联合阴极保护措施、</w:t>
      </w:r>
      <w:bookmarkStart w:id="468" w:name="_Hlk179538679"/>
      <w:r>
        <w:t>定向钻和穿跨越等特殊管段</w:t>
      </w:r>
      <w:r>
        <w:rPr>
          <w:rFonts w:hint="eastAsia"/>
        </w:rPr>
        <w:t>阴极</w:t>
      </w:r>
      <w:r>
        <w:t>保护</w:t>
      </w:r>
      <w:r>
        <w:rPr>
          <w:rFonts w:hint="eastAsia"/>
        </w:rPr>
        <w:t>措施及</w:t>
      </w:r>
      <w:r>
        <w:t>交、直流干扰防护</w:t>
      </w:r>
      <w:r>
        <w:rPr>
          <w:rFonts w:hint="eastAsia"/>
        </w:rPr>
        <w:t>等</w:t>
      </w:r>
      <w:bookmarkEnd w:id="468"/>
      <w:r>
        <w:rPr>
          <w:rFonts w:hint="eastAsia"/>
        </w:rPr>
        <w:t>；</w:t>
      </w:r>
    </w:p>
    <w:p w14:paraId="2A916AF7">
      <w:pPr>
        <w:pStyle w:val="194"/>
        <w:numPr>
          <w:ilvl w:val="0"/>
          <w:numId w:val="35"/>
        </w:numPr>
      </w:pPr>
      <w:r>
        <w:rPr>
          <w:rFonts w:hint="eastAsia"/>
        </w:rPr>
        <w:t>站内阴极保护方案，包含站内埋地钢质管道阴极保护措施、设备/储罐的阴极保护措施等；</w:t>
      </w:r>
    </w:p>
    <w:p w14:paraId="27C14E0A">
      <w:pPr>
        <w:pStyle w:val="194"/>
        <w:numPr>
          <w:ilvl w:val="0"/>
          <w:numId w:val="35"/>
        </w:numPr>
      </w:pPr>
      <w:r>
        <w:rPr>
          <w:rFonts w:hint="eastAsia"/>
        </w:rPr>
        <w:t>强制电流保护系统，包含阴极保护站的分布和数量、阴极保护设备、辅助阳极类型及阴极保护测试监测等情况，牺牲阳极保护系统应说明阳极材料的类型、数量和分布、阴极保护测试监测等情况。</w:t>
      </w:r>
    </w:p>
    <w:p w14:paraId="3DDB93F9">
      <w:pPr>
        <w:pStyle w:val="85"/>
        <w:spacing w:before="120" w:after="120"/>
      </w:pPr>
      <w:bookmarkStart w:id="469" w:name="_Toc193375416"/>
      <w:bookmarkStart w:id="470" w:name="_Toc193319202"/>
      <w:r>
        <w:rPr>
          <w:rFonts w:hint="eastAsia"/>
        </w:rPr>
        <w:t>绝热</w:t>
      </w:r>
      <w:bookmarkEnd w:id="469"/>
      <w:bookmarkEnd w:id="470"/>
    </w:p>
    <w:p w14:paraId="2BC89618">
      <w:pPr>
        <w:pStyle w:val="76"/>
        <w:ind w:firstLine="420"/>
      </w:pPr>
      <w:r>
        <w:rPr>
          <w:rFonts w:hint="eastAsia"/>
        </w:rPr>
        <w:t>按照G</w:t>
      </w:r>
      <w:r>
        <w:t>B 50264</w:t>
      </w:r>
      <w:r>
        <w:rPr>
          <w:rFonts w:hint="eastAsia"/>
        </w:rPr>
        <w:t>、</w:t>
      </w:r>
      <w:r>
        <w:t>GB/T 50538</w:t>
      </w:r>
      <w:r>
        <w:rPr>
          <w:rFonts w:hint="eastAsia"/>
        </w:rPr>
        <w:t>、SY/T 7350等相关要求，说明线路管道绝热、站内管道、设备及储罐绝热方案，主要包括：</w:t>
      </w:r>
    </w:p>
    <w:p w14:paraId="4932DA01">
      <w:pPr>
        <w:pStyle w:val="194"/>
        <w:numPr>
          <w:ilvl w:val="0"/>
          <w:numId w:val="73"/>
        </w:numPr>
      </w:pPr>
      <w:bookmarkStart w:id="471" w:name="_Hlk179538713"/>
      <w:r>
        <w:rPr>
          <w:rFonts w:hint="eastAsia" w:ascii="Times New Roman"/>
          <w:color w:val="000000" w:themeColor="text1"/>
          <w14:textFill>
            <w14:solidFill>
              <w14:schemeClr w14:val="tx1"/>
            </w14:solidFill>
          </w14:textFill>
        </w:rPr>
        <w:t>线路</w:t>
      </w:r>
      <w:r>
        <w:rPr>
          <w:rFonts w:ascii="Times New Roman"/>
          <w:color w:val="000000" w:themeColor="text1"/>
          <w14:textFill>
            <w14:solidFill>
              <w14:schemeClr w14:val="tx1"/>
            </w14:solidFill>
          </w14:textFill>
        </w:rPr>
        <w:t>管道</w:t>
      </w:r>
      <w:r>
        <w:rPr>
          <w:rFonts w:hint="eastAsia" w:ascii="Times New Roman"/>
          <w:color w:val="000000" w:themeColor="text1"/>
          <w14:textFill>
            <w14:solidFill>
              <w14:schemeClr w14:val="tx1"/>
            </w14:solidFill>
          </w14:textFill>
        </w:rPr>
        <w:t>主管段及弯管的绝热结构及方案、</w:t>
      </w:r>
      <w:r>
        <w:rPr>
          <w:color w:val="000000" w:themeColor="text1"/>
          <w14:textFill>
            <w14:solidFill>
              <w14:schemeClr w14:val="tx1"/>
            </w14:solidFill>
          </w14:textFill>
        </w:rPr>
        <w:t>特殊地段管道</w:t>
      </w:r>
      <w:r>
        <w:rPr>
          <w:rFonts w:hint="eastAsia"/>
          <w:color w:val="000000" w:themeColor="text1"/>
          <w14:textFill>
            <w14:solidFill>
              <w14:schemeClr w14:val="tx1"/>
            </w14:solidFill>
          </w14:textFill>
        </w:rPr>
        <w:t>绝热</w:t>
      </w:r>
      <w:r>
        <w:rPr>
          <w:color w:val="000000" w:themeColor="text1"/>
          <w14:textFill>
            <w14:solidFill>
              <w14:schemeClr w14:val="tx1"/>
            </w14:solidFill>
          </w14:textFill>
        </w:rPr>
        <w:t>及防护方案</w:t>
      </w:r>
      <w:r>
        <w:rPr>
          <w:rFonts w:hint="eastAsia"/>
          <w:color w:val="000000" w:themeColor="text1"/>
          <w14:textFill>
            <w14:solidFill>
              <w14:schemeClr w14:val="tx1"/>
            </w14:solidFill>
          </w14:textFill>
        </w:rPr>
        <w:t>、</w:t>
      </w:r>
      <w:r>
        <w:rPr>
          <w:rFonts w:ascii="Times New Roman"/>
          <w:color w:val="000000" w:themeColor="text1"/>
          <w14:textFill>
            <w14:solidFill>
              <w14:schemeClr w14:val="tx1"/>
            </w14:solidFill>
          </w14:textFill>
        </w:rPr>
        <w:t>补口</w:t>
      </w:r>
      <w:r>
        <w:rPr>
          <w:rFonts w:hint="eastAsia" w:ascii="Times New Roman"/>
          <w:color w:val="000000" w:themeColor="text1"/>
          <w14:textFill>
            <w14:solidFill>
              <w14:schemeClr w14:val="tx1"/>
            </w14:solidFill>
          </w14:textFill>
        </w:rPr>
        <w:t>方案等，宜与</w:t>
      </w:r>
      <w:r>
        <w:rPr>
          <w:rFonts w:hint="eastAsia"/>
        </w:rPr>
        <w:t>线路管道防腐方案一同描述；</w:t>
      </w:r>
    </w:p>
    <w:bookmarkEnd w:id="471"/>
    <w:p w14:paraId="3EE2368C">
      <w:pPr>
        <w:pStyle w:val="194"/>
        <w:numPr>
          <w:ilvl w:val="0"/>
          <w:numId w:val="35"/>
        </w:numPr>
      </w:pPr>
      <w:r>
        <w:rPr>
          <w:rFonts w:hint="eastAsia"/>
        </w:rPr>
        <w:t>站内管道、设备及储罐绝热结构及方案等。</w:t>
      </w:r>
    </w:p>
    <w:p w14:paraId="07537F11">
      <w:pPr>
        <w:pStyle w:val="124"/>
        <w:spacing w:before="240" w:after="240"/>
      </w:pPr>
      <w:bookmarkStart w:id="472" w:name="_Toc24164"/>
      <w:bookmarkStart w:id="473" w:name="_Toc193375417"/>
      <w:bookmarkStart w:id="474" w:name="_Toc195003789"/>
      <w:r>
        <w:rPr>
          <w:rFonts w:hint="eastAsia"/>
        </w:rPr>
        <w:t>防范其他危险、危害因素的安全措施</w:t>
      </w:r>
      <w:bookmarkEnd w:id="472"/>
      <w:bookmarkEnd w:id="473"/>
      <w:bookmarkEnd w:id="474"/>
    </w:p>
    <w:p w14:paraId="293E595D">
      <w:pPr>
        <w:pStyle w:val="125"/>
        <w:spacing w:beforeLines="0" w:afterLines="0"/>
        <w:outlineLvl w:val="9"/>
        <w:rPr>
          <w:rFonts w:hint="eastAsia" w:ascii="宋体" w:hAnsi="宋体" w:eastAsia="宋体"/>
        </w:rPr>
      </w:pPr>
      <w:bookmarkStart w:id="475" w:name="_Toc193319204"/>
      <w:bookmarkStart w:id="476" w:name="_Toc2428"/>
      <w:bookmarkStart w:id="477" w:name="_Toc193830454"/>
      <w:bookmarkStart w:id="478" w:name="_Toc22399"/>
      <w:bookmarkStart w:id="479" w:name="_Toc32171"/>
      <w:bookmarkStart w:id="480" w:name="_Toc22419"/>
      <w:bookmarkStart w:id="481" w:name="_Toc193375418"/>
      <w:bookmarkStart w:id="482" w:name="_Toc7360"/>
      <w:bookmarkStart w:id="483" w:name="_Toc195003790"/>
      <w:r>
        <w:rPr>
          <w:rFonts w:hint="eastAsia" w:ascii="宋体" w:hAnsi="宋体" w:eastAsia="宋体"/>
        </w:rPr>
        <w:t>说明</w:t>
      </w:r>
      <w:r>
        <w:rPr>
          <w:rFonts w:ascii="宋体" w:hAnsi="宋体" w:eastAsia="宋体"/>
        </w:rPr>
        <w:t>噪声、机械伤害、物体打击</w:t>
      </w:r>
      <w:r>
        <w:rPr>
          <w:rFonts w:hint="eastAsia" w:ascii="宋体" w:hAnsi="宋体" w:eastAsia="宋体"/>
        </w:rPr>
        <w:t>、</w:t>
      </w:r>
      <w:r>
        <w:rPr>
          <w:rFonts w:ascii="宋体" w:hAnsi="宋体" w:eastAsia="宋体"/>
        </w:rPr>
        <w:t>高处坠落</w:t>
      </w:r>
      <w:r>
        <w:rPr>
          <w:rFonts w:hint="eastAsia" w:ascii="宋体" w:hAnsi="宋体" w:eastAsia="宋体"/>
        </w:rPr>
        <w:t>、自然灾害</w:t>
      </w:r>
      <w:r>
        <w:rPr>
          <w:rFonts w:ascii="宋体" w:hAnsi="宋体" w:eastAsia="宋体"/>
        </w:rPr>
        <w:t>的</w:t>
      </w:r>
      <w:r>
        <w:rPr>
          <w:rFonts w:hint="eastAsia" w:ascii="宋体" w:hAnsi="宋体" w:eastAsia="宋体"/>
        </w:rPr>
        <w:t>安全</w:t>
      </w:r>
      <w:r>
        <w:rPr>
          <w:rFonts w:ascii="宋体" w:hAnsi="宋体" w:eastAsia="宋体"/>
        </w:rPr>
        <w:t>措施</w:t>
      </w:r>
      <w:r>
        <w:rPr>
          <w:rFonts w:hint="eastAsia" w:ascii="宋体" w:hAnsi="宋体" w:eastAsia="宋体"/>
        </w:rPr>
        <w:t>。</w:t>
      </w:r>
      <w:bookmarkEnd w:id="475"/>
      <w:bookmarkEnd w:id="476"/>
      <w:bookmarkEnd w:id="477"/>
      <w:bookmarkEnd w:id="478"/>
      <w:bookmarkEnd w:id="479"/>
      <w:bookmarkEnd w:id="480"/>
      <w:bookmarkEnd w:id="481"/>
      <w:bookmarkEnd w:id="482"/>
      <w:bookmarkEnd w:id="483"/>
    </w:p>
    <w:p w14:paraId="57F70260">
      <w:pPr>
        <w:pStyle w:val="125"/>
        <w:spacing w:beforeLines="0" w:afterLines="0"/>
        <w:outlineLvl w:val="9"/>
        <w:rPr>
          <w:rFonts w:hint="eastAsia" w:ascii="宋体" w:hAnsi="宋体" w:eastAsia="宋体"/>
        </w:rPr>
      </w:pPr>
      <w:bookmarkStart w:id="484" w:name="_Toc193375419"/>
      <w:bookmarkStart w:id="485" w:name="_Toc30416"/>
      <w:bookmarkStart w:id="486" w:name="_Toc28072"/>
      <w:bookmarkStart w:id="487" w:name="_Toc4012"/>
      <w:bookmarkStart w:id="488" w:name="_Toc195003791"/>
      <w:bookmarkStart w:id="489" w:name="_Toc5478"/>
      <w:bookmarkStart w:id="490" w:name="_Toc7269"/>
      <w:bookmarkStart w:id="491" w:name="_Toc193319205"/>
      <w:bookmarkStart w:id="492" w:name="_Toc193830455"/>
      <w:r>
        <w:rPr>
          <w:rFonts w:hint="eastAsia" w:ascii="宋体" w:hAnsi="宋体" w:eastAsia="宋体"/>
        </w:rPr>
        <w:t>说明</w:t>
      </w:r>
      <w:r>
        <w:rPr>
          <w:rFonts w:ascii="宋体" w:hAnsi="宋体" w:eastAsia="宋体"/>
        </w:rPr>
        <w:t>周边</w:t>
      </w:r>
      <w:r>
        <w:rPr>
          <w:rFonts w:hint="eastAsia" w:ascii="宋体" w:hAnsi="宋体" w:eastAsia="宋体"/>
        </w:rPr>
        <w:t>防范的</w:t>
      </w:r>
      <w:r>
        <w:rPr>
          <w:rFonts w:ascii="宋体" w:hAnsi="宋体" w:eastAsia="宋体"/>
        </w:rPr>
        <w:t>安全措施</w:t>
      </w:r>
      <w:r>
        <w:rPr>
          <w:rFonts w:hint="eastAsia" w:ascii="宋体" w:hAnsi="宋体" w:eastAsia="宋体"/>
        </w:rPr>
        <w:t>。</w:t>
      </w:r>
      <w:bookmarkEnd w:id="484"/>
      <w:bookmarkEnd w:id="485"/>
      <w:bookmarkEnd w:id="486"/>
      <w:bookmarkEnd w:id="487"/>
      <w:bookmarkEnd w:id="488"/>
      <w:bookmarkEnd w:id="489"/>
      <w:bookmarkEnd w:id="490"/>
      <w:bookmarkEnd w:id="491"/>
      <w:bookmarkEnd w:id="492"/>
    </w:p>
    <w:p w14:paraId="3A23028E">
      <w:pPr>
        <w:pStyle w:val="125"/>
        <w:spacing w:beforeLines="0" w:afterLines="0"/>
        <w:outlineLvl w:val="9"/>
        <w:rPr>
          <w:rFonts w:hint="eastAsia" w:ascii="宋体" w:hAnsi="宋体" w:eastAsia="宋体"/>
        </w:rPr>
      </w:pPr>
      <w:bookmarkStart w:id="493" w:name="_Toc28336"/>
      <w:bookmarkStart w:id="494" w:name="_Toc28452"/>
      <w:bookmarkStart w:id="495" w:name="_Toc9384"/>
      <w:bookmarkStart w:id="496" w:name="_Toc195003792"/>
      <w:bookmarkStart w:id="497" w:name="_Toc193319206"/>
      <w:bookmarkStart w:id="498" w:name="_Toc12515"/>
      <w:bookmarkStart w:id="499" w:name="_Toc193830456"/>
      <w:bookmarkStart w:id="500" w:name="_Toc9887"/>
      <w:bookmarkStart w:id="501" w:name="_Toc193375420"/>
      <w:r>
        <w:rPr>
          <w:rFonts w:hint="eastAsia" w:ascii="宋体" w:hAnsi="宋体" w:eastAsia="宋体"/>
        </w:rPr>
        <w:t>说明</w:t>
      </w:r>
      <w:r>
        <w:rPr>
          <w:rFonts w:ascii="宋体" w:hAnsi="宋体" w:eastAsia="宋体"/>
        </w:rPr>
        <w:t>目视化及安全</w:t>
      </w:r>
      <w:r>
        <w:rPr>
          <w:rFonts w:hint="eastAsia" w:ascii="宋体" w:hAnsi="宋体" w:eastAsia="宋体"/>
        </w:rPr>
        <w:t>标识等</w:t>
      </w:r>
      <w:r>
        <w:rPr>
          <w:rFonts w:ascii="宋体" w:hAnsi="宋体" w:eastAsia="宋体"/>
        </w:rPr>
        <w:t>安全措施。</w:t>
      </w:r>
      <w:bookmarkEnd w:id="493"/>
      <w:bookmarkEnd w:id="494"/>
      <w:bookmarkEnd w:id="495"/>
      <w:bookmarkEnd w:id="496"/>
      <w:bookmarkEnd w:id="497"/>
      <w:bookmarkEnd w:id="498"/>
      <w:bookmarkEnd w:id="499"/>
      <w:bookmarkEnd w:id="500"/>
      <w:bookmarkEnd w:id="501"/>
    </w:p>
    <w:p w14:paraId="6C25C7B7">
      <w:pPr>
        <w:pStyle w:val="124"/>
        <w:spacing w:before="240" w:after="240"/>
      </w:pPr>
      <w:bookmarkStart w:id="502" w:name="_Toc193375421"/>
      <w:bookmarkStart w:id="503" w:name="_Toc163057372"/>
      <w:bookmarkStart w:id="504" w:name="_Toc30017"/>
      <w:bookmarkStart w:id="505" w:name="_Toc163575755"/>
      <w:bookmarkStart w:id="506" w:name="_Toc195003793"/>
      <w:r>
        <w:rPr>
          <w:rFonts w:hint="eastAsia"/>
        </w:rPr>
        <w:t>逃生及救生</w:t>
      </w:r>
      <w:bookmarkEnd w:id="502"/>
      <w:bookmarkEnd w:id="503"/>
      <w:bookmarkEnd w:id="504"/>
      <w:bookmarkEnd w:id="505"/>
      <w:bookmarkEnd w:id="506"/>
    </w:p>
    <w:p w14:paraId="006BB849">
      <w:pPr>
        <w:pStyle w:val="125"/>
        <w:spacing w:before="120" w:after="120"/>
      </w:pPr>
      <w:bookmarkStart w:id="507" w:name="_Toc195003794"/>
      <w:bookmarkStart w:id="508" w:name="_Toc193375422"/>
      <w:bookmarkStart w:id="509" w:name="_Toc163575756"/>
      <w:bookmarkStart w:id="510" w:name="_Toc576"/>
      <w:bookmarkStart w:id="511" w:name="_Toc163057373"/>
      <w:bookmarkStart w:id="512" w:name="_Toc193319208"/>
      <w:r>
        <w:t>逃生</w:t>
      </w:r>
      <w:bookmarkEnd w:id="507"/>
      <w:bookmarkEnd w:id="508"/>
      <w:bookmarkEnd w:id="509"/>
      <w:bookmarkEnd w:id="510"/>
      <w:bookmarkEnd w:id="511"/>
      <w:bookmarkEnd w:id="512"/>
    </w:p>
    <w:p w14:paraId="3F898549">
      <w:pPr>
        <w:pStyle w:val="76"/>
        <w:ind w:firstLine="420"/>
      </w:pPr>
      <w:r>
        <w:t>应说明发生火灾爆炸事故、有毒气体泄漏和急性中毒事故人员逃生路线的设计原则</w:t>
      </w:r>
      <w:r>
        <w:rPr>
          <w:rFonts w:hint="eastAsia"/>
        </w:rPr>
        <w:t>、</w:t>
      </w:r>
      <w:r>
        <w:t>逃生通道、逃生路线、疏散方式和应急措施，主要建筑物的疏散门数量和开启方向</w:t>
      </w:r>
      <w:r>
        <w:rPr>
          <w:rFonts w:hint="eastAsia"/>
        </w:rPr>
        <w:t>及逃生路线图，工艺设备、储罐、装卸车采取的逃生安全措施</w:t>
      </w:r>
      <w:r>
        <w:t>。</w:t>
      </w:r>
    </w:p>
    <w:p w14:paraId="19CB2747">
      <w:pPr>
        <w:pStyle w:val="125"/>
        <w:spacing w:before="120" w:after="120"/>
      </w:pPr>
      <w:bookmarkStart w:id="513" w:name="_Toc195003795"/>
      <w:bookmarkStart w:id="514" w:name="_Toc193375423"/>
      <w:bookmarkStart w:id="515" w:name="_Toc193319209"/>
      <w:bookmarkStart w:id="516" w:name="_Toc5779"/>
      <w:bookmarkStart w:id="517" w:name="_Toc163057374"/>
      <w:bookmarkStart w:id="518" w:name="_Toc163575757"/>
      <w:r>
        <w:t>救生</w:t>
      </w:r>
      <w:bookmarkEnd w:id="513"/>
      <w:bookmarkEnd w:id="514"/>
      <w:bookmarkEnd w:id="515"/>
      <w:bookmarkEnd w:id="516"/>
    </w:p>
    <w:p w14:paraId="21AE80FF">
      <w:pPr>
        <w:pStyle w:val="76"/>
        <w:ind w:firstLine="420"/>
      </w:pPr>
      <w:r>
        <w:rPr>
          <w:rFonts w:hint="eastAsia"/>
        </w:rPr>
        <w:t>说明逃生所需安全防护物资等，主要包括；</w:t>
      </w:r>
    </w:p>
    <w:p w14:paraId="3E9784F0">
      <w:pPr>
        <w:pStyle w:val="194"/>
        <w:numPr>
          <w:ilvl w:val="0"/>
          <w:numId w:val="74"/>
        </w:numPr>
      </w:pPr>
      <w:r>
        <w:t>工程</w:t>
      </w:r>
      <w:r>
        <w:rPr>
          <w:rFonts w:hint="eastAsia"/>
        </w:rPr>
        <w:t>庇护所及维持生存所需物资；</w:t>
      </w:r>
    </w:p>
    <w:p w14:paraId="55D3BDE8">
      <w:pPr>
        <w:pStyle w:val="194"/>
        <w:numPr>
          <w:ilvl w:val="0"/>
          <w:numId w:val="35"/>
        </w:numPr>
      </w:pPr>
      <w:r>
        <w:rPr>
          <w:rFonts w:hint="eastAsia"/>
        </w:rPr>
        <w:t>列表</w:t>
      </w:r>
      <w:r>
        <w:t>说明工程所配备的应急设施的类型、数量</w:t>
      </w:r>
      <w:r>
        <w:rPr>
          <w:rFonts w:hint="eastAsia"/>
        </w:rPr>
        <w:t>。</w:t>
      </w:r>
      <w:bookmarkEnd w:id="517"/>
      <w:bookmarkEnd w:id="518"/>
    </w:p>
    <w:p w14:paraId="37295B80">
      <w:pPr>
        <w:pStyle w:val="124"/>
        <w:spacing w:before="240" w:after="240"/>
      </w:pPr>
      <w:bookmarkStart w:id="519" w:name="_Toc16532"/>
      <w:bookmarkStart w:id="520" w:name="_Toc184550412"/>
      <w:bookmarkStart w:id="521" w:name="_Toc163575762"/>
      <w:bookmarkStart w:id="522" w:name="_Toc180212672"/>
      <w:bookmarkStart w:id="523" w:name="_Toc180221681"/>
      <w:bookmarkStart w:id="524" w:name="_Toc184117962"/>
      <w:bookmarkStart w:id="525" w:name="_Toc195003796"/>
      <w:bookmarkStart w:id="526" w:name="_Toc163057379"/>
      <w:bookmarkStart w:id="527" w:name="_Toc193375424"/>
      <w:bookmarkStart w:id="528" w:name="_Toc180216723"/>
      <w:r>
        <w:rPr>
          <w:rFonts w:hint="eastAsia"/>
        </w:rPr>
        <w:t>安全管理</w:t>
      </w:r>
      <w:bookmarkEnd w:id="519"/>
      <w:bookmarkEnd w:id="520"/>
      <w:bookmarkEnd w:id="521"/>
      <w:bookmarkEnd w:id="522"/>
      <w:bookmarkEnd w:id="523"/>
      <w:bookmarkEnd w:id="524"/>
      <w:bookmarkEnd w:id="525"/>
      <w:bookmarkEnd w:id="526"/>
      <w:bookmarkEnd w:id="527"/>
      <w:bookmarkEnd w:id="528"/>
    </w:p>
    <w:p w14:paraId="48A81EC2">
      <w:pPr>
        <w:pStyle w:val="125"/>
        <w:spacing w:before="120" w:after="120"/>
      </w:pPr>
      <w:bookmarkStart w:id="529" w:name="_Toc163575763"/>
      <w:bookmarkStart w:id="530" w:name="_Toc184117963"/>
      <w:bookmarkStart w:id="531" w:name="_Toc184550413"/>
      <w:bookmarkStart w:id="532" w:name="_Toc179944500"/>
      <w:bookmarkStart w:id="533" w:name="_Toc193319211"/>
      <w:bookmarkStart w:id="534" w:name="_Toc180210667"/>
      <w:bookmarkStart w:id="535" w:name="_Toc163057380"/>
      <w:bookmarkStart w:id="536" w:name="_Toc193375425"/>
      <w:bookmarkStart w:id="537" w:name="_Toc180212673"/>
      <w:bookmarkStart w:id="538" w:name="_Toc180221682"/>
      <w:bookmarkStart w:id="539" w:name="_Toc180211548"/>
      <w:bookmarkStart w:id="540" w:name="_Toc180216724"/>
      <w:bookmarkStart w:id="541" w:name="_Toc180211453"/>
      <w:bookmarkStart w:id="542" w:name="_Toc195003797"/>
      <w:bookmarkStart w:id="543" w:name="_Toc719"/>
      <w:bookmarkStart w:id="544" w:name="_Toc180221685"/>
      <w:bookmarkStart w:id="545" w:name="_Toc180211456"/>
      <w:bookmarkStart w:id="546" w:name="_Toc180211551"/>
      <w:bookmarkStart w:id="547" w:name="_Toc179944503"/>
      <w:bookmarkStart w:id="548" w:name="_Toc163575766"/>
      <w:bookmarkStart w:id="549" w:name="_Toc180216727"/>
      <w:bookmarkStart w:id="550" w:name="_Toc180212676"/>
      <w:bookmarkStart w:id="551" w:name="_Toc184550416"/>
      <w:bookmarkStart w:id="552" w:name="_Toc180210670"/>
      <w:bookmarkStart w:id="553" w:name="_Toc163057383"/>
      <w:bookmarkStart w:id="554" w:name="_Toc184117966"/>
      <w:r>
        <w:t>安全管理机构设置及人员配备</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74B0C979">
      <w:pPr>
        <w:pStyle w:val="76"/>
        <w:ind w:firstLine="420"/>
      </w:pPr>
      <w:bookmarkStart w:id="555" w:name="_Toc180212674"/>
      <w:bookmarkStart w:id="556" w:name="_Toc163575764"/>
      <w:bookmarkStart w:id="557" w:name="_Toc163057381"/>
      <w:bookmarkStart w:id="558" w:name="_Toc184117964"/>
      <w:bookmarkStart w:id="559" w:name="_Toc180221683"/>
      <w:bookmarkStart w:id="560" w:name="_Toc179944501"/>
      <w:bookmarkStart w:id="561" w:name="_Toc180216725"/>
      <w:bookmarkStart w:id="562" w:name="_Toc180211549"/>
      <w:bookmarkStart w:id="563" w:name="_Toc180210668"/>
      <w:bookmarkStart w:id="564" w:name="_Toc180211454"/>
      <w:bookmarkStart w:id="565" w:name="_Toc184550414"/>
      <w:r>
        <w:rPr>
          <w:rFonts w:hint="eastAsia"/>
        </w:rPr>
        <w:t>简述</w:t>
      </w:r>
      <w:r>
        <w:t>建设项目定员编制与安全管理人员设置情况；依托原有管理机构的项目，</w:t>
      </w:r>
      <w:r>
        <w:rPr>
          <w:rFonts w:hint="eastAsia"/>
        </w:rPr>
        <w:t>简述</w:t>
      </w:r>
      <w:r>
        <w:t>依托管理机构原定员编制和安全管理人员情况，以及新增定员编制和安全管理人员情况</w:t>
      </w:r>
      <w:r>
        <w:rPr>
          <w:rFonts w:hint="eastAsia"/>
        </w:rPr>
        <w:t>。</w:t>
      </w:r>
    </w:p>
    <w:p w14:paraId="3D2E0E5C">
      <w:pPr>
        <w:pStyle w:val="125"/>
        <w:spacing w:before="120" w:after="120"/>
      </w:pPr>
      <w:bookmarkStart w:id="566" w:name="_Toc23511"/>
      <w:bookmarkStart w:id="567" w:name="_Toc195003798"/>
      <w:bookmarkStart w:id="568" w:name="_Toc193319212"/>
      <w:bookmarkStart w:id="569" w:name="_Toc193375426"/>
      <w:r>
        <w:rPr>
          <w:rFonts w:hint="eastAsia"/>
        </w:rPr>
        <w:t>安全教育和培训</w:t>
      </w:r>
      <w:bookmarkEnd w:id="566"/>
      <w:bookmarkEnd w:id="567"/>
      <w:bookmarkEnd w:id="568"/>
      <w:bookmarkEnd w:id="569"/>
    </w:p>
    <w:p w14:paraId="2AE9AC60">
      <w:pPr>
        <w:pStyle w:val="76"/>
        <w:ind w:firstLine="420"/>
      </w:pPr>
      <w:r>
        <w:rPr>
          <w:rFonts w:hint="eastAsia"/>
        </w:rPr>
        <w:t>说明建设项目投入生产或者使用后从业人员的安全教育和培训要求。</w:t>
      </w:r>
    </w:p>
    <w:p w14:paraId="6186A741">
      <w:pPr>
        <w:pStyle w:val="125"/>
        <w:spacing w:before="120" w:after="120"/>
      </w:pPr>
      <w:bookmarkStart w:id="570" w:name="_Toc4168"/>
      <w:bookmarkStart w:id="571" w:name="_Toc193375427"/>
      <w:bookmarkStart w:id="572" w:name="_Toc195003799"/>
      <w:bookmarkStart w:id="573" w:name="_Toc193319213"/>
      <w:r>
        <w:rPr>
          <w:rFonts w:hint="eastAsia"/>
        </w:rPr>
        <w:t>劳动防护用品和装备</w:t>
      </w:r>
      <w:bookmarkEnd w:id="570"/>
      <w:bookmarkEnd w:id="571"/>
      <w:bookmarkEnd w:id="572"/>
      <w:bookmarkEnd w:id="573"/>
    </w:p>
    <w:p w14:paraId="05CB544A">
      <w:pPr>
        <w:pStyle w:val="76"/>
        <w:ind w:firstLine="420"/>
      </w:pPr>
      <w:r>
        <w:rPr>
          <w:rFonts w:hint="eastAsia"/>
        </w:rPr>
        <w:t>列表说明建设项目投入生产或者使用后从业人员的劳动防护用品和装备等。</w:t>
      </w:r>
    </w:p>
    <w:bookmarkEnd w:id="555"/>
    <w:bookmarkEnd w:id="556"/>
    <w:bookmarkEnd w:id="557"/>
    <w:bookmarkEnd w:id="558"/>
    <w:bookmarkEnd w:id="559"/>
    <w:bookmarkEnd w:id="560"/>
    <w:bookmarkEnd w:id="561"/>
    <w:bookmarkEnd w:id="562"/>
    <w:bookmarkEnd w:id="563"/>
    <w:bookmarkEnd w:id="564"/>
    <w:bookmarkEnd w:id="565"/>
    <w:p w14:paraId="646D4F08">
      <w:pPr>
        <w:pStyle w:val="125"/>
        <w:spacing w:before="120" w:after="120"/>
      </w:pPr>
      <w:bookmarkStart w:id="574" w:name="_Toc193375428"/>
      <w:bookmarkStart w:id="575" w:name="_Toc195003800"/>
      <w:bookmarkStart w:id="576" w:name="_Toc6218"/>
      <w:bookmarkStart w:id="577" w:name="_Toc193319214"/>
      <w:r>
        <w:rPr>
          <w:rFonts w:hint="eastAsia"/>
        </w:rPr>
        <w:t>抢（维）修设备配备</w:t>
      </w:r>
      <w:bookmarkEnd w:id="574"/>
      <w:bookmarkEnd w:id="575"/>
      <w:bookmarkEnd w:id="576"/>
      <w:bookmarkEnd w:id="577"/>
    </w:p>
    <w:p w14:paraId="507DCFEE">
      <w:pPr>
        <w:pStyle w:val="76"/>
        <w:ind w:firstLine="420"/>
      </w:pPr>
      <w:r>
        <w:t>说明建设项目</w:t>
      </w:r>
      <w:r>
        <w:rPr>
          <w:rFonts w:hint="eastAsia"/>
        </w:rPr>
        <w:t>抢（维）修</w:t>
      </w:r>
      <w:r>
        <w:t>设备器具配备情况。</w:t>
      </w:r>
    </w:p>
    <w:p w14:paraId="059EB821">
      <w:pPr>
        <w:pStyle w:val="125"/>
        <w:spacing w:before="120" w:after="120"/>
      </w:pPr>
      <w:bookmarkStart w:id="578" w:name="_Toc163575765"/>
      <w:bookmarkStart w:id="579" w:name="_Toc180211455"/>
      <w:bookmarkStart w:id="580" w:name="_Toc184117965"/>
      <w:bookmarkStart w:id="581" w:name="_Toc180212675"/>
      <w:bookmarkStart w:id="582" w:name="_Toc180210669"/>
      <w:bookmarkStart w:id="583" w:name="_Toc184550415"/>
      <w:bookmarkStart w:id="584" w:name="_Toc163057382"/>
      <w:bookmarkStart w:id="585" w:name="_Toc180221684"/>
      <w:bookmarkStart w:id="586" w:name="_Toc180211550"/>
      <w:bookmarkStart w:id="587" w:name="_Toc180216726"/>
      <w:bookmarkStart w:id="588" w:name="_Toc179944502"/>
      <w:bookmarkStart w:id="589" w:name="_Toc195003801"/>
      <w:bookmarkStart w:id="590" w:name="_Toc193319215"/>
      <w:bookmarkStart w:id="591" w:name="_Toc193375429"/>
      <w:bookmarkStart w:id="592" w:name="_Toc9328"/>
      <w:r>
        <w:t>应急机构</w:t>
      </w:r>
      <w:bookmarkEnd w:id="578"/>
      <w:bookmarkEnd w:id="579"/>
      <w:bookmarkEnd w:id="580"/>
      <w:bookmarkEnd w:id="581"/>
      <w:bookmarkEnd w:id="582"/>
      <w:bookmarkEnd w:id="583"/>
      <w:bookmarkEnd w:id="584"/>
      <w:bookmarkEnd w:id="585"/>
      <w:bookmarkEnd w:id="586"/>
      <w:bookmarkEnd w:id="587"/>
      <w:bookmarkEnd w:id="588"/>
      <w:r>
        <w:rPr>
          <w:rFonts w:hint="eastAsia"/>
        </w:rPr>
        <w:t>及配置</w:t>
      </w:r>
      <w:bookmarkEnd w:id="589"/>
      <w:bookmarkEnd w:id="590"/>
      <w:bookmarkEnd w:id="591"/>
      <w:bookmarkEnd w:id="592"/>
    </w:p>
    <w:p w14:paraId="350A7539">
      <w:pPr>
        <w:pStyle w:val="185"/>
      </w:pPr>
      <w:bookmarkStart w:id="593" w:name="_Toc193319216"/>
      <w:bookmarkStart w:id="594" w:name="_Toc193375430"/>
      <w:r>
        <w:rPr>
          <w:rFonts w:hint="eastAsia"/>
        </w:rPr>
        <w:t>简述</w:t>
      </w:r>
      <w:r>
        <w:t>建设项目投入生产或者使用后应急机构、应急设备、应急人员的设置和组成情况。</w:t>
      </w:r>
      <w:bookmarkEnd w:id="593"/>
      <w:bookmarkEnd w:id="594"/>
    </w:p>
    <w:p w14:paraId="6D3FDE20">
      <w:pPr>
        <w:pStyle w:val="185"/>
      </w:pPr>
      <w:bookmarkStart w:id="595" w:name="_Toc193319217"/>
      <w:bookmarkStart w:id="596" w:name="_Toc193375431"/>
      <w:r>
        <w:rPr>
          <w:rFonts w:hint="eastAsia"/>
        </w:rPr>
        <w:t>简述</w:t>
      </w:r>
      <w:r>
        <w:t>建设项目投入生产或者使用后所依托的</w:t>
      </w:r>
      <w:r>
        <w:rPr>
          <w:rFonts w:hint="eastAsia"/>
        </w:rPr>
        <w:t>消防、抢（维）修和人员急救的依托力量</w:t>
      </w:r>
      <w:r>
        <w:t>。</w:t>
      </w:r>
      <w:bookmarkEnd w:id="595"/>
      <w:bookmarkEnd w:id="596"/>
    </w:p>
    <w:p w14:paraId="46396A56">
      <w:pPr>
        <w:pStyle w:val="124"/>
        <w:spacing w:before="240" w:after="240"/>
      </w:pPr>
      <w:bookmarkStart w:id="597" w:name="_Toc5872"/>
      <w:bookmarkStart w:id="598" w:name="_Toc195003802"/>
      <w:bookmarkStart w:id="599" w:name="_Toc193375432"/>
      <w:r>
        <w:rPr>
          <w:rFonts w:hint="eastAsia"/>
        </w:rPr>
        <w:t>专项投资</w:t>
      </w:r>
      <w:bookmarkEnd w:id="544"/>
      <w:bookmarkEnd w:id="545"/>
      <w:bookmarkEnd w:id="546"/>
      <w:bookmarkEnd w:id="547"/>
      <w:bookmarkEnd w:id="548"/>
      <w:bookmarkEnd w:id="549"/>
      <w:bookmarkEnd w:id="550"/>
      <w:bookmarkEnd w:id="551"/>
      <w:bookmarkEnd w:id="552"/>
      <w:bookmarkEnd w:id="553"/>
      <w:bookmarkEnd w:id="554"/>
      <w:r>
        <w:rPr>
          <w:rFonts w:hint="eastAsia"/>
        </w:rPr>
        <w:t>概算</w:t>
      </w:r>
      <w:bookmarkEnd w:id="597"/>
      <w:bookmarkEnd w:id="598"/>
      <w:bookmarkEnd w:id="599"/>
    </w:p>
    <w:p w14:paraId="23B130B2">
      <w:pPr>
        <w:pStyle w:val="76"/>
        <w:ind w:firstLine="420"/>
      </w:pPr>
      <w:r>
        <w:rPr>
          <w:rFonts w:hint="eastAsia"/>
        </w:rPr>
        <w:t>按表B.24</w:t>
      </w:r>
      <w:r>
        <w:t>列出安全</w:t>
      </w:r>
      <w:r>
        <w:rPr>
          <w:rFonts w:hint="eastAsia"/>
        </w:rPr>
        <w:t>设施专项</w:t>
      </w:r>
      <w:r>
        <w:t>投资及其占总投资的比例。安全</w:t>
      </w:r>
      <w:r>
        <w:rPr>
          <w:rFonts w:hint="eastAsia"/>
        </w:rPr>
        <w:t>设施</w:t>
      </w:r>
      <w:r>
        <w:t>专</w:t>
      </w:r>
      <w:r>
        <w:rPr>
          <w:rFonts w:hint="eastAsia"/>
        </w:rPr>
        <w:t>项</w:t>
      </w:r>
      <w:r>
        <w:t>投资主要包括以下内容：</w:t>
      </w:r>
    </w:p>
    <w:p w14:paraId="5FA5F321">
      <w:pPr>
        <w:pStyle w:val="194"/>
        <w:numPr>
          <w:ilvl w:val="0"/>
          <w:numId w:val="75"/>
        </w:numPr>
      </w:pPr>
      <w:bookmarkStart w:id="600" w:name="_Toc180216728"/>
      <w:bookmarkStart w:id="601" w:name="_Toc180221686"/>
      <w:bookmarkStart w:id="602" w:name="_Toc180211552"/>
      <w:bookmarkStart w:id="603" w:name="_Toc179944504"/>
      <w:bookmarkStart w:id="604" w:name="_Toc184550417"/>
      <w:bookmarkStart w:id="605" w:name="_Toc180211457"/>
      <w:bookmarkStart w:id="606" w:name="_Toc180210671"/>
      <w:bookmarkStart w:id="607" w:name="_Toc180212677"/>
      <w:bookmarkStart w:id="608" w:name="_Toc184117967"/>
      <w:r>
        <w:t>预防事故设施费用</w:t>
      </w:r>
      <w:bookmarkEnd w:id="600"/>
      <w:bookmarkEnd w:id="601"/>
      <w:bookmarkEnd w:id="602"/>
      <w:bookmarkEnd w:id="603"/>
      <w:bookmarkEnd w:id="604"/>
      <w:bookmarkEnd w:id="605"/>
      <w:bookmarkEnd w:id="606"/>
      <w:bookmarkEnd w:id="607"/>
      <w:bookmarkEnd w:id="608"/>
      <w:r>
        <w:t>；</w:t>
      </w:r>
    </w:p>
    <w:p w14:paraId="7C6D2A5A">
      <w:pPr>
        <w:pStyle w:val="194"/>
        <w:numPr>
          <w:ilvl w:val="0"/>
          <w:numId w:val="75"/>
        </w:numPr>
      </w:pPr>
      <w:r>
        <w:t>控制事故设施费用；</w:t>
      </w:r>
    </w:p>
    <w:p w14:paraId="02FEB815">
      <w:pPr>
        <w:pStyle w:val="194"/>
        <w:numPr>
          <w:ilvl w:val="0"/>
          <w:numId w:val="75"/>
        </w:numPr>
      </w:pPr>
      <w:bookmarkStart w:id="609" w:name="_Toc180211555"/>
      <w:bookmarkStart w:id="610" w:name="_Toc180211460"/>
      <w:bookmarkStart w:id="611" w:name="_Toc180216731"/>
      <w:bookmarkStart w:id="612" w:name="_Toc179944507"/>
      <w:bookmarkStart w:id="613" w:name="_Toc180212680"/>
      <w:bookmarkStart w:id="614" w:name="_Toc180210674"/>
      <w:bookmarkStart w:id="615" w:name="_Toc180221689"/>
      <w:bookmarkStart w:id="616" w:name="_Toc184117970"/>
      <w:r>
        <w:t>消减事故影响设施</w:t>
      </w:r>
      <w:r>
        <w:rPr>
          <w:rFonts w:hint="eastAsia"/>
        </w:rPr>
        <w:t>费用。</w:t>
      </w:r>
    </w:p>
    <w:bookmarkEnd w:id="609"/>
    <w:bookmarkEnd w:id="610"/>
    <w:bookmarkEnd w:id="611"/>
    <w:bookmarkEnd w:id="612"/>
    <w:bookmarkEnd w:id="613"/>
    <w:bookmarkEnd w:id="614"/>
    <w:bookmarkEnd w:id="615"/>
    <w:bookmarkEnd w:id="616"/>
    <w:p w14:paraId="00E8BB00">
      <w:pPr>
        <w:pStyle w:val="124"/>
        <w:spacing w:before="240" w:after="240"/>
      </w:pPr>
      <w:bookmarkStart w:id="617" w:name="_Toc180216732"/>
      <w:bookmarkStart w:id="618" w:name="_Toc163057384"/>
      <w:bookmarkStart w:id="619" w:name="_Toc179944508"/>
      <w:bookmarkStart w:id="620" w:name="_Toc193375433"/>
      <w:bookmarkStart w:id="621" w:name="_Toc180221690"/>
      <w:bookmarkStart w:id="622" w:name="_Toc195003803"/>
      <w:bookmarkStart w:id="623" w:name="_Toc180210675"/>
      <w:bookmarkStart w:id="624" w:name="_Toc12362"/>
      <w:bookmarkStart w:id="625" w:name="_Toc180211461"/>
      <w:bookmarkStart w:id="626" w:name="_Toc163575767"/>
      <w:bookmarkStart w:id="627" w:name="_Toc180211556"/>
      <w:bookmarkStart w:id="628" w:name="_Toc180212681"/>
      <w:bookmarkStart w:id="629" w:name="_Toc184117971"/>
      <w:bookmarkStart w:id="630" w:name="_Toc184550421"/>
      <w:r>
        <w:rPr>
          <w:rFonts w:hint="eastAsia"/>
        </w:rPr>
        <w:t>主要结论和建议</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7B5A9969">
      <w:pPr>
        <w:pStyle w:val="125"/>
        <w:spacing w:before="120" w:after="120"/>
      </w:pPr>
      <w:bookmarkStart w:id="631" w:name="_Toc193319220"/>
      <w:bookmarkStart w:id="632" w:name="_Toc12442"/>
      <w:bookmarkStart w:id="633" w:name="_Toc195003804"/>
      <w:bookmarkStart w:id="634" w:name="_Toc163575768"/>
      <w:bookmarkStart w:id="635" w:name="_Toc163057385"/>
      <w:bookmarkStart w:id="636" w:name="_Toc193375434"/>
      <w:r>
        <w:t>主要结论</w:t>
      </w:r>
      <w:bookmarkEnd w:id="631"/>
      <w:bookmarkEnd w:id="632"/>
      <w:bookmarkEnd w:id="633"/>
      <w:bookmarkEnd w:id="634"/>
      <w:bookmarkEnd w:id="635"/>
      <w:bookmarkEnd w:id="636"/>
    </w:p>
    <w:p w14:paraId="5DBC3AA3">
      <w:pPr>
        <w:pStyle w:val="76"/>
        <w:ind w:firstLine="420"/>
      </w:pPr>
      <w:r>
        <w:t>根据上述安全设施设计内容</w:t>
      </w:r>
      <w:r>
        <w:rPr>
          <w:rFonts w:hint="eastAsia"/>
        </w:rPr>
        <w:t>，</w:t>
      </w:r>
      <w:r>
        <w:t>应从以下方面给出结论：</w:t>
      </w:r>
    </w:p>
    <w:p w14:paraId="192262CC">
      <w:pPr>
        <w:pStyle w:val="194"/>
        <w:numPr>
          <w:ilvl w:val="0"/>
          <w:numId w:val="76"/>
        </w:numPr>
      </w:pPr>
      <w:bookmarkStart w:id="637" w:name="_Toc163057386"/>
      <w:bookmarkStart w:id="638" w:name="_Toc163575769"/>
      <w:r>
        <w:rPr>
          <w:rFonts w:hint="eastAsia"/>
        </w:rPr>
        <w:t>安全预评价提出的安全对策措施的落实情况；</w:t>
      </w:r>
    </w:p>
    <w:p w14:paraId="5734EEF2">
      <w:pPr>
        <w:pStyle w:val="194"/>
        <w:numPr>
          <w:ilvl w:val="0"/>
          <w:numId w:val="75"/>
        </w:numPr>
      </w:pPr>
      <w:r>
        <w:rPr>
          <w:rFonts w:hint="eastAsia"/>
        </w:rPr>
        <w:t>选用的主要技术、工艺的安全可靠性；</w:t>
      </w:r>
    </w:p>
    <w:p w14:paraId="24BF94A7">
      <w:pPr>
        <w:pStyle w:val="194"/>
        <w:numPr>
          <w:ilvl w:val="0"/>
          <w:numId w:val="75"/>
        </w:numPr>
      </w:pPr>
      <w:r>
        <w:rPr>
          <w:rFonts w:hint="eastAsia"/>
        </w:rPr>
        <w:t>与现行安全</w:t>
      </w:r>
      <w:r>
        <w:t>法律、法规、规章</w:t>
      </w:r>
      <w:r>
        <w:rPr>
          <w:rFonts w:hint="eastAsia"/>
        </w:rPr>
        <w:t>及相关</w:t>
      </w:r>
      <w:r>
        <w:t>标准、规范</w:t>
      </w:r>
      <w:r>
        <w:rPr>
          <w:rFonts w:hint="eastAsia"/>
        </w:rPr>
        <w:t>的符合性。</w:t>
      </w:r>
    </w:p>
    <w:p w14:paraId="64B6A33B">
      <w:pPr>
        <w:pStyle w:val="125"/>
        <w:spacing w:before="120" w:after="120"/>
      </w:pPr>
      <w:bookmarkStart w:id="639" w:name="_Toc193319221"/>
      <w:bookmarkStart w:id="640" w:name="_Toc11711"/>
      <w:bookmarkStart w:id="641" w:name="_Toc193375435"/>
      <w:bookmarkStart w:id="642" w:name="_Toc195003805"/>
      <w:r>
        <w:rPr>
          <w:rFonts w:hint="eastAsia"/>
        </w:rPr>
        <w:t>主要</w:t>
      </w:r>
      <w:r>
        <w:t>建议</w:t>
      </w:r>
      <w:bookmarkEnd w:id="637"/>
      <w:bookmarkEnd w:id="638"/>
      <w:bookmarkEnd w:id="639"/>
      <w:bookmarkEnd w:id="640"/>
      <w:bookmarkEnd w:id="641"/>
      <w:bookmarkEnd w:id="642"/>
    </w:p>
    <w:p w14:paraId="4DA10319">
      <w:pPr>
        <w:pStyle w:val="85"/>
        <w:spacing w:before="120" w:after="120"/>
      </w:pPr>
      <w:bookmarkStart w:id="643" w:name="_Toc193319222"/>
      <w:bookmarkStart w:id="644" w:name="_Toc193375436"/>
      <w:r>
        <w:t>施工图设计阶段</w:t>
      </w:r>
      <w:bookmarkEnd w:id="643"/>
      <w:bookmarkEnd w:id="644"/>
    </w:p>
    <w:p w14:paraId="3500A8CE">
      <w:pPr>
        <w:pStyle w:val="76"/>
        <w:ind w:firstLine="420"/>
      </w:pPr>
      <w:r>
        <w:t>根据同类建设项目的管理情况和发展趋势，说明还需要改进或增加的其他内容和建议，如已运行正常的同类建设项目的经验</w:t>
      </w:r>
      <w:r>
        <w:rPr>
          <w:rFonts w:hint="eastAsia"/>
        </w:rPr>
        <w:t>、</w:t>
      </w:r>
      <w:r>
        <w:t>需要开展专题攻关研究的内容</w:t>
      </w:r>
      <w:r>
        <w:rPr>
          <w:rFonts w:hint="eastAsia"/>
        </w:rPr>
        <w:t>及</w:t>
      </w:r>
      <w:r>
        <w:t>在施工图设计中需进一步落实的问题等。</w:t>
      </w:r>
    </w:p>
    <w:p w14:paraId="7558AEB0">
      <w:pPr>
        <w:pStyle w:val="85"/>
        <w:spacing w:before="120" w:after="120"/>
      </w:pPr>
      <w:bookmarkStart w:id="645" w:name="_Toc193319223"/>
      <w:bookmarkStart w:id="646" w:name="_Toc193375437"/>
      <w:r>
        <w:t>施工及生产运行</w:t>
      </w:r>
      <w:bookmarkEnd w:id="645"/>
      <w:bookmarkEnd w:id="646"/>
      <w:r>
        <w:rPr>
          <w:rFonts w:hint="eastAsia"/>
        </w:rPr>
        <w:t>阶段</w:t>
      </w:r>
    </w:p>
    <w:p w14:paraId="66329D8E">
      <w:pPr>
        <w:pStyle w:val="76"/>
        <w:ind w:firstLine="420"/>
      </w:pPr>
      <w:r>
        <w:t>对建设项目施工及生产运行</w:t>
      </w:r>
      <w:r>
        <w:rPr>
          <w:rFonts w:hint="eastAsia"/>
        </w:rPr>
        <w:t>阶段</w:t>
      </w:r>
      <w:r>
        <w:t>提出有针对性的安全措施建议。</w:t>
      </w:r>
    </w:p>
    <w:p w14:paraId="3ED34819">
      <w:pPr>
        <w:pStyle w:val="124"/>
        <w:spacing w:before="240" w:after="240"/>
      </w:pPr>
      <w:bookmarkStart w:id="647" w:name="_Toc21127"/>
      <w:bookmarkStart w:id="648" w:name="_Toc3267"/>
      <w:bookmarkStart w:id="649" w:name="_Toc193375438"/>
      <w:bookmarkStart w:id="650" w:name="_Toc27387"/>
      <w:bookmarkStart w:id="651" w:name="_Toc21204"/>
      <w:bookmarkStart w:id="652" w:name="_Toc12342"/>
      <w:bookmarkStart w:id="653" w:name="_Toc195003806"/>
      <w:bookmarkStart w:id="654" w:name="_Toc29583"/>
      <w:bookmarkStart w:id="655" w:name="_Toc20595"/>
      <w:r>
        <w:rPr>
          <w:rFonts w:hint="eastAsia"/>
        </w:rPr>
        <w:t>格式要求</w:t>
      </w:r>
      <w:bookmarkEnd w:id="647"/>
      <w:bookmarkEnd w:id="648"/>
      <w:bookmarkEnd w:id="649"/>
      <w:bookmarkEnd w:id="650"/>
      <w:bookmarkEnd w:id="651"/>
      <w:bookmarkEnd w:id="652"/>
      <w:bookmarkEnd w:id="653"/>
      <w:bookmarkEnd w:id="654"/>
      <w:bookmarkEnd w:id="655"/>
    </w:p>
    <w:p w14:paraId="4A81B60E">
      <w:pPr>
        <w:pStyle w:val="125"/>
        <w:spacing w:before="120" w:after="120"/>
      </w:pPr>
      <w:bookmarkStart w:id="656" w:name="_Toc195003807"/>
      <w:bookmarkStart w:id="657" w:name="_Toc193375439"/>
      <w:bookmarkStart w:id="658" w:name="_Toc193319225"/>
      <w:bookmarkStart w:id="659" w:name="_Toc14740"/>
      <w:bookmarkStart w:id="660" w:name="_Toc3127"/>
      <w:r>
        <w:t>结构</w:t>
      </w:r>
      <w:bookmarkEnd w:id="656"/>
      <w:bookmarkEnd w:id="657"/>
      <w:bookmarkEnd w:id="658"/>
      <w:bookmarkEnd w:id="659"/>
      <w:bookmarkEnd w:id="660"/>
    </w:p>
    <w:p w14:paraId="6D322228">
      <w:pPr>
        <w:pStyle w:val="85"/>
        <w:spacing w:before="120" w:after="120"/>
      </w:pPr>
      <w:bookmarkStart w:id="661" w:name="_Toc193375440"/>
      <w:bookmarkStart w:id="662" w:name="_Toc193319226"/>
      <w:r>
        <w:rPr>
          <w:rFonts w:hint="eastAsia"/>
        </w:rPr>
        <w:t>封面</w:t>
      </w:r>
      <w:bookmarkEnd w:id="661"/>
      <w:bookmarkEnd w:id="662"/>
    </w:p>
    <w:p w14:paraId="37554807">
      <w:pPr>
        <w:pStyle w:val="76"/>
        <w:ind w:firstLine="420"/>
      </w:pPr>
      <w:r>
        <w:t>封面格式应符合附录</w:t>
      </w:r>
      <w:r>
        <w:rPr>
          <w:rFonts w:hint="eastAsia"/>
        </w:rPr>
        <w:t>C</w:t>
      </w:r>
      <w:r>
        <w:t>的要求。</w:t>
      </w:r>
    </w:p>
    <w:p w14:paraId="5DB8F2CF">
      <w:pPr>
        <w:pStyle w:val="85"/>
        <w:spacing w:before="120" w:after="120"/>
      </w:pPr>
      <w:bookmarkStart w:id="663" w:name="_Toc193319227"/>
      <w:bookmarkStart w:id="664" w:name="_Toc193375441"/>
      <w:r>
        <w:rPr>
          <w:rFonts w:hint="eastAsia"/>
        </w:rPr>
        <w:t>扉页</w:t>
      </w:r>
      <w:bookmarkEnd w:id="663"/>
      <w:bookmarkEnd w:id="664"/>
    </w:p>
    <w:p w14:paraId="1B47C6DE">
      <w:pPr>
        <w:pStyle w:val="76"/>
        <w:ind w:firstLine="420"/>
      </w:pPr>
      <w:r>
        <w:t>扉页的字号和字体应符合附录</w:t>
      </w:r>
      <w:r>
        <w:rPr>
          <w:rFonts w:hint="eastAsia"/>
        </w:rPr>
        <w:t>D</w:t>
      </w:r>
      <w:r>
        <w:t>的要求。</w:t>
      </w:r>
    </w:p>
    <w:p w14:paraId="2BA4FA0F">
      <w:pPr>
        <w:pStyle w:val="85"/>
        <w:spacing w:before="120" w:after="120"/>
      </w:pPr>
      <w:bookmarkStart w:id="665" w:name="_Toc193319228"/>
      <w:bookmarkStart w:id="666" w:name="_Toc193375442"/>
      <w:r>
        <w:rPr>
          <w:rFonts w:hint="eastAsia"/>
        </w:rPr>
        <w:t>设计校审人员名单</w:t>
      </w:r>
      <w:bookmarkEnd w:id="665"/>
      <w:bookmarkEnd w:id="666"/>
    </w:p>
    <w:p w14:paraId="7319C8E5">
      <w:pPr>
        <w:pStyle w:val="76"/>
        <w:ind w:firstLine="420"/>
      </w:pPr>
      <w:r>
        <w:t>设</w:t>
      </w:r>
      <w:r>
        <w:rPr>
          <w:rFonts w:hint="eastAsia"/>
        </w:rPr>
        <w:t>计</w:t>
      </w:r>
      <w:r>
        <w:t>校审人员名单的字号和字体应符合附录</w:t>
      </w:r>
      <w:r>
        <w:rPr>
          <w:rFonts w:hint="eastAsia"/>
        </w:rPr>
        <w:t>E</w:t>
      </w:r>
      <w:r>
        <w:t>的要求。</w:t>
      </w:r>
    </w:p>
    <w:p w14:paraId="3F3CE2EA">
      <w:pPr>
        <w:pStyle w:val="85"/>
        <w:spacing w:before="120" w:after="120"/>
      </w:pPr>
      <w:bookmarkStart w:id="667" w:name="_Toc193375443"/>
      <w:bookmarkStart w:id="668" w:name="_Toc193319229"/>
      <w:r>
        <w:rPr>
          <w:rFonts w:hint="eastAsia"/>
        </w:rPr>
        <w:t>目录</w:t>
      </w:r>
      <w:bookmarkEnd w:id="667"/>
      <w:bookmarkEnd w:id="668"/>
    </w:p>
    <w:p w14:paraId="1DDA103D">
      <w:pPr>
        <w:pStyle w:val="76"/>
        <w:ind w:firstLine="420"/>
      </w:pPr>
      <w:r>
        <w:t>目录应采用三号黑体字</w:t>
      </w:r>
      <w:r>
        <w:rPr>
          <w:rFonts w:hint="eastAsia"/>
        </w:rPr>
        <w:t>，</w:t>
      </w:r>
      <w:r>
        <w:t>章、节标题采用小四号宋体字。</w:t>
      </w:r>
    </w:p>
    <w:p w14:paraId="51ADB6D8">
      <w:pPr>
        <w:pStyle w:val="85"/>
        <w:spacing w:before="120" w:after="120"/>
      </w:pPr>
      <w:bookmarkStart w:id="669" w:name="_Toc193319230"/>
      <w:bookmarkStart w:id="670" w:name="_Toc193375444"/>
      <w:r>
        <w:rPr>
          <w:rFonts w:hint="eastAsia"/>
        </w:rPr>
        <w:t>正文</w:t>
      </w:r>
      <w:bookmarkEnd w:id="669"/>
      <w:bookmarkEnd w:id="670"/>
    </w:p>
    <w:p w14:paraId="104C6FA3">
      <w:pPr>
        <w:pStyle w:val="76"/>
        <w:ind w:firstLine="420"/>
      </w:pPr>
      <w:bookmarkStart w:id="671" w:name="_Toc22028"/>
      <w:bookmarkStart w:id="672" w:name="_Toc293"/>
      <w:bookmarkStart w:id="673" w:name="_Toc21139"/>
      <w:bookmarkStart w:id="674" w:name="_Toc20713"/>
      <w:r>
        <w:rPr>
          <w:rFonts w:hint="eastAsia"/>
        </w:rPr>
        <w:t>报告主要内容的章、节标题应分别采用三号黑体、四号黑体字，内容的文字表述部分采用小四号宋体字，表名、图名采用五号黑体，表格文字可选择采用五号或者小五号宋体字；页眉报告名称采用</w:t>
      </w:r>
      <w:r>
        <w:t>符合GB 2312的</w:t>
      </w:r>
      <w:r>
        <w:rPr>
          <w:rFonts w:hint="eastAsia"/>
        </w:rPr>
        <w:t>五号</w:t>
      </w:r>
      <w:r>
        <w:t>楷体字</w:t>
      </w:r>
      <w:r>
        <w:rPr>
          <w:rFonts w:hint="eastAsia"/>
        </w:rPr>
        <w:t>，页脚页码采用</w:t>
      </w:r>
      <w:r>
        <w:t>符合GB 2312的</w:t>
      </w:r>
      <w:r>
        <w:rPr>
          <w:rFonts w:hint="eastAsia"/>
        </w:rPr>
        <w:t>五号</w:t>
      </w:r>
      <w:r>
        <w:t>楷体字。</w:t>
      </w:r>
      <w:bookmarkEnd w:id="671"/>
      <w:bookmarkEnd w:id="672"/>
      <w:bookmarkEnd w:id="673"/>
      <w:bookmarkEnd w:id="674"/>
    </w:p>
    <w:p w14:paraId="066572F3">
      <w:pPr>
        <w:pStyle w:val="85"/>
        <w:spacing w:before="120" w:after="120"/>
      </w:pPr>
      <w:bookmarkStart w:id="675" w:name="_Toc193319231"/>
      <w:bookmarkStart w:id="676" w:name="_Toc193375445"/>
      <w:r>
        <w:rPr>
          <w:rFonts w:hint="eastAsia"/>
        </w:rPr>
        <w:t>附件与附图</w:t>
      </w:r>
      <w:bookmarkEnd w:id="675"/>
      <w:bookmarkEnd w:id="676"/>
    </w:p>
    <w:p w14:paraId="7CF787AD">
      <w:pPr>
        <w:pStyle w:val="118"/>
        <w:numPr>
          <w:ilvl w:val="4"/>
          <w:numId w:val="2"/>
        </w:numPr>
        <w:spacing w:before="120" w:after="120"/>
      </w:pPr>
      <w:r>
        <w:rPr>
          <w:rFonts w:hint="eastAsia"/>
        </w:rPr>
        <w:t>附件</w:t>
      </w:r>
    </w:p>
    <w:p w14:paraId="3F1CE8EA">
      <w:pPr>
        <w:pStyle w:val="76"/>
        <w:ind w:firstLine="420"/>
      </w:pPr>
      <w:r>
        <w:t>应采用原件复印件</w:t>
      </w:r>
      <w:r>
        <w:rPr>
          <w:rFonts w:hint="eastAsia"/>
        </w:rPr>
        <w:t>（</w:t>
      </w:r>
      <w:r>
        <w:t>复印比例为1</w:t>
      </w:r>
      <w:r>
        <w:rPr>
          <w:rFonts w:ascii="Cambria Math" w:hAnsi="Cambria Math" w:cs="Cambria Math"/>
        </w:rPr>
        <w:t>∶</w:t>
      </w:r>
      <w:r>
        <w:t>1</w:t>
      </w:r>
      <w:r>
        <w:rPr>
          <w:rFonts w:hint="eastAsia"/>
        </w:rPr>
        <w:t>），</w:t>
      </w:r>
      <w:r>
        <w:t>主要包括以下内容：</w:t>
      </w:r>
    </w:p>
    <w:p w14:paraId="53203698">
      <w:pPr>
        <w:pStyle w:val="194"/>
        <w:numPr>
          <w:ilvl w:val="0"/>
          <w:numId w:val="77"/>
        </w:numPr>
      </w:pPr>
      <w:r>
        <w:rPr>
          <w:rFonts w:hint="eastAsia"/>
        </w:rPr>
        <w:t>建设项目审批、核准或者备案的文件</w:t>
      </w:r>
      <w:r>
        <w:t>；</w:t>
      </w:r>
    </w:p>
    <w:p w14:paraId="15DB3A0A">
      <w:pPr>
        <w:pStyle w:val="194"/>
        <w:numPr>
          <w:ilvl w:val="0"/>
          <w:numId w:val="35"/>
        </w:numPr>
      </w:pPr>
      <w:r>
        <w:t>设计委托书；</w:t>
      </w:r>
    </w:p>
    <w:p w14:paraId="164E5CCA">
      <w:pPr>
        <w:pStyle w:val="194"/>
        <w:numPr>
          <w:ilvl w:val="0"/>
          <w:numId w:val="35"/>
        </w:numPr>
      </w:pPr>
      <w:r>
        <w:t>建设单位的经营范围；</w:t>
      </w:r>
    </w:p>
    <w:p w14:paraId="574A6BFA">
      <w:pPr>
        <w:pStyle w:val="194"/>
        <w:numPr>
          <w:ilvl w:val="0"/>
          <w:numId w:val="35"/>
        </w:numPr>
      </w:pPr>
      <w:r>
        <w:rPr>
          <w:rFonts w:hint="eastAsia"/>
        </w:rPr>
        <w:t>设计单位的设计资质证明文件。</w:t>
      </w:r>
    </w:p>
    <w:p w14:paraId="5D1D314E">
      <w:pPr>
        <w:pStyle w:val="118"/>
        <w:numPr>
          <w:ilvl w:val="4"/>
          <w:numId w:val="2"/>
        </w:numPr>
        <w:spacing w:before="120" w:after="120"/>
      </w:pPr>
      <w:bookmarkStart w:id="677" w:name="_Toc17759"/>
      <w:r>
        <w:rPr>
          <w:rFonts w:hint="eastAsia"/>
        </w:rPr>
        <w:t>附图</w:t>
      </w:r>
    </w:p>
    <w:p w14:paraId="43F97539">
      <w:pPr>
        <w:pStyle w:val="76"/>
        <w:ind w:firstLine="420"/>
      </w:pPr>
      <w:bookmarkStart w:id="678" w:name="_Toc6857"/>
      <w:bookmarkStart w:id="679" w:name="_Toc5789"/>
      <w:bookmarkStart w:id="680" w:name="_Toc3083"/>
      <w:r>
        <w:t>附图应主要包括以下清晰、合规的图纸：</w:t>
      </w:r>
      <w:bookmarkEnd w:id="678"/>
      <w:bookmarkEnd w:id="679"/>
      <w:bookmarkEnd w:id="680"/>
    </w:p>
    <w:p w14:paraId="5412D729">
      <w:pPr>
        <w:pStyle w:val="194"/>
        <w:numPr>
          <w:ilvl w:val="0"/>
          <w:numId w:val="78"/>
        </w:numPr>
      </w:pPr>
      <w:r>
        <w:rPr>
          <w:rFonts w:hint="eastAsia"/>
        </w:rPr>
        <w:t>总体布局图；</w:t>
      </w:r>
    </w:p>
    <w:p w14:paraId="71D5165C">
      <w:pPr>
        <w:pStyle w:val="194"/>
        <w:numPr>
          <w:ilvl w:val="0"/>
          <w:numId w:val="35"/>
        </w:numPr>
      </w:pPr>
      <w:r>
        <w:rPr>
          <w:rFonts w:hint="eastAsia"/>
        </w:rPr>
        <w:t>各站场</w:t>
      </w:r>
      <w:r>
        <w:t>区域位置图；</w:t>
      </w:r>
    </w:p>
    <w:p w14:paraId="16C7B8CB">
      <w:pPr>
        <w:pStyle w:val="194"/>
        <w:numPr>
          <w:ilvl w:val="0"/>
          <w:numId w:val="35"/>
        </w:numPr>
      </w:pPr>
      <w:r>
        <w:t>总平面布置图；</w:t>
      </w:r>
    </w:p>
    <w:p w14:paraId="0708F07B">
      <w:pPr>
        <w:pStyle w:val="194"/>
        <w:numPr>
          <w:ilvl w:val="0"/>
          <w:numId w:val="35"/>
        </w:numPr>
      </w:pPr>
      <w:r>
        <w:t>主要工艺原理流程图；</w:t>
      </w:r>
    </w:p>
    <w:p w14:paraId="7CFE6304">
      <w:pPr>
        <w:pStyle w:val="194"/>
        <w:numPr>
          <w:ilvl w:val="0"/>
          <w:numId w:val="35"/>
        </w:numPr>
      </w:pPr>
      <w:r>
        <w:t>危险区域划分图；</w:t>
      </w:r>
    </w:p>
    <w:p w14:paraId="46298378">
      <w:pPr>
        <w:pStyle w:val="194"/>
        <w:numPr>
          <w:ilvl w:val="0"/>
          <w:numId w:val="35"/>
        </w:numPr>
      </w:pPr>
      <w:r>
        <w:t>火气监测系统布置图；</w:t>
      </w:r>
    </w:p>
    <w:p w14:paraId="41A5658A">
      <w:pPr>
        <w:pStyle w:val="194"/>
        <w:numPr>
          <w:ilvl w:val="0"/>
          <w:numId w:val="35"/>
        </w:numPr>
      </w:pPr>
      <w:r>
        <w:t>逻辑关断图；</w:t>
      </w:r>
    </w:p>
    <w:p w14:paraId="01353BE6">
      <w:pPr>
        <w:pStyle w:val="194"/>
        <w:numPr>
          <w:ilvl w:val="0"/>
          <w:numId w:val="35"/>
        </w:numPr>
      </w:pPr>
      <w:r>
        <w:t>线路走向示意图。</w:t>
      </w:r>
    </w:p>
    <w:p w14:paraId="72479515">
      <w:pPr>
        <w:pStyle w:val="125"/>
        <w:spacing w:before="120" w:after="120"/>
      </w:pPr>
      <w:bookmarkStart w:id="681" w:name="_Toc195003808"/>
      <w:bookmarkStart w:id="682" w:name="_Toc193375446"/>
      <w:bookmarkStart w:id="683" w:name="_Toc193319232"/>
      <w:bookmarkStart w:id="684" w:name="_Toc12538"/>
      <w:r>
        <w:t>纸张、排版</w:t>
      </w:r>
      <w:bookmarkEnd w:id="677"/>
      <w:bookmarkEnd w:id="681"/>
      <w:bookmarkEnd w:id="682"/>
      <w:bookmarkEnd w:id="683"/>
      <w:bookmarkEnd w:id="684"/>
    </w:p>
    <w:p w14:paraId="3F2F3F1D">
      <w:pPr>
        <w:pStyle w:val="76"/>
        <w:ind w:firstLine="420"/>
      </w:pPr>
      <w:r>
        <w:t>应采用A4白色胶版纸(70</w:t>
      </w:r>
      <w:r>
        <w:rPr>
          <w:rFonts w:hint="eastAsia"/>
        </w:rPr>
        <w:t xml:space="preserve"> </w:t>
      </w:r>
      <w:r>
        <w:t>g以上</w:t>
      </w:r>
      <w:r>
        <w:rPr>
          <w:rFonts w:hint="eastAsia"/>
        </w:rPr>
        <w:t>）</w:t>
      </w:r>
      <w:r>
        <w:t>；纵向排版，左边距28</w:t>
      </w:r>
      <w:r>
        <w:rPr>
          <w:rFonts w:hint="eastAsia"/>
        </w:rPr>
        <w:t xml:space="preserve"> </w:t>
      </w:r>
      <w:r>
        <w:t>mm、右边距20</w:t>
      </w:r>
      <w:r>
        <w:rPr>
          <w:rFonts w:hint="eastAsia"/>
        </w:rPr>
        <w:t xml:space="preserve"> </w:t>
      </w:r>
      <w:r>
        <w:t>mm、上边距25</w:t>
      </w:r>
      <w:r>
        <w:rPr>
          <w:rFonts w:hint="eastAsia"/>
        </w:rPr>
        <w:t xml:space="preserve"> </w:t>
      </w:r>
      <w:r>
        <w:t>mm、下边距20</w:t>
      </w:r>
      <w:r>
        <w:rPr>
          <w:rFonts w:hint="eastAsia"/>
        </w:rPr>
        <w:t xml:space="preserve"> </w:t>
      </w:r>
      <w:r>
        <w:t>mm；页眉顶端距离20</w:t>
      </w:r>
      <w:r>
        <w:rPr>
          <w:rFonts w:hint="eastAsia"/>
        </w:rPr>
        <w:t xml:space="preserve"> </w:t>
      </w:r>
      <w:r>
        <w:t>mm，页脚底端距离15</w:t>
      </w:r>
      <w:r>
        <w:rPr>
          <w:rFonts w:hint="eastAsia"/>
        </w:rPr>
        <w:t xml:space="preserve"> </w:t>
      </w:r>
      <w:r>
        <w:t>mm，页码位于页面底端，对齐方式为居中。</w:t>
      </w:r>
    </w:p>
    <w:p w14:paraId="129523EA">
      <w:pPr>
        <w:pStyle w:val="125"/>
        <w:spacing w:before="120" w:after="120"/>
      </w:pPr>
      <w:bookmarkStart w:id="685" w:name="_Toc195003809"/>
      <w:bookmarkStart w:id="686" w:name="_Toc193319233"/>
      <w:bookmarkStart w:id="687" w:name="_Toc7216"/>
      <w:bookmarkStart w:id="688" w:name="_Toc12136"/>
      <w:bookmarkStart w:id="689" w:name="_Toc193375447"/>
      <w:r>
        <w:t>印刷</w:t>
      </w:r>
      <w:bookmarkEnd w:id="685"/>
      <w:bookmarkEnd w:id="686"/>
      <w:bookmarkEnd w:id="687"/>
      <w:bookmarkEnd w:id="688"/>
      <w:bookmarkEnd w:id="689"/>
    </w:p>
    <w:p w14:paraId="7E8F7C74">
      <w:pPr>
        <w:pStyle w:val="76"/>
        <w:ind w:firstLine="420"/>
      </w:pPr>
      <w:r>
        <w:t>除附图、复印件等外，双面打印文本。</w:t>
      </w:r>
    </w:p>
    <w:p w14:paraId="61A67409">
      <w:pPr>
        <w:pStyle w:val="125"/>
        <w:spacing w:before="120" w:after="120"/>
      </w:pPr>
      <w:bookmarkStart w:id="690" w:name="_Toc193319234"/>
      <w:bookmarkStart w:id="691" w:name="_Toc193375448"/>
      <w:bookmarkStart w:id="692" w:name="_Toc195003810"/>
      <w:bookmarkStart w:id="693" w:name="_Toc1895"/>
      <w:bookmarkStart w:id="694" w:name="_Toc1627"/>
      <w:r>
        <w:t>封装</w:t>
      </w:r>
      <w:bookmarkEnd w:id="690"/>
      <w:bookmarkEnd w:id="691"/>
      <w:bookmarkEnd w:id="692"/>
      <w:bookmarkEnd w:id="693"/>
      <w:bookmarkEnd w:id="694"/>
    </w:p>
    <w:p w14:paraId="49BE6DE3">
      <w:pPr>
        <w:pStyle w:val="76"/>
        <w:ind w:firstLine="420"/>
      </w:pPr>
      <w:r>
        <w:t>建设项目安全设施设计</w:t>
      </w:r>
      <w:r>
        <w:rPr>
          <w:rFonts w:hint="eastAsia"/>
        </w:rPr>
        <w:t>应采</w:t>
      </w:r>
      <w:r>
        <w:t>用白色封皮，</w:t>
      </w:r>
      <w:r>
        <w:rPr>
          <w:rFonts w:hint="eastAsia"/>
        </w:rPr>
        <w:t>装订线左侧，</w:t>
      </w:r>
      <w:r>
        <w:t>正式文本装订后，</w:t>
      </w:r>
      <w:r>
        <w:rPr>
          <w:rFonts w:hint="eastAsia"/>
        </w:rPr>
        <w:t>应在专篇以下位置加盖公章或</w:t>
      </w:r>
      <w:r>
        <w:t>签字</w:t>
      </w:r>
      <w:r>
        <w:rPr>
          <w:rFonts w:hint="eastAsia"/>
        </w:rPr>
        <w:t>：</w:t>
      </w:r>
    </w:p>
    <w:p w14:paraId="298A7788">
      <w:pPr>
        <w:pStyle w:val="194"/>
        <w:numPr>
          <w:ilvl w:val="0"/>
          <w:numId w:val="79"/>
        </w:numPr>
      </w:pPr>
      <w:r>
        <w:rPr>
          <w:rFonts w:hint="eastAsia"/>
        </w:rPr>
        <w:t>封面加盖建设单位公章；</w:t>
      </w:r>
    </w:p>
    <w:p w14:paraId="40185C9F">
      <w:pPr>
        <w:pStyle w:val="194"/>
        <w:numPr>
          <w:ilvl w:val="0"/>
          <w:numId w:val="35"/>
        </w:numPr>
      </w:pPr>
      <w:r>
        <w:rPr>
          <w:rFonts w:hint="eastAsia"/>
        </w:rPr>
        <w:t>扉页加盖设计单位公章；</w:t>
      </w:r>
    </w:p>
    <w:p w14:paraId="01A60CCB">
      <w:pPr>
        <w:pStyle w:val="194"/>
        <w:numPr>
          <w:ilvl w:val="0"/>
          <w:numId w:val="35"/>
        </w:numPr>
      </w:pPr>
      <w:r>
        <w:rPr>
          <w:rFonts w:hint="eastAsia"/>
        </w:rPr>
        <w:t>设计校审人员名单进行手签字；</w:t>
      </w:r>
    </w:p>
    <w:p w14:paraId="5A4570BB">
      <w:pPr>
        <w:pStyle w:val="194"/>
        <w:numPr>
          <w:ilvl w:val="0"/>
          <w:numId w:val="35"/>
        </w:numPr>
      </w:pPr>
      <w:r>
        <w:rPr>
          <w:rFonts w:hint="eastAsia"/>
        </w:rPr>
        <w:t>结论加盖设计单位公章；</w:t>
      </w:r>
    </w:p>
    <w:p w14:paraId="35029D7D">
      <w:pPr>
        <w:pStyle w:val="194"/>
        <w:numPr>
          <w:ilvl w:val="0"/>
          <w:numId w:val="35"/>
        </w:numPr>
      </w:pPr>
      <w:r>
        <w:rPr>
          <w:rFonts w:hint="eastAsia"/>
        </w:rPr>
        <w:t>报告侧面加盖设计单位骑缝章。</w:t>
      </w:r>
    </w:p>
    <w:p w14:paraId="6B6158D8">
      <w:pPr>
        <w:pStyle w:val="76"/>
        <w:ind w:firstLine="420"/>
      </w:pPr>
    </w:p>
    <w:p w14:paraId="109A3CE6">
      <w:pPr>
        <w:widowControl/>
        <w:adjustRightInd/>
        <w:spacing w:line="240" w:lineRule="auto"/>
        <w:jc w:val="left"/>
        <w:rPr>
          <w:rFonts w:ascii="宋体" w:hAnsi="Times New Roman"/>
          <w:kern w:val="0"/>
          <w:szCs w:val="20"/>
        </w:rPr>
      </w:pPr>
      <w:r>
        <w:br w:type="page"/>
      </w:r>
    </w:p>
    <w:p w14:paraId="081F02B9">
      <w:pPr>
        <w:pStyle w:val="96"/>
        <w:spacing w:after="120"/>
        <w:ind w:left="0"/>
      </w:pPr>
      <w:r>
        <w:br w:type="textWrapping"/>
      </w:r>
      <w:bookmarkStart w:id="695" w:name="_Toc195003811"/>
      <w:r>
        <w:rPr>
          <w:rFonts w:hint="eastAsia"/>
        </w:rPr>
        <w:t>（资料性）</w:t>
      </w:r>
      <w:r>
        <w:br w:type="textWrapping"/>
      </w:r>
      <w:r>
        <w:t>安全设施分类</w:t>
      </w:r>
      <w:bookmarkEnd w:id="695"/>
    </w:p>
    <w:p w14:paraId="28B82B68">
      <w:pPr>
        <w:pStyle w:val="98"/>
        <w:spacing w:before="120" w:after="120"/>
      </w:pPr>
      <w:bookmarkStart w:id="696" w:name="_Toc195003812"/>
      <w:r>
        <w:t>预防事故设施</w:t>
      </w:r>
      <w:bookmarkEnd w:id="696"/>
    </w:p>
    <w:p w14:paraId="3C65F119">
      <w:pPr>
        <w:pStyle w:val="99"/>
        <w:spacing w:before="120" w:after="120"/>
      </w:pPr>
      <w:r>
        <w:t>检测</w:t>
      </w:r>
      <w:r>
        <w:rPr>
          <w:rFonts w:hint="eastAsia"/>
        </w:rPr>
        <w:t>及</w:t>
      </w:r>
      <w:r>
        <w:t>报警设施</w:t>
      </w:r>
    </w:p>
    <w:p w14:paraId="2DDF2E64">
      <w:pPr>
        <w:adjustRightInd/>
        <w:spacing w:line="360" w:lineRule="exact"/>
        <w:ind w:firstLine="420" w:firstLineChars="200"/>
        <w:rPr>
          <w:rFonts w:hint="eastAsia" w:ascii="宋体" w:hAnsi="宋体" w:cs="宋体"/>
          <w:color w:val="000000"/>
        </w:rPr>
      </w:pPr>
      <w:r>
        <w:rPr>
          <w:rFonts w:ascii="宋体" w:hAnsi="宋体" w:cs="宋体"/>
          <w:color w:val="000000"/>
        </w:rPr>
        <w:t>压力、温度、液位、</w:t>
      </w:r>
      <w:r>
        <w:rPr>
          <w:rFonts w:hint="eastAsia" w:ascii="宋体" w:hAnsi="宋体" w:cs="宋体"/>
          <w:color w:val="000000"/>
        </w:rPr>
        <w:t>流量、组分</w:t>
      </w:r>
      <w:r>
        <w:rPr>
          <w:rFonts w:ascii="宋体" w:hAnsi="宋体" w:cs="宋体"/>
          <w:color w:val="000000"/>
        </w:rPr>
        <w:t>等报警</w:t>
      </w:r>
      <w:r>
        <w:rPr>
          <w:rFonts w:hint="eastAsia" w:ascii="宋体" w:hAnsi="宋体" w:cs="宋体"/>
          <w:color w:val="000000"/>
        </w:rPr>
        <w:t>并触发安全联锁功能的</w:t>
      </w:r>
      <w:r>
        <w:rPr>
          <w:rFonts w:ascii="宋体" w:hAnsi="宋体" w:cs="宋体"/>
          <w:color w:val="000000"/>
        </w:rPr>
        <w:t>设施</w:t>
      </w:r>
      <w:r>
        <w:rPr>
          <w:rFonts w:hint="eastAsia" w:ascii="宋体" w:hAnsi="宋体" w:cs="宋体"/>
          <w:color w:val="000000"/>
        </w:rPr>
        <w:t>；火灾、</w:t>
      </w:r>
      <w:r>
        <w:rPr>
          <w:rFonts w:ascii="宋体" w:hAnsi="宋体" w:cs="宋体"/>
          <w:color w:val="000000"/>
        </w:rPr>
        <w:t>可燃气体、有毒有害气体、氧气等检测和报警设施</w:t>
      </w:r>
      <w:r>
        <w:rPr>
          <w:rFonts w:hint="eastAsia" w:ascii="宋体" w:hAnsi="宋体" w:cs="宋体"/>
          <w:color w:val="000000"/>
        </w:rPr>
        <w:t>等；安全仪表系统设施。</w:t>
      </w:r>
    </w:p>
    <w:p w14:paraId="660371CA">
      <w:pPr>
        <w:pStyle w:val="99"/>
        <w:spacing w:before="120" w:after="120"/>
      </w:pPr>
      <w:r>
        <w:rPr>
          <w:rFonts w:hint="eastAsia"/>
        </w:rPr>
        <w:t>监测</w:t>
      </w:r>
      <w:r>
        <w:t>设施</w:t>
      </w:r>
    </w:p>
    <w:p w14:paraId="2D314CD1">
      <w:pPr>
        <w:adjustRightInd/>
        <w:spacing w:line="360" w:lineRule="exact"/>
        <w:ind w:firstLine="420" w:firstLineChars="200"/>
        <w:rPr>
          <w:rFonts w:hint="eastAsia" w:ascii="宋体" w:hAnsi="宋体" w:cs="宋体"/>
          <w:color w:val="000000"/>
        </w:rPr>
      </w:pPr>
      <w:r>
        <w:rPr>
          <w:rFonts w:ascii="宋体" w:hAnsi="宋体" w:cs="宋体"/>
          <w:color w:val="000000"/>
        </w:rPr>
        <w:t>地质灾害监测设施、管道</w:t>
      </w:r>
      <w:r>
        <w:rPr>
          <w:rFonts w:hint="eastAsia" w:ascii="宋体" w:hAnsi="宋体" w:cs="宋体"/>
          <w:color w:val="000000"/>
        </w:rPr>
        <w:t>应力</w:t>
      </w:r>
      <w:r>
        <w:rPr>
          <w:rFonts w:ascii="宋体" w:hAnsi="宋体" w:cs="宋体"/>
          <w:color w:val="000000"/>
        </w:rPr>
        <w:t>监测设施</w:t>
      </w:r>
      <w:r>
        <w:rPr>
          <w:rFonts w:hint="eastAsia" w:ascii="宋体" w:hAnsi="宋体" w:cs="宋体"/>
          <w:color w:val="000000"/>
        </w:rPr>
        <w:t>、</w:t>
      </w:r>
      <w:r>
        <w:rPr>
          <w:rFonts w:ascii="宋体" w:hAnsi="宋体" w:cs="宋体"/>
          <w:color w:val="000000"/>
        </w:rPr>
        <w:t>管道泄漏监测</w:t>
      </w:r>
      <w:r>
        <w:rPr>
          <w:rFonts w:hint="eastAsia" w:ascii="宋体" w:hAnsi="宋体" w:cs="宋体"/>
          <w:color w:val="000000"/>
        </w:rPr>
        <w:t>设施。</w:t>
      </w:r>
    </w:p>
    <w:p w14:paraId="575CC01F">
      <w:pPr>
        <w:pStyle w:val="99"/>
        <w:spacing w:before="120" w:after="120"/>
      </w:pPr>
      <w:r>
        <w:rPr>
          <w:rFonts w:hint="eastAsia"/>
        </w:rPr>
        <w:t>防</w:t>
      </w:r>
      <w:r>
        <w:t>雷</w:t>
      </w:r>
      <w:r>
        <w:rPr>
          <w:rFonts w:hint="eastAsia"/>
        </w:rPr>
        <w:t>防</w:t>
      </w:r>
      <w:r>
        <w:t>静电</w:t>
      </w:r>
      <w:r>
        <w:rPr>
          <w:rFonts w:hint="eastAsia"/>
        </w:rPr>
        <w:t>接地设施</w:t>
      </w:r>
    </w:p>
    <w:p w14:paraId="1C434912">
      <w:pPr>
        <w:adjustRightInd/>
        <w:spacing w:line="360" w:lineRule="exact"/>
        <w:ind w:firstLine="420" w:firstLineChars="200"/>
        <w:rPr>
          <w:rFonts w:hint="eastAsia" w:ascii="宋体" w:hAnsi="宋体" w:cs="宋体"/>
          <w:color w:val="000000"/>
        </w:rPr>
      </w:pPr>
      <w:r>
        <w:rPr>
          <w:rFonts w:hint="eastAsia" w:ascii="宋体" w:hAnsi="宋体" w:cs="宋体"/>
          <w:color w:val="000000"/>
        </w:rPr>
        <w:t>接闪器、引下线、跨接线、接地线、接地装置、等电位端子箱（板）、避雷器、电涌保护器、</w:t>
      </w:r>
      <w:r>
        <w:rPr>
          <w:rFonts w:ascii="宋体" w:hAnsi="宋体" w:cs="宋体"/>
          <w:color w:val="000000"/>
        </w:rPr>
        <w:t>消除人体静电装置</w:t>
      </w:r>
      <w:r>
        <w:rPr>
          <w:rFonts w:hint="eastAsia" w:ascii="宋体" w:hAnsi="宋体" w:cs="宋体"/>
          <w:color w:val="000000"/>
        </w:rPr>
        <w:t>等防雷防静电接地设施；防静电地板。</w:t>
      </w:r>
    </w:p>
    <w:p w14:paraId="5C56E8EA">
      <w:pPr>
        <w:pStyle w:val="99"/>
        <w:spacing w:before="120" w:after="120"/>
      </w:pPr>
      <w:r>
        <w:t>设备</w:t>
      </w:r>
      <w:r>
        <w:rPr>
          <w:rFonts w:hint="eastAsia"/>
        </w:rPr>
        <w:t>及管道</w:t>
      </w:r>
      <w:r>
        <w:t>安全防护设施</w:t>
      </w:r>
    </w:p>
    <w:p w14:paraId="0D324DC0">
      <w:pPr>
        <w:adjustRightInd/>
        <w:spacing w:line="360" w:lineRule="exact"/>
        <w:ind w:firstLine="420" w:firstLineChars="200"/>
        <w:rPr>
          <w:rFonts w:hint="eastAsia" w:ascii="宋体" w:hAnsi="宋体" w:cs="宋体"/>
          <w:color w:val="000000"/>
        </w:rPr>
      </w:pPr>
      <w:r>
        <w:rPr>
          <w:rFonts w:hint="eastAsia" w:ascii="宋体" w:hAnsi="宋体" w:cs="宋体"/>
          <w:color w:val="000000"/>
        </w:rPr>
        <w:t>防冻剂加注设施、加热设施、保温伴热设施、保冷设施、</w:t>
      </w:r>
      <w:r>
        <w:rPr>
          <w:rFonts w:ascii="宋体" w:hAnsi="宋体" w:cs="宋体"/>
          <w:color w:val="000000"/>
        </w:rPr>
        <w:t>水击保护</w:t>
      </w:r>
      <w:r>
        <w:rPr>
          <w:rFonts w:hint="eastAsia" w:ascii="宋体" w:hAnsi="宋体" w:cs="宋体"/>
          <w:color w:val="000000"/>
        </w:rPr>
        <w:t>设施、阴极保护设施、腐蚀监测设施</w:t>
      </w:r>
      <w:r>
        <w:rPr>
          <w:rFonts w:ascii="宋体" w:hAnsi="宋体" w:cs="宋体"/>
          <w:color w:val="000000"/>
        </w:rPr>
        <w:t>等</w:t>
      </w:r>
      <w:r>
        <w:rPr>
          <w:rFonts w:hint="eastAsia" w:ascii="宋体" w:hAnsi="宋体" w:cs="宋体"/>
          <w:color w:val="000000"/>
        </w:rPr>
        <w:t>。</w:t>
      </w:r>
    </w:p>
    <w:p w14:paraId="5DDD7213">
      <w:pPr>
        <w:pStyle w:val="99"/>
        <w:spacing w:before="120" w:after="120"/>
      </w:pPr>
      <w:r>
        <w:t>防爆设施</w:t>
      </w:r>
    </w:p>
    <w:p w14:paraId="136E2D01">
      <w:pPr>
        <w:adjustRightInd/>
        <w:spacing w:line="360" w:lineRule="exact"/>
        <w:ind w:firstLine="420" w:firstLineChars="200"/>
        <w:rPr>
          <w:rFonts w:hint="eastAsia" w:ascii="宋体" w:hAnsi="宋体" w:cs="宋体"/>
          <w:color w:val="000000"/>
        </w:rPr>
      </w:pPr>
      <w:r>
        <w:rPr>
          <w:rFonts w:hint="eastAsia" w:ascii="宋体" w:hAnsi="宋体" w:cs="宋体"/>
          <w:color w:val="000000"/>
        </w:rPr>
        <w:t>电气、仪表、通信、通风等防爆设备</w:t>
      </w:r>
      <w:r>
        <w:rPr>
          <w:rFonts w:ascii="宋体" w:hAnsi="宋体" w:cs="宋体"/>
          <w:color w:val="000000"/>
        </w:rPr>
        <w:t>。</w:t>
      </w:r>
    </w:p>
    <w:p w14:paraId="04C13AA3">
      <w:pPr>
        <w:pStyle w:val="99"/>
        <w:spacing w:before="120" w:after="120"/>
      </w:pPr>
      <w:r>
        <w:t>安全标志</w:t>
      </w:r>
    </w:p>
    <w:p w14:paraId="03F32655">
      <w:pPr>
        <w:adjustRightInd/>
        <w:spacing w:line="360" w:lineRule="exact"/>
        <w:ind w:firstLine="420" w:firstLineChars="200"/>
        <w:rPr>
          <w:rFonts w:hint="eastAsia" w:ascii="宋体" w:hAnsi="宋体" w:cs="宋体"/>
          <w:color w:val="000000"/>
        </w:rPr>
      </w:pPr>
      <w:r>
        <w:rPr>
          <w:rFonts w:hint="eastAsia" w:ascii="宋体" w:hAnsi="宋体" w:cs="宋体"/>
          <w:color w:val="000000"/>
        </w:rPr>
        <w:t>警示带、</w:t>
      </w:r>
      <w:r>
        <w:rPr>
          <w:rFonts w:ascii="宋体" w:hAnsi="宋体" w:cs="宋体"/>
          <w:color w:val="000000"/>
        </w:rPr>
        <w:t>警示作业安全和逃生避难及风向等标志。</w:t>
      </w:r>
    </w:p>
    <w:p w14:paraId="22123750">
      <w:pPr>
        <w:pStyle w:val="99"/>
        <w:spacing w:before="120" w:after="120"/>
      </w:pPr>
      <w:r>
        <w:t>作业场所防护设施</w:t>
      </w:r>
    </w:p>
    <w:p w14:paraId="2FE0C6E3">
      <w:pPr>
        <w:adjustRightInd/>
        <w:spacing w:line="360" w:lineRule="exact"/>
        <w:ind w:firstLine="420" w:firstLineChars="200"/>
        <w:rPr>
          <w:rFonts w:hint="eastAsia" w:ascii="宋体" w:hAnsi="宋体" w:cs="宋体"/>
          <w:color w:val="000000"/>
        </w:rPr>
      </w:pPr>
      <w:r>
        <w:rPr>
          <w:rFonts w:ascii="宋体" w:hAnsi="宋体" w:cs="宋体"/>
          <w:color w:val="000000"/>
        </w:rPr>
        <w:t>通风、防护栏（网</w:t>
      </w:r>
      <w:r>
        <w:rPr>
          <w:rFonts w:hint="eastAsia" w:ascii="宋体" w:hAnsi="宋体" w:cs="宋体"/>
          <w:color w:val="000000"/>
        </w:rPr>
        <w:t>）</w:t>
      </w:r>
      <w:r>
        <w:rPr>
          <w:rFonts w:ascii="宋体" w:hAnsi="宋体" w:cs="宋体"/>
          <w:color w:val="000000"/>
        </w:rPr>
        <w:t>、防灼烫等设施</w:t>
      </w:r>
      <w:r>
        <w:rPr>
          <w:rFonts w:hint="eastAsia" w:ascii="宋体" w:hAnsi="宋体" w:cs="宋体"/>
          <w:color w:val="000000"/>
        </w:rPr>
        <w:t>；电气微机防误操作系统</w:t>
      </w:r>
      <w:r>
        <w:rPr>
          <w:rFonts w:ascii="宋体" w:hAnsi="宋体" w:cs="宋体"/>
          <w:color w:val="000000"/>
        </w:rPr>
        <w:t>。</w:t>
      </w:r>
    </w:p>
    <w:p w14:paraId="5D3ACF99">
      <w:pPr>
        <w:pStyle w:val="98"/>
        <w:spacing w:before="120" w:after="120"/>
      </w:pPr>
      <w:bookmarkStart w:id="697" w:name="_Toc195003813"/>
      <w:r>
        <w:t>控制事故设施</w:t>
      </w:r>
      <w:bookmarkEnd w:id="697"/>
    </w:p>
    <w:p w14:paraId="343B1852">
      <w:pPr>
        <w:pStyle w:val="99"/>
        <w:spacing w:before="120" w:after="120"/>
      </w:pPr>
      <w:r>
        <w:t>泄压设施</w:t>
      </w:r>
    </w:p>
    <w:p w14:paraId="5A20BF4E">
      <w:pPr>
        <w:adjustRightInd/>
        <w:spacing w:line="360" w:lineRule="exact"/>
        <w:ind w:firstLine="420" w:firstLineChars="200"/>
        <w:rPr>
          <w:rFonts w:hint="eastAsia" w:ascii="宋体" w:hAnsi="宋体" w:cs="宋体"/>
          <w:color w:val="000000"/>
        </w:rPr>
      </w:pPr>
      <w:r>
        <w:rPr>
          <w:rFonts w:ascii="宋体" w:hAnsi="宋体" w:cs="宋体"/>
          <w:color w:val="000000"/>
        </w:rPr>
        <w:t>用于泄压的阀门、</w:t>
      </w:r>
      <w:r>
        <w:rPr>
          <w:rFonts w:hint="eastAsia" w:ascii="宋体" w:hAnsi="宋体" w:cs="宋体"/>
          <w:color w:val="000000"/>
        </w:rPr>
        <w:t>爆破片、</w:t>
      </w:r>
      <w:r>
        <w:rPr>
          <w:rFonts w:ascii="宋体" w:hAnsi="宋体" w:cs="宋体"/>
          <w:color w:val="000000"/>
        </w:rPr>
        <w:t>放空设施等设施。</w:t>
      </w:r>
    </w:p>
    <w:p w14:paraId="3557F20C">
      <w:pPr>
        <w:pStyle w:val="99"/>
        <w:spacing w:before="120" w:after="120"/>
      </w:pPr>
      <w:r>
        <w:t>紧急处理设施</w:t>
      </w:r>
    </w:p>
    <w:p w14:paraId="09ED809E">
      <w:pPr>
        <w:adjustRightInd/>
        <w:spacing w:line="360" w:lineRule="exact"/>
        <w:ind w:firstLine="420" w:firstLineChars="200"/>
        <w:rPr>
          <w:rFonts w:hint="eastAsia" w:ascii="宋体" w:hAnsi="宋体" w:cs="宋体"/>
          <w:color w:val="000000"/>
        </w:rPr>
      </w:pPr>
      <w:r>
        <w:rPr>
          <w:rFonts w:ascii="宋体" w:hAnsi="宋体" w:cs="宋体"/>
          <w:color w:val="000000"/>
        </w:rPr>
        <w:t>紧急切断</w:t>
      </w:r>
      <w:r>
        <w:rPr>
          <w:rFonts w:hint="eastAsia" w:ascii="宋体" w:hAnsi="宋体" w:cs="宋体"/>
          <w:color w:val="000000"/>
        </w:rPr>
        <w:t>设施；不间断电源、应急逆变电源、直流电源、发电机等应急</w:t>
      </w:r>
      <w:r>
        <w:rPr>
          <w:rFonts w:ascii="宋体" w:hAnsi="宋体" w:cs="宋体"/>
          <w:color w:val="000000"/>
        </w:rPr>
        <w:t>电源</w:t>
      </w:r>
      <w:r>
        <w:rPr>
          <w:rFonts w:hint="eastAsia" w:ascii="宋体" w:hAnsi="宋体" w:cs="宋体"/>
          <w:color w:val="000000"/>
        </w:rPr>
        <w:t>；备用照明等。</w:t>
      </w:r>
    </w:p>
    <w:p w14:paraId="776BE119">
      <w:pPr>
        <w:pStyle w:val="98"/>
        <w:spacing w:before="120" w:after="120"/>
      </w:pPr>
      <w:bookmarkStart w:id="698" w:name="_Toc195003814"/>
      <w:r>
        <w:t>消减事故影响设施</w:t>
      </w:r>
      <w:bookmarkEnd w:id="698"/>
    </w:p>
    <w:p w14:paraId="00A762AA">
      <w:pPr>
        <w:pStyle w:val="99"/>
        <w:spacing w:before="120" w:after="120"/>
      </w:pPr>
      <w:r>
        <w:t>防止火灾蔓延设施</w:t>
      </w:r>
    </w:p>
    <w:p w14:paraId="3080BA7F">
      <w:pPr>
        <w:adjustRightInd/>
        <w:spacing w:line="360" w:lineRule="exact"/>
        <w:ind w:firstLine="420" w:firstLineChars="200"/>
        <w:rPr>
          <w:rFonts w:hint="eastAsia" w:ascii="宋体" w:hAnsi="宋体" w:cs="宋体"/>
          <w:color w:val="000000"/>
        </w:rPr>
      </w:pPr>
      <w:r>
        <w:rPr>
          <w:rFonts w:ascii="宋体" w:hAnsi="宋体" w:cs="宋体"/>
          <w:color w:val="000000"/>
        </w:rPr>
        <w:t>阻火器、防火堤等设施，防火材料涂层</w:t>
      </w:r>
      <w:r>
        <w:rPr>
          <w:rFonts w:hint="eastAsia" w:ascii="宋体" w:hAnsi="宋体" w:cs="宋体"/>
          <w:color w:val="000000"/>
        </w:rPr>
        <w:t>、水封井等</w:t>
      </w:r>
      <w:r>
        <w:rPr>
          <w:rFonts w:ascii="宋体" w:hAnsi="宋体" w:cs="宋体"/>
          <w:color w:val="000000"/>
        </w:rPr>
        <w:t>。</w:t>
      </w:r>
    </w:p>
    <w:p w14:paraId="557F7074">
      <w:pPr>
        <w:pStyle w:val="99"/>
        <w:spacing w:before="120" w:after="120"/>
      </w:pPr>
      <w:r>
        <w:t>应急救援设施</w:t>
      </w:r>
    </w:p>
    <w:p w14:paraId="150A0113">
      <w:pPr>
        <w:adjustRightInd/>
        <w:spacing w:line="360" w:lineRule="exact"/>
        <w:ind w:firstLine="420" w:firstLineChars="200"/>
        <w:rPr>
          <w:rFonts w:hint="eastAsia" w:ascii="宋体" w:hAnsi="宋体" w:cs="宋体"/>
          <w:color w:val="000000"/>
        </w:rPr>
      </w:pPr>
      <w:r>
        <w:rPr>
          <w:rFonts w:ascii="宋体" w:hAnsi="宋体" w:cs="宋体"/>
          <w:color w:val="000000"/>
        </w:rPr>
        <w:t>洗眼器</w:t>
      </w:r>
      <w:r>
        <w:rPr>
          <w:rFonts w:hint="eastAsia" w:ascii="宋体" w:hAnsi="宋体" w:cs="宋体"/>
          <w:color w:val="000000"/>
        </w:rPr>
        <w:t>、</w:t>
      </w:r>
      <w:r>
        <w:rPr>
          <w:rFonts w:ascii="宋体" w:hAnsi="宋体" w:cs="宋体"/>
          <w:color w:val="000000"/>
        </w:rPr>
        <w:t>呼吸器</w:t>
      </w:r>
      <w:r>
        <w:rPr>
          <w:rFonts w:hint="eastAsia" w:ascii="宋体" w:hAnsi="宋体" w:cs="宋体"/>
          <w:color w:val="000000"/>
        </w:rPr>
        <w:t>、</w:t>
      </w:r>
      <w:r>
        <w:rPr>
          <w:rFonts w:ascii="宋体" w:hAnsi="宋体" w:cs="宋体"/>
          <w:color w:val="000000"/>
        </w:rPr>
        <w:t>防毒面具</w:t>
      </w:r>
      <w:r>
        <w:rPr>
          <w:rFonts w:hint="eastAsia" w:ascii="宋体" w:hAnsi="宋体" w:cs="宋体"/>
          <w:color w:val="000000"/>
        </w:rPr>
        <w:t>、</w:t>
      </w:r>
      <w:r>
        <w:rPr>
          <w:rFonts w:ascii="宋体" w:hAnsi="宋体" w:cs="宋体"/>
          <w:color w:val="000000"/>
        </w:rPr>
        <w:t>化学防护服</w:t>
      </w:r>
      <w:r>
        <w:rPr>
          <w:rFonts w:hint="eastAsia" w:ascii="宋体" w:hAnsi="宋体" w:cs="宋体"/>
          <w:color w:val="000000"/>
        </w:rPr>
        <w:t>、</w:t>
      </w:r>
      <w:r>
        <w:rPr>
          <w:rFonts w:ascii="宋体" w:hAnsi="宋体" w:cs="宋体"/>
          <w:color w:val="000000"/>
        </w:rPr>
        <w:t>阻燃服</w:t>
      </w:r>
      <w:r>
        <w:rPr>
          <w:rFonts w:hint="eastAsia" w:ascii="宋体" w:hAnsi="宋体" w:cs="宋体"/>
          <w:color w:val="000000"/>
        </w:rPr>
        <w:t>等设备</w:t>
      </w:r>
      <w:r>
        <w:rPr>
          <w:rFonts w:ascii="宋体" w:hAnsi="宋体" w:cs="宋体"/>
          <w:color w:val="000000"/>
        </w:rPr>
        <w:t>。</w:t>
      </w:r>
    </w:p>
    <w:p w14:paraId="3BD7F97D">
      <w:pPr>
        <w:pStyle w:val="99"/>
        <w:spacing w:before="120" w:after="120"/>
      </w:pPr>
      <w:r>
        <w:t>逃生设施</w:t>
      </w:r>
    </w:p>
    <w:p w14:paraId="678B041A">
      <w:pPr>
        <w:adjustRightInd/>
        <w:spacing w:line="360" w:lineRule="exact"/>
        <w:ind w:firstLine="420" w:firstLineChars="200"/>
        <w:rPr>
          <w:rFonts w:hint="eastAsia" w:ascii="宋体" w:hAnsi="宋体" w:cs="宋体"/>
          <w:color w:val="000000"/>
        </w:rPr>
      </w:pPr>
      <w:r>
        <w:rPr>
          <w:rFonts w:ascii="宋体" w:hAnsi="宋体" w:cs="宋体"/>
          <w:color w:val="000000"/>
        </w:rPr>
        <w:t>逃生的安全通道（梯）</w:t>
      </w:r>
      <w:r>
        <w:rPr>
          <w:rFonts w:hint="eastAsia" w:ascii="宋体" w:hAnsi="宋体" w:cs="宋体"/>
          <w:color w:val="000000"/>
        </w:rPr>
        <w:t>、</w:t>
      </w:r>
      <w:r>
        <w:rPr>
          <w:rFonts w:ascii="宋体" w:hAnsi="宋体" w:cs="宋体"/>
          <w:color w:val="000000"/>
        </w:rPr>
        <w:t>工程</w:t>
      </w:r>
      <w:r>
        <w:rPr>
          <w:rFonts w:hint="eastAsia" w:ascii="宋体" w:hAnsi="宋体" w:cs="宋体"/>
          <w:color w:val="000000"/>
        </w:rPr>
        <w:t>庇护所、社区报警、消防应急照明和疏散指示系统等</w:t>
      </w:r>
      <w:r>
        <w:rPr>
          <w:rFonts w:ascii="宋体" w:hAnsi="宋体" w:cs="宋体"/>
          <w:color w:val="000000"/>
        </w:rPr>
        <w:t>。</w:t>
      </w:r>
    </w:p>
    <w:p w14:paraId="5B295586">
      <w:pPr>
        <w:pStyle w:val="99"/>
        <w:spacing w:before="120" w:after="120"/>
      </w:pPr>
      <w:r>
        <w:t>劳动</w:t>
      </w:r>
      <w:r>
        <w:rPr>
          <w:rFonts w:hint="eastAsia"/>
        </w:rPr>
        <w:t>保护</w:t>
      </w:r>
      <w:r>
        <w:t>用品和装备</w:t>
      </w:r>
    </w:p>
    <w:p w14:paraId="5BC2EE17">
      <w:pPr>
        <w:adjustRightInd/>
        <w:spacing w:line="360" w:lineRule="exact"/>
        <w:ind w:firstLine="420" w:firstLineChars="200"/>
        <w:rPr>
          <w:rFonts w:hint="eastAsia" w:ascii="宋体" w:hAnsi="宋体" w:cs="宋体"/>
          <w:color w:val="000000"/>
        </w:rPr>
      </w:pPr>
      <w:r>
        <w:rPr>
          <w:rFonts w:ascii="宋体" w:hAnsi="宋体" w:cs="宋体"/>
          <w:color w:val="000000"/>
        </w:rPr>
        <w:t>包括头部，面部，视觉、呼吸、听觉器官，四肢，躯干防火、防毒、防灼烫、防腐蚀、防高处坠落、防砸击、防刺伤等免受作业场所物理、化学因素伤害的劳动防护用品和装备。</w:t>
      </w:r>
    </w:p>
    <w:p w14:paraId="6034BE39">
      <w:pPr>
        <w:pStyle w:val="99"/>
        <w:spacing w:before="120" w:after="120"/>
      </w:pPr>
      <w:r>
        <w:rPr>
          <w:rFonts w:hint="eastAsia"/>
        </w:rPr>
        <w:t>维抢修设备</w:t>
      </w:r>
    </w:p>
    <w:p w14:paraId="627270B0">
      <w:pPr>
        <w:pStyle w:val="76"/>
        <w:ind w:firstLine="420"/>
      </w:pPr>
      <w:r>
        <w:rPr>
          <w:rFonts w:hint="eastAsia"/>
        </w:rPr>
        <w:t>包括埋地设施的开挖设备、泄漏封堵与修复设备等。</w:t>
      </w:r>
    </w:p>
    <w:p w14:paraId="157C60F7">
      <w:pPr>
        <w:pStyle w:val="76"/>
        <w:ind w:firstLine="420"/>
      </w:pPr>
    </w:p>
    <w:p w14:paraId="5FA09B40">
      <w:pPr>
        <w:pStyle w:val="76"/>
        <w:ind w:firstLine="420"/>
      </w:pPr>
    </w:p>
    <w:p w14:paraId="0CE19E17">
      <w:pPr>
        <w:pStyle w:val="76"/>
        <w:ind w:firstLine="420"/>
        <w:sectPr>
          <w:footerReference r:id="rId16" w:type="default"/>
          <w:footerReference r:id="rId17" w:type="even"/>
          <w:pgSz w:w="11906" w:h="16838"/>
          <w:pgMar w:top="1928" w:right="1134" w:bottom="1134" w:left="1134" w:header="1418" w:footer="1134" w:gutter="284"/>
          <w:pgNumType w:fmt="decimal" w:start="1"/>
          <w:cols w:space="425" w:num="1"/>
          <w:formProt w:val="0"/>
          <w:docGrid w:linePitch="312" w:charSpace="0"/>
        </w:sectPr>
      </w:pPr>
    </w:p>
    <w:bookmarkEnd w:id="19"/>
    <w:p w14:paraId="560EAA5D">
      <w:pPr>
        <w:pStyle w:val="218"/>
        <w:rPr>
          <w:rFonts w:hint="eastAsia"/>
          <w:vanish w:val="0"/>
        </w:rPr>
      </w:pPr>
      <w:bookmarkStart w:id="699" w:name="BookMark5"/>
    </w:p>
    <w:p w14:paraId="0BAA9B10">
      <w:pPr>
        <w:pStyle w:val="219"/>
        <w:rPr>
          <w:vanish w:val="0"/>
        </w:rPr>
      </w:pPr>
    </w:p>
    <w:p w14:paraId="2B0B7028">
      <w:pPr>
        <w:pStyle w:val="96"/>
        <w:spacing w:after="120"/>
        <w:ind w:left="0"/>
      </w:pPr>
      <w:r>
        <w:br w:type="textWrapping"/>
      </w:r>
      <w:bookmarkStart w:id="700" w:name="_Toc195003815"/>
      <w:r>
        <w:t>（规范性）</w:t>
      </w:r>
      <w:r>
        <w:br w:type="textWrapping"/>
      </w:r>
      <w:r>
        <w:t>附表</w:t>
      </w:r>
      <w:bookmarkEnd w:id="700"/>
    </w:p>
    <w:p w14:paraId="70DA82F9">
      <w:pPr>
        <w:pStyle w:val="97"/>
        <w:spacing w:before="120" w:after="120"/>
      </w:pPr>
      <w:r>
        <w:t>油田开发指标预测</w:t>
      </w:r>
    </w:p>
    <w:tbl>
      <w:tblPr>
        <w:tblStyle w:val="3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78"/>
        <w:gridCol w:w="371"/>
        <w:gridCol w:w="622"/>
        <w:gridCol w:w="558"/>
        <w:gridCol w:w="1109"/>
        <w:gridCol w:w="1105"/>
        <w:gridCol w:w="691"/>
        <w:gridCol w:w="721"/>
        <w:gridCol w:w="783"/>
        <w:gridCol w:w="1075"/>
        <w:gridCol w:w="831"/>
        <w:gridCol w:w="1120"/>
      </w:tblGrid>
      <w:tr w14:paraId="461C4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2" w:type="pct"/>
            <w:vAlign w:val="center"/>
          </w:tcPr>
          <w:p w14:paraId="09DF7F8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198" w:type="pct"/>
            <w:vAlign w:val="center"/>
          </w:tcPr>
          <w:p w14:paraId="5E2AFA7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年度</w:t>
            </w:r>
          </w:p>
        </w:tc>
        <w:tc>
          <w:tcPr>
            <w:tcW w:w="332" w:type="pct"/>
            <w:vAlign w:val="center"/>
          </w:tcPr>
          <w:p w14:paraId="31D84E9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采油井</w:t>
            </w:r>
          </w:p>
        </w:tc>
        <w:tc>
          <w:tcPr>
            <w:tcW w:w="298" w:type="pct"/>
            <w:vAlign w:val="center"/>
          </w:tcPr>
          <w:p w14:paraId="524C1E7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注水井</w:t>
            </w:r>
          </w:p>
        </w:tc>
        <w:tc>
          <w:tcPr>
            <w:tcW w:w="592" w:type="pct"/>
            <w:vAlign w:val="center"/>
          </w:tcPr>
          <w:p w14:paraId="4D39C81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平均单井产液</w:t>
            </w:r>
          </w:p>
          <w:p w14:paraId="3CBE2D2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t/d</w:t>
            </w:r>
          </w:p>
        </w:tc>
        <w:tc>
          <w:tcPr>
            <w:tcW w:w="590" w:type="pct"/>
            <w:vAlign w:val="center"/>
          </w:tcPr>
          <w:p w14:paraId="66D6918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平均单井产油</w:t>
            </w:r>
          </w:p>
          <w:p w14:paraId="509A8F0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t/d</w:t>
            </w:r>
          </w:p>
        </w:tc>
        <w:tc>
          <w:tcPr>
            <w:tcW w:w="369" w:type="pct"/>
            <w:vAlign w:val="center"/>
          </w:tcPr>
          <w:p w14:paraId="546E2AA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年产液</w:t>
            </w:r>
          </w:p>
          <w:p w14:paraId="216829F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4</w:t>
            </w:r>
            <w:r>
              <w:rPr>
                <w:rFonts w:ascii="Times New Roman" w:hAnsi="Times New Roman"/>
                <w:color w:val="000000" w:themeColor="text1"/>
                <w:sz w:val="18"/>
                <w:szCs w:val="18"/>
                <w14:textFill>
                  <w14:solidFill>
                    <w14:schemeClr w14:val="tx1"/>
                  </w14:solidFill>
                </w14:textFill>
              </w:rPr>
              <w:t>t/a</w:t>
            </w:r>
          </w:p>
        </w:tc>
        <w:tc>
          <w:tcPr>
            <w:tcW w:w="385" w:type="pct"/>
            <w:vAlign w:val="center"/>
          </w:tcPr>
          <w:p w14:paraId="341E603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年产油</w:t>
            </w:r>
          </w:p>
          <w:p w14:paraId="0C5CF68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4</w:t>
            </w:r>
            <w:r>
              <w:rPr>
                <w:rFonts w:ascii="Times New Roman" w:hAnsi="Times New Roman"/>
                <w:color w:val="000000" w:themeColor="text1"/>
                <w:sz w:val="18"/>
                <w:szCs w:val="18"/>
                <w14:textFill>
                  <w14:solidFill>
                    <w14:schemeClr w14:val="tx1"/>
                  </w14:solidFill>
                </w14:textFill>
              </w:rPr>
              <w:t>t/a</w:t>
            </w:r>
          </w:p>
        </w:tc>
        <w:tc>
          <w:tcPr>
            <w:tcW w:w="418" w:type="pct"/>
            <w:vAlign w:val="center"/>
          </w:tcPr>
          <w:p w14:paraId="656A011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年产气</w:t>
            </w:r>
          </w:p>
          <w:p w14:paraId="2EB7BE3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4</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/a</w:t>
            </w:r>
          </w:p>
        </w:tc>
        <w:tc>
          <w:tcPr>
            <w:tcW w:w="574" w:type="pct"/>
            <w:vAlign w:val="center"/>
          </w:tcPr>
          <w:p w14:paraId="5A094A6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年注水</w:t>
            </w:r>
          </w:p>
          <w:p w14:paraId="3178260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4</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/a</w:t>
            </w:r>
          </w:p>
        </w:tc>
        <w:tc>
          <w:tcPr>
            <w:tcW w:w="443" w:type="pct"/>
            <w:vAlign w:val="center"/>
          </w:tcPr>
          <w:p w14:paraId="69571DB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原油含水</w:t>
            </w:r>
          </w:p>
          <w:p w14:paraId="4E1B495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97" w:type="pct"/>
            <w:vAlign w:val="center"/>
          </w:tcPr>
          <w:p w14:paraId="07D9B5B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平均气油比m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/t</w:t>
            </w:r>
          </w:p>
        </w:tc>
      </w:tr>
      <w:tr w14:paraId="5EB42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2" w:type="pct"/>
            <w:vAlign w:val="center"/>
          </w:tcPr>
          <w:p w14:paraId="46462DA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98" w:type="pct"/>
            <w:vAlign w:val="center"/>
          </w:tcPr>
          <w:p w14:paraId="0D5256E2">
            <w:pPr>
              <w:jc w:val="center"/>
              <w:rPr>
                <w:rFonts w:ascii="Times New Roman" w:hAnsi="Times New Roman"/>
                <w:color w:val="000000" w:themeColor="text1"/>
                <w:sz w:val="18"/>
                <w:szCs w:val="18"/>
                <w14:textFill>
                  <w14:solidFill>
                    <w14:schemeClr w14:val="tx1"/>
                  </w14:solidFill>
                </w14:textFill>
              </w:rPr>
            </w:pPr>
          </w:p>
        </w:tc>
        <w:tc>
          <w:tcPr>
            <w:tcW w:w="332" w:type="pct"/>
            <w:vAlign w:val="center"/>
          </w:tcPr>
          <w:p w14:paraId="2ADBCF34">
            <w:pPr>
              <w:jc w:val="center"/>
              <w:rPr>
                <w:rFonts w:ascii="Times New Roman" w:hAnsi="Times New Roman"/>
                <w:color w:val="000000" w:themeColor="text1"/>
                <w:sz w:val="18"/>
                <w:szCs w:val="18"/>
                <w14:textFill>
                  <w14:solidFill>
                    <w14:schemeClr w14:val="tx1"/>
                  </w14:solidFill>
                </w14:textFill>
              </w:rPr>
            </w:pPr>
          </w:p>
        </w:tc>
        <w:tc>
          <w:tcPr>
            <w:tcW w:w="298" w:type="pct"/>
            <w:vAlign w:val="center"/>
          </w:tcPr>
          <w:p w14:paraId="4DA8D315">
            <w:pPr>
              <w:jc w:val="center"/>
              <w:rPr>
                <w:rFonts w:ascii="Times New Roman" w:hAnsi="Times New Roman"/>
                <w:color w:val="000000" w:themeColor="text1"/>
                <w:sz w:val="18"/>
                <w:szCs w:val="18"/>
                <w14:textFill>
                  <w14:solidFill>
                    <w14:schemeClr w14:val="tx1"/>
                  </w14:solidFill>
                </w14:textFill>
              </w:rPr>
            </w:pPr>
          </w:p>
        </w:tc>
        <w:tc>
          <w:tcPr>
            <w:tcW w:w="592" w:type="pct"/>
            <w:vAlign w:val="center"/>
          </w:tcPr>
          <w:p w14:paraId="60B6BA9F">
            <w:pPr>
              <w:jc w:val="center"/>
              <w:rPr>
                <w:rFonts w:ascii="Times New Roman" w:hAnsi="Times New Roman"/>
                <w:color w:val="000000" w:themeColor="text1"/>
                <w:sz w:val="18"/>
                <w:szCs w:val="18"/>
                <w14:textFill>
                  <w14:solidFill>
                    <w14:schemeClr w14:val="tx1"/>
                  </w14:solidFill>
                </w14:textFill>
              </w:rPr>
            </w:pPr>
          </w:p>
        </w:tc>
        <w:tc>
          <w:tcPr>
            <w:tcW w:w="590" w:type="pct"/>
            <w:vAlign w:val="center"/>
          </w:tcPr>
          <w:p w14:paraId="5D22587A">
            <w:pPr>
              <w:jc w:val="center"/>
              <w:rPr>
                <w:rFonts w:ascii="Times New Roman" w:hAnsi="Times New Roman"/>
                <w:color w:val="000000" w:themeColor="text1"/>
                <w:sz w:val="18"/>
                <w:szCs w:val="18"/>
                <w14:textFill>
                  <w14:solidFill>
                    <w14:schemeClr w14:val="tx1"/>
                  </w14:solidFill>
                </w14:textFill>
              </w:rPr>
            </w:pPr>
          </w:p>
        </w:tc>
        <w:tc>
          <w:tcPr>
            <w:tcW w:w="369" w:type="pct"/>
            <w:vAlign w:val="center"/>
          </w:tcPr>
          <w:p w14:paraId="09A91DAF">
            <w:pPr>
              <w:jc w:val="center"/>
              <w:rPr>
                <w:rFonts w:ascii="Times New Roman" w:hAnsi="Times New Roman"/>
                <w:color w:val="000000" w:themeColor="text1"/>
                <w:sz w:val="18"/>
                <w:szCs w:val="18"/>
                <w14:textFill>
                  <w14:solidFill>
                    <w14:schemeClr w14:val="tx1"/>
                  </w14:solidFill>
                </w14:textFill>
              </w:rPr>
            </w:pPr>
          </w:p>
        </w:tc>
        <w:tc>
          <w:tcPr>
            <w:tcW w:w="385" w:type="pct"/>
            <w:vAlign w:val="center"/>
          </w:tcPr>
          <w:p w14:paraId="37E4827D">
            <w:pPr>
              <w:jc w:val="center"/>
              <w:rPr>
                <w:rFonts w:ascii="Times New Roman" w:hAnsi="Times New Roman"/>
                <w:color w:val="000000" w:themeColor="text1"/>
                <w:sz w:val="18"/>
                <w:szCs w:val="18"/>
                <w14:textFill>
                  <w14:solidFill>
                    <w14:schemeClr w14:val="tx1"/>
                  </w14:solidFill>
                </w14:textFill>
              </w:rPr>
            </w:pPr>
          </w:p>
        </w:tc>
        <w:tc>
          <w:tcPr>
            <w:tcW w:w="418" w:type="pct"/>
            <w:vAlign w:val="center"/>
          </w:tcPr>
          <w:p w14:paraId="546ECCED">
            <w:pPr>
              <w:jc w:val="center"/>
              <w:rPr>
                <w:rFonts w:ascii="Times New Roman" w:hAnsi="Times New Roman"/>
                <w:color w:val="000000" w:themeColor="text1"/>
                <w:sz w:val="18"/>
                <w:szCs w:val="18"/>
                <w14:textFill>
                  <w14:solidFill>
                    <w14:schemeClr w14:val="tx1"/>
                  </w14:solidFill>
                </w14:textFill>
              </w:rPr>
            </w:pPr>
          </w:p>
        </w:tc>
        <w:tc>
          <w:tcPr>
            <w:tcW w:w="574" w:type="pct"/>
            <w:vAlign w:val="center"/>
          </w:tcPr>
          <w:p w14:paraId="39B87FEF">
            <w:pPr>
              <w:jc w:val="center"/>
              <w:rPr>
                <w:rFonts w:ascii="Times New Roman" w:hAnsi="Times New Roman"/>
                <w:color w:val="000000" w:themeColor="text1"/>
                <w:sz w:val="18"/>
                <w:szCs w:val="18"/>
                <w14:textFill>
                  <w14:solidFill>
                    <w14:schemeClr w14:val="tx1"/>
                  </w14:solidFill>
                </w14:textFill>
              </w:rPr>
            </w:pPr>
          </w:p>
        </w:tc>
        <w:tc>
          <w:tcPr>
            <w:tcW w:w="443" w:type="pct"/>
            <w:vAlign w:val="center"/>
          </w:tcPr>
          <w:p w14:paraId="7610B383">
            <w:pPr>
              <w:jc w:val="center"/>
              <w:rPr>
                <w:rFonts w:ascii="Times New Roman" w:hAnsi="Times New Roman"/>
                <w:color w:val="000000" w:themeColor="text1"/>
                <w:sz w:val="18"/>
                <w:szCs w:val="18"/>
                <w14:textFill>
                  <w14:solidFill>
                    <w14:schemeClr w14:val="tx1"/>
                  </w14:solidFill>
                </w14:textFill>
              </w:rPr>
            </w:pPr>
          </w:p>
        </w:tc>
        <w:tc>
          <w:tcPr>
            <w:tcW w:w="597" w:type="pct"/>
            <w:vAlign w:val="center"/>
          </w:tcPr>
          <w:p w14:paraId="79C39190">
            <w:pPr>
              <w:jc w:val="center"/>
              <w:rPr>
                <w:rFonts w:ascii="Times New Roman" w:hAnsi="Times New Roman"/>
                <w:color w:val="000000" w:themeColor="text1"/>
                <w:sz w:val="18"/>
                <w:szCs w:val="18"/>
                <w14:textFill>
                  <w14:solidFill>
                    <w14:schemeClr w14:val="tx1"/>
                  </w14:solidFill>
                </w14:textFill>
              </w:rPr>
            </w:pPr>
          </w:p>
        </w:tc>
      </w:tr>
      <w:tr w14:paraId="2175C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02" w:type="pct"/>
            <w:vAlign w:val="center"/>
          </w:tcPr>
          <w:p w14:paraId="4145991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98" w:type="pct"/>
            <w:vAlign w:val="center"/>
          </w:tcPr>
          <w:p w14:paraId="260F4A78">
            <w:pPr>
              <w:jc w:val="center"/>
              <w:rPr>
                <w:rFonts w:ascii="Times New Roman" w:hAnsi="Times New Roman"/>
                <w:color w:val="000000" w:themeColor="text1"/>
                <w:sz w:val="18"/>
                <w:szCs w:val="18"/>
                <w14:textFill>
                  <w14:solidFill>
                    <w14:schemeClr w14:val="tx1"/>
                  </w14:solidFill>
                </w14:textFill>
              </w:rPr>
            </w:pPr>
          </w:p>
        </w:tc>
        <w:tc>
          <w:tcPr>
            <w:tcW w:w="332" w:type="pct"/>
            <w:vAlign w:val="center"/>
          </w:tcPr>
          <w:p w14:paraId="33A8B722">
            <w:pPr>
              <w:jc w:val="center"/>
              <w:rPr>
                <w:rFonts w:ascii="Times New Roman" w:hAnsi="Times New Roman"/>
                <w:color w:val="000000" w:themeColor="text1"/>
                <w:sz w:val="18"/>
                <w:szCs w:val="18"/>
                <w14:textFill>
                  <w14:solidFill>
                    <w14:schemeClr w14:val="tx1"/>
                  </w14:solidFill>
                </w14:textFill>
              </w:rPr>
            </w:pPr>
          </w:p>
        </w:tc>
        <w:tc>
          <w:tcPr>
            <w:tcW w:w="298" w:type="pct"/>
            <w:vAlign w:val="center"/>
          </w:tcPr>
          <w:p w14:paraId="6A866F83">
            <w:pPr>
              <w:jc w:val="center"/>
              <w:rPr>
                <w:rFonts w:ascii="Times New Roman" w:hAnsi="Times New Roman"/>
                <w:color w:val="000000" w:themeColor="text1"/>
                <w:sz w:val="18"/>
                <w:szCs w:val="18"/>
                <w14:textFill>
                  <w14:solidFill>
                    <w14:schemeClr w14:val="tx1"/>
                  </w14:solidFill>
                </w14:textFill>
              </w:rPr>
            </w:pPr>
          </w:p>
        </w:tc>
        <w:tc>
          <w:tcPr>
            <w:tcW w:w="592" w:type="pct"/>
            <w:vAlign w:val="center"/>
          </w:tcPr>
          <w:p w14:paraId="4270DE77">
            <w:pPr>
              <w:jc w:val="center"/>
              <w:rPr>
                <w:rFonts w:ascii="Times New Roman" w:hAnsi="Times New Roman"/>
                <w:color w:val="000000" w:themeColor="text1"/>
                <w:sz w:val="18"/>
                <w:szCs w:val="18"/>
                <w14:textFill>
                  <w14:solidFill>
                    <w14:schemeClr w14:val="tx1"/>
                  </w14:solidFill>
                </w14:textFill>
              </w:rPr>
            </w:pPr>
          </w:p>
        </w:tc>
        <w:tc>
          <w:tcPr>
            <w:tcW w:w="590" w:type="pct"/>
            <w:vAlign w:val="center"/>
          </w:tcPr>
          <w:p w14:paraId="7F1347F4">
            <w:pPr>
              <w:jc w:val="center"/>
              <w:rPr>
                <w:rFonts w:ascii="Times New Roman" w:hAnsi="Times New Roman"/>
                <w:color w:val="000000" w:themeColor="text1"/>
                <w:sz w:val="18"/>
                <w:szCs w:val="18"/>
                <w14:textFill>
                  <w14:solidFill>
                    <w14:schemeClr w14:val="tx1"/>
                  </w14:solidFill>
                </w14:textFill>
              </w:rPr>
            </w:pPr>
          </w:p>
        </w:tc>
        <w:tc>
          <w:tcPr>
            <w:tcW w:w="369" w:type="pct"/>
            <w:vAlign w:val="center"/>
          </w:tcPr>
          <w:p w14:paraId="21BC5BD8">
            <w:pPr>
              <w:jc w:val="center"/>
              <w:rPr>
                <w:rFonts w:ascii="Times New Roman" w:hAnsi="Times New Roman"/>
                <w:color w:val="000000" w:themeColor="text1"/>
                <w:sz w:val="18"/>
                <w:szCs w:val="18"/>
                <w14:textFill>
                  <w14:solidFill>
                    <w14:schemeClr w14:val="tx1"/>
                  </w14:solidFill>
                </w14:textFill>
              </w:rPr>
            </w:pPr>
          </w:p>
        </w:tc>
        <w:tc>
          <w:tcPr>
            <w:tcW w:w="385" w:type="pct"/>
            <w:vAlign w:val="center"/>
          </w:tcPr>
          <w:p w14:paraId="521C3F37">
            <w:pPr>
              <w:jc w:val="center"/>
              <w:rPr>
                <w:rFonts w:ascii="Times New Roman" w:hAnsi="Times New Roman"/>
                <w:color w:val="000000" w:themeColor="text1"/>
                <w:sz w:val="18"/>
                <w:szCs w:val="18"/>
                <w14:textFill>
                  <w14:solidFill>
                    <w14:schemeClr w14:val="tx1"/>
                  </w14:solidFill>
                </w14:textFill>
              </w:rPr>
            </w:pPr>
          </w:p>
        </w:tc>
        <w:tc>
          <w:tcPr>
            <w:tcW w:w="418" w:type="pct"/>
            <w:vAlign w:val="center"/>
          </w:tcPr>
          <w:p w14:paraId="20B20157">
            <w:pPr>
              <w:jc w:val="center"/>
              <w:rPr>
                <w:rFonts w:ascii="Times New Roman" w:hAnsi="Times New Roman"/>
                <w:color w:val="000000" w:themeColor="text1"/>
                <w:sz w:val="18"/>
                <w:szCs w:val="18"/>
                <w14:textFill>
                  <w14:solidFill>
                    <w14:schemeClr w14:val="tx1"/>
                  </w14:solidFill>
                </w14:textFill>
              </w:rPr>
            </w:pPr>
          </w:p>
        </w:tc>
        <w:tc>
          <w:tcPr>
            <w:tcW w:w="574" w:type="pct"/>
            <w:vAlign w:val="center"/>
          </w:tcPr>
          <w:p w14:paraId="67EA30B5">
            <w:pPr>
              <w:jc w:val="center"/>
              <w:rPr>
                <w:rFonts w:ascii="Times New Roman" w:hAnsi="Times New Roman"/>
                <w:color w:val="000000" w:themeColor="text1"/>
                <w:sz w:val="18"/>
                <w:szCs w:val="18"/>
                <w14:textFill>
                  <w14:solidFill>
                    <w14:schemeClr w14:val="tx1"/>
                  </w14:solidFill>
                </w14:textFill>
              </w:rPr>
            </w:pPr>
          </w:p>
        </w:tc>
        <w:tc>
          <w:tcPr>
            <w:tcW w:w="443" w:type="pct"/>
            <w:vAlign w:val="center"/>
          </w:tcPr>
          <w:p w14:paraId="1E5B823F">
            <w:pPr>
              <w:jc w:val="center"/>
              <w:rPr>
                <w:rFonts w:ascii="Times New Roman" w:hAnsi="Times New Roman"/>
                <w:color w:val="000000" w:themeColor="text1"/>
                <w:sz w:val="18"/>
                <w:szCs w:val="18"/>
                <w14:textFill>
                  <w14:solidFill>
                    <w14:schemeClr w14:val="tx1"/>
                  </w14:solidFill>
                </w14:textFill>
              </w:rPr>
            </w:pPr>
          </w:p>
        </w:tc>
        <w:tc>
          <w:tcPr>
            <w:tcW w:w="597" w:type="pct"/>
            <w:vAlign w:val="center"/>
          </w:tcPr>
          <w:p w14:paraId="37A07358">
            <w:pPr>
              <w:jc w:val="center"/>
              <w:rPr>
                <w:rFonts w:ascii="Times New Roman" w:hAnsi="Times New Roman"/>
                <w:color w:val="000000" w:themeColor="text1"/>
                <w:sz w:val="18"/>
                <w:szCs w:val="18"/>
                <w14:textFill>
                  <w14:solidFill>
                    <w14:schemeClr w14:val="tx1"/>
                  </w14:solidFill>
                </w14:textFill>
              </w:rPr>
            </w:pPr>
          </w:p>
        </w:tc>
      </w:tr>
    </w:tbl>
    <w:p w14:paraId="3DD01E48">
      <w:pPr>
        <w:pStyle w:val="97"/>
        <w:spacing w:before="120" w:after="120"/>
      </w:pPr>
      <w:r>
        <w:t>气田开发指标预测</w:t>
      </w:r>
    </w:p>
    <w:tbl>
      <w:tblPr>
        <w:tblStyle w:val="3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36"/>
        <w:gridCol w:w="438"/>
        <w:gridCol w:w="639"/>
        <w:gridCol w:w="1240"/>
        <w:gridCol w:w="1238"/>
        <w:gridCol w:w="1238"/>
        <w:gridCol w:w="1378"/>
        <w:gridCol w:w="1378"/>
        <w:gridCol w:w="1379"/>
      </w:tblGrid>
      <w:tr w14:paraId="44385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233" w:type="pct"/>
            <w:vAlign w:val="center"/>
          </w:tcPr>
          <w:p w14:paraId="7426743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234" w:type="pct"/>
            <w:vAlign w:val="center"/>
          </w:tcPr>
          <w:p w14:paraId="024452F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年度</w:t>
            </w:r>
          </w:p>
        </w:tc>
        <w:tc>
          <w:tcPr>
            <w:tcW w:w="341" w:type="pct"/>
            <w:vAlign w:val="center"/>
          </w:tcPr>
          <w:p w14:paraId="122ECAF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采气井</w:t>
            </w:r>
          </w:p>
        </w:tc>
        <w:tc>
          <w:tcPr>
            <w:tcW w:w="662" w:type="pct"/>
            <w:vAlign w:val="center"/>
          </w:tcPr>
          <w:p w14:paraId="282DDA7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平均单井产气</w:t>
            </w:r>
          </w:p>
          <w:p w14:paraId="0222416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/d</w:t>
            </w:r>
          </w:p>
        </w:tc>
        <w:tc>
          <w:tcPr>
            <w:tcW w:w="661" w:type="pct"/>
            <w:vAlign w:val="center"/>
          </w:tcPr>
          <w:p w14:paraId="7733B4C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平均单井产油</w:t>
            </w:r>
          </w:p>
          <w:p w14:paraId="15AC190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t/d</w:t>
            </w:r>
          </w:p>
        </w:tc>
        <w:tc>
          <w:tcPr>
            <w:tcW w:w="661" w:type="pct"/>
            <w:vAlign w:val="center"/>
          </w:tcPr>
          <w:p w14:paraId="064827F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平均单井</w:t>
            </w:r>
          </w:p>
          <w:p w14:paraId="1930DD3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采出水</w:t>
            </w:r>
          </w:p>
          <w:p w14:paraId="02A3FF5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/d</w:t>
            </w:r>
          </w:p>
        </w:tc>
        <w:tc>
          <w:tcPr>
            <w:tcW w:w="736" w:type="pct"/>
            <w:vAlign w:val="center"/>
          </w:tcPr>
          <w:p w14:paraId="6888984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年产气</w:t>
            </w:r>
          </w:p>
          <w:p w14:paraId="5B47DC6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8</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/a</w:t>
            </w:r>
          </w:p>
        </w:tc>
        <w:tc>
          <w:tcPr>
            <w:tcW w:w="736" w:type="pct"/>
            <w:vAlign w:val="center"/>
          </w:tcPr>
          <w:p w14:paraId="6EDF33C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年产油</w:t>
            </w:r>
          </w:p>
          <w:p w14:paraId="03D1793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t/a</w:t>
            </w:r>
          </w:p>
        </w:tc>
        <w:tc>
          <w:tcPr>
            <w:tcW w:w="736" w:type="pct"/>
            <w:vAlign w:val="center"/>
          </w:tcPr>
          <w:p w14:paraId="1624D20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年采出水</w:t>
            </w:r>
          </w:p>
          <w:p w14:paraId="1D9A519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10</w:t>
            </w:r>
            <w:r>
              <w:rPr>
                <w:rFonts w:ascii="Times New Roman" w:hAnsi="Times New Roman"/>
                <w:color w:val="000000" w:themeColor="text1"/>
                <w:sz w:val="18"/>
                <w:szCs w:val="18"/>
                <w:vertAlign w:val="superscript"/>
                <w14:textFill>
                  <w14:solidFill>
                    <w14:schemeClr w14:val="tx1"/>
                  </w14:solidFill>
                </w14:textFill>
              </w:rPr>
              <w:t>4</w:t>
            </w: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3</w:t>
            </w:r>
            <w:r>
              <w:rPr>
                <w:rFonts w:ascii="Times New Roman" w:hAnsi="Times New Roman"/>
                <w:color w:val="000000" w:themeColor="text1"/>
                <w:sz w:val="18"/>
                <w:szCs w:val="18"/>
                <w14:textFill>
                  <w14:solidFill>
                    <w14:schemeClr w14:val="tx1"/>
                  </w14:solidFill>
                </w14:textFill>
              </w:rPr>
              <w:t>/a</w:t>
            </w:r>
          </w:p>
        </w:tc>
      </w:tr>
      <w:tr w14:paraId="78E64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33" w:type="pct"/>
            <w:vAlign w:val="center"/>
          </w:tcPr>
          <w:p w14:paraId="4094216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234" w:type="pct"/>
            <w:vAlign w:val="center"/>
          </w:tcPr>
          <w:p w14:paraId="0DD18758">
            <w:pPr>
              <w:jc w:val="center"/>
              <w:rPr>
                <w:rFonts w:ascii="Times New Roman" w:hAnsi="Times New Roman"/>
                <w:color w:val="000000" w:themeColor="text1"/>
                <w:sz w:val="18"/>
                <w:szCs w:val="18"/>
                <w14:textFill>
                  <w14:solidFill>
                    <w14:schemeClr w14:val="tx1"/>
                  </w14:solidFill>
                </w14:textFill>
              </w:rPr>
            </w:pPr>
          </w:p>
        </w:tc>
        <w:tc>
          <w:tcPr>
            <w:tcW w:w="341" w:type="pct"/>
            <w:vAlign w:val="center"/>
          </w:tcPr>
          <w:p w14:paraId="3A41ED2C">
            <w:pPr>
              <w:jc w:val="center"/>
              <w:rPr>
                <w:rFonts w:ascii="Times New Roman" w:hAnsi="Times New Roman"/>
                <w:color w:val="000000" w:themeColor="text1"/>
                <w:sz w:val="18"/>
                <w:szCs w:val="18"/>
                <w14:textFill>
                  <w14:solidFill>
                    <w14:schemeClr w14:val="tx1"/>
                  </w14:solidFill>
                </w14:textFill>
              </w:rPr>
            </w:pPr>
          </w:p>
        </w:tc>
        <w:tc>
          <w:tcPr>
            <w:tcW w:w="662" w:type="pct"/>
            <w:vAlign w:val="center"/>
          </w:tcPr>
          <w:p w14:paraId="0E347F4A">
            <w:pPr>
              <w:jc w:val="center"/>
              <w:rPr>
                <w:rFonts w:ascii="Times New Roman" w:hAnsi="Times New Roman"/>
                <w:color w:val="000000" w:themeColor="text1"/>
                <w:sz w:val="18"/>
                <w:szCs w:val="18"/>
                <w14:textFill>
                  <w14:solidFill>
                    <w14:schemeClr w14:val="tx1"/>
                  </w14:solidFill>
                </w14:textFill>
              </w:rPr>
            </w:pPr>
          </w:p>
        </w:tc>
        <w:tc>
          <w:tcPr>
            <w:tcW w:w="661" w:type="pct"/>
            <w:vAlign w:val="center"/>
          </w:tcPr>
          <w:p w14:paraId="0F03E63E">
            <w:pPr>
              <w:jc w:val="center"/>
              <w:rPr>
                <w:rFonts w:ascii="Times New Roman" w:hAnsi="Times New Roman"/>
                <w:color w:val="000000" w:themeColor="text1"/>
                <w:sz w:val="18"/>
                <w:szCs w:val="18"/>
                <w14:textFill>
                  <w14:solidFill>
                    <w14:schemeClr w14:val="tx1"/>
                  </w14:solidFill>
                </w14:textFill>
              </w:rPr>
            </w:pPr>
          </w:p>
        </w:tc>
        <w:tc>
          <w:tcPr>
            <w:tcW w:w="661" w:type="pct"/>
            <w:vAlign w:val="center"/>
          </w:tcPr>
          <w:p w14:paraId="23A4A062">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7DA98A7E">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6C32FB22">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7AD92ED3">
            <w:pPr>
              <w:jc w:val="center"/>
              <w:rPr>
                <w:rFonts w:ascii="Times New Roman" w:hAnsi="Times New Roman"/>
                <w:color w:val="000000" w:themeColor="text1"/>
                <w:sz w:val="18"/>
                <w:szCs w:val="18"/>
                <w14:textFill>
                  <w14:solidFill>
                    <w14:schemeClr w14:val="tx1"/>
                  </w14:solidFill>
                </w14:textFill>
              </w:rPr>
            </w:pPr>
          </w:p>
        </w:tc>
      </w:tr>
      <w:tr w14:paraId="5C853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233" w:type="pct"/>
            <w:vAlign w:val="center"/>
          </w:tcPr>
          <w:p w14:paraId="3671F16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34" w:type="pct"/>
            <w:vAlign w:val="center"/>
          </w:tcPr>
          <w:p w14:paraId="4C46784C">
            <w:pPr>
              <w:jc w:val="center"/>
              <w:rPr>
                <w:rFonts w:ascii="Times New Roman" w:hAnsi="Times New Roman"/>
                <w:color w:val="000000" w:themeColor="text1"/>
                <w:sz w:val="18"/>
                <w:szCs w:val="18"/>
                <w14:textFill>
                  <w14:solidFill>
                    <w14:schemeClr w14:val="tx1"/>
                  </w14:solidFill>
                </w14:textFill>
              </w:rPr>
            </w:pPr>
          </w:p>
        </w:tc>
        <w:tc>
          <w:tcPr>
            <w:tcW w:w="341" w:type="pct"/>
            <w:vAlign w:val="center"/>
          </w:tcPr>
          <w:p w14:paraId="4681D5D3">
            <w:pPr>
              <w:jc w:val="center"/>
              <w:rPr>
                <w:rFonts w:ascii="Times New Roman" w:hAnsi="Times New Roman"/>
                <w:color w:val="000000" w:themeColor="text1"/>
                <w:sz w:val="18"/>
                <w:szCs w:val="18"/>
                <w14:textFill>
                  <w14:solidFill>
                    <w14:schemeClr w14:val="tx1"/>
                  </w14:solidFill>
                </w14:textFill>
              </w:rPr>
            </w:pPr>
          </w:p>
        </w:tc>
        <w:tc>
          <w:tcPr>
            <w:tcW w:w="662" w:type="pct"/>
            <w:vAlign w:val="center"/>
          </w:tcPr>
          <w:p w14:paraId="7DF4CDCD">
            <w:pPr>
              <w:jc w:val="center"/>
              <w:rPr>
                <w:rFonts w:ascii="Times New Roman" w:hAnsi="Times New Roman"/>
                <w:color w:val="000000" w:themeColor="text1"/>
                <w:sz w:val="18"/>
                <w:szCs w:val="18"/>
                <w14:textFill>
                  <w14:solidFill>
                    <w14:schemeClr w14:val="tx1"/>
                  </w14:solidFill>
                </w14:textFill>
              </w:rPr>
            </w:pPr>
          </w:p>
        </w:tc>
        <w:tc>
          <w:tcPr>
            <w:tcW w:w="661" w:type="pct"/>
            <w:vAlign w:val="center"/>
          </w:tcPr>
          <w:p w14:paraId="33881C9F">
            <w:pPr>
              <w:jc w:val="center"/>
              <w:rPr>
                <w:rFonts w:ascii="Times New Roman" w:hAnsi="Times New Roman"/>
                <w:color w:val="000000" w:themeColor="text1"/>
                <w:sz w:val="18"/>
                <w:szCs w:val="18"/>
                <w14:textFill>
                  <w14:solidFill>
                    <w14:schemeClr w14:val="tx1"/>
                  </w14:solidFill>
                </w14:textFill>
              </w:rPr>
            </w:pPr>
          </w:p>
        </w:tc>
        <w:tc>
          <w:tcPr>
            <w:tcW w:w="661" w:type="pct"/>
            <w:vAlign w:val="center"/>
          </w:tcPr>
          <w:p w14:paraId="07BED004">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3E3ECB2C">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0A0526C9">
            <w:pPr>
              <w:jc w:val="center"/>
              <w:rPr>
                <w:rFonts w:ascii="Times New Roman" w:hAnsi="Times New Roman"/>
                <w:color w:val="000000" w:themeColor="text1"/>
                <w:sz w:val="18"/>
                <w:szCs w:val="18"/>
                <w14:textFill>
                  <w14:solidFill>
                    <w14:schemeClr w14:val="tx1"/>
                  </w14:solidFill>
                </w14:textFill>
              </w:rPr>
            </w:pPr>
          </w:p>
        </w:tc>
        <w:tc>
          <w:tcPr>
            <w:tcW w:w="736" w:type="pct"/>
            <w:vAlign w:val="center"/>
          </w:tcPr>
          <w:p w14:paraId="02ADB1A8">
            <w:pPr>
              <w:jc w:val="center"/>
              <w:rPr>
                <w:rFonts w:ascii="Times New Roman" w:hAnsi="Times New Roman"/>
                <w:color w:val="000000" w:themeColor="text1"/>
                <w:sz w:val="18"/>
                <w:szCs w:val="18"/>
                <w14:textFill>
                  <w14:solidFill>
                    <w14:schemeClr w14:val="tx1"/>
                  </w14:solidFill>
                </w14:textFill>
              </w:rPr>
            </w:pPr>
          </w:p>
        </w:tc>
      </w:tr>
    </w:tbl>
    <w:p w14:paraId="7E630C8D">
      <w:pPr>
        <w:pStyle w:val="97"/>
        <w:spacing w:before="120" w:after="120"/>
      </w:pPr>
      <w:r>
        <w:t>原油及凝析油物性表</w:t>
      </w:r>
    </w:p>
    <w:tbl>
      <w:tblPr>
        <w:tblStyle w:val="3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32"/>
        <w:gridCol w:w="867"/>
        <w:gridCol w:w="873"/>
        <w:gridCol w:w="1126"/>
        <w:gridCol w:w="792"/>
        <w:gridCol w:w="532"/>
        <w:gridCol w:w="532"/>
        <w:gridCol w:w="532"/>
        <w:gridCol w:w="1461"/>
        <w:gridCol w:w="792"/>
        <w:gridCol w:w="792"/>
        <w:gridCol w:w="533"/>
      </w:tblGrid>
      <w:tr w14:paraId="53276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84" w:type="pct"/>
            <w:vMerge w:val="restart"/>
            <w:vAlign w:val="center"/>
          </w:tcPr>
          <w:p w14:paraId="38E56B8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929" w:type="pct"/>
            <w:gridSpan w:val="2"/>
            <w:vAlign w:val="center"/>
          </w:tcPr>
          <w:p w14:paraId="545A8F2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原油密度</w:t>
            </w:r>
          </w:p>
          <w:p w14:paraId="3133A49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kg/m</w:t>
            </w:r>
            <w:r>
              <w:rPr>
                <w:rFonts w:ascii="Times New Roman" w:hAnsi="Times New Roman"/>
                <w:color w:val="000000" w:themeColor="text1"/>
                <w:sz w:val="18"/>
                <w:szCs w:val="18"/>
                <w:vertAlign w:val="superscript"/>
                <w14:textFill>
                  <w14:solidFill>
                    <w14:schemeClr w14:val="tx1"/>
                  </w14:solidFill>
                </w14:textFill>
              </w:rPr>
              <w:t>3</w:t>
            </w:r>
          </w:p>
        </w:tc>
        <w:tc>
          <w:tcPr>
            <w:tcW w:w="601" w:type="pct"/>
            <w:vMerge w:val="restart"/>
            <w:vAlign w:val="center"/>
          </w:tcPr>
          <w:p w14:paraId="253DF64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粘度50℃</w:t>
            </w:r>
          </w:p>
        </w:tc>
        <w:tc>
          <w:tcPr>
            <w:tcW w:w="423" w:type="pct"/>
            <w:vMerge w:val="restart"/>
            <w:vAlign w:val="center"/>
          </w:tcPr>
          <w:p w14:paraId="551D7E7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凝固点</w:t>
            </w:r>
          </w:p>
          <w:p w14:paraId="678AA84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84" w:type="pct"/>
            <w:vMerge w:val="restart"/>
            <w:vAlign w:val="center"/>
          </w:tcPr>
          <w:p w14:paraId="4D6672F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含硫</w:t>
            </w:r>
          </w:p>
          <w:p w14:paraId="6E55A9B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84" w:type="pct"/>
            <w:vMerge w:val="restart"/>
            <w:vAlign w:val="center"/>
          </w:tcPr>
          <w:p w14:paraId="675D144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含盐</w:t>
            </w:r>
          </w:p>
          <w:p w14:paraId="78E0654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84" w:type="pct"/>
            <w:vMerge w:val="restart"/>
            <w:vAlign w:val="center"/>
          </w:tcPr>
          <w:p w14:paraId="539A1B1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含蜡</w:t>
            </w:r>
          </w:p>
          <w:p w14:paraId="5A0D906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780" w:type="pct"/>
            <w:vMerge w:val="restart"/>
            <w:vAlign w:val="center"/>
          </w:tcPr>
          <w:p w14:paraId="556A8E5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胶质+沥青质</w:t>
            </w:r>
          </w:p>
          <w:p w14:paraId="73E3C39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23" w:type="pct"/>
            <w:vMerge w:val="restart"/>
            <w:vAlign w:val="center"/>
          </w:tcPr>
          <w:p w14:paraId="03D49C0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析蜡点</w:t>
            </w:r>
          </w:p>
          <w:p w14:paraId="0E73912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23" w:type="pct"/>
            <w:vMerge w:val="restart"/>
            <w:vAlign w:val="center"/>
          </w:tcPr>
          <w:p w14:paraId="0293D39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蜡熔点</w:t>
            </w:r>
          </w:p>
          <w:p w14:paraId="7C28321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84" w:type="pct"/>
            <w:vMerge w:val="restart"/>
            <w:vAlign w:val="center"/>
          </w:tcPr>
          <w:p w14:paraId="2D15D8E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闪点</w:t>
            </w:r>
          </w:p>
          <w:p w14:paraId="3A2FB45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r>
      <w:tr w14:paraId="1CB9C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84" w:type="pct"/>
            <w:vMerge w:val="continue"/>
            <w:vAlign w:val="center"/>
          </w:tcPr>
          <w:p w14:paraId="292C674C">
            <w:pPr>
              <w:jc w:val="center"/>
              <w:rPr>
                <w:rFonts w:ascii="Times New Roman" w:hAnsi="Times New Roman"/>
                <w:color w:val="000000" w:themeColor="text1"/>
                <w:sz w:val="18"/>
                <w:szCs w:val="18"/>
                <w14:textFill>
                  <w14:solidFill>
                    <w14:schemeClr w14:val="tx1"/>
                  </w14:solidFill>
                </w14:textFill>
              </w:rPr>
            </w:pPr>
          </w:p>
        </w:tc>
        <w:tc>
          <w:tcPr>
            <w:tcW w:w="463" w:type="pct"/>
            <w:vAlign w:val="center"/>
          </w:tcPr>
          <w:p w14:paraId="27838E7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20℃</w:t>
            </w:r>
          </w:p>
        </w:tc>
        <w:tc>
          <w:tcPr>
            <w:tcW w:w="466" w:type="pct"/>
            <w:vAlign w:val="center"/>
          </w:tcPr>
          <w:p w14:paraId="7CFCA25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50℃</w:t>
            </w:r>
          </w:p>
        </w:tc>
        <w:tc>
          <w:tcPr>
            <w:tcW w:w="601" w:type="pct"/>
            <w:vMerge w:val="continue"/>
            <w:vAlign w:val="center"/>
          </w:tcPr>
          <w:p w14:paraId="02EC2E1C">
            <w:pPr>
              <w:jc w:val="center"/>
              <w:rPr>
                <w:rFonts w:ascii="Times New Roman" w:hAnsi="Times New Roman"/>
                <w:color w:val="000000" w:themeColor="text1"/>
                <w:sz w:val="18"/>
                <w:szCs w:val="18"/>
                <w14:textFill>
                  <w14:solidFill>
                    <w14:schemeClr w14:val="tx1"/>
                  </w14:solidFill>
                </w14:textFill>
              </w:rPr>
            </w:pPr>
          </w:p>
        </w:tc>
        <w:tc>
          <w:tcPr>
            <w:tcW w:w="423" w:type="pct"/>
            <w:vMerge w:val="continue"/>
            <w:vAlign w:val="center"/>
          </w:tcPr>
          <w:p w14:paraId="39B1A7A3">
            <w:pPr>
              <w:jc w:val="center"/>
              <w:rPr>
                <w:rFonts w:ascii="Times New Roman" w:hAnsi="Times New Roman"/>
                <w:color w:val="000000" w:themeColor="text1"/>
                <w:sz w:val="18"/>
                <w:szCs w:val="18"/>
                <w14:textFill>
                  <w14:solidFill>
                    <w14:schemeClr w14:val="tx1"/>
                  </w14:solidFill>
                </w14:textFill>
              </w:rPr>
            </w:pPr>
          </w:p>
        </w:tc>
        <w:tc>
          <w:tcPr>
            <w:tcW w:w="284" w:type="pct"/>
            <w:vMerge w:val="continue"/>
            <w:vAlign w:val="center"/>
          </w:tcPr>
          <w:p w14:paraId="6F78EC49">
            <w:pPr>
              <w:jc w:val="center"/>
              <w:rPr>
                <w:rFonts w:ascii="Times New Roman" w:hAnsi="Times New Roman"/>
                <w:color w:val="000000" w:themeColor="text1"/>
                <w:sz w:val="18"/>
                <w:szCs w:val="18"/>
                <w14:textFill>
                  <w14:solidFill>
                    <w14:schemeClr w14:val="tx1"/>
                  </w14:solidFill>
                </w14:textFill>
              </w:rPr>
            </w:pPr>
          </w:p>
        </w:tc>
        <w:tc>
          <w:tcPr>
            <w:tcW w:w="284" w:type="pct"/>
            <w:vMerge w:val="continue"/>
            <w:vAlign w:val="center"/>
          </w:tcPr>
          <w:p w14:paraId="0D0D95B9">
            <w:pPr>
              <w:jc w:val="center"/>
              <w:rPr>
                <w:rFonts w:ascii="Times New Roman" w:hAnsi="Times New Roman"/>
                <w:color w:val="000000" w:themeColor="text1"/>
                <w:sz w:val="18"/>
                <w:szCs w:val="18"/>
                <w14:textFill>
                  <w14:solidFill>
                    <w14:schemeClr w14:val="tx1"/>
                  </w14:solidFill>
                </w14:textFill>
              </w:rPr>
            </w:pPr>
          </w:p>
        </w:tc>
        <w:tc>
          <w:tcPr>
            <w:tcW w:w="284" w:type="pct"/>
            <w:vMerge w:val="continue"/>
            <w:vAlign w:val="center"/>
          </w:tcPr>
          <w:p w14:paraId="5D358E95">
            <w:pPr>
              <w:jc w:val="center"/>
              <w:rPr>
                <w:rFonts w:ascii="Times New Roman" w:hAnsi="Times New Roman"/>
                <w:color w:val="000000" w:themeColor="text1"/>
                <w:sz w:val="18"/>
                <w:szCs w:val="18"/>
                <w14:textFill>
                  <w14:solidFill>
                    <w14:schemeClr w14:val="tx1"/>
                  </w14:solidFill>
                </w14:textFill>
              </w:rPr>
            </w:pPr>
          </w:p>
        </w:tc>
        <w:tc>
          <w:tcPr>
            <w:tcW w:w="780" w:type="pct"/>
            <w:vMerge w:val="continue"/>
            <w:vAlign w:val="center"/>
          </w:tcPr>
          <w:p w14:paraId="6AABC2B1">
            <w:pPr>
              <w:jc w:val="center"/>
              <w:rPr>
                <w:rFonts w:ascii="Times New Roman" w:hAnsi="Times New Roman"/>
                <w:color w:val="000000" w:themeColor="text1"/>
                <w:sz w:val="18"/>
                <w:szCs w:val="18"/>
                <w14:textFill>
                  <w14:solidFill>
                    <w14:schemeClr w14:val="tx1"/>
                  </w14:solidFill>
                </w14:textFill>
              </w:rPr>
            </w:pPr>
          </w:p>
        </w:tc>
        <w:tc>
          <w:tcPr>
            <w:tcW w:w="423" w:type="pct"/>
            <w:vMerge w:val="continue"/>
            <w:vAlign w:val="center"/>
          </w:tcPr>
          <w:p w14:paraId="5A58F4F6">
            <w:pPr>
              <w:jc w:val="center"/>
              <w:rPr>
                <w:rFonts w:ascii="Times New Roman" w:hAnsi="Times New Roman"/>
                <w:color w:val="000000" w:themeColor="text1"/>
                <w:sz w:val="18"/>
                <w:szCs w:val="18"/>
                <w14:textFill>
                  <w14:solidFill>
                    <w14:schemeClr w14:val="tx1"/>
                  </w14:solidFill>
                </w14:textFill>
              </w:rPr>
            </w:pPr>
          </w:p>
        </w:tc>
        <w:tc>
          <w:tcPr>
            <w:tcW w:w="423" w:type="pct"/>
            <w:vMerge w:val="continue"/>
            <w:vAlign w:val="center"/>
          </w:tcPr>
          <w:p w14:paraId="21BA7A74">
            <w:pPr>
              <w:jc w:val="center"/>
              <w:rPr>
                <w:rFonts w:ascii="Times New Roman" w:hAnsi="Times New Roman"/>
                <w:color w:val="000000" w:themeColor="text1"/>
                <w:sz w:val="18"/>
                <w:szCs w:val="18"/>
                <w14:textFill>
                  <w14:solidFill>
                    <w14:schemeClr w14:val="tx1"/>
                  </w14:solidFill>
                </w14:textFill>
              </w:rPr>
            </w:pPr>
          </w:p>
        </w:tc>
        <w:tc>
          <w:tcPr>
            <w:tcW w:w="284" w:type="pct"/>
            <w:vMerge w:val="continue"/>
            <w:vAlign w:val="center"/>
          </w:tcPr>
          <w:p w14:paraId="09F87C00">
            <w:pPr>
              <w:jc w:val="center"/>
              <w:rPr>
                <w:rFonts w:ascii="Times New Roman" w:hAnsi="Times New Roman"/>
                <w:color w:val="000000" w:themeColor="text1"/>
                <w:sz w:val="18"/>
                <w:szCs w:val="18"/>
                <w14:textFill>
                  <w14:solidFill>
                    <w14:schemeClr w14:val="tx1"/>
                  </w14:solidFill>
                </w14:textFill>
              </w:rPr>
            </w:pPr>
          </w:p>
        </w:tc>
      </w:tr>
      <w:tr w14:paraId="44E38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84" w:type="pct"/>
            <w:vAlign w:val="center"/>
          </w:tcPr>
          <w:p w14:paraId="1E10103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463" w:type="pct"/>
            <w:vAlign w:val="center"/>
          </w:tcPr>
          <w:p w14:paraId="6949E8D6">
            <w:pPr>
              <w:jc w:val="center"/>
              <w:rPr>
                <w:rFonts w:ascii="Times New Roman" w:hAnsi="Times New Roman"/>
                <w:color w:val="000000" w:themeColor="text1"/>
                <w:sz w:val="18"/>
                <w:szCs w:val="18"/>
                <w14:textFill>
                  <w14:solidFill>
                    <w14:schemeClr w14:val="tx1"/>
                  </w14:solidFill>
                </w14:textFill>
              </w:rPr>
            </w:pPr>
          </w:p>
        </w:tc>
        <w:tc>
          <w:tcPr>
            <w:tcW w:w="466" w:type="pct"/>
            <w:vAlign w:val="center"/>
          </w:tcPr>
          <w:p w14:paraId="53764D0E">
            <w:pPr>
              <w:jc w:val="center"/>
              <w:rPr>
                <w:rFonts w:ascii="Times New Roman" w:hAnsi="Times New Roman"/>
                <w:color w:val="000000" w:themeColor="text1"/>
                <w:sz w:val="18"/>
                <w:szCs w:val="18"/>
                <w14:textFill>
                  <w14:solidFill>
                    <w14:schemeClr w14:val="tx1"/>
                  </w14:solidFill>
                </w14:textFill>
              </w:rPr>
            </w:pPr>
          </w:p>
        </w:tc>
        <w:tc>
          <w:tcPr>
            <w:tcW w:w="601" w:type="pct"/>
            <w:vAlign w:val="center"/>
          </w:tcPr>
          <w:p w14:paraId="7C7700D4">
            <w:pPr>
              <w:jc w:val="center"/>
              <w:rPr>
                <w:rFonts w:ascii="Times New Roman" w:hAnsi="Times New Roman"/>
                <w:color w:val="000000" w:themeColor="text1"/>
                <w:sz w:val="18"/>
                <w:szCs w:val="18"/>
                <w14:textFill>
                  <w14:solidFill>
                    <w14:schemeClr w14:val="tx1"/>
                  </w14:solidFill>
                </w14:textFill>
              </w:rPr>
            </w:pPr>
          </w:p>
        </w:tc>
        <w:tc>
          <w:tcPr>
            <w:tcW w:w="423" w:type="pct"/>
            <w:vAlign w:val="center"/>
          </w:tcPr>
          <w:p w14:paraId="7C67B0AF">
            <w:pPr>
              <w:jc w:val="center"/>
              <w:rPr>
                <w:rFonts w:ascii="Times New Roman" w:hAnsi="Times New Roman"/>
                <w:color w:val="000000" w:themeColor="text1"/>
                <w:sz w:val="18"/>
                <w:szCs w:val="18"/>
                <w14:textFill>
                  <w14:solidFill>
                    <w14:schemeClr w14:val="tx1"/>
                  </w14:solidFill>
                </w14:textFill>
              </w:rPr>
            </w:pPr>
          </w:p>
        </w:tc>
        <w:tc>
          <w:tcPr>
            <w:tcW w:w="284" w:type="pct"/>
            <w:vAlign w:val="center"/>
          </w:tcPr>
          <w:p w14:paraId="30F22A87">
            <w:pPr>
              <w:jc w:val="center"/>
              <w:rPr>
                <w:rFonts w:ascii="Times New Roman" w:hAnsi="Times New Roman"/>
                <w:color w:val="000000" w:themeColor="text1"/>
                <w:sz w:val="18"/>
                <w:szCs w:val="18"/>
                <w14:textFill>
                  <w14:solidFill>
                    <w14:schemeClr w14:val="tx1"/>
                  </w14:solidFill>
                </w14:textFill>
              </w:rPr>
            </w:pPr>
          </w:p>
        </w:tc>
        <w:tc>
          <w:tcPr>
            <w:tcW w:w="284" w:type="pct"/>
            <w:vAlign w:val="center"/>
          </w:tcPr>
          <w:p w14:paraId="555647BF">
            <w:pPr>
              <w:jc w:val="center"/>
              <w:rPr>
                <w:rFonts w:ascii="Times New Roman" w:hAnsi="Times New Roman"/>
                <w:color w:val="000000" w:themeColor="text1"/>
                <w:sz w:val="18"/>
                <w:szCs w:val="18"/>
                <w14:textFill>
                  <w14:solidFill>
                    <w14:schemeClr w14:val="tx1"/>
                  </w14:solidFill>
                </w14:textFill>
              </w:rPr>
            </w:pPr>
          </w:p>
        </w:tc>
        <w:tc>
          <w:tcPr>
            <w:tcW w:w="284" w:type="pct"/>
            <w:vAlign w:val="center"/>
          </w:tcPr>
          <w:p w14:paraId="6A0B47E5">
            <w:pPr>
              <w:jc w:val="center"/>
              <w:rPr>
                <w:rFonts w:ascii="Times New Roman" w:hAnsi="Times New Roman"/>
                <w:color w:val="000000" w:themeColor="text1"/>
                <w:sz w:val="18"/>
                <w:szCs w:val="18"/>
                <w14:textFill>
                  <w14:solidFill>
                    <w14:schemeClr w14:val="tx1"/>
                  </w14:solidFill>
                </w14:textFill>
              </w:rPr>
            </w:pPr>
          </w:p>
        </w:tc>
        <w:tc>
          <w:tcPr>
            <w:tcW w:w="780" w:type="pct"/>
            <w:vAlign w:val="center"/>
          </w:tcPr>
          <w:p w14:paraId="4DD21068">
            <w:pPr>
              <w:jc w:val="center"/>
              <w:rPr>
                <w:rFonts w:ascii="Times New Roman" w:hAnsi="Times New Roman"/>
                <w:color w:val="000000" w:themeColor="text1"/>
                <w:sz w:val="18"/>
                <w:szCs w:val="18"/>
                <w14:textFill>
                  <w14:solidFill>
                    <w14:schemeClr w14:val="tx1"/>
                  </w14:solidFill>
                </w14:textFill>
              </w:rPr>
            </w:pPr>
          </w:p>
        </w:tc>
        <w:tc>
          <w:tcPr>
            <w:tcW w:w="423" w:type="pct"/>
            <w:vAlign w:val="center"/>
          </w:tcPr>
          <w:p w14:paraId="0ECC350F">
            <w:pPr>
              <w:jc w:val="center"/>
              <w:rPr>
                <w:rFonts w:ascii="Times New Roman" w:hAnsi="Times New Roman"/>
                <w:color w:val="000000" w:themeColor="text1"/>
                <w:sz w:val="18"/>
                <w:szCs w:val="18"/>
                <w14:textFill>
                  <w14:solidFill>
                    <w14:schemeClr w14:val="tx1"/>
                  </w14:solidFill>
                </w14:textFill>
              </w:rPr>
            </w:pPr>
          </w:p>
        </w:tc>
        <w:tc>
          <w:tcPr>
            <w:tcW w:w="423" w:type="pct"/>
            <w:vAlign w:val="center"/>
          </w:tcPr>
          <w:p w14:paraId="4B1C3AAB">
            <w:pPr>
              <w:jc w:val="center"/>
              <w:rPr>
                <w:rFonts w:ascii="Times New Roman" w:hAnsi="Times New Roman"/>
                <w:color w:val="000000" w:themeColor="text1"/>
                <w:sz w:val="18"/>
                <w:szCs w:val="18"/>
                <w14:textFill>
                  <w14:solidFill>
                    <w14:schemeClr w14:val="tx1"/>
                  </w14:solidFill>
                </w14:textFill>
              </w:rPr>
            </w:pPr>
          </w:p>
        </w:tc>
        <w:tc>
          <w:tcPr>
            <w:tcW w:w="284" w:type="pct"/>
            <w:vAlign w:val="center"/>
          </w:tcPr>
          <w:p w14:paraId="15039122">
            <w:pPr>
              <w:jc w:val="center"/>
              <w:rPr>
                <w:rFonts w:ascii="Times New Roman" w:hAnsi="Times New Roman"/>
                <w:color w:val="000000" w:themeColor="text1"/>
                <w:sz w:val="18"/>
                <w:szCs w:val="18"/>
                <w14:textFill>
                  <w14:solidFill>
                    <w14:schemeClr w14:val="tx1"/>
                  </w14:solidFill>
                </w14:textFill>
              </w:rPr>
            </w:pPr>
          </w:p>
        </w:tc>
      </w:tr>
      <w:tr w14:paraId="5C1F0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84" w:type="pct"/>
          </w:tcPr>
          <w:p w14:paraId="6776997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63" w:type="pct"/>
          </w:tcPr>
          <w:p w14:paraId="4BEAC565">
            <w:pPr>
              <w:jc w:val="center"/>
              <w:rPr>
                <w:rFonts w:ascii="Times New Roman" w:hAnsi="Times New Roman"/>
                <w:color w:val="000000" w:themeColor="text1"/>
                <w:sz w:val="18"/>
                <w:szCs w:val="18"/>
                <w14:textFill>
                  <w14:solidFill>
                    <w14:schemeClr w14:val="tx1"/>
                  </w14:solidFill>
                </w14:textFill>
              </w:rPr>
            </w:pPr>
          </w:p>
        </w:tc>
        <w:tc>
          <w:tcPr>
            <w:tcW w:w="466" w:type="pct"/>
          </w:tcPr>
          <w:p w14:paraId="08A39900">
            <w:pPr>
              <w:jc w:val="center"/>
              <w:rPr>
                <w:rFonts w:ascii="Times New Roman" w:hAnsi="Times New Roman"/>
                <w:color w:val="000000" w:themeColor="text1"/>
                <w:sz w:val="18"/>
                <w:szCs w:val="18"/>
                <w14:textFill>
                  <w14:solidFill>
                    <w14:schemeClr w14:val="tx1"/>
                  </w14:solidFill>
                </w14:textFill>
              </w:rPr>
            </w:pPr>
          </w:p>
        </w:tc>
        <w:tc>
          <w:tcPr>
            <w:tcW w:w="601" w:type="pct"/>
          </w:tcPr>
          <w:p w14:paraId="0731384C">
            <w:pPr>
              <w:jc w:val="center"/>
              <w:rPr>
                <w:rFonts w:ascii="Times New Roman" w:hAnsi="Times New Roman"/>
                <w:color w:val="000000" w:themeColor="text1"/>
                <w:sz w:val="18"/>
                <w:szCs w:val="18"/>
                <w14:textFill>
                  <w14:solidFill>
                    <w14:schemeClr w14:val="tx1"/>
                  </w14:solidFill>
                </w14:textFill>
              </w:rPr>
            </w:pPr>
          </w:p>
        </w:tc>
        <w:tc>
          <w:tcPr>
            <w:tcW w:w="423" w:type="pct"/>
          </w:tcPr>
          <w:p w14:paraId="06495DEE">
            <w:pPr>
              <w:jc w:val="center"/>
              <w:rPr>
                <w:rFonts w:ascii="Times New Roman" w:hAnsi="Times New Roman"/>
                <w:color w:val="000000" w:themeColor="text1"/>
                <w:sz w:val="18"/>
                <w:szCs w:val="18"/>
                <w14:textFill>
                  <w14:solidFill>
                    <w14:schemeClr w14:val="tx1"/>
                  </w14:solidFill>
                </w14:textFill>
              </w:rPr>
            </w:pPr>
          </w:p>
        </w:tc>
        <w:tc>
          <w:tcPr>
            <w:tcW w:w="284" w:type="pct"/>
          </w:tcPr>
          <w:p w14:paraId="47A52E48">
            <w:pPr>
              <w:jc w:val="center"/>
              <w:rPr>
                <w:rFonts w:ascii="Times New Roman" w:hAnsi="Times New Roman"/>
                <w:color w:val="000000" w:themeColor="text1"/>
                <w:sz w:val="18"/>
                <w:szCs w:val="18"/>
                <w14:textFill>
                  <w14:solidFill>
                    <w14:schemeClr w14:val="tx1"/>
                  </w14:solidFill>
                </w14:textFill>
              </w:rPr>
            </w:pPr>
          </w:p>
        </w:tc>
        <w:tc>
          <w:tcPr>
            <w:tcW w:w="284" w:type="pct"/>
          </w:tcPr>
          <w:p w14:paraId="26ED4A30">
            <w:pPr>
              <w:jc w:val="center"/>
              <w:rPr>
                <w:rFonts w:ascii="Times New Roman" w:hAnsi="Times New Roman"/>
                <w:color w:val="000000" w:themeColor="text1"/>
                <w:sz w:val="18"/>
                <w:szCs w:val="18"/>
                <w14:textFill>
                  <w14:solidFill>
                    <w14:schemeClr w14:val="tx1"/>
                  </w14:solidFill>
                </w14:textFill>
              </w:rPr>
            </w:pPr>
          </w:p>
        </w:tc>
        <w:tc>
          <w:tcPr>
            <w:tcW w:w="284" w:type="pct"/>
          </w:tcPr>
          <w:p w14:paraId="7843D898">
            <w:pPr>
              <w:jc w:val="center"/>
              <w:rPr>
                <w:rFonts w:ascii="Times New Roman" w:hAnsi="Times New Roman"/>
                <w:color w:val="000000" w:themeColor="text1"/>
                <w:sz w:val="18"/>
                <w:szCs w:val="18"/>
                <w14:textFill>
                  <w14:solidFill>
                    <w14:schemeClr w14:val="tx1"/>
                  </w14:solidFill>
                </w14:textFill>
              </w:rPr>
            </w:pPr>
          </w:p>
        </w:tc>
        <w:tc>
          <w:tcPr>
            <w:tcW w:w="780" w:type="pct"/>
          </w:tcPr>
          <w:p w14:paraId="5DD93228">
            <w:pPr>
              <w:jc w:val="center"/>
              <w:rPr>
                <w:rFonts w:ascii="Times New Roman" w:hAnsi="Times New Roman"/>
                <w:color w:val="000000" w:themeColor="text1"/>
                <w:sz w:val="18"/>
                <w:szCs w:val="18"/>
                <w14:textFill>
                  <w14:solidFill>
                    <w14:schemeClr w14:val="tx1"/>
                  </w14:solidFill>
                </w14:textFill>
              </w:rPr>
            </w:pPr>
          </w:p>
        </w:tc>
        <w:tc>
          <w:tcPr>
            <w:tcW w:w="423" w:type="pct"/>
          </w:tcPr>
          <w:p w14:paraId="70661AF2">
            <w:pPr>
              <w:jc w:val="center"/>
              <w:rPr>
                <w:rFonts w:ascii="Times New Roman" w:hAnsi="Times New Roman"/>
                <w:color w:val="000000" w:themeColor="text1"/>
                <w:sz w:val="18"/>
                <w:szCs w:val="18"/>
                <w14:textFill>
                  <w14:solidFill>
                    <w14:schemeClr w14:val="tx1"/>
                  </w14:solidFill>
                </w14:textFill>
              </w:rPr>
            </w:pPr>
          </w:p>
        </w:tc>
        <w:tc>
          <w:tcPr>
            <w:tcW w:w="423" w:type="pct"/>
          </w:tcPr>
          <w:p w14:paraId="18249DC4">
            <w:pPr>
              <w:jc w:val="center"/>
              <w:rPr>
                <w:rFonts w:ascii="Times New Roman" w:hAnsi="Times New Roman"/>
                <w:color w:val="000000" w:themeColor="text1"/>
                <w:sz w:val="18"/>
                <w:szCs w:val="18"/>
                <w14:textFill>
                  <w14:solidFill>
                    <w14:schemeClr w14:val="tx1"/>
                  </w14:solidFill>
                </w14:textFill>
              </w:rPr>
            </w:pPr>
          </w:p>
        </w:tc>
        <w:tc>
          <w:tcPr>
            <w:tcW w:w="284" w:type="pct"/>
          </w:tcPr>
          <w:p w14:paraId="4FC538C0">
            <w:pPr>
              <w:jc w:val="center"/>
              <w:rPr>
                <w:rFonts w:ascii="Times New Roman" w:hAnsi="Times New Roman"/>
                <w:color w:val="000000" w:themeColor="text1"/>
                <w:sz w:val="18"/>
                <w:szCs w:val="18"/>
                <w14:textFill>
                  <w14:solidFill>
                    <w14:schemeClr w14:val="tx1"/>
                  </w14:solidFill>
                </w14:textFill>
              </w:rPr>
            </w:pPr>
          </w:p>
        </w:tc>
      </w:tr>
    </w:tbl>
    <w:p w14:paraId="2C913C12">
      <w:pPr>
        <w:pStyle w:val="97"/>
        <w:spacing w:before="120" w:after="120"/>
      </w:pPr>
      <w:r>
        <w:t>天然气物性及化学组成表</w:t>
      </w:r>
    </w:p>
    <w:tbl>
      <w:tblPr>
        <w:tblStyle w:val="3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97"/>
        <w:gridCol w:w="826"/>
        <w:gridCol w:w="461"/>
        <w:gridCol w:w="422"/>
        <w:gridCol w:w="339"/>
        <w:gridCol w:w="319"/>
        <w:gridCol w:w="410"/>
        <w:gridCol w:w="335"/>
        <w:gridCol w:w="332"/>
        <w:gridCol w:w="352"/>
        <w:gridCol w:w="440"/>
        <w:gridCol w:w="495"/>
        <w:gridCol w:w="573"/>
        <w:gridCol w:w="624"/>
        <w:gridCol w:w="716"/>
        <w:gridCol w:w="742"/>
        <w:gridCol w:w="652"/>
        <w:gridCol w:w="929"/>
      </w:tblGrid>
      <w:tr w14:paraId="54085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9" w:hRule="atLeast"/>
        </w:trPr>
        <w:tc>
          <w:tcPr>
            <w:tcW w:w="212" w:type="pct"/>
            <w:vMerge w:val="restart"/>
            <w:vAlign w:val="center"/>
          </w:tcPr>
          <w:p w14:paraId="5ABA44A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441" w:type="pct"/>
            <w:vMerge w:val="restart"/>
            <w:vAlign w:val="center"/>
          </w:tcPr>
          <w:p w14:paraId="36E954E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气源</w:t>
            </w:r>
          </w:p>
        </w:tc>
        <w:tc>
          <w:tcPr>
            <w:tcW w:w="246" w:type="pct"/>
            <w:vMerge w:val="restart"/>
            <w:vAlign w:val="center"/>
          </w:tcPr>
          <w:p w14:paraId="306BC4C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相对</w:t>
            </w:r>
          </w:p>
          <w:p w14:paraId="3169582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密度</w:t>
            </w:r>
          </w:p>
        </w:tc>
        <w:tc>
          <w:tcPr>
            <w:tcW w:w="225" w:type="pct"/>
            <w:vAlign w:val="center"/>
          </w:tcPr>
          <w:p w14:paraId="31683AD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w:t>
            </w:r>
            <w:r>
              <w:rPr>
                <w:rFonts w:ascii="Times New Roman" w:hAnsi="Times New Roman"/>
                <w:color w:val="000000" w:themeColor="text1"/>
                <w:sz w:val="18"/>
                <w:szCs w:val="18"/>
                <w:vertAlign w:val="subscript"/>
                <w14:textFill>
                  <w14:solidFill>
                    <w14:schemeClr w14:val="tx1"/>
                  </w14:solidFill>
                </w14:textFill>
              </w:rPr>
              <w:t>1</w:t>
            </w:r>
          </w:p>
        </w:tc>
        <w:tc>
          <w:tcPr>
            <w:tcW w:w="181" w:type="pct"/>
            <w:vAlign w:val="center"/>
          </w:tcPr>
          <w:p w14:paraId="06A6466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w:t>
            </w:r>
            <w:r>
              <w:rPr>
                <w:rFonts w:ascii="Times New Roman" w:hAnsi="Times New Roman"/>
                <w:color w:val="000000" w:themeColor="text1"/>
                <w:sz w:val="18"/>
                <w:szCs w:val="18"/>
                <w:vertAlign w:val="subscript"/>
                <w14:textFill>
                  <w14:solidFill>
                    <w14:schemeClr w14:val="tx1"/>
                  </w14:solidFill>
                </w14:textFill>
              </w:rPr>
              <w:t>2</w:t>
            </w:r>
          </w:p>
        </w:tc>
        <w:tc>
          <w:tcPr>
            <w:tcW w:w="170" w:type="pct"/>
            <w:vAlign w:val="center"/>
          </w:tcPr>
          <w:p w14:paraId="33E8111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w:t>
            </w:r>
            <w:r>
              <w:rPr>
                <w:rFonts w:ascii="Times New Roman" w:hAnsi="Times New Roman"/>
                <w:color w:val="000000" w:themeColor="text1"/>
                <w:sz w:val="18"/>
                <w:szCs w:val="18"/>
                <w:vertAlign w:val="subscript"/>
                <w14:textFill>
                  <w14:solidFill>
                    <w14:schemeClr w14:val="tx1"/>
                  </w14:solidFill>
                </w14:textFill>
              </w:rPr>
              <w:t>3</w:t>
            </w:r>
          </w:p>
        </w:tc>
        <w:tc>
          <w:tcPr>
            <w:tcW w:w="219" w:type="pct"/>
            <w:vAlign w:val="center"/>
          </w:tcPr>
          <w:p w14:paraId="68E4B59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iC</w:t>
            </w:r>
            <w:r>
              <w:rPr>
                <w:rFonts w:ascii="Times New Roman" w:hAnsi="Times New Roman"/>
                <w:color w:val="000000" w:themeColor="text1"/>
                <w:sz w:val="18"/>
                <w:szCs w:val="18"/>
                <w:vertAlign w:val="subscript"/>
                <w14:textFill>
                  <w14:solidFill>
                    <w14:schemeClr w14:val="tx1"/>
                  </w14:solidFill>
                </w14:textFill>
              </w:rPr>
              <w:t>4</w:t>
            </w:r>
          </w:p>
        </w:tc>
        <w:tc>
          <w:tcPr>
            <w:tcW w:w="179" w:type="pct"/>
            <w:vAlign w:val="center"/>
          </w:tcPr>
          <w:p w14:paraId="29171C9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w:t>
            </w:r>
            <w:r>
              <w:rPr>
                <w:rFonts w:ascii="Times New Roman" w:hAnsi="Times New Roman"/>
                <w:color w:val="000000" w:themeColor="text1"/>
                <w:sz w:val="18"/>
                <w:szCs w:val="18"/>
                <w:vertAlign w:val="subscript"/>
                <w14:textFill>
                  <w14:solidFill>
                    <w14:schemeClr w14:val="tx1"/>
                  </w14:solidFill>
                </w14:textFill>
              </w:rPr>
              <w:t>5+</w:t>
            </w:r>
          </w:p>
        </w:tc>
        <w:tc>
          <w:tcPr>
            <w:tcW w:w="177" w:type="pct"/>
            <w:vAlign w:val="center"/>
          </w:tcPr>
          <w:p w14:paraId="76B1030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CO</w:t>
            </w:r>
            <w:r>
              <w:rPr>
                <w:rFonts w:ascii="Times New Roman" w:hAnsi="Times New Roman"/>
                <w:color w:val="000000" w:themeColor="text1"/>
                <w:sz w:val="18"/>
                <w:szCs w:val="18"/>
                <w:vertAlign w:val="subscript"/>
                <w14:textFill>
                  <w14:solidFill>
                    <w14:schemeClr w14:val="tx1"/>
                  </w14:solidFill>
                </w14:textFill>
              </w:rPr>
              <w:t>2</w:t>
            </w:r>
          </w:p>
        </w:tc>
        <w:tc>
          <w:tcPr>
            <w:tcW w:w="188" w:type="pct"/>
            <w:vAlign w:val="center"/>
          </w:tcPr>
          <w:p w14:paraId="7FCD2D0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w:t>
            </w:r>
            <w:r>
              <w:rPr>
                <w:rFonts w:ascii="Times New Roman" w:hAnsi="Times New Roman"/>
                <w:color w:val="000000" w:themeColor="text1"/>
                <w:sz w:val="18"/>
                <w:szCs w:val="18"/>
                <w:vertAlign w:val="subscript"/>
                <w14:textFill>
                  <w14:solidFill>
                    <w14:schemeClr w14:val="tx1"/>
                  </w14:solidFill>
                </w14:textFill>
              </w:rPr>
              <w:t>2</w:t>
            </w:r>
          </w:p>
        </w:tc>
        <w:tc>
          <w:tcPr>
            <w:tcW w:w="235" w:type="pct"/>
            <w:vAlign w:val="center"/>
          </w:tcPr>
          <w:p w14:paraId="7D44721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其它</w:t>
            </w:r>
          </w:p>
        </w:tc>
        <w:tc>
          <w:tcPr>
            <w:tcW w:w="263" w:type="pct"/>
            <w:vAlign w:val="center"/>
          </w:tcPr>
          <w:p w14:paraId="45D946B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组分合计</w:t>
            </w:r>
          </w:p>
        </w:tc>
        <w:tc>
          <w:tcPr>
            <w:tcW w:w="306" w:type="pct"/>
            <w:vAlign w:val="center"/>
          </w:tcPr>
          <w:p w14:paraId="3B7A2E5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H</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S</w:t>
            </w:r>
          </w:p>
        </w:tc>
        <w:tc>
          <w:tcPr>
            <w:tcW w:w="333" w:type="pct"/>
            <w:vAlign w:val="center"/>
          </w:tcPr>
          <w:p w14:paraId="5950E6B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有机硫</w:t>
            </w:r>
          </w:p>
        </w:tc>
        <w:tc>
          <w:tcPr>
            <w:tcW w:w="382" w:type="pct"/>
            <w:vAlign w:val="center"/>
          </w:tcPr>
          <w:p w14:paraId="0FAF16C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高位</w:t>
            </w:r>
          </w:p>
          <w:p w14:paraId="4B08A6A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发热量</w:t>
            </w:r>
          </w:p>
        </w:tc>
        <w:tc>
          <w:tcPr>
            <w:tcW w:w="396" w:type="pct"/>
            <w:vAlign w:val="center"/>
          </w:tcPr>
          <w:p w14:paraId="25EE4BE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低位</w:t>
            </w:r>
          </w:p>
          <w:p w14:paraId="41E1D03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发热量</w:t>
            </w:r>
          </w:p>
        </w:tc>
        <w:tc>
          <w:tcPr>
            <w:tcW w:w="348" w:type="pct"/>
            <w:vAlign w:val="center"/>
          </w:tcPr>
          <w:p w14:paraId="0EFD301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烃露点</w:t>
            </w:r>
          </w:p>
        </w:tc>
        <w:tc>
          <w:tcPr>
            <w:tcW w:w="496" w:type="pct"/>
            <w:vAlign w:val="center"/>
          </w:tcPr>
          <w:p w14:paraId="222A83A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水露点</w:t>
            </w:r>
          </w:p>
        </w:tc>
      </w:tr>
      <w:tr w14:paraId="7F620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2" w:type="pct"/>
            <w:vMerge w:val="continue"/>
            <w:vAlign w:val="center"/>
          </w:tcPr>
          <w:p w14:paraId="5FF6EEAE">
            <w:pPr>
              <w:jc w:val="center"/>
              <w:rPr>
                <w:rFonts w:ascii="Times New Roman" w:hAnsi="Times New Roman"/>
                <w:color w:val="000000" w:themeColor="text1"/>
                <w:sz w:val="18"/>
                <w:szCs w:val="18"/>
                <w14:textFill>
                  <w14:solidFill>
                    <w14:schemeClr w14:val="tx1"/>
                  </w14:solidFill>
                </w14:textFill>
              </w:rPr>
            </w:pPr>
          </w:p>
        </w:tc>
        <w:tc>
          <w:tcPr>
            <w:tcW w:w="441" w:type="pct"/>
            <w:vMerge w:val="continue"/>
            <w:vAlign w:val="center"/>
          </w:tcPr>
          <w:p w14:paraId="1F2F6F7E">
            <w:pPr>
              <w:jc w:val="center"/>
              <w:rPr>
                <w:rFonts w:ascii="Times New Roman" w:hAnsi="Times New Roman"/>
                <w:color w:val="000000" w:themeColor="text1"/>
                <w:sz w:val="18"/>
                <w:szCs w:val="18"/>
                <w14:textFill>
                  <w14:solidFill>
                    <w14:schemeClr w14:val="tx1"/>
                  </w14:solidFill>
                </w14:textFill>
              </w:rPr>
            </w:pPr>
          </w:p>
        </w:tc>
        <w:tc>
          <w:tcPr>
            <w:tcW w:w="246" w:type="pct"/>
            <w:vMerge w:val="continue"/>
            <w:vAlign w:val="center"/>
          </w:tcPr>
          <w:p w14:paraId="79D4E5EC">
            <w:pPr>
              <w:jc w:val="center"/>
              <w:rPr>
                <w:rFonts w:ascii="Times New Roman" w:hAnsi="Times New Roman"/>
                <w:color w:val="000000" w:themeColor="text1"/>
                <w:sz w:val="18"/>
                <w:szCs w:val="18"/>
                <w14:textFill>
                  <w14:solidFill>
                    <w14:schemeClr w14:val="tx1"/>
                  </w14:solidFill>
                </w14:textFill>
              </w:rPr>
            </w:pPr>
          </w:p>
        </w:tc>
        <w:tc>
          <w:tcPr>
            <w:tcW w:w="1838" w:type="pct"/>
            <w:gridSpan w:val="9"/>
            <w:vAlign w:val="center"/>
          </w:tcPr>
          <w:p w14:paraId="778594E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摩尔分数，%</w:t>
            </w:r>
          </w:p>
        </w:tc>
        <w:tc>
          <w:tcPr>
            <w:tcW w:w="306" w:type="pct"/>
            <w:vAlign w:val="center"/>
          </w:tcPr>
          <w:p w14:paraId="5AAF549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mg/m</w:t>
            </w:r>
            <w:r>
              <w:rPr>
                <w:rFonts w:ascii="Times New Roman" w:hAnsi="Times New Roman"/>
                <w:color w:val="000000" w:themeColor="text1"/>
                <w:sz w:val="18"/>
                <w:szCs w:val="18"/>
                <w:vertAlign w:val="superscript"/>
                <w14:textFill>
                  <w14:solidFill>
                    <w14:schemeClr w14:val="tx1"/>
                  </w14:solidFill>
                </w14:textFill>
              </w:rPr>
              <w:t>3</w:t>
            </w:r>
          </w:p>
        </w:tc>
        <w:tc>
          <w:tcPr>
            <w:tcW w:w="333" w:type="pct"/>
            <w:vAlign w:val="center"/>
          </w:tcPr>
          <w:p w14:paraId="134CEE8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mg/m</w:t>
            </w:r>
            <w:r>
              <w:rPr>
                <w:rFonts w:ascii="Times New Roman" w:hAnsi="Times New Roman"/>
                <w:color w:val="000000" w:themeColor="text1"/>
                <w:sz w:val="18"/>
                <w:szCs w:val="18"/>
                <w:vertAlign w:val="superscript"/>
                <w14:textFill>
                  <w14:solidFill>
                    <w14:schemeClr w14:val="tx1"/>
                  </w14:solidFill>
                </w14:textFill>
              </w:rPr>
              <w:t>3</w:t>
            </w:r>
          </w:p>
        </w:tc>
        <w:tc>
          <w:tcPr>
            <w:tcW w:w="382" w:type="pct"/>
            <w:vAlign w:val="center"/>
          </w:tcPr>
          <w:p w14:paraId="0966E04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MJ/m</w:t>
            </w:r>
            <w:r>
              <w:rPr>
                <w:rFonts w:ascii="Times New Roman" w:hAnsi="Times New Roman"/>
                <w:color w:val="000000" w:themeColor="text1"/>
                <w:sz w:val="18"/>
                <w:szCs w:val="18"/>
                <w:vertAlign w:val="superscript"/>
                <w14:textFill>
                  <w14:solidFill>
                    <w14:schemeClr w14:val="tx1"/>
                  </w14:solidFill>
                </w14:textFill>
              </w:rPr>
              <w:t>3</w:t>
            </w:r>
          </w:p>
        </w:tc>
        <w:tc>
          <w:tcPr>
            <w:tcW w:w="396" w:type="pct"/>
            <w:vAlign w:val="center"/>
          </w:tcPr>
          <w:p w14:paraId="4AB6984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MJ/m</w:t>
            </w:r>
            <w:r>
              <w:rPr>
                <w:rFonts w:ascii="Times New Roman" w:hAnsi="Times New Roman"/>
                <w:color w:val="000000" w:themeColor="text1"/>
                <w:sz w:val="18"/>
                <w:szCs w:val="18"/>
                <w:vertAlign w:val="superscript"/>
                <w14:textFill>
                  <w14:solidFill>
                    <w14:schemeClr w14:val="tx1"/>
                  </w14:solidFill>
                </w14:textFill>
              </w:rPr>
              <w:t>3</w:t>
            </w:r>
          </w:p>
        </w:tc>
        <w:tc>
          <w:tcPr>
            <w:tcW w:w="348" w:type="pct"/>
            <w:vAlign w:val="center"/>
          </w:tcPr>
          <w:p w14:paraId="59FB994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96" w:type="pct"/>
            <w:vAlign w:val="center"/>
          </w:tcPr>
          <w:p w14:paraId="2434245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r>
      <w:tr w14:paraId="09542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12" w:type="pct"/>
            <w:vAlign w:val="center"/>
          </w:tcPr>
          <w:p w14:paraId="6E40664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441" w:type="pct"/>
            <w:vAlign w:val="center"/>
          </w:tcPr>
          <w:p w14:paraId="37A018B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14:textFill>
                  <w14:solidFill>
                    <w14:schemeClr w14:val="tx1"/>
                  </w14:solidFill>
                </w14:textFill>
              </w:rPr>
              <w:t>××气源</w:t>
            </w:r>
          </w:p>
        </w:tc>
        <w:tc>
          <w:tcPr>
            <w:tcW w:w="246" w:type="pct"/>
            <w:vAlign w:val="center"/>
          </w:tcPr>
          <w:p w14:paraId="13E01DFD">
            <w:pPr>
              <w:jc w:val="center"/>
              <w:rPr>
                <w:rFonts w:ascii="Times New Roman" w:hAnsi="Times New Roman"/>
                <w:color w:val="000000" w:themeColor="text1"/>
                <w:sz w:val="18"/>
                <w:szCs w:val="18"/>
                <w14:textFill>
                  <w14:solidFill>
                    <w14:schemeClr w14:val="tx1"/>
                  </w14:solidFill>
                </w14:textFill>
              </w:rPr>
            </w:pPr>
          </w:p>
        </w:tc>
        <w:tc>
          <w:tcPr>
            <w:tcW w:w="225" w:type="pct"/>
            <w:vAlign w:val="center"/>
          </w:tcPr>
          <w:p w14:paraId="17EB24AA">
            <w:pPr>
              <w:jc w:val="center"/>
              <w:rPr>
                <w:rFonts w:ascii="Times New Roman" w:hAnsi="Times New Roman"/>
                <w:color w:val="000000" w:themeColor="text1"/>
                <w:sz w:val="18"/>
                <w:szCs w:val="18"/>
                <w14:textFill>
                  <w14:solidFill>
                    <w14:schemeClr w14:val="tx1"/>
                  </w14:solidFill>
                </w14:textFill>
              </w:rPr>
            </w:pPr>
          </w:p>
        </w:tc>
        <w:tc>
          <w:tcPr>
            <w:tcW w:w="181" w:type="pct"/>
            <w:vAlign w:val="center"/>
          </w:tcPr>
          <w:p w14:paraId="32EA589D">
            <w:pPr>
              <w:jc w:val="center"/>
              <w:rPr>
                <w:rFonts w:ascii="Times New Roman" w:hAnsi="Times New Roman"/>
                <w:color w:val="000000" w:themeColor="text1"/>
                <w:sz w:val="18"/>
                <w:szCs w:val="18"/>
                <w14:textFill>
                  <w14:solidFill>
                    <w14:schemeClr w14:val="tx1"/>
                  </w14:solidFill>
                </w14:textFill>
              </w:rPr>
            </w:pPr>
          </w:p>
        </w:tc>
        <w:tc>
          <w:tcPr>
            <w:tcW w:w="170" w:type="pct"/>
            <w:vAlign w:val="center"/>
          </w:tcPr>
          <w:p w14:paraId="6356441E">
            <w:pPr>
              <w:jc w:val="center"/>
              <w:rPr>
                <w:rFonts w:ascii="Times New Roman" w:hAnsi="Times New Roman"/>
                <w:color w:val="000000" w:themeColor="text1"/>
                <w:sz w:val="18"/>
                <w:szCs w:val="18"/>
                <w14:textFill>
                  <w14:solidFill>
                    <w14:schemeClr w14:val="tx1"/>
                  </w14:solidFill>
                </w14:textFill>
              </w:rPr>
            </w:pPr>
          </w:p>
        </w:tc>
        <w:tc>
          <w:tcPr>
            <w:tcW w:w="219" w:type="pct"/>
            <w:vAlign w:val="center"/>
          </w:tcPr>
          <w:p w14:paraId="7F801EDE">
            <w:pPr>
              <w:jc w:val="center"/>
              <w:rPr>
                <w:rFonts w:ascii="Times New Roman" w:hAnsi="Times New Roman"/>
                <w:color w:val="000000" w:themeColor="text1"/>
                <w:sz w:val="18"/>
                <w:szCs w:val="18"/>
                <w14:textFill>
                  <w14:solidFill>
                    <w14:schemeClr w14:val="tx1"/>
                  </w14:solidFill>
                </w14:textFill>
              </w:rPr>
            </w:pPr>
          </w:p>
        </w:tc>
        <w:tc>
          <w:tcPr>
            <w:tcW w:w="179" w:type="pct"/>
            <w:vAlign w:val="center"/>
          </w:tcPr>
          <w:p w14:paraId="712D2108">
            <w:pPr>
              <w:jc w:val="center"/>
              <w:rPr>
                <w:rFonts w:ascii="Times New Roman" w:hAnsi="Times New Roman"/>
                <w:color w:val="000000" w:themeColor="text1"/>
                <w:sz w:val="18"/>
                <w:szCs w:val="18"/>
                <w14:textFill>
                  <w14:solidFill>
                    <w14:schemeClr w14:val="tx1"/>
                  </w14:solidFill>
                </w14:textFill>
              </w:rPr>
            </w:pPr>
          </w:p>
        </w:tc>
        <w:tc>
          <w:tcPr>
            <w:tcW w:w="177" w:type="pct"/>
            <w:vAlign w:val="center"/>
          </w:tcPr>
          <w:p w14:paraId="6B592FCE">
            <w:pPr>
              <w:jc w:val="center"/>
              <w:rPr>
                <w:rFonts w:ascii="Times New Roman" w:hAnsi="Times New Roman"/>
                <w:color w:val="000000" w:themeColor="text1"/>
                <w:sz w:val="18"/>
                <w:szCs w:val="18"/>
                <w14:textFill>
                  <w14:solidFill>
                    <w14:schemeClr w14:val="tx1"/>
                  </w14:solidFill>
                </w14:textFill>
              </w:rPr>
            </w:pPr>
          </w:p>
        </w:tc>
        <w:tc>
          <w:tcPr>
            <w:tcW w:w="188" w:type="pct"/>
            <w:vAlign w:val="center"/>
          </w:tcPr>
          <w:p w14:paraId="578BF46F">
            <w:pPr>
              <w:jc w:val="center"/>
              <w:rPr>
                <w:rFonts w:ascii="Times New Roman" w:hAnsi="Times New Roman"/>
                <w:color w:val="000000" w:themeColor="text1"/>
                <w:sz w:val="18"/>
                <w:szCs w:val="18"/>
                <w14:textFill>
                  <w14:solidFill>
                    <w14:schemeClr w14:val="tx1"/>
                  </w14:solidFill>
                </w14:textFill>
              </w:rPr>
            </w:pPr>
          </w:p>
        </w:tc>
        <w:tc>
          <w:tcPr>
            <w:tcW w:w="235" w:type="pct"/>
            <w:vAlign w:val="center"/>
          </w:tcPr>
          <w:p w14:paraId="2F2D373E">
            <w:pPr>
              <w:jc w:val="center"/>
              <w:rPr>
                <w:rFonts w:ascii="Times New Roman" w:hAnsi="Times New Roman"/>
                <w:color w:val="000000" w:themeColor="text1"/>
                <w:sz w:val="18"/>
                <w:szCs w:val="18"/>
                <w14:textFill>
                  <w14:solidFill>
                    <w14:schemeClr w14:val="tx1"/>
                  </w14:solidFill>
                </w14:textFill>
              </w:rPr>
            </w:pPr>
          </w:p>
        </w:tc>
        <w:tc>
          <w:tcPr>
            <w:tcW w:w="263" w:type="pct"/>
            <w:vAlign w:val="center"/>
          </w:tcPr>
          <w:p w14:paraId="74AD1518">
            <w:pPr>
              <w:jc w:val="center"/>
              <w:rPr>
                <w:rFonts w:ascii="Times New Roman" w:hAnsi="Times New Roman"/>
                <w:color w:val="000000" w:themeColor="text1"/>
                <w:sz w:val="18"/>
                <w:szCs w:val="18"/>
                <w14:textFill>
                  <w14:solidFill>
                    <w14:schemeClr w14:val="tx1"/>
                  </w14:solidFill>
                </w14:textFill>
              </w:rPr>
            </w:pPr>
          </w:p>
        </w:tc>
        <w:tc>
          <w:tcPr>
            <w:tcW w:w="306" w:type="pct"/>
            <w:vAlign w:val="center"/>
          </w:tcPr>
          <w:p w14:paraId="2F0F362D">
            <w:pPr>
              <w:jc w:val="center"/>
              <w:rPr>
                <w:rFonts w:ascii="Times New Roman" w:hAnsi="Times New Roman"/>
                <w:color w:val="000000" w:themeColor="text1"/>
                <w:sz w:val="18"/>
                <w:szCs w:val="18"/>
                <w14:textFill>
                  <w14:solidFill>
                    <w14:schemeClr w14:val="tx1"/>
                  </w14:solidFill>
                </w14:textFill>
              </w:rPr>
            </w:pPr>
          </w:p>
        </w:tc>
        <w:tc>
          <w:tcPr>
            <w:tcW w:w="333" w:type="pct"/>
            <w:vAlign w:val="center"/>
          </w:tcPr>
          <w:p w14:paraId="759E2AF2">
            <w:pPr>
              <w:jc w:val="center"/>
              <w:rPr>
                <w:rFonts w:ascii="Times New Roman" w:hAnsi="Times New Roman"/>
                <w:color w:val="000000" w:themeColor="text1"/>
                <w:sz w:val="18"/>
                <w:szCs w:val="18"/>
                <w14:textFill>
                  <w14:solidFill>
                    <w14:schemeClr w14:val="tx1"/>
                  </w14:solidFill>
                </w14:textFill>
              </w:rPr>
            </w:pPr>
          </w:p>
        </w:tc>
        <w:tc>
          <w:tcPr>
            <w:tcW w:w="382" w:type="pct"/>
            <w:vAlign w:val="center"/>
          </w:tcPr>
          <w:p w14:paraId="4FE27482">
            <w:pPr>
              <w:jc w:val="center"/>
              <w:rPr>
                <w:rFonts w:ascii="Times New Roman" w:hAnsi="Times New Roman"/>
                <w:color w:val="000000" w:themeColor="text1"/>
                <w:sz w:val="18"/>
                <w:szCs w:val="18"/>
                <w14:textFill>
                  <w14:solidFill>
                    <w14:schemeClr w14:val="tx1"/>
                  </w14:solidFill>
                </w14:textFill>
              </w:rPr>
            </w:pPr>
          </w:p>
        </w:tc>
        <w:tc>
          <w:tcPr>
            <w:tcW w:w="396" w:type="pct"/>
            <w:vAlign w:val="center"/>
          </w:tcPr>
          <w:p w14:paraId="3D9C7CF6">
            <w:pPr>
              <w:jc w:val="center"/>
              <w:rPr>
                <w:rFonts w:ascii="Times New Roman" w:hAnsi="Times New Roman"/>
                <w:color w:val="000000" w:themeColor="text1"/>
                <w:sz w:val="18"/>
                <w:szCs w:val="18"/>
                <w14:textFill>
                  <w14:solidFill>
                    <w14:schemeClr w14:val="tx1"/>
                  </w14:solidFill>
                </w14:textFill>
              </w:rPr>
            </w:pPr>
          </w:p>
        </w:tc>
        <w:tc>
          <w:tcPr>
            <w:tcW w:w="348" w:type="pct"/>
            <w:vAlign w:val="center"/>
          </w:tcPr>
          <w:p w14:paraId="3772CC20">
            <w:pPr>
              <w:jc w:val="center"/>
              <w:rPr>
                <w:rFonts w:ascii="Times New Roman" w:hAnsi="Times New Roman"/>
                <w:color w:val="000000" w:themeColor="text1"/>
                <w:sz w:val="18"/>
                <w:szCs w:val="18"/>
                <w14:textFill>
                  <w14:solidFill>
                    <w14:schemeClr w14:val="tx1"/>
                  </w14:solidFill>
                </w14:textFill>
              </w:rPr>
            </w:pPr>
          </w:p>
        </w:tc>
        <w:tc>
          <w:tcPr>
            <w:tcW w:w="496" w:type="pct"/>
            <w:vAlign w:val="center"/>
          </w:tcPr>
          <w:p w14:paraId="4A0DAA89">
            <w:pPr>
              <w:jc w:val="center"/>
              <w:rPr>
                <w:rFonts w:ascii="Times New Roman" w:hAnsi="Times New Roman"/>
                <w:color w:val="000000" w:themeColor="text1"/>
                <w:sz w:val="18"/>
                <w:szCs w:val="18"/>
                <w14:textFill>
                  <w14:solidFill>
                    <w14:schemeClr w14:val="tx1"/>
                  </w14:solidFill>
                </w14:textFill>
              </w:rPr>
            </w:pPr>
          </w:p>
        </w:tc>
      </w:tr>
      <w:tr w14:paraId="64081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12" w:type="pct"/>
            <w:vAlign w:val="center"/>
          </w:tcPr>
          <w:p w14:paraId="7D14BBC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441" w:type="pct"/>
            <w:vAlign w:val="center"/>
          </w:tcPr>
          <w:p w14:paraId="1F741CE1">
            <w:pPr>
              <w:jc w:val="center"/>
              <w:rPr>
                <w:rFonts w:ascii="Times New Roman" w:hAnsi="Times New Roman"/>
                <w:color w:val="000000" w:themeColor="text1"/>
                <w:sz w:val="18"/>
                <w:szCs w:val="18"/>
                <w14:textFill>
                  <w14:solidFill>
                    <w14:schemeClr w14:val="tx1"/>
                  </w14:solidFill>
                </w14:textFill>
              </w:rPr>
            </w:pPr>
          </w:p>
        </w:tc>
        <w:tc>
          <w:tcPr>
            <w:tcW w:w="246" w:type="pct"/>
            <w:vAlign w:val="center"/>
          </w:tcPr>
          <w:p w14:paraId="4484B316">
            <w:pPr>
              <w:jc w:val="center"/>
              <w:rPr>
                <w:rFonts w:ascii="Times New Roman" w:hAnsi="Times New Roman"/>
                <w:color w:val="000000" w:themeColor="text1"/>
                <w:sz w:val="18"/>
                <w:szCs w:val="18"/>
                <w14:textFill>
                  <w14:solidFill>
                    <w14:schemeClr w14:val="tx1"/>
                  </w14:solidFill>
                </w14:textFill>
              </w:rPr>
            </w:pPr>
          </w:p>
        </w:tc>
        <w:tc>
          <w:tcPr>
            <w:tcW w:w="225" w:type="pct"/>
            <w:vAlign w:val="center"/>
          </w:tcPr>
          <w:p w14:paraId="31D73A8B">
            <w:pPr>
              <w:jc w:val="center"/>
              <w:rPr>
                <w:rFonts w:ascii="Times New Roman" w:hAnsi="Times New Roman"/>
                <w:color w:val="000000" w:themeColor="text1"/>
                <w:sz w:val="18"/>
                <w:szCs w:val="18"/>
                <w14:textFill>
                  <w14:solidFill>
                    <w14:schemeClr w14:val="tx1"/>
                  </w14:solidFill>
                </w14:textFill>
              </w:rPr>
            </w:pPr>
          </w:p>
        </w:tc>
        <w:tc>
          <w:tcPr>
            <w:tcW w:w="181" w:type="pct"/>
            <w:vAlign w:val="center"/>
          </w:tcPr>
          <w:p w14:paraId="28EDC163">
            <w:pPr>
              <w:jc w:val="center"/>
              <w:rPr>
                <w:rFonts w:ascii="Times New Roman" w:hAnsi="Times New Roman"/>
                <w:color w:val="000000" w:themeColor="text1"/>
                <w:sz w:val="18"/>
                <w:szCs w:val="18"/>
                <w14:textFill>
                  <w14:solidFill>
                    <w14:schemeClr w14:val="tx1"/>
                  </w14:solidFill>
                </w14:textFill>
              </w:rPr>
            </w:pPr>
          </w:p>
        </w:tc>
        <w:tc>
          <w:tcPr>
            <w:tcW w:w="170" w:type="pct"/>
            <w:vAlign w:val="center"/>
          </w:tcPr>
          <w:p w14:paraId="4420B31B">
            <w:pPr>
              <w:jc w:val="center"/>
              <w:rPr>
                <w:rFonts w:ascii="Times New Roman" w:hAnsi="Times New Roman"/>
                <w:color w:val="000000" w:themeColor="text1"/>
                <w:sz w:val="18"/>
                <w:szCs w:val="18"/>
                <w14:textFill>
                  <w14:solidFill>
                    <w14:schemeClr w14:val="tx1"/>
                  </w14:solidFill>
                </w14:textFill>
              </w:rPr>
            </w:pPr>
          </w:p>
        </w:tc>
        <w:tc>
          <w:tcPr>
            <w:tcW w:w="219" w:type="pct"/>
            <w:vAlign w:val="center"/>
          </w:tcPr>
          <w:p w14:paraId="3583D8DE">
            <w:pPr>
              <w:jc w:val="center"/>
              <w:rPr>
                <w:rFonts w:ascii="Times New Roman" w:hAnsi="Times New Roman"/>
                <w:color w:val="000000" w:themeColor="text1"/>
                <w:sz w:val="18"/>
                <w:szCs w:val="18"/>
                <w14:textFill>
                  <w14:solidFill>
                    <w14:schemeClr w14:val="tx1"/>
                  </w14:solidFill>
                </w14:textFill>
              </w:rPr>
            </w:pPr>
          </w:p>
        </w:tc>
        <w:tc>
          <w:tcPr>
            <w:tcW w:w="179" w:type="pct"/>
            <w:vAlign w:val="center"/>
          </w:tcPr>
          <w:p w14:paraId="1E23901F">
            <w:pPr>
              <w:jc w:val="center"/>
              <w:rPr>
                <w:rFonts w:ascii="Times New Roman" w:hAnsi="Times New Roman"/>
                <w:color w:val="000000" w:themeColor="text1"/>
                <w:sz w:val="18"/>
                <w:szCs w:val="18"/>
                <w14:textFill>
                  <w14:solidFill>
                    <w14:schemeClr w14:val="tx1"/>
                  </w14:solidFill>
                </w14:textFill>
              </w:rPr>
            </w:pPr>
          </w:p>
        </w:tc>
        <w:tc>
          <w:tcPr>
            <w:tcW w:w="177" w:type="pct"/>
            <w:vAlign w:val="center"/>
          </w:tcPr>
          <w:p w14:paraId="555CB613">
            <w:pPr>
              <w:jc w:val="center"/>
              <w:rPr>
                <w:rFonts w:ascii="Times New Roman" w:hAnsi="Times New Roman"/>
                <w:color w:val="000000" w:themeColor="text1"/>
                <w:sz w:val="18"/>
                <w:szCs w:val="18"/>
                <w14:textFill>
                  <w14:solidFill>
                    <w14:schemeClr w14:val="tx1"/>
                  </w14:solidFill>
                </w14:textFill>
              </w:rPr>
            </w:pPr>
          </w:p>
        </w:tc>
        <w:tc>
          <w:tcPr>
            <w:tcW w:w="188" w:type="pct"/>
            <w:vAlign w:val="center"/>
          </w:tcPr>
          <w:p w14:paraId="60C1D54F">
            <w:pPr>
              <w:jc w:val="center"/>
              <w:rPr>
                <w:rFonts w:ascii="Times New Roman" w:hAnsi="Times New Roman"/>
                <w:color w:val="000000" w:themeColor="text1"/>
                <w:sz w:val="18"/>
                <w:szCs w:val="18"/>
                <w14:textFill>
                  <w14:solidFill>
                    <w14:schemeClr w14:val="tx1"/>
                  </w14:solidFill>
                </w14:textFill>
              </w:rPr>
            </w:pPr>
          </w:p>
        </w:tc>
        <w:tc>
          <w:tcPr>
            <w:tcW w:w="235" w:type="pct"/>
            <w:vAlign w:val="center"/>
          </w:tcPr>
          <w:p w14:paraId="072132CF">
            <w:pPr>
              <w:jc w:val="center"/>
              <w:rPr>
                <w:rFonts w:ascii="Times New Roman" w:hAnsi="Times New Roman"/>
                <w:color w:val="000000" w:themeColor="text1"/>
                <w:sz w:val="18"/>
                <w:szCs w:val="18"/>
                <w14:textFill>
                  <w14:solidFill>
                    <w14:schemeClr w14:val="tx1"/>
                  </w14:solidFill>
                </w14:textFill>
              </w:rPr>
            </w:pPr>
          </w:p>
        </w:tc>
        <w:tc>
          <w:tcPr>
            <w:tcW w:w="263" w:type="pct"/>
            <w:vAlign w:val="center"/>
          </w:tcPr>
          <w:p w14:paraId="1FA6F363">
            <w:pPr>
              <w:jc w:val="center"/>
              <w:rPr>
                <w:rFonts w:ascii="Times New Roman" w:hAnsi="Times New Roman"/>
                <w:color w:val="000000" w:themeColor="text1"/>
                <w:sz w:val="18"/>
                <w:szCs w:val="18"/>
                <w14:textFill>
                  <w14:solidFill>
                    <w14:schemeClr w14:val="tx1"/>
                  </w14:solidFill>
                </w14:textFill>
              </w:rPr>
            </w:pPr>
          </w:p>
        </w:tc>
        <w:tc>
          <w:tcPr>
            <w:tcW w:w="306" w:type="pct"/>
            <w:vAlign w:val="center"/>
          </w:tcPr>
          <w:p w14:paraId="62D3DBAE">
            <w:pPr>
              <w:jc w:val="center"/>
              <w:rPr>
                <w:rFonts w:ascii="Times New Roman" w:hAnsi="Times New Roman"/>
                <w:color w:val="000000" w:themeColor="text1"/>
                <w:sz w:val="18"/>
                <w:szCs w:val="18"/>
                <w14:textFill>
                  <w14:solidFill>
                    <w14:schemeClr w14:val="tx1"/>
                  </w14:solidFill>
                </w14:textFill>
              </w:rPr>
            </w:pPr>
          </w:p>
        </w:tc>
        <w:tc>
          <w:tcPr>
            <w:tcW w:w="333" w:type="pct"/>
            <w:vAlign w:val="center"/>
          </w:tcPr>
          <w:p w14:paraId="749F7D52">
            <w:pPr>
              <w:jc w:val="center"/>
              <w:rPr>
                <w:rFonts w:ascii="Times New Roman" w:hAnsi="Times New Roman"/>
                <w:color w:val="000000" w:themeColor="text1"/>
                <w:sz w:val="18"/>
                <w:szCs w:val="18"/>
                <w14:textFill>
                  <w14:solidFill>
                    <w14:schemeClr w14:val="tx1"/>
                  </w14:solidFill>
                </w14:textFill>
              </w:rPr>
            </w:pPr>
          </w:p>
        </w:tc>
        <w:tc>
          <w:tcPr>
            <w:tcW w:w="382" w:type="pct"/>
            <w:vAlign w:val="center"/>
          </w:tcPr>
          <w:p w14:paraId="2597AE33">
            <w:pPr>
              <w:jc w:val="center"/>
              <w:rPr>
                <w:rFonts w:ascii="Times New Roman" w:hAnsi="Times New Roman"/>
                <w:color w:val="000000" w:themeColor="text1"/>
                <w:sz w:val="18"/>
                <w:szCs w:val="18"/>
                <w14:textFill>
                  <w14:solidFill>
                    <w14:schemeClr w14:val="tx1"/>
                  </w14:solidFill>
                </w14:textFill>
              </w:rPr>
            </w:pPr>
          </w:p>
        </w:tc>
        <w:tc>
          <w:tcPr>
            <w:tcW w:w="396" w:type="pct"/>
            <w:vAlign w:val="center"/>
          </w:tcPr>
          <w:p w14:paraId="4702944C">
            <w:pPr>
              <w:jc w:val="center"/>
              <w:rPr>
                <w:rFonts w:ascii="Times New Roman" w:hAnsi="Times New Roman"/>
                <w:color w:val="000000" w:themeColor="text1"/>
                <w:sz w:val="18"/>
                <w:szCs w:val="18"/>
                <w14:textFill>
                  <w14:solidFill>
                    <w14:schemeClr w14:val="tx1"/>
                  </w14:solidFill>
                </w14:textFill>
              </w:rPr>
            </w:pPr>
          </w:p>
        </w:tc>
        <w:tc>
          <w:tcPr>
            <w:tcW w:w="348" w:type="pct"/>
            <w:vAlign w:val="center"/>
          </w:tcPr>
          <w:p w14:paraId="4900032C">
            <w:pPr>
              <w:jc w:val="center"/>
              <w:rPr>
                <w:rFonts w:ascii="Times New Roman" w:hAnsi="Times New Roman"/>
                <w:color w:val="000000" w:themeColor="text1"/>
                <w:sz w:val="18"/>
                <w:szCs w:val="18"/>
                <w14:textFill>
                  <w14:solidFill>
                    <w14:schemeClr w14:val="tx1"/>
                  </w14:solidFill>
                </w14:textFill>
              </w:rPr>
            </w:pPr>
          </w:p>
        </w:tc>
        <w:tc>
          <w:tcPr>
            <w:tcW w:w="496" w:type="pct"/>
            <w:vAlign w:val="center"/>
          </w:tcPr>
          <w:p w14:paraId="2086877A">
            <w:pPr>
              <w:jc w:val="center"/>
              <w:rPr>
                <w:rFonts w:ascii="Times New Roman" w:hAnsi="Times New Roman"/>
                <w:color w:val="000000" w:themeColor="text1"/>
                <w:sz w:val="18"/>
                <w:szCs w:val="18"/>
                <w14:textFill>
                  <w14:solidFill>
                    <w14:schemeClr w14:val="tx1"/>
                  </w14:solidFill>
                </w14:textFill>
              </w:rPr>
            </w:pPr>
          </w:p>
        </w:tc>
      </w:tr>
    </w:tbl>
    <w:p w14:paraId="25F34F83">
      <w:pPr>
        <w:pStyle w:val="97"/>
        <w:spacing w:before="120" w:after="120"/>
      </w:pPr>
      <w:r>
        <w:t>采出水物性表</w:t>
      </w:r>
    </w:p>
    <w:tbl>
      <w:tblPr>
        <w:tblStyle w:val="3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1005"/>
        <w:gridCol w:w="1230"/>
        <w:gridCol w:w="1204"/>
        <w:gridCol w:w="1961"/>
        <w:gridCol w:w="1005"/>
        <w:gridCol w:w="1483"/>
        <w:gridCol w:w="1486"/>
      </w:tblGrid>
      <w:tr w14:paraId="00DA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4" w:hRule="atLeast"/>
        </w:trPr>
        <w:tc>
          <w:tcPr>
            <w:tcW w:w="536" w:type="pct"/>
            <w:shd w:val="clear" w:color="auto" w:fill="FFFFFF"/>
            <w:vAlign w:val="center"/>
          </w:tcPr>
          <w:p w14:paraId="023E1C1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656" w:type="pct"/>
            <w:shd w:val="clear" w:color="auto" w:fill="FFFFFF"/>
            <w:vAlign w:val="center"/>
          </w:tcPr>
          <w:p w14:paraId="23C7C35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pH值</w:t>
            </w:r>
          </w:p>
        </w:tc>
        <w:tc>
          <w:tcPr>
            <w:tcW w:w="642" w:type="pct"/>
            <w:shd w:val="clear" w:color="auto" w:fill="FFFFFF"/>
            <w:vAlign w:val="center"/>
          </w:tcPr>
          <w:p w14:paraId="419CE00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Cl</w:t>
            </w:r>
            <w:r>
              <w:rPr>
                <w:rFonts w:ascii="Times New Roman" w:hAnsi="Times New Roman"/>
                <w:color w:val="000000" w:themeColor="text1"/>
                <w:sz w:val="18"/>
                <w:szCs w:val="18"/>
                <w:vertAlign w:val="superscript"/>
                <w14:textFill>
                  <w14:solidFill>
                    <w14:schemeClr w14:val="tx1"/>
                  </w14:solidFill>
                </w14:textFill>
              </w:rPr>
              <w:t>-</w:t>
            </w:r>
          </w:p>
          <w:p w14:paraId="3A4B691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 L</w:t>
            </w:r>
          </w:p>
        </w:tc>
        <w:tc>
          <w:tcPr>
            <w:tcW w:w="1046" w:type="pct"/>
            <w:shd w:val="clear" w:color="auto" w:fill="FFFFFF"/>
            <w:vAlign w:val="center"/>
          </w:tcPr>
          <w:p w14:paraId="7A0AD36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总矿化度</w:t>
            </w:r>
          </w:p>
          <w:p w14:paraId="0C5CAD3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mg/L</w:t>
            </w:r>
          </w:p>
        </w:tc>
        <w:tc>
          <w:tcPr>
            <w:tcW w:w="536" w:type="pct"/>
            <w:shd w:val="clear" w:color="auto" w:fill="FFFFFF"/>
            <w:vAlign w:val="center"/>
          </w:tcPr>
          <w:p w14:paraId="5A6D396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水型</w:t>
            </w:r>
          </w:p>
        </w:tc>
        <w:tc>
          <w:tcPr>
            <w:tcW w:w="791" w:type="pct"/>
            <w:shd w:val="clear" w:color="auto" w:fill="FFFFFF"/>
            <w:vAlign w:val="center"/>
          </w:tcPr>
          <w:p w14:paraId="2B3FB68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悬浮物</w:t>
            </w:r>
          </w:p>
          <w:p w14:paraId="464B176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 L</w:t>
            </w:r>
          </w:p>
        </w:tc>
        <w:tc>
          <w:tcPr>
            <w:tcW w:w="792" w:type="pct"/>
            <w:shd w:val="clear" w:color="auto" w:fill="FFFFFF"/>
            <w:vAlign w:val="center"/>
          </w:tcPr>
          <w:p w14:paraId="49CE0F5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油含量</w:t>
            </w:r>
          </w:p>
          <w:p w14:paraId="012EF0D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mg/ L</w:t>
            </w:r>
          </w:p>
        </w:tc>
      </w:tr>
      <w:tr w14:paraId="7A38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27" w:hRule="atLeast"/>
        </w:trPr>
        <w:tc>
          <w:tcPr>
            <w:tcW w:w="536" w:type="pct"/>
            <w:shd w:val="clear" w:color="auto" w:fill="FFFFFF"/>
            <w:vAlign w:val="center"/>
          </w:tcPr>
          <w:p w14:paraId="52E6B2A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656" w:type="pct"/>
            <w:shd w:val="clear" w:color="auto" w:fill="FFFFFF"/>
            <w:vAlign w:val="center"/>
          </w:tcPr>
          <w:p w14:paraId="7760345F">
            <w:pPr>
              <w:jc w:val="center"/>
              <w:rPr>
                <w:rFonts w:ascii="Times New Roman" w:hAnsi="Times New Roman"/>
                <w:color w:val="000000" w:themeColor="text1"/>
                <w:sz w:val="18"/>
                <w:szCs w:val="18"/>
                <w14:textFill>
                  <w14:solidFill>
                    <w14:schemeClr w14:val="tx1"/>
                  </w14:solidFill>
                </w14:textFill>
              </w:rPr>
            </w:pPr>
          </w:p>
        </w:tc>
        <w:tc>
          <w:tcPr>
            <w:tcW w:w="642" w:type="pct"/>
            <w:shd w:val="clear" w:color="auto" w:fill="FFFFFF"/>
            <w:vAlign w:val="center"/>
          </w:tcPr>
          <w:p w14:paraId="40C61C98">
            <w:pPr>
              <w:jc w:val="center"/>
              <w:rPr>
                <w:rFonts w:ascii="Times New Roman" w:hAnsi="Times New Roman"/>
                <w:color w:val="000000" w:themeColor="text1"/>
                <w:sz w:val="18"/>
                <w:szCs w:val="18"/>
                <w14:textFill>
                  <w14:solidFill>
                    <w14:schemeClr w14:val="tx1"/>
                  </w14:solidFill>
                </w14:textFill>
              </w:rPr>
            </w:pPr>
          </w:p>
        </w:tc>
        <w:tc>
          <w:tcPr>
            <w:tcW w:w="1046" w:type="pct"/>
            <w:shd w:val="clear" w:color="auto" w:fill="FFFFFF"/>
            <w:vAlign w:val="center"/>
          </w:tcPr>
          <w:p w14:paraId="0B43C545">
            <w:pPr>
              <w:jc w:val="center"/>
              <w:rPr>
                <w:rFonts w:ascii="Times New Roman" w:hAnsi="Times New Roman"/>
                <w:color w:val="000000" w:themeColor="text1"/>
                <w:sz w:val="18"/>
                <w:szCs w:val="18"/>
                <w14:textFill>
                  <w14:solidFill>
                    <w14:schemeClr w14:val="tx1"/>
                  </w14:solidFill>
                </w14:textFill>
              </w:rPr>
            </w:pPr>
          </w:p>
        </w:tc>
        <w:tc>
          <w:tcPr>
            <w:tcW w:w="536" w:type="pct"/>
            <w:shd w:val="clear" w:color="auto" w:fill="FFFFFF"/>
            <w:vAlign w:val="center"/>
          </w:tcPr>
          <w:p w14:paraId="41F39792">
            <w:pPr>
              <w:jc w:val="center"/>
              <w:rPr>
                <w:rFonts w:ascii="Times New Roman" w:hAnsi="Times New Roman"/>
                <w:color w:val="000000" w:themeColor="text1"/>
                <w:sz w:val="18"/>
                <w:szCs w:val="18"/>
                <w14:textFill>
                  <w14:solidFill>
                    <w14:schemeClr w14:val="tx1"/>
                  </w14:solidFill>
                </w14:textFill>
              </w:rPr>
            </w:pPr>
          </w:p>
        </w:tc>
        <w:tc>
          <w:tcPr>
            <w:tcW w:w="791" w:type="pct"/>
            <w:shd w:val="clear" w:color="auto" w:fill="FFFFFF"/>
            <w:vAlign w:val="center"/>
          </w:tcPr>
          <w:p w14:paraId="390A9C06">
            <w:pPr>
              <w:jc w:val="center"/>
              <w:rPr>
                <w:rFonts w:ascii="Times New Roman" w:hAnsi="Times New Roman"/>
                <w:color w:val="000000" w:themeColor="text1"/>
                <w:sz w:val="18"/>
                <w:szCs w:val="18"/>
                <w14:textFill>
                  <w14:solidFill>
                    <w14:schemeClr w14:val="tx1"/>
                  </w14:solidFill>
                </w14:textFill>
              </w:rPr>
            </w:pPr>
          </w:p>
        </w:tc>
        <w:tc>
          <w:tcPr>
            <w:tcW w:w="792" w:type="pct"/>
            <w:shd w:val="clear" w:color="auto" w:fill="FFFFFF"/>
            <w:vAlign w:val="center"/>
          </w:tcPr>
          <w:p w14:paraId="67105FCE">
            <w:pPr>
              <w:jc w:val="center"/>
              <w:rPr>
                <w:rFonts w:ascii="Times New Roman" w:hAnsi="Times New Roman"/>
                <w:color w:val="000000" w:themeColor="text1"/>
                <w:sz w:val="18"/>
                <w:szCs w:val="18"/>
                <w14:textFill>
                  <w14:solidFill>
                    <w14:schemeClr w14:val="tx1"/>
                  </w14:solidFill>
                </w14:textFill>
              </w:rPr>
            </w:pPr>
          </w:p>
        </w:tc>
      </w:tr>
      <w:tr w14:paraId="27735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27" w:hRule="atLeast"/>
        </w:trPr>
        <w:tc>
          <w:tcPr>
            <w:tcW w:w="536" w:type="pct"/>
            <w:shd w:val="clear" w:color="auto" w:fill="FFFFFF"/>
            <w:vAlign w:val="center"/>
          </w:tcPr>
          <w:p w14:paraId="5B5EA19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656" w:type="pct"/>
            <w:shd w:val="clear" w:color="auto" w:fill="FFFFFF"/>
            <w:vAlign w:val="center"/>
          </w:tcPr>
          <w:p w14:paraId="586B2ECC">
            <w:pPr>
              <w:jc w:val="center"/>
              <w:rPr>
                <w:rFonts w:ascii="Times New Roman" w:hAnsi="Times New Roman"/>
                <w:color w:val="000000" w:themeColor="text1"/>
                <w:sz w:val="18"/>
                <w:szCs w:val="18"/>
                <w14:textFill>
                  <w14:solidFill>
                    <w14:schemeClr w14:val="tx1"/>
                  </w14:solidFill>
                </w14:textFill>
              </w:rPr>
            </w:pPr>
          </w:p>
        </w:tc>
        <w:tc>
          <w:tcPr>
            <w:tcW w:w="642" w:type="pct"/>
            <w:shd w:val="clear" w:color="auto" w:fill="FFFFFF"/>
            <w:vAlign w:val="center"/>
          </w:tcPr>
          <w:p w14:paraId="22EF2061">
            <w:pPr>
              <w:jc w:val="center"/>
              <w:rPr>
                <w:rFonts w:ascii="Times New Roman" w:hAnsi="Times New Roman"/>
                <w:color w:val="000000" w:themeColor="text1"/>
                <w:sz w:val="18"/>
                <w:szCs w:val="18"/>
                <w14:textFill>
                  <w14:solidFill>
                    <w14:schemeClr w14:val="tx1"/>
                  </w14:solidFill>
                </w14:textFill>
              </w:rPr>
            </w:pPr>
          </w:p>
        </w:tc>
        <w:tc>
          <w:tcPr>
            <w:tcW w:w="1046" w:type="pct"/>
            <w:shd w:val="clear" w:color="auto" w:fill="FFFFFF"/>
            <w:vAlign w:val="center"/>
          </w:tcPr>
          <w:p w14:paraId="4AB9DBAA">
            <w:pPr>
              <w:jc w:val="center"/>
              <w:rPr>
                <w:rFonts w:ascii="Times New Roman" w:hAnsi="Times New Roman"/>
                <w:color w:val="000000" w:themeColor="text1"/>
                <w:sz w:val="18"/>
                <w:szCs w:val="18"/>
                <w14:textFill>
                  <w14:solidFill>
                    <w14:schemeClr w14:val="tx1"/>
                  </w14:solidFill>
                </w14:textFill>
              </w:rPr>
            </w:pPr>
          </w:p>
        </w:tc>
        <w:tc>
          <w:tcPr>
            <w:tcW w:w="536" w:type="pct"/>
            <w:shd w:val="clear" w:color="auto" w:fill="FFFFFF"/>
            <w:vAlign w:val="center"/>
          </w:tcPr>
          <w:p w14:paraId="572CEBF6">
            <w:pPr>
              <w:jc w:val="center"/>
              <w:rPr>
                <w:rFonts w:ascii="Times New Roman" w:hAnsi="Times New Roman"/>
                <w:color w:val="000000" w:themeColor="text1"/>
                <w:sz w:val="18"/>
                <w:szCs w:val="18"/>
                <w14:textFill>
                  <w14:solidFill>
                    <w14:schemeClr w14:val="tx1"/>
                  </w14:solidFill>
                </w14:textFill>
              </w:rPr>
            </w:pPr>
          </w:p>
        </w:tc>
        <w:tc>
          <w:tcPr>
            <w:tcW w:w="791" w:type="pct"/>
            <w:shd w:val="clear" w:color="auto" w:fill="FFFFFF"/>
            <w:vAlign w:val="center"/>
          </w:tcPr>
          <w:p w14:paraId="71652916">
            <w:pPr>
              <w:jc w:val="center"/>
              <w:rPr>
                <w:rFonts w:ascii="Times New Roman" w:hAnsi="Times New Roman"/>
                <w:color w:val="000000" w:themeColor="text1"/>
                <w:sz w:val="18"/>
                <w:szCs w:val="18"/>
                <w14:textFill>
                  <w14:solidFill>
                    <w14:schemeClr w14:val="tx1"/>
                  </w14:solidFill>
                </w14:textFill>
              </w:rPr>
            </w:pPr>
          </w:p>
        </w:tc>
        <w:tc>
          <w:tcPr>
            <w:tcW w:w="792" w:type="pct"/>
            <w:shd w:val="clear" w:color="auto" w:fill="FFFFFF"/>
            <w:vAlign w:val="center"/>
          </w:tcPr>
          <w:p w14:paraId="50E62056">
            <w:pPr>
              <w:jc w:val="center"/>
              <w:rPr>
                <w:rFonts w:ascii="Times New Roman" w:hAnsi="Times New Roman"/>
                <w:color w:val="000000" w:themeColor="text1"/>
                <w:sz w:val="18"/>
                <w:szCs w:val="18"/>
                <w14:textFill>
                  <w14:solidFill>
                    <w14:schemeClr w14:val="tx1"/>
                  </w14:solidFill>
                </w14:textFill>
              </w:rPr>
            </w:pPr>
          </w:p>
        </w:tc>
      </w:tr>
    </w:tbl>
    <w:p w14:paraId="0F53C57A">
      <w:pPr>
        <w:pStyle w:val="97"/>
        <w:spacing w:before="120" w:after="120"/>
      </w:pPr>
      <w:r>
        <w:t>危险物质或化学药剂统计表</w:t>
      </w:r>
    </w:p>
    <w:tbl>
      <w:tblPr>
        <w:tblStyle w:val="3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775"/>
        <w:gridCol w:w="1579"/>
        <w:gridCol w:w="1948"/>
        <w:gridCol w:w="1652"/>
        <w:gridCol w:w="1652"/>
        <w:gridCol w:w="1768"/>
      </w:tblGrid>
      <w:tr w14:paraId="30376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4" w:type="pct"/>
            <w:shd w:val="clear" w:color="auto" w:fill="FFFFFF"/>
            <w:vAlign w:val="center"/>
          </w:tcPr>
          <w:p w14:paraId="1BCB97B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842" w:type="pct"/>
            <w:shd w:val="clear" w:color="auto" w:fill="FFFFFF"/>
            <w:vAlign w:val="center"/>
          </w:tcPr>
          <w:p w14:paraId="6C88ECE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药剂种类</w:t>
            </w:r>
          </w:p>
        </w:tc>
        <w:tc>
          <w:tcPr>
            <w:tcW w:w="1039" w:type="pct"/>
            <w:shd w:val="clear" w:color="auto" w:fill="FFFFFF"/>
            <w:vAlign w:val="center"/>
          </w:tcPr>
          <w:p w14:paraId="5BF5191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名称</w:t>
            </w:r>
          </w:p>
        </w:tc>
        <w:tc>
          <w:tcPr>
            <w:tcW w:w="881" w:type="pct"/>
            <w:shd w:val="clear" w:color="auto" w:fill="FFFFFF"/>
            <w:vAlign w:val="center"/>
          </w:tcPr>
          <w:p w14:paraId="64D0194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火灾危险性分类</w:t>
            </w:r>
          </w:p>
        </w:tc>
        <w:tc>
          <w:tcPr>
            <w:tcW w:w="881" w:type="pct"/>
            <w:shd w:val="clear" w:color="auto" w:fill="FFFFFF"/>
            <w:vAlign w:val="center"/>
          </w:tcPr>
          <w:p w14:paraId="1E6608F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爆炸极限</w:t>
            </w:r>
          </w:p>
        </w:tc>
        <w:tc>
          <w:tcPr>
            <w:tcW w:w="944" w:type="pct"/>
            <w:shd w:val="clear" w:color="auto" w:fill="FFFFFF"/>
            <w:vAlign w:val="center"/>
          </w:tcPr>
          <w:p w14:paraId="4B73B01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用量</w:t>
            </w:r>
          </w:p>
        </w:tc>
      </w:tr>
      <w:tr w14:paraId="78CC2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4" w:type="pct"/>
            <w:shd w:val="clear" w:color="auto" w:fill="FFFFFF"/>
            <w:vAlign w:val="center"/>
          </w:tcPr>
          <w:p w14:paraId="59A7244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842" w:type="pct"/>
            <w:shd w:val="clear" w:color="auto" w:fill="FFFFFF"/>
            <w:vAlign w:val="center"/>
          </w:tcPr>
          <w:p w14:paraId="7C27C21B">
            <w:pPr>
              <w:jc w:val="center"/>
              <w:rPr>
                <w:rFonts w:ascii="Times New Roman" w:hAnsi="Times New Roman"/>
                <w:color w:val="000000" w:themeColor="text1"/>
                <w:sz w:val="18"/>
                <w:szCs w:val="18"/>
                <w14:textFill>
                  <w14:solidFill>
                    <w14:schemeClr w14:val="tx1"/>
                  </w14:solidFill>
                </w14:textFill>
              </w:rPr>
            </w:pPr>
          </w:p>
        </w:tc>
        <w:tc>
          <w:tcPr>
            <w:tcW w:w="1039" w:type="pct"/>
            <w:shd w:val="clear" w:color="auto" w:fill="FFFFFF"/>
            <w:vAlign w:val="center"/>
          </w:tcPr>
          <w:p w14:paraId="1C4E91DA">
            <w:pPr>
              <w:jc w:val="center"/>
              <w:rPr>
                <w:rFonts w:ascii="Times New Roman" w:hAnsi="Times New Roman"/>
                <w:color w:val="000000" w:themeColor="text1"/>
                <w:sz w:val="18"/>
                <w:szCs w:val="18"/>
                <w14:textFill>
                  <w14:solidFill>
                    <w14:schemeClr w14:val="tx1"/>
                  </w14:solidFill>
                </w14:textFill>
              </w:rPr>
            </w:pPr>
          </w:p>
        </w:tc>
        <w:tc>
          <w:tcPr>
            <w:tcW w:w="881" w:type="pct"/>
            <w:shd w:val="clear" w:color="auto" w:fill="FFFFFF"/>
            <w:vAlign w:val="center"/>
          </w:tcPr>
          <w:p w14:paraId="0D3E1E68">
            <w:pPr>
              <w:jc w:val="center"/>
              <w:rPr>
                <w:rFonts w:ascii="Times New Roman" w:hAnsi="Times New Roman"/>
                <w:color w:val="000000" w:themeColor="text1"/>
                <w:sz w:val="18"/>
                <w:szCs w:val="18"/>
                <w14:textFill>
                  <w14:solidFill>
                    <w14:schemeClr w14:val="tx1"/>
                  </w14:solidFill>
                </w14:textFill>
              </w:rPr>
            </w:pPr>
          </w:p>
        </w:tc>
        <w:tc>
          <w:tcPr>
            <w:tcW w:w="881" w:type="pct"/>
            <w:shd w:val="clear" w:color="auto" w:fill="FFFFFF"/>
            <w:vAlign w:val="center"/>
          </w:tcPr>
          <w:p w14:paraId="232136D4">
            <w:pPr>
              <w:jc w:val="center"/>
              <w:rPr>
                <w:rFonts w:ascii="Times New Roman" w:hAnsi="Times New Roman"/>
                <w:color w:val="000000" w:themeColor="text1"/>
                <w:sz w:val="18"/>
                <w:szCs w:val="18"/>
                <w14:textFill>
                  <w14:solidFill>
                    <w14:schemeClr w14:val="tx1"/>
                  </w14:solidFill>
                </w14:textFill>
              </w:rPr>
            </w:pPr>
          </w:p>
        </w:tc>
        <w:tc>
          <w:tcPr>
            <w:tcW w:w="944" w:type="pct"/>
            <w:shd w:val="clear" w:color="auto" w:fill="FFFFFF"/>
            <w:vAlign w:val="center"/>
          </w:tcPr>
          <w:p w14:paraId="4C411B96">
            <w:pPr>
              <w:jc w:val="center"/>
              <w:rPr>
                <w:rFonts w:ascii="Times New Roman" w:hAnsi="Times New Roman"/>
                <w:color w:val="000000" w:themeColor="text1"/>
                <w:sz w:val="18"/>
                <w:szCs w:val="18"/>
                <w14:textFill>
                  <w14:solidFill>
                    <w14:schemeClr w14:val="tx1"/>
                  </w14:solidFill>
                </w14:textFill>
              </w:rPr>
            </w:pPr>
          </w:p>
        </w:tc>
      </w:tr>
      <w:tr w14:paraId="22D58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4" w:type="pct"/>
            <w:shd w:val="clear" w:color="auto" w:fill="FFFFFF"/>
            <w:vAlign w:val="center"/>
          </w:tcPr>
          <w:p w14:paraId="4B405C5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842" w:type="pct"/>
            <w:shd w:val="clear" w:color="auto" w:fill="FFFFFF"/>
            <w:vAlign w:val="center"/>
          </w:tcPr>
          <w:p w14:paraId="7F2469EC">
            <w:pPr>
              <w:jc w:val="center"/>
              <w:rPr>
                <w:rFonts w:ascii="Times New Roman" w:hAnsi="Times New Roman"/>
                <w:color w:val="000000" w:themeColor="text1"/>
                <w:sz w:val="18"/>
                <w:szCs w:val="18"/>
                <w14:textFill>
                  <w14:solidFill>
                    <w14:schemeClr w14:val="tx1"/>
                  </w14:solidFill>
                </w14:textFill>
              </w:rPr>
            </w:pPr>
          </w:p>
        </w:tc>
        <w:tc>
          <w:tcPr>
            <w:tcW w:w="1039" w:type="pct"/>
            <w:shd w:val="clear" w:color="auto" w:fill="FFFFFF"/>
            <w:vAlign w:val="center"/>
          </w:tcPr>
          <w:p w14:paraId="33007287">
            <w:pPr>
              <w:jc w:val="center"/>
              <w:rPr>
                <w:rFonts w:ascii="Times New Roman" w:hAnsi="Times New Roman"/>
                <w:color w:val="000000" w:themeColor="text1"/>
                <w:sz w:val="18"/>
                <w:szCs w:val="18"/>
                <w14:textFill>
                  <w14:solidFill>
                    <w14:schemeClr w14:val="tx1"/>
                  </w14:solidFill>
                </w14:textFill>
              </w:rPr>
            </w:pPr>
          </w:p>
        </w:tc>
        <w:tc>
          <w:tcPr>
            <w:tcW w:w="881" w:type="pct"/>
            <w:shd w:val="clear" w:color="auto" w:fill="FFFFFF"/>
            <w:vAlign w:val="center"/>
          </w:tcPr>
          <w:p w14:paraId="33367F2F">
            <w:pPr>
              <w:jc w:val="center"/>
              <w:rPr>
                <w:rFonts w:ascii="Times New Roman" w:hAnsi="Times New Roman"/>
                <w:color w:val="000000" w:themeColor="text1"/>
                <w:sz w:val="18"/>
                <w:szCs w:val="18"/>
                <w14:textFill>
                  <w14:solidFill>
                    <w14:schemeClr w14:val="tx1"/>
                  </w14:solidFill>
                </w14:textFill>
              </w:rPr>
            </w:pPr>
          </w:p>
        </w:tc>
        <w:tc>
          <w:tcPr>
            <w:tcW w:w="881" w:type="pct"/>
            <w:shd w:val="clear" w:color="auto" w:fill="FFFFFF"/>
            <w:vAlign w:val="center"/>
          </w:tcPr>
          <w:p w14:paraId="4CB9F541">
            <w:pPr>
              <w:jc w:val="center"/>
              <w:rPr>
                <w:rFonts w:ascii="Times New Roman" w:hAnsi="Times New Roman"/>
                <w:color w:val="000000" w:themeColor="text1"/>
                <w:sz w:val="18"/>
                <w:szCs w:val="18"/>
                <w14:textFill>
                  <w14:solidFill>
                    <w14:schemeClr w14:val="tx1"/>
                  </w14:solidFill>
                </w14:textFill>
              </w:rPr>
            </w:pPr>
          </w:p>
        </w:tc>
        <w:tc>
          <w:tcPr>
            <w:tcW w:w="944" w:type="pct"/>
            <w:shd w:val="clear" w:color="auto" w:fill="FFFFFF"/>
            <w:vAlign w:val="center"/>
          </w:tcPr>
          <w:p w14:paraId="1502ADE2">
            <w:pPr>
              <w:jc w:val="center"/>
              <w:rPr>
                <w:rFonts w:ascii="Times New Roman" w:hAnsi="Times New Roman"/>
                <w:color w:val="000000" w:themeColor="text1"/>
                <w:sz w:val="18"/>
                <w:szCs w:val="18"/>
                <w14:textFill>
                  <w14:solidFill>
                    <w14:schemeClr w14:val="tx1"/>
                  </w14:solidFill>
                </w14:textFill>
              </w:rPr>
            </w:pPr>
          </w:p>
        </w:tc>
      </w:tr>
    </w:tbl>
    <w:p w14:paraId="74A230AE">
      <w:pPr>
        <w:pStyle w:val="97"/>
        <w:spacing w:before="120" w:after="120"/>
      </w:pPr>
      <w:r>
        <w:t>产品统计表</w:t>
      </w:r>
    </w:p>
    <w:tbl>
      <w:tblPr>
        <w:tblStyle w:val="3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 w:type="dxa"/>
          <w:bottom w:w="0" w:type="dxa"/>
          <w:right w:w="10" w:type="dxa"/>
        </w:tblCellMar>
      </w:tblPr>
      <w:tblGrid>
        <w:gridCol w:w="768"/>
        <w:gridCol w:w="1500"/>
        <w:gridCol w:w="1802"/>
        <w:gridCol w:w="1556"/>
        <w:gridCol w:w="2246"/>
        <w:gridCol w:w="1502"/>
      </w:tblGrid>
      <w:tr w14:paraId="533E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0" w:type="pct"/>
            <w:shd w:val="clear" w:color="auto" w:fill="FFFFFF"/>
            <w:vAlign w:val="center"/>
          </w:tcPr>
          <w:p w14:paraId="0D326FD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800" w:type="pct"/>
            <w:shd w:val="clear" w:color="auto" w:fill="FFFFFF"/>
            <w:vAlign w:val="center"/>
          </w:tcPr>
          <w:p w14:paraId="62FA0D1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产品名称</w:t>
            </w:r>
          </w:p>
        </w:tc>
        <w:tc>
          <w:tcPr>
            <w:tcW w:w="961" w:type="pct"/>
            <w:shd w:val="clear" w:color="auto" w:fill="FFFFFF"/>
            <w:vAlign w:val="center"/>
          </w:tcPr>
          <w:p w14:paraId="2DD4C76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闪点</w:t>
            </w:r>
          </w:p>
        </w:tc>
        <w:tc>
          <w:tcPr>
            <w:tcW w:w="830" w:type="pct"/>
            <w:shd w:val="clear" w:color="auto" w:fill="FFFFFF"/>
            <w:vAlign w:val="center"/>
          </w:tcPr>
          <w:p w14:paraId="56F1AB8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燃点</w:t>
            </w:r>
          </w:p>
        </w:tc>
        <w:tc>
          <w:tcPr>
            <w:tcW w:w="1198" w:type="pct"/>
            <w:shd w:val="clear" w:color="auto" w:fill="FFFFFF"/>
            <w:vAlign w:val="center"/>
          </w:tcPr>
          <w:p w14:paraId="104E4B5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爆炸极限</w:t>
            </w:r>
          </w:p>
        </w:tc>
        <w:tc>
          <w:tcPr>
            <w:tcW w:w="801" w:type="pct"/>
            <w:shd w:val="clear" w:color="auto" w:fill="FFFFFF"/>
            <w:vAlign w:val="center"/>
          </w:tcPr>
          <w:p w14:paraId="26ACEE4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火灾危险性分类</w:t>
            </w:r>
          </w:p>
        </w:tc>
      </w:tr>
      <w:tr w14:paraId="610ED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0" w:type="pct"/>
            <w:shd w:val="clear" w:color="auto" w:fill="FFFFFF"/>
            <w:vAlign w:val="center"/>
          </w:tcPr>
          <w:p w14:paraId="23D0DE7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800" w:type="pct"/>
            <w:shd w:val="clear" w:color="auto" w:fill="FFFFFF"/>
            <w:vAlign w:val="center"/>
          </w:tcPr>
          <w:p w14:paraId="1EF3EAB4">
            <w:pPr>
              <w:jc w:val="center"/>
              <w:rPr>
                <w:rFonts w:ascii="Times New Roman" w:hAnsi="Times New Roman"/>
                <w:color w:val="000000" w:themeColor="text1"/>
                <w:sz w:val="18"/>
                <w:szCs w:val="18"/>
                <w14:textFill>
                  <w14:solidFill>
                    <w14:schemeClr w14:val="tx1"/>
                  </w14:solidFill>
                </w14:textFill>
              </w:rPr>
            </w:pPr>
          </w:p>
        </w:tc>
        <w:tc>
          <w:tcPr>
            <w:tcW w:w="961" w:type="pct"/>
            <w:shd w:val="clear" w:color="auto" w:fill="FFFFFF"/>
            <w:vAlign w:val="center"/>
          </w:tcPr>
          <w:p w14:paraId="0E7FC2F3">
            <w:pPr>
              <w:jc w:val="center"/>
              <w:rPr>
                <w:rFonts w:ascii="Times New Roman" w:hAnsi="Times New Roman"/>
                <w:color w:val="000000" w:themeColor="text1"/>
                <w:sz w:val="18"/>
                <w:szCs w:val="18"/>
                <w14:textFill>
                  <w14:solidFill>
                    <w14:schemeClr w14:val="tx1"/>
                  </w14:solidFill>
                </w14:textFill>
              </w:rPr>
            </w:pPr>
          </w:p>
        </w:tc>
        <w:tc>
          <w:tcPr>
            <w:tcW w:w="830" w:type="pct"/>
            <w:shd w:val="clear" w:color="auto" w:fill="FFFFFF"/>
            <w:vAlign w:val="center"/>
          </w:tcPr>
          <w:p w14:paraId="5666A9A9">
            <w:pPr>
              <w:jc w:val="center"/>
              <w:rPr>
                <w:rFonts w:ascii="Times New Roman" w:hAnsi="Times New Roman"/>
                <w:color w:val="000000" w:themeColor="text1"/>
                <w:sz w:val="18"/>
                <w:szCs w:val="18"/>
                <w14:textFill>
                  <w14:solidFill>
                    <w14:schemeClr w14:val="tx1"/>
                  </w14:solidFill>
                </w14:textFill>
              </w:rPr>
            </w:pPr>
          </w:p>
        </w:tc>
        <w:tc>
          <w:tcPr>
            <w:tcW w:w="1198" w:type="pct"/>
            <w:shd w:val="clear" w:color="auto" w:fill="FFFFFF"/>
            <w:vAlign w:val="center"/>
          </w:tcPr>
          <w:p w14:paraId="3B8799E0">
            <w:pPr>
              <w:jc w:val="center"/>
              <w:rPr>
                <w:rFonts w:ascii="Times New Roman" w:hAnsi="Times New Roman"/>
                <w:color w:val="000000" w:themeColor="text1"/>
                <w:sz w:val="18"/>
                <w:szCs w:val="18"/>
                <w14:textFill>
                  <w14:solidFill>
                    <w14:schemeClr w14:val="tx1"/>
                  </w14:solidFill>
                </w14:textFill>
              </w:rPr>
            </w:pPr>
          </w:p>
        </w:tc>
        <w:tc>
          <w:tcPr>
            <w:tcW w:w="801" w:type="pct"/>
            <w:shd w:val="clear" w:color="auto" w:fill="FFFFFF"/>
            <w:vAlign w:val="center"/>
          </w:tcPr>
          <w:p w14:paraId="5C270C47">
            <w:pPr>
              <w:jc w:val="center"/>
              <w:rPr>
                <w:rFonts w:ascii="Times New Roman" w:hAnsi="Times New Roman"/>
                <w:color w:val="000000" w:themeColor="text1"/>
                <w:sz w:val="18"/>
                <w:szCs w:val="18"/>
                <w14:textFill>
                  <w14:solidFill>
                    <w14:schemeClr w14:val="tx1"/>
                  </w14:solidFill>
                </w14:textFill>
              </w:rPr>
            </w:pPr>
          </w:p>
        </w:tc>
      </w:tr>
      <w:tr w14:paraId="5CC12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 w:type="dxa"/>
            <w:bottom w:w="0" w:type="dxa"/>
            <w:right w:w="10" w:type="dxa"/>
          </w:tblCellMar>
        </w:tblPrEx>
        <w:trPr>
          <w:trHeight w:val="454" w:hRule="atLeast"/>
          <w:jc w:val="center"/>
        </w:trPr>
        <w:tc>
          <w:tcPr>
            <w:tcW w:w="410" w:type="pct"/>
            <w:shd w:val="clear" w:color="auto" w:fill="FFFFFF"/>
            <w:vAlign w:val="center"/>
          </w:tcPr>
          <w:p w14:paraId="11EDEB7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800" w:type="pct"/>
            <w:shd w:val="clear" w:color="auto" w:fill="FFFFFF"/>
            <w:vAlign w:val="center"/>
          </w:tcPr>
          <w:p w14:paraId="6F6EA551">
            <w:pPr>
              <w:jc w:val="center"/>
              <w:rPr>
                <w:rFonts w:ascii="Times New Roman" w:hAnsi="Times New Roman"/>
                <w:color w:val="000000" w:themeColor="text1"/>
                <w:sz w:val="18"/>
                <w:szCs w:val="18"/>
                <w14:textFill>
                  <w14:solidFill>
                    <w14:schemeClr w14:val="tx1"/>
                  </w14:solidFill>
                </w14:textFill>
              </w:rPr>
            </w:pPr>
          </w:p>
        </w:tc>
        <w:tc>
          <w:tcPr>
            <w:tcW w:w="961" w:type="pct"/>
            <w:shd w:val="clear" w:color="auto" w:fill="FFFFFF"/>
            <w:vAlign w:val="center"/>
          </w:tcPr>
          <w:p w14:paraId="02C90F03">
            <w:pPr>
              <w:jc w:val="center"/>
              <w:rPr>
                <w:rFonts w:ascii="Times New Roman" w:hAnsi="Times New Roman"/>
                <w:color w:val="000000" w:themeColor="text1"/>
                <w:sz w:val="18"/>
                <w:szCs w:val="18"/>
                <w14:textFill>
                  <w14:solidFill>
                    <w14:schemeClr w14:val="tx1"/>
                  </w14:solidFill>
                </w14:textFill>
              </w:rPr>
            </w:pPr>
          </w:p>
        </w:tc>
        <w:tc>
          <w:tcPr>
            <w:tcW w:w="830" w:type="pct"/>
            <w:shd w:val="clear" w:color="auto" w:fill="FFFFFF"/>
            <w:vAlign w:val="center"/>
          </w:tcPr>
          <w:p w14:paraId="76519FDB">
            <w:pPr>
              <w:jc w:val="center"/>
              <w:rPr>
                <w:rFonts w:ascii="Times New Roman" w:hAnsi="Times New Roman"/>
                <w:color w:val="000000" w:themeColor="text1"/>
                <w:sz w:val="18"/>
                <w:szCs w:val="18"/>
                <w14:textFill>
                  <w14:solidFill>
                    <w14:schemeClr w14:val="tx1"/>
                  </w14:solidFill>
                </w14:textFill>
              </w:rPr>
            </w:pPr>
          </w:p>
        </w:tc>
        <w:tc>
          <w:tcPr>
            <w:tcW w:w="1198" w:type="pct"/>
            <w:shd w:val="clear" w:color="auto" w:fill="FFFFFF"/>
            <w:vAlign w:val="center"/>
          </w:tcPr>
          <w:p w14:paraId="346E967D">
            <w:pPr>
              <w:jc w:val="center"/>
              <w:rPr>
                <w:rFonts w:ascii="Times New Roman" w:hAnsi="Times New Roman"/>
                <w:color w:val="000000" w:themeColor="text1"/>
                <w:sz w:val="18"/>
                <w:szCs w:val="18"/>
                <w14:textFill>
                  <w14:solidFill>
                    <w14:schemeClr w14:val="tx1"/>
                  </w14:solidFill>
                </w14:textFill>
              </w:rPr>
            </w:pPr>
          </w:p>
        </w:tc>
        <w:tc>
          <w:tcPr>
            <w:tcW w:w="801" w:type="pct"/>
            <w:shd w:val="clear" w:color="auto" w:fill="FFFFFF"/>
            <w:vAlign w:val="center"/>
          </w:tcPr>
          <w:p w14:paraId="1190029E">
            <w:pPr>
              <w:jc w:val="center"/>
              <w:rPr>
                <w:rFonts w:ascii="Times New Roman" w:hAnsi="Times New Roman"/>
                <w:color w:val="000000" w:themeColor="text1"/>
                <w:sz w:val="18"/>
                <w:szCs w:val="18"/>
                <w14:textFill>
                  <w14:solidFill>
                    <w14:schemeClr w14:val="tx1"/>
                  </w14:solidFill>
                </w14:textFill>
              </w:rPr>
            </w:pPr>
          </w:p>
        </w:tc>
      </w:tr>
    </w:tbl>
    <w:p w14:paraId="79DA1665">
      <w:pPr>
        <w:pStyle w:val="97"/>
        <w:spacing w:before="120" w:after="120"/>
      </w:pPr>
      <w:r>
        <w:t>线路管道统计表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217"/>
        <w:gridCol w:w="1436"/>
        <w:gridCol w:w="863"/>
        <w:gridCol w:w="863"/>
        <w:gridCol w:w="1436"/>
        <w:gridCol w:w="2015"/>
        <w:gridCol w:w="716"/>
      </w:tblGrid>
      <w:tr w14:paraId="6D84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35" w:type="pct"/>
            <w:vAlign w:val="center"/>
          </w:tcPr>
          <w:p w14:paraId="3E9A0ED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序号</w:t>
            </w:r>
          </w:p>
        </w:tc>
        <w:tc>
          <w:tcPr>
            <w:tcW w:w="636" w:type="pct"/>
            <w:vAlign w:val="center"/>
          </w:tcPr>
          <w:p w14:paraId="3738022E">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管道名称</w:t>
            </w:r>
          </w:p>
        </w:tc>
        <w:tc>
          <w:tcPr>
            <w:tcW w:w="750" w:type="pct"/>
            <w:vAlign w:val="center"/>
          </w:tcPr>
          <w:p w14:paraId="7AB881C3">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输送介质</w:t>
            </w:r>
          </w:p>
        </w:tc>
        <w:tc>
          <w:tcPr>
            <w:tcW w:w="451" w:type="pct"/>
            <w:vAlign w:val="center"/>
          </w:tcPr>
          <w:p w14:paraId="13571AFE">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起点</w:t>
            </w:r>
          </w:p>
        </w:tc>
        <w:tc>
          <w:tcPr>
            <w:tcW w:w="451" w:type="pct"/>
            <w:vAlign w:val="center"/>
          </w:tcPr>
          <w:p w14:paraId="0FB32D3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终点</w:t>
            </w:r>
          </w:p>
        </w:tc>
        <w:tc>
          <w:tcPr>
            <w:tcW w:w="750" w:type="pct"/>
            <w:vAlign w:val="center"/>
          </w:tcPr>
          <w:p w14:paraId="67DA272A">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设计压力</w:t>
            </w:r>
          </w:p>
          <w:p w14:paraId="371D5917">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MPa</w:t>
            </w:r>
          </w:p>
        </w:tc>
        <w:tc>
          <w:tcPr>
            <w:tcW w:w="1053" w:type="pct"/>
            <w:vAlign w:val="center"/>
          </w:tcPr>
          <w:p w14:paraId="7BEF913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管道规格材质</w:t>
            </w:r>
          </w:p>
        </w:tc>
        <w:tc>
          <w:tcPr>
            <w:tcW w:w="374" w:type="pct"/>
            <w:vAlign w:val="center"/>
          </w:tcPr>
          <w:p w14:paraId="30A38862">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长度</w:t>
            </w:r>
          </w:p>
          <w:p w14:paraId="0CB3EC80">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r>
      <w:tr w14:paraId="328A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5" w:type="pct"/>
            <w:vAlign w:val="center"/>
          </w:tcPr>
          <w:p w14:paraId="12853ED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636" w:type="pct"/>
            <w:vAlign w:val="center"/>
          </w:tcPr>
          <w:p w14:paraId="1CC78D81">
            <w:pPr>
              <w:jc w:val="center"/>
              <w:rPr>
                <w:rFonts w:ascii="Times New Roman" w:hAnsi="Times New Roman"/>
                <w:color w:val="000000" w:themeColor="text1"/>
                <w14:textFill>
                  <w14:solidFill>
                    <w14:schemeClr w14:val="tx1"/>
                  </w14:solidFill>
                </w14:textFill>
              </w:rPr>
            </w:pPr>
          </w:p>
        </w:tc>
        <w:tc>
          <w:tcPr>
            <w:tcW w:w="750" w:type="pct"/>
            <w:vAlign w:val="center"/>
          </w:tcPr>
          <w:p w14:paraId="2E8C3C78">
            <w:pPr>
              <w:jc w:val="center"/>
              <w:rPr>
                <w:rFonts w:ascii="Times New Roman" w:hAnsi="Times New Roman"/>
                <w:snapToGrid w:val="0"/>
                <w:color w:val="000000" w:themeColor="text1"/>
                <w:kern w:val="0"/>
                <w:sz w:val="18"/>
                <w:szCs w:val="18"/>
                <w14:textFill>
                  <w14:solidFill>
                    <w14:schemeClr w14:val="tx1"/>
                  </w14:solidFill>
                </w14:textFill>
              </w:rPr>
            </w:pPr>
          </w:p>
        </w:tc>
        <w:tc>
          <w:tcPr>
            <w:tcW w:w="451" w:type="pct"/>
            <w:vAlign w:val="center"/>
          </w:tcPr>
          <w:p w14:paraId="54F8A0AF">
            <w:pPr>
              <w:jc w:val="center"/>
              <w:rPr>
                <w:rFonts w:ascii="Times New Roman" w:hAnsi="Times New Roman"/>
                <w:snapToGrid w:val="0"/>
                <w:color w:val="000000" w:themeColor="text1"/>
                <w:kern w:val="0"/>
                <w:sz w:val="18"/>
                <w:szCs w:val="18"/>
                <w14:textFill>
                  <w14:solidFill>
                    <w14:schemeClr w14:val="tx1"/>
                  </w14:solidFill>
                </w14:textFill>
              </w:rPr>
            </w:pPr>
          </w:p>
        </w:tc>
        <w:tc>
          <w:tcPr>
            <w:tcW w:w="451" w:type="pct"/>
            <w:vAlign w:val="center"/>
          </w:tcPr>
          <w:p w14:paraId="6139324A">
            <w:pPr>
              <w:jc w:val="center"/>
              <w:rPr>
                <w:rFonts w:ascii="Times New Roman" w:hAnsi="Times New Roman"/>
                <w:snapToGrid w:val="0"/>
                <w:color w:val="000000" w:themeColor="text1"/>
                <w:kern w:val="0"/>
                <w:sz w:val="18"/>
                <w:szCs w:val="18"/>
                <w14:textFill>
                  <w14:solidFill>
                    <w14:schemeClr w14:val="tx1"/>
                  </w14:solidFill>
                </w14:textFill>
              </w:rPr>
            </w:pPr>
          </w:p>
        </w:tc>
        <w:tc>
          <w:tcPr>
            <w:tcW w:w="750" w:type="pct"/>
            <w:vAlign w:val="center"/>
          </w:tcPr>
          <w:p w14:paraId="6A4B1D1E">
            <w:pPr>
              <w:jc w:val="center"/>
              <w:rPr>
                <w:rFonts w:ascii="Times New Roman" w:hAnsi="Times New Roman"/>
                <w:snapToGrid w:val="0"/>
                <w:color w:val="000000" w:themeColor="text1"/>
                <w:kern w:val="0"/>
                <w:sz w:val="18"/>
                <w:szCs w:val="18"/>
                <w14:textFill>
                  <w14:solidFill>
                    <w14:schemeClr w14:val="tx1"/>
                  </w14:solidFill>
                </w14:textFill>
              </w:rPr>
            </w:pPr>
          </w:p>
        </w:tc>
        <w:tc>
          <w:tcPr>
            <w:tcW w:w="1053" w:type="pct"/>
            <w:vAlign w:val="center"/>
          </w:tcPr>
          <w:p w14:paraId="5EA8F8BD">
            <w:pPr>
              <w:jc w:val="center"/>
              <w:rPr>
                <w:rFonts w:ascii="Times New Roman" w:hAnsi="Times New Roman"/>
                <w:snapToGrid w:val="0"/>
                <w:color w:val="000000" w:themeColor="text1"/>
                <w:kern w:val="0"/>
                <w:sz w:val="18"/>
                <w:szCs w:val="18"/>
                <w14:textFill>
                  <w14:solidFill>
                    <w14:schemeClr w14:val="tx1"/>
                  </w14:solidFill>
                </w14:textFill>
              </w:rPr>
            </w:pPr>
          </w:p>
        </w:tc>
        <w:tc>
          <w:tcPr>
            <w:tcW w:w="374" w:type="pct"/>
            <w:vAlign w:val="center"/>
          </w:tcPr>
          <w:p w14:paraId="135B59A2">
            <w:pPr>
              <w:jc w:val="center"/>
              <w:rPr>
                <w:rFonts w:ascii="Times New Roman" w:hAnsi="Times New Roman"/>
                <w:snapToGrid w:val="0"/>
                <w:color w:val="000000" w:themeColor="text1"/>
                <w:kern w:val="0"/>
                <w:sz w:val="18"/>
                <w:szCs w:val="18"/>
                <w14:textFill>
                  <w14:solidFill>
                    <w14:schemeClr w14:val="tx1"/>
                  </w14:solidFill>
                </w14:textFill>
              </w:rPr>
            </w:pPr>
          </w:p>
        </w:tc>
      </w:tr>
      <w:tr w14:paraId="3FD1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5" w:type="pct"/>
            <w:vAlign w:val="center"/>
          </w:tcPr>
          <w:p w14:paraId="7F207A8A">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636" w:type="pct"/>
            <w:vAlign w:val="center"/>
          </w:tcPr>
          <w:p w14:paraId="1C09EB48">
            <w:pPr>
              <w:jc w:val="center"/>
              <w:rPr>
                <w:rFonts w:ascii="Times New Roman" w:hAnsi="Times New Roman"/>
                <w:snapToGrid w:val="0"/>
                <w:color w:val="000000" w:themeColor="text1"/>
                <w:kern w:val="0"/>
                <w:sz w:val="18"/>
                <w:szCs w:val="18"/>
                <w14:textFill>
                  <w14:solidFill>
                    <w14:schemeClr w14:val="tx1"/>
                  </w14:solidFill>
                </w14:textFill>
              </w:rPr>
            </w:pPr>
          </w:p>
        </w:tc>
        <w:tc>
          <w:tcPr>
            <w:tcW w:w="750" w:type="pct"/>
            <w:vAlign w:val="center"/>
          </w:tcPr>
          <w:p w14:paraId="4393F968">
            <w:pPr>
              <w:jc w:val="center"/>
              <w:rPr>
                <w:rFonts w:ascii="Times New Roman" w:hAnsi="Times New Roman"/>
                <w:snapToGrid w:val="0"/>
                <w:color w:val="000000" w:themeColor="text1"/>
                <w:kern w:val="0"/>
                <w:sz w:val="18"/>
                <w:szCs w:val="18"/>
                <w14:textFill>
                  <w14:solidFill>
                    <w14:schemeClr w14:val="tx1"/>
                  </w14:solidFill>
                </w14:textFill>
              </w:rPr>
            </w:pPr>
          </w:p>
        </w:tc>
        <w:tc>
          <w:tcPr>
            <w:tcW w:w="451" w:type="pct"/>
            <w:vAlign w:val="center"/>
          </w:tcPr>
          <w:p w14:paraId="1ED3D2DD">
            <w:pPr>
              <w:jc w:val="center"/>
              <w:rPr>
                <w:rFonts w:ascii="Times New Roman" w:hAnsi="Times New Roman"/>
                <w:snapToGrid w:val="0"/>
                <w:color w:val="000000" w:themeColor="text1"/>
                <w:kern w:val="0"/>
                <w:sz w:val="18"/>
                <w:szCs w:val="18"/>
                <w14:textFill>
                  <w14:solidFill>
                    <w14:schemeClr w14:val="tx1"/>
                  </w14:solidFill>
                </w14:textFill>
              </w:rPr>
            </w:pPr>
          </w:p>
        </w:tc>
        <w:tc>
          <w:tcPr>
            <w:tcW w:w="451" w:type="pct"/>
            <w:vAlign w:val="center"/>
          </w:tcPr>
          <w:p w14:paraId="3F4D3816">
            <w:pPr>
              <w:jc w:val="center"/>
              <w:rPr>
                <w:rFonts w:ascii="Times New Roman" w:hAnsi="Times New Roman"/>
                <w:snapToGrid w:val="0"/>
                <w:color w:val="000000" w:themeColor="text1"/>
                <w:kern w:val="0"/>
                <w:sz w:val="18"/>
                <w:szCs w:val="18"/>
                <w14:textFill>
                  <w14:solidFill>
                    <w14:schemeClr w14:val="tx1"/>
                  </w14:solidFill>
                </w14:textFill>
              </w:rPr>
            </w:pPr>
          </w:p>
        </w:tc>
        <w:tc>
          <w:tcPr>
            <w:tcW w:w="750" w:type="pct"/>
            <w:vAlign w:val="center"/>
          </w:tcPr>
          <w:p w14:paraId="106D68A1">
            <w:pPr>
              <w:jc w:val="center"/>
              <w:rPr>
                <w:rFonts w:ascii="Times New Roman" w:hAnsi="Times New Roman"/>
                <w:snapToGrid w:val="0"/>
                <w:color w:val="000000" w:themeColor="text1"/>
                <w:kern w:val="0"/>
                <w:sz w:val="18"/>
                <w:szCs w:val="18"/>
                <w14:textFill>
                  <w14:solidFill>
                    <w14:schemeClr w14:val="tx1"/>
                  </w14:solidFill>
                </w14:textFill>
              </w:rPr>
            </w:pPr>
          </w:p>
        </w:tc>
        <w:tc>
          <w:tcPr>
            <w:tcW w:w="1053" w:type="pct"/>
            <w:vAlign w:val="center"/>
          </w:tcPr>
          <w:p w14:paraId="5053AAA6">
            <w:pPr>
              <w:jc w:val="center"/>
              <w:rPr>
                <w:rFonts w:ascii="Times New Roman" w:hAnsi="Times New Roman"/>
                <w:snapToGrid w:val="0"/>
                <w:color w:val="000000" w:themeColor="text1"/>
                <w:kern w:val="0"/>
                <w:sz w:val="18"/>
                <w:szCs w:val="18"/>
                <w14:textFill>
                  <w14:solidFill>
                    <w14:schemeClr w14:val="tx1"/>
                  </w14:solidFill>
                </w14:textFill>
              </w:rPr>
            </w:pPr>
          </w:p>
        </w:tc>
        <w:tc>
          <w:tcPr>
            <w:tcW w:w="374" w:type="pct"/>
            <w:vAlign w:val="center"/>
          </w:tcPr>
          <w:p w14:paraId="34C68B0E">
            <w:pPr>
              <w:jc w:val="center"/>
              <w:rPr>
                <w:rFonts w:ascii="Times New Roman" w:hAnsi="Times New Roman"/>
                <w:snapToGrid w:val="0"/>
                <w:color w:val="000000" w:themeColor="text1"/>
                <w:kern w:val="0"/>
                <w:sz w:val="18"/>
                <w:szCs w:val="18"/>
                <w14:textFill>
                  <w14:solidFill>
                    <w14:schemeClr w14:val="tx1"/>
                  </w14:solidFill>
                </w14:textFill>
              </w:rPr>
            </w:pPr>
          </w:p>
        </w:tc>
      </w:tr>
    </w:tbl>
    <w:p w14:paraId="60AAA72A">
      <w:pPr>
        <w:pStyle w:val="97"/>
        <w:spacing w:before="120" w:after="120"/>
      </w:pPr>
      <w:r>
        <w:t>线路阀室统计表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5"/>
        <w:gridCol w:w="1164"/>
        <w:gridCol w:w="1162"/>
        <w:gridCol w:w="1162"/>
        <w:gridCol w:w="1162"/>
        <w:gridCol w:w="1162"/>
        <w:gridCol w:w="1445"/>
        <w:gridCol w:w="1288"/>
      </w:tblGrid>
      <w:tr w14:paraId="36F4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36" w:type="pct"/>
            <w:vAlign w:val="center"/>
          </w:tcPr>
          <w:p w14:paraId="0DDBE8AD">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序号</w:t>
            </w:r>
          </w:p>
        </w:tc>
        <w:tc>
          <w:tcPr>
            <w:tcW w:w="608" w:type="pct"/>
            <w:vAlign w:val="center"/>
          </w:tcPr>
          <w:p w14:paraId="4879F65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管道名称</w:t>
            </w:r>
          </w:p>
        </w:tc>
        <w:tc>
          <w:tcPr>
            <w:tcW w:w="607" w:type="pct"/>
            <w:vAlign w:val="center"/>
          </w:tcPr>
          <w:p w14:paraId="09EC11A5">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阀室名称</w:t>
            </w:r>
          </w:p>
        </w:tc>
        <w:tc>
          <w:tcPr>
            <w:tcW w:w="607" w:type="pct"/>
            <w:vAlign w:val="center"/>
          </w:tcPr>
          <w:p w14:paraId="406D969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里程</w:t>
            </w:r>
          </w:p>
          <w:p w14:paraId="47373323">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c>
          <w:tcPr>
            <w:tcW w:w="607" w:type="pct"/>
            <w:vAlign w:val="center"/>
          </w:tcPr>
          <w:p w14:paraId="2BB1B177">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高程</w:t>
            </w:r>
          </w:p>
          <w:p w14:paraId="5AF1DD5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m</w:t>
            </w:r>
          </w:p>
        </w:tc>
        <w:tc>
          <w:tcPr>
            <w:tcW w:w="607" w:type="pct"/>
            <w:vAlign w:val="center"/>
          </w:tcPr>
          <w:p w14:paraId="0BC5853D">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阀室间距</w:t>
            </w:r>
          </w:p>
          <w:p w14:paraId="339529D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c>
          <w:tcPr>
            <w:tcW w:w="755" w:type="pct"/>
            <w:vAlign w:val="center"/>
          </w:tcPr>
          <w:p w14:paraId="7C72C4D0">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地区等级</w:t>
            </w:r>
          </w:p>
        </w:tc>
        <w:tc>
          <w:tcPr>
            <w:tcW w:w="673" w:type="pct"/>
            <w:vAlign w:val="center"/>
          </w:tcPr>
          <w:p w14:paraId="59F56A1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阀室类型</w:t>
            </w:r>
          </w:p>
        </w:tc>
      </w:tr>
      <w:tr w14:paraId="6A18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6" w:type="pct"/>
            <w:vAlign w:val="center"/>
          </w:tcPr>
          <w:p w14:paraId="5864668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608" w:type="pct"/>
            <w:vAlign w:val="center"/>
          </w:tcPr>
          <w:p w14:paraId="1EBEE04E">
            <w:pPr>
              <w:jc w:val="center"/>
              <w:rPr>
                <w:rFonts w:ascii="Times New Roman" w:hAnsi="Times New Roman"/>
                <w:color w:val="000000" w:themeColor="text1"/>
                <w14:textFill>
                  <w14:solidFill>
                    <w14:schemeClr w14:val="tx1"/>
                  </w14:solidFill>
                </w14:textFill>
              </w:rPr>
            </w:pPr>
          </w:p>
        </w:tc>
        <w:tc>
          <w:tcPr>
            <w:tcW w:w="607" w:type="pct"/>
            <w:vAlign w:val="center"/>
          </w:tcPr>
          <w:p w14:paraId="1BAFC2D7">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40D275EA">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65027A9B">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2B267C07">
            <w:pPr>
              <w:jc w:val="center"/>
              <w:rPr>
                <w:rFonts w:ascii="Times New Roman" w:hAnsi="Times New Roman"/>
                <w:snapToGrid w:val="0"/>
                <w:color w:val="000000" w:themeColor="text1"/>
                <w:kern w:val="0"/>
                <w:sz w:val="18"/>
                <w:szCs w:val="18"/>
                <w14:textFill>
                  <w14:solidFill>
                    <w14:schemeClr w14:val="tx1"/>
                  </w14:solidFill>
                </w14:textFill>
              </w:rPr>
            </w:pPr>
          </w:p>
        </w:tc>
        <w:tc>
          <w:tcPr>
            <w:tcW w:w="755" w:type="pct"/>
            <w:vAlign w:val="center"/>
          </w:tcPr>
          <w:p w14:paraId="7E70EBB6">
            <w:pPr>
              <w:jc w:val="center"/>
              <w:rPr>
                <w:rFonts w:ascii="Times New Roman" w:hAnsi="Times New Roman"/>
                <w:snapToGrid w:val="0"/>
                <w:color w:val="000000" w:themeColor="text1"/>
                <w:kern w:val="0"/>
                <w:sz w:val="18"/>
                <w:szCs w:val="18"/>
                <w14:textFill>
                  <w14:solidFill>
                    <w14:schemeClr w14:val="tx1"/>
                  </w14:solidFill>
                </w14:textFill>
              </w:rPr>
            </w:pPr>
          </w:p>
        </w:tc>
        <w:tc>
          <w:tcPr>
            <w:tcW w:w="673" w:type="pct"/>
            <w:vAlign w:val="center"/>
          </w:tcPr>
          <w:p w14:paraId="4D0F96C8">
            <w:pPr>
              <w:jc w:val="center"/>
              <w:rPr>
                <w:rFonts w:ascii="Times New Roman" w:hAnsi="Times New Roman"/>
                <w:snapToGrid w:val="0"/>
                <w:color w:val="000000" w:themeColor="text1"/>
                <w:kern w:val="0"/>
                <w:sz w:val="18"/>
                <w:szCs w:val="18"/>
                <w14:textFill>
                  <w14:solidFill>
                    <w14:schemeClr w14:val="tx1"/>
                  </w14:solidFill>
                </w14:textFill>
              </w:rPr>
            </w:pPr>
          </w:p>
        </w:tc>
      </w:tr>
      <w:tr w14:paraId="079D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36" w:type="pct"/>
            <w:vAlign w:val="center"/>
          </w:tcPr>
          <w:p w14:paraId="44FF8557">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608" w:type="pct"/>
            <w:vAlign w:val="center"/>
          </w:tcPr>
          <w:p w14:paraId="19AB28C2">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56475F42">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0B1E5D71">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26F37232">
            <w:pPr>
              <w:jc w:val="center"/>
              <w:rPr>
                <w:rFonts w:ascii="Times New Roman" w:hAnsi="Times New Roman"/>
                <w:snapToGrid w:val="0"/>
                <w:color w:val="000000" w:themeColor="text1"/>
                <w:kern w:val="0"/>
                <w:sz w:val="18"/>
                <w:szCs w:val="18"/>
                <w14:textFill>
                  <w14:solidFill>
                    <w14:schemeClr w14:val="tx1"/>
                  </w14:solidFill>
                </w14:textFill>
              </w:rPr>
            </w:pPr>
          </w:p>
        </w:tc>
        <w:tc>
          <w:tcPr>
            <w:tcW w:w="607" w:type="pct"/>
            <w:vAlign w:val="center"/>
          </w:tcPr>
          <w:p w14:paraId="6470C034">
            <w:pPr>
              <w:jc w:val="center"/>
              <w:rPr>
                <w:rFonts w:ascii="Times New Roman" w:hAnsi="Times New Roman"/>
                <w:snapToGrid w:val="0"/>
                <w:color w:val="000000" w:themeColor="text1"/>
                <w:kern w:val="0"/>
                <w:sz w:val="18"/>
                <w:szCs w:val="18"/>
                <w14:textFill>
                  <w14:solidFill>
                    <w14:schemeClr w14:val="tx1"/>
                  </w14:solidFill>
                </w14:textFill>
              </w:rPr>
            </w:pPr>
          </w:p>
        </w:tc>
        <w:tc>
          <w:tcPr>
            <w:tcW w:w="755" w:type="pct"/>
            <w:vAlign w:val="center"/>
          </w:tcPr>
          <w:p w14:paraId="548A7523">
            <w:pPr>
              <w:jc w:val="center"/>
              <w:rPr>
                <w:rFonts w:ascii="Times New Roman" w:hAnsi="Times New Roman"/>
                <w:snapToGrid w:val="0"/>
                <w:color w:val="000000" w:themeColor="text1"/>
                <w:kern w:val="0"/>
                <w:sz w:val="18"/>
                <w:szCs w:val="18"/>
                <w14:textFill>
                  <w14:solidFill>
                    <w14:schemeClr w14:val="tx1"/>
                  </w14:solidFill>
                </w14:textFill>
              </w:rPr>
            </w:pPr>
          </w:p>
        </w:tc>
        <w:tc>
          <w:tcPr>
            <w:tcW w:w="673" w:type="pct"/>
            <w:vAlign w:val="center"/>
          </w:tcPr>
          <w:p w14:paraId="5EBCAF48">
            <w:pPr>
              <w:jc w:val="center"/>
              <w:rPr>
                <w:rFonts w:ascii="Times New Roman" w:hAnsi="Times New Roman"/>
                <w:snapToGrid w:val="0"/>
                <w:color w:val="000000" w:themeColor="text1"/>
                <w:kern w:val="0"/>
                <w:sz w:val="18"/>
                <w:szCs w:val="18"/>
                <w14:textFill>
                  <w14:solidFill>
                    <w14:schemeClr w14:val="tx1"/>
                  </w14:solidFill>
                </w14:textFill>
              </w:rPr>
            </w:pPr>
          </w:p>
        </w:tc>
      </w:tr>
    </w:tbl>
    <w:p w14:paraId="37FCE7A9">
      <w:pPr>
        <w:pStyle w:val="97"/>
        <w:spacing w:before="120" w:after="120"/>
      </w:pPr>
      <w:r>
        <w:t>建筑物一览表</w:t>
      </w:r>
    </w:p>
    <w:tbl>
      <w:tblPr>
        <w:tblStyle w:val="37"/>
        <w:tblW w:w="5000" w:type="pct"/>
        <w:jc w:val="center"/>
        <w:tblLayout w:type="autofit"/>
        <w:tblCellMar>
          <w:top w:w="0" w:type="dxa"/>
          <w:left w:w="0" w:type="dxa"/>
          <w:bottom w:w="0" w:type="dxa"/>
          <w:right w:w="0" w:type="dxa"/>
        </w:tblCellMar>
      </w:tblPr>
      <w:tblGrid>
        <w:gridCol w:w="772"/>
        <w:gridCol w:w="1894"/>
        <w:gridCol w:w="1676"/>
        <w:gridCol w:w="1676"/>
        <w:gridCol w:w="1676"/>
        <w:gridCol w:w="1680"/>
      </w:tblGrid>
      <w:tr w14:paraId="4D484203">
        <w:tblPrEx>
          <w:tblCellMar>
            <w:top w:w="0" w:type="dxa"/>
            <w:left w:w="0" w:type="dxa"/>
            <w:bottom w:w="0" w:type="dxa"/>
            <w:right w:w="0" w:type="dxa"/>
          </w:tblCellMar>
        </w:tblPrEx>
        <w:trPr>
          <w:trHeight w:val="397"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0062C">
            <w:pPr>
              <w:pStyle w:val="346"/>
              <w:adjustRightInd w:val="0"/>
              <w:snapToGrid w:val="0"/>
              <w:rPr>
                <w:rFonts w:ascii="Times New Roman" w:eastAsia="宋体"/>
                <w:color w:val="000000" w:themeColor="text1"/>
                <w:sz w:val="18"/>
                <w:szCs w:val="18"/>
                <w:lang w:bidi="ar"/>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序号</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09C6A3">
            <w:pPr>
              <w:pStyle w:val="346"/>
              <w:adjustRightInd w:val="0"/>
              <w:snapToGrid w:val="0"/>
              <w:rPr>
                <w:rFonts w:ascii="Times New Roman" w:eastAsia="宋体"/>
                <w:color w:val="000000" w:themeColor="text1"/>
                <w:sz w:val="18"/>
                <w:szCs w:val="18"/>
                <w:lang w:bidi="ar"/>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建筑名称</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16306A">
            <w:pPr>
              <w:pStyle w:val="346"/>
              <w:adjustRightInd w:val="0"/>
              <w:snapToGrid w:val="0"/>
              <w:rPr>
                <w:rFonts w:ascii="Times New Roman" w:eastAsia="宋体"/>
                <w:color w:val="000000" w:themeColor="text1"/>
                <w:spacing w:val="0"/>
                <w:sz w:val="18"/>
                <w:szCs w:val="18"/>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建筑面积</w:t>
            </w:r>
          </w:p>
          <w:p w14:paraId="054BF3C8">
            <w:pPr>
              <w:pStyle w:val="346"/>
              <w:adjustRightInd w:val="0"/>
              <w:snapToGrid w:val="0"/>
              <w:rPr>
                <w:rFonts w:ascii="Times New Roman" w:eastAsia="宋体"/>
                <w:color w:val="000000" w:themeColor="text1"/>
                <w:sz w:val="18"/>
                <w:szCs w:val="18"/>
                <w:lang w:bidi="ar"/>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m</w:t>
            </w:r>
            <w:r>
              <w:rPr>
                <w:rFonts w:ascii="Times New Roman" w:eastAsia="宋体"/>
                <w:color w:val="000000" w:themeColor="text1"/>
                <w:spacing w:val="0"/>
                <w:sz w:val="18"/>
                <w:szCs w:val="18"/>
                <w:vertAlign w:val="superscript"/>
                <w14:textFill>
                  <w14:solidFill>
                    <w14:schemeClr w14:val="tx1"/>
                  </w14:solidFill>
                </w14:textFill>
              </w:rPr>
              <w:t>2</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D3E5A6">
            <w:pPr>
              <w:pStyle w:val="346"/>
              <w:adjustRightInd w:val="0"/>
              <w:snapToGrid w:val="0"/>
              <w:rPr>
                <w:rFonts w:ascii="Times New Roman" w:eastAsia="宋体"/>
                <w:color w:val="000000" w:themeColor="text1"/>
                <w:sz w:val="18"/>
                <w:szCs w:val="18"/>
                <w:lang w:bidi="ar"/>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结构形式</w:t>
            </w: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DDF4B">
            <w:pPr>
              <w:pStyle w:val="346"/>
              <w:adjustRightInd w:val="0"/>
              <w:snapToGrid w:val="0"/>
              <w:rPr>
                <w:rFonts w:ascii="Times New Roman" w:eastAsia="宋体"/>
                <w:color w:val="000000" w:themeColor="text1"/>
                <w:sz w:val="18"/>
                <w:szCs w:val="18"/>
                <w:lang w:bidi="ar"/>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层数</w:t>
            </w:r>
          </w:p>
        </w:tc>
        <w:tc>
          <w:tcPr>
            <w:tcW w:w="896" w:type="pct"/>
            <w:tcBorders>
              <w:top w:val="single" w:color="000000" w:sz="4" w:space="0"/>
              <w:left w:val="single" w:color="000000" w:sz="4" w:space="0"/>
              <w:bottom w:val="single" w:color="000000" w:sz="4" w:space="0"/>
              <w:right w:val="single" w:color="000000" w:sz="4" w:space="0"/>
            </w:tcBorders>
            <w:vAlign w:val="center"/>
          </w:tcPr>
          <w:p w14:paraId="760C3488">
            <w:pPr>
              <w:pStyle w:val="346"/>
              <w:adjustRightInd w:val="0"/>
              <w:snapToGrid w:val="0"/>
              <w:rPr>
                <w:rFonts w:ascii="Times New Roman" w:eastAsia="宋体"/>
                <w:color w:val="000000" w:themeColor="text1"/>
                <w:spacing w:val="0"/>
                <w:sz w:val="18"/>
                <w:szCs w:val="18"/>
                <w14:textFill>
                  <w14:solidFill>
                    <w14:schemeClr w14:val="tx1"/>
                  </w14:solidFill>
                </w14:textFill>
              </w:rPr>
            </w:pPr>
            <w:r>
              <w:rPr>
                <w:rFonts w:ascii="Times New Roman" w:eastAsia="宋体"/>
                <w:color w:val="000000" w:themeColor="text1"/>
                <w:spacing w:val="0"/>
                <w:sz w:val="18"/>
                <w:szCs w:val="18"/>
                <w14:textFill>
                  <w14:solidFill>
                    <w14:schemeClr w14:val="tx1"/>
                  </w14:solidFill>
                </w14:textFill>
              </w:rPr>
              <w:t>通风形式</w:t>
            </w:r>
          </w:p>
        </w:tc>
      </w:tr>
      <w:tr w14:paraId="307D5B0D">
        <w:tblPrEx>
          <w:tblCellMar>
            <w:top w:w="0" w:type="dxa"/>
            <w:left w:w="0" w:type="dxa"/>
            <w:bottom w:w="0" w:type="dxa"/>
            <w:right w:w="0" w:type="dxa"/>
          </w:tblCellMar>
        </w:tblPrEx>
        <w:trPr>
          <w:trHeight w:val="397"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949A0">
            <w:pPr>
              <w:jc w:val="center"/>
              <w:textAlignment w:val="center"/>
              <w:rPr>
                <w:rFonts w:ascii="Times New Roman" w:hAnsi="Times New Roman"/>
                <w:color w:val="000000" w:themeColor="text1"/>
                <w:sz w:val="18"/>
                <w:szCs w:val="18"/>
                <w:lang w:bidi="ar"/>
                <w14:textFill>
                  <w14:solidFill>
                    <w14:schemeClr w14:val="tx1"/>
                  </w14:solidFill>
                </w14:textFill>
              </w:rPr>
            </w:pPr>
            <w:r>
              <w:rPr>
                <w:rFonts w:ascii="Times New Roman" w:hAnsi="Times New Roman"/>
                <w:color w:val="000000" w:themeColor="text1"/>
                <w:sz w:val="18"/>
                <w:szCs w:val="18"/>
                <w:lang w:bidi="ar"/>
                <w14:textFill>
                  <w14:solidFill>
                    <w14:schemeClr w14:val="tx1"/>
                  </w14:solidFill>
                </w14:textFill>
              </w:rPr>
              <w:t>1</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2A657B">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83D7CE">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FAD58D">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DF4249">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1EFECFFA">
            <w:pPr>
              <w:jc w:val="center"/>
              <w:rPr>
                <w:rFonts w:ascii="Times New Roman" w:hAnsi="Times New Roman"/>
                <w:color w:val="000000" w:themeColor="text1"/>
                <w:sz w:val="18"/>
                <w:szCs w:val="18"/>
                <w14:textFill>
                  <w14:solidFill>
                    <w14:schemeClr w14:val="tx1"/>
                  </w14:solidFill>
                </w14:textFill>
              </w:rPr>
            </w:pPr>
          </w:p>
        </w:tc>
      </w:tr>
      <w:tr w14:paraId="0A2D04F3">
        <w:tblPrEx>
          <w:tblCellMar>
            <w:top w:w="0" w:type="dxa"/>
            <w:left w:w="0" w:type="dxa"/>
            <w:bottom w:w="0" w:type="dxa"/>
            <w:right w:w="0" w:type="dxa"/>
          </w:tblCellMar>
        </w:tblPrEx>
        <w:trPr>
          <w:trHeight w:val="397" w:hRule="atLeast"/>
          <w:jc w:val="center"/>
        </w:trPr>
        <w:tc>
          <w:tcPr>
            <w:tcW w:w="41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1AC229">
            <w:pPr>
              <w:jc w:val="center"/>
              <w:textAlignment w:val="center"/>
              <w:rPr>
                <w:rFonts w:ascii="Times New Roman" w:hAnsi="Times New Roman"/>
                <w:color w:val="000000" w:themeColor="text1"/>
                <w:sz w:val="18"/>
                <w:szCs w:val="18"/>
                <w:lang w:bidi="ar"/>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101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780D4">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360800">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DD0AD">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9B4D2D">
            <w:pPr>
              <w:jc w:val="center"/>
              <w:textAlignment w:val="center"/>
              <w:rPr>
                <w:rFonts w:ascii="Times New Roman" w:hAnsi="Times New Roman"/>
                <w:color w:val="000000" w:themeColor="text1"/>
                <w:sz w:val="18"/>
                <w:szCs w:val="18"/>
                <w:lang w:bidi="ar"/>
                <w14:textFill>
                  <w14:solidFill>
                    <w14:schemeClr w14:val="tx1"/>
                  </w14:solidFill>
                </w14:textFill>
              </w:rPr>
            </w:pPr>
          </w:p>
        </w:tc>
        <w:tc>
          <w:tcPr>
            <w:tcW w:w="896" w:type="pct"/>
            <w:tcBorders>
              <w:top w:val="single" w:color="000000" w:sz="4" w:space="0"/>
              <w:left w:val="single" w:color="000000" w:sz="4" w:space="0"/>
              <w:bottom w:val="single" w:color="000000" w:sz="4" w:space="0"/>
              <w:right w:val="single" w:color="000000" w:sz="4" w:space="0"/>
            </w:tcBorders>
            <w:vAlign w:val="center"/>
          </w:tcPr>
          <w:p w14:paraId="5FEC6008">
            <w:pPr>
              <w:jc w:val="center"/>
              <w:rPr>
                <w:rFonts w:ascii="Times New Roman" w:hAnsi="Times New Roman"/>
                <w:color w:val="000000" w:themeColor="text1"/>
                <w:sz w:val="18"/>
                <w:szCs w:val="18"/>
                <w14:textFill>
                  <w14:solidFill>
                    <w14:schemeClr w14:val="tx1"/>
                  </w14:solidFill>
                </w14:textFill>
              </w:rPr>
            </w:pPr>
          </w:p>
        </w:tc>
      </w:tr>
    </w:tbl>
    <w:p w14:paraId="7C23A348">
      <w:pPr>
        <w:pStyle w:val="97"/>
        <w:spacing w:before="120" w:after="120"/>
      </w:pPr>
      <w:r>
        <w:t>构筑物一览表</w:t>
      </w:r>
    </w:p>
    <w:tbl>
      <w:tblPr>
        <w:tblStyle w:val="37"/>
        <w:tblW w:w="5000" w:type="pct"/>
        <w:tblInd w:w="0" w:type="dxa"/>
        <w:tblLayout w:type="autofit"/>
        <w:tblCellMar>
          <w:top w:w="0" w:type="dxa"/>
          <w:left w:w="0" w:type="dxa"/>
          <w:bottom w:w="0" w:type="dxa"/>
          <w:right w:w="0" w:type="dxa"/>
        </w:tblCellMar>
      </w:tblPr>
      <w:tblGrid>
        <w:gridCol w:w="749"/>
        <w:gridCol w:w="4633"/>
        <w:gridCol w:w="3982"/>
      </w:tblGrid>
      <w:tr w14:paraId="08AAB07C">
        <w:tblPrEx>
          <w:tblCellMar>
            <w:top w:w="0" w:type="dxa"/>
            <w:left w:w="0" w:type="dxa"/>
            <w:bottom w:w="0" w:type="dxa"/>
            <w:right w:w="0" w:type="dxa"/>
          </w:tblCellMar>
        </w:tblPrEx>
        <w:trPr>
          <w:trHeight w:val="397" w:hRule="atLeast"/>
          <w:tblHeader/>
        </w:trPr>
        <w:tc>
          <w:tcPr>
            <w:tcW w:w="400" w:type="pct"/>
            <w:tcBorders>
              <w:top w:val="single" w:color="000000" w:sz="4" w:space="0"/>
              <w:left w:val="single" w:color="000000" w:sz="4" w:space="0"/>
              <w:bottom w:val="single" w:color="000000" w:sz="4" w:space="0"/>
              <w:right w:val="single" w:color="000000" w:sz="4" w:space="0"/>
            </w:tcBorders>
            <w:noWrap/>
            <w:vAlign w:val="center"/>
          </w:tcPr>
          <w:p w14:paraId="7E3C0C85">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r>
              <w:rPr>
                <w:rFonts w:ascii="Times New Roman" w:hAnsi="Times New Roman"/>
                <w:snapToGrid w:val="0"/>
                <w:color w:val="000000" w:themeColor="text1"/>
                <w:kern w:val="21"/>
                <w:sz w:val="18"/>
                <w:szCs w:val="18"/>
                <w:lang w:bidi="ar"/>
                <w14:textFill>
                  <w14:solidFill>
                    <w14:schemeClr w14:val="tx1"/>
                  </w14:solidFill>
                </w14:textFill>
              </w:rPr>
              <w:t>序号</w:t>
            </w:r>
          </w:p>
        </w:tc>
        <w:tc>
          <w:tcPr>
            <w:tcW w:w="2474" w:type="pct"/>
            <w:tcBorders>
              <w:top w:val="single" w:color="000000" w:sz="4" w:space="0"/>
              <w:left w:val="single" w:color="000000" w:sz="4" w:space="0"/>
              <w:bottom w:val="single" w:color="000000" w:sz="4" w:space="0"/>
              <w:right w:val="single" w:color="000000" w:sz="4" w:space="0"/>
            </w:tcBorders>
            <w:noWrap/>
            <w:vAlign w:val="center"/>
          </w:tcPr>
          <w:p w14:paraId="60B944D3">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r>
              <w:rPr>
                <w:rFonts w:ascii="Times New Roman" w:hAnsi="Times New Roman"/>
                <w:snapToGrid w:val="0"/>
                <w:color w:val="000000" w:themeColor="text1"/>
                <w:kern w:val="21"/>
                <w:sz w:val="18"/>
                <w:szCs w:val="18"/>
                <w:lang w:bidi="ar"/>
                <w14:textFill>
                  <w14:solidFill>
                    <w14:schemeClr w14:val="tx1"/>
                  </w14:solidFill>
                </w14:textFill>
              </w:rPr>
              <w:t>构筑物名称</w:t>
            </w: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3E922BE4">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主要材料及做法</w:t>
            </w:r>
          </w:p>
        </w:tc>
      </w:tr>
      <w:tr w14:paraId="1BCD9667">
        <w:tblPrEx>
          <w:tblCellMar>
            <w:top w:w="0" w:type="dxa"/>
            <w:left w:w="0" w:type="dxa"/>
            <w:bottom w:w="0" w:type="dxa"/>
            <w:right w:w="0" w:type="dxa"/>
          </w:tblCellMar>
        </w:tblPrEx>
        <w:trPr>
          <w:cantSplit/>
          <w:trHeight w:val="397" w:hRule="atLeast"/>
        </w:trPr>
        <w:tc>
          <w:tcPr>
            <w:tcW w:w="400" w:type="pct"/>
            <w:tcBorders>
              <w:top w:val="single" w:color="000000" w:sz="4" w:space="0"/>
              <w:left w:val="single" w:color="000000" w:sz="4" w:space="0"/>
              <w:bottom w:val="single" w:color="000000" w:sz="4" w:space="0"/>
              <w:right w:val="single" w:color="000000" w:sz="4" w:space="0"/>
            </w:tcBorders>
            <w:noWrap/>
            <w:vAlign w:val="center"/>
          </w:tcPr>
          <w:p w14:paraId="174132AE">
            <w:pPr>
              <w:jc w:val="center"/>
              <w:textAlignment w:val="center"/>
              <w:rPr>
                <w:rFonts w:ascii="Times New Roman" w:hAnsi="Times New Roman"/>
                <w:color w:val="000000" w:themeColor="text1"/>
                <w:sz w:val="18"/>
                <w:szCs w:val="18"/>
                <w:lang w:bidi="ar"/>
                <w14:textFill>
                  <w14:solidFill>
                    <w14:schemeClr w14:val="tx1"/>
                  </w14:solidFill>
                </w14:textFill>
              </w:rPr>
            </w:pPr>
            <w:r>
              <w:rPr>
                <w:rFonts w:ascii="Times New Roman" w:hAnsi="Times New Roman"/>
                <w:color w:val="000000" w:themeColor="text1"/>
                <w:sz w:val="18"/>
                <w:szCs w:val="18"/>
                <w:lang w:bidi="ar"/>
                <w14:textFill>
                  <w14:solidFill>
                    <w14:schemeClr w14:val="tx1"/>
                  </w14:solidFill>
                </w14:textFill>
              </w:rPr>
              <w:t>1</w:t>
            </w:r>
          </w:p>
        </w:tc>
        <w:tc>
          <w:tcPr>
            <w:tcW w:w="2474" w:type="pct"/>
            <w:tcBorders>
              <w:top w:val="single" w:color="000000" w:sz="4" w:space="0"/>
              <w:left w:val="single" w:color="000000" w:sz="4" w:space="0"/>
              <w:bottom w:val="single" w:color="000000" w:sz="4" w:space="0"/>
              <w:right w:val="single" w:color="000000" w:sz="4" w:space="0"/>
            </w:tcBorders>
            <w:vAlign w:val="center"/>
          </w:tcPr>
          <w:p w14:paraId="3B420871">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6F4A989C">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p>
        </w:tc>
      </w:tr>
      <w:tr w14:paraId="438D1ACD">
        <w:tblPrEx>
          <w:tblCellMar>
            <w:top w:w="0" w:type="dxa"/>
            <w:left w:w="0" w:type="dxa"/>
            <w:bottom w:w="0" w:type="dxa"/>
            <w:right w:w="0" w:type="dxa"/>
          </w:tblCellMar>
        </w:tblPrEx>
        <w:trPr>
          <w:cantSplit/>
          <w:trHeight w:val="397" w:hRule="atLeast"/>
        </w:trPr>
        <w:tc>
          <w:tcPr>
            <w:tcW w:w="400" w:type="pct"/>
            <w:tcBorders>
              <w:top w:val="single" w:color="000000" w:sz="4" w:space="0"/>
              <w:left w:val="single" w:color="000000" w:sz="4" w:space="0"/>
              <w:bottom w:val="single" w:color="000000" w:sz="4" w:space="0"/>
              <w:right w:val="single" w:color="000000" w:sz="4" w:space="0"/>
            </w:tcBorders>
            <w:noWrap/>
            <w:vAlign w:val="center"/>
          </w:tcPr>
          <w:p w14:paraId="390FBF77">
            <w:pPr>
              <w:jc w:val="center"/>
              <w:textAlignment w:val="center"/>
              <w:rPr>
                <w:rFonts w:ascii="Times New Roman" w:hAnsi="Times New Roman"/>
                <w:color w:val="000000" w:themeColor="text1"/>
                <w:sz w:val="18"/>
                <w:szCs w:val="18"/>
                <w:lang w:bidi="ar"/>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2474" w:type="pct"/>
            <w:tcBorders>
              <w:top w:val="single" w:color="000000" w:sz="4" w:space="0"/>
              <w:left w:val="single" w:color="000000" w:sz="4" w:space="0"/>
              <w:bottom w:val="single" w:color="000000" w:sz="4" w:space="0"/>
              <w:right w:val="single" w:color="000000" w:sz="4" w:space="0"/>
            </w:tcBorders>
            <w:vAlign w:val="center"/>
          </w:tcPr>
          <w:p w14:paraId="2C310E1A">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p>
        </w:tc>
        <w:tc>
          <w:tcPr>
            <w:tcW w:w="2126" w:type="pct"/>
            <w:tcBorders>
              <w:top w:val="single" w:color="000000" w:sz="4" w:space="0"/>
              <w:left w:val="single" w:color="000000" w:sz="4" w:space="0"/>
              <w:bottom w:val="single" w:color="000000" w:sz="4" w:space="0"/>
              <w:right w:val="single" w:color="000000" w:sz="4" w:space="0"/>
            </w:tcBorders>
            <w:noWrap/>
            <w:vAlign w:val="center"/>
          </w:tcPr>
          <w:p w14:paraId="70F6B510">
            <w:pPr>
              <w:snapToGrid w:val="0"/>
              <w:jc w:val="center"/>
              <w:textAlignment w:val="center"/>
              <w:rPr>
                <w:rFonts w:ascii="Times New Roman" w:hAnsi="Times New Roman"/>
                <w:snapToGrid w:val="0"/>
                <w:color w:val="000000" w:themeColor="text1"/>
                <w:kern w:val="21"/>
                <w:sz w:val="18"/>
                <w:szCs w:val="18"/>
                <w:lang w:bidi="ar"/>
                <w14:textFill>
                  <w14:solidFill>
                    <w14:schemeClr w14:val="tx1"/>
                  </w14:solidFill>
                </w14:textFill>
              </w:rPr>
            </w:pPr>
          </w:p>
        </w:tc>
      </w:tr>
    </w:tbl>
    <w:p w14:paraId="174A0B35">
      <w:pPr>
        <w:pStyle w:val="97"/>
        <w:spacing w:before="120" w:after="120"/>
      </w:pPr>
      <w:r>
        <w:t>站场分布表</w:t>
      </w:r>
    </w:p>
    <w:tbl>
      <w:tblPr>
        <w:tblStyle w:val="37"/>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694"/>
        <w:gridCol w:w="1306"/>
        <w:gridCol w:w="2738"/>
        <w:gridCol w:w="1141"/>
        <w:gridCol w:w="1141"/>
        <w:gridCol w:w="1141"/>
        <w:gridCol w:w="1223"/>
      </w:tblGrid>
      <w:tr w14:paraId="54FA6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cantSplit/>
          <w:trHeight w:val="397"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0E9CB6D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696" w:type="pct"/>
            <w:tcBorders>
              <w:top w:val="single" w:color="000000" w:sz="4" w:space="0"/>
              <w:left w:val="single" w:color="000000" w:sz="4" w:space="0"/>
              <w:bottom w:val="single" w:color="000000" w:sz="4" w:space="0"/>
              <w:right w:val="single" w:color="000000" w:sz="4" w:space="0"/>
            </w:tcBorders>
            <w:vAlign w:val="center"/>
          </w:tcPr>
          <w:p w14:paraId="2D1F0DA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名称</w:t>
            </w:r>
          </w:p>
        </w:tc>
        <w:tc>
          <w:tcPr>
            <w:tcW w:w="1459" w:type="pct"/>
            <w:tcBorders>
              <w:top w:val="single" w:color="000000" w:sz="4" w:space="0"/>
              <w:left w:val="single" w:color="000000" w:sz="4" w:space="0"/>
              <w:bottom w:val="single" w:color="000000" w:sz="4" w:space="0"/>
              <w:right w:val="single" w:color="000000" w:sz="4" w:space="0"/>
            </w:tcBorders>
            <w:vAlign w:val="center"/>
          </w:tcPr>
          <w:p w14:paraId="1B5AA3D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地理位置</w:t>
            </w:r>
          </w:p>
        </w:tc>
        <w:tc>
          <w:tcPr>
            <w:tcW w:w="608" w:type="pct"/>
            <w:tcBorders>
              <w:top w:val="single" w:color="000000" w:sz="4" w:space="0"/>
              <w:left w:val="single" w:color="000000" w:sz="4" w:space="0"/>
              <w:bottom w:val="single" w:color="000000" w:sz="4" w:space="0"/>
              <w:right w:val="single" w:color="000000" w:sz="4" w:space="0"/>
            </w:tcBorders>
            <w:vAlign w:val="center"/>
          </w:tcPr>
          <w:p w14:paraId="7F4B69F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功能</w:t>
            </w:r>
          </w:p>
        </w:tc>
        <w:tc>
          <w:tcPr>
            <w:tcW w:w="608" w:type="pct"/>
            <w:tcBorders>
              <w:top w:val="single" w:color="000000" w:sz="4" w:space="0"/>
              <w:left w:val="single" w:color="000000" w:sz="4" w:space="0"/>
              <w:bottom w:val="single" w:color="000000" w:sz="4" w:space="0"/>
              <w:right w:val="single" w:color="000000" w:sz="4" w:space="0"/>
            </w:tcBorders>
            <w:vAlign w:val="center"/>
          </w:tcPr>
          <w:p w14:paraId="0B2CBE7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站场等级</w:t>
            </w:r>
          </w:p>
        </w:tc>
        <w:tc>
          <w:tcPr>
            <w:tcW w:w="608" w:type="pct"/>
            <w:tcBorders>
              <w:top w:val="single" w:color="000000" w:sz="4" w:space="0"/>
              <w:left w:val="single" w:color="000000" w:sz="4" w:space="0"/>
              <w:bottom w:val="single" w:color="000000" w:sz="4" w:space="0"/>
              <w:right w:val="single" w:color="000000" w:sz="4" w:space="0"/>
            </w:tcBorders>
            <w:vAlign w:val="center"/>
          </w:tcPr>
          <w:p w14:paraId="4E93826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性质</w:t>
            </w:r>
          </w:p>
        </w:tc>
        <w:tc>
          <w:tcPr>
            <w:tcW w:w="651" w:type="pct"/>
            <w:tcBorders>
              <w:top w:val="single" w:color="000000" w:sz="4" w:space="0"/>
              <w:left w:val="single" w:color="000000" w:sz="4" w:space="0"/>
              <w:bottom w:val="single" w:color="000000" w:sz="4" w:space="0"/>
              <w:right w:val="single" w:color="000000" w:sz="4" w:space="0"/>
            </w:tcBorders>
            <w:vAlign w:val="center"/>
          </w:tcPr>
          <w:p w14:paraId="0BFF1CA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占地面积</w:t>
            </w:r>
          </w:p>
        </w:tc>
      </w:tr>
      <w:tr w14:paraId="29319D12">
        <w:tblPrEx>
          <w:tblCellMar>
            <w:top w:w="15" w:type="dxa"/>
            <w:left w:w="15" w:type="dxa"/>
            <w:bottom w:w="15" w:type="dxa"/>
            <w:right w:w="15" w:type="dxa"/>
          </w:tblCellMar>
        </w:tblPrEx>
        <w:trPr>
          <w:cantSplit/>
          <w:trHeight w:val="397"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24D80BE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696" w:type="pct"/>
            <w:tcBorders>
              <w:top w:val="single" w:color="000000" w:sz="4" w:space="0"/>
              <w:left w:val="single" w:color="000000" w:sz="4" w:space="0"/>
              <w:bottom w:val="single" w:color="000000" w:sz="4" w:space="0"/>
              <w:right w:val="single" w:color="000000" w:sz="4" w:space="0"/>
            </w:tcBorders>
            <w:vAlign w:val="center"/>
          </w:tcPr>
          <w:p w14:paraId="0F4CAAF5">
            <w:pPr>
              <w:jc w:val="center"/>
              <w:rPr>
                <w:rFonts w:ascii="Times New Roman" w:hAnsi="Times New Roman"/>
                <w:color w:val="000000" w:themeColor="text1"/>
                <w:sz w:val="18"/>
                <w:szCs w:val="18"/>
                <w14:textFill>
                  <w14:solidFill>
                    <w14:schemeClr w14:val="tx1"/>
                  </w14:solidFill>
                </w14:textFill>
              </w:rPr>
            </w:pPr>
          </w:p>
        </w:tc>
        <w:tc>
          <w:tcPr>
            <w:tcW w:w="1459" w:type="pct"/>
            <w:tcBorders>
              <w:top w:val="single" w:color="000000" w:sz="4" w:space="0"/>
              <w:left w:val="single" w:color="000000" w:sz="4" w:space="0"/>
              <w:bottom w:val="single" w:color="000000" w:sz="4" w:space="0"/>
              <w:right w:val="single" w:color="000000" w:sz="4" w:space="0"/>
            </w:tcBorders>
            <w:vAlign w:val="center"/>
          </w:tcPr>
          <w:p w14:paraId="0B4721EB">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42ECEE97">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1689F5DE">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45AA056A">
            <w:pPr>
              <w:jc w:val="center"/>
              <w:rPr>
                <w:rFonts w:ascii="Times New Roman" w:hAnsi="Times New Roman"/>
                <w:color w:val="000000" w:themeColor="text1"/>
                <w:sz w:val="18"/>
                <w:szCs w:val="18"/>
                <w14:textFill>
                  <w14:solidFill>
                    <w14:schemeClr w14:val="tx1"/>
                  </w14:solidFill>
                </w14:textFill>
              </w:rPr>
            </w:pPr>
          </w:p>
        </w:tc>
        <w:tc>
          <w:tcPr>
            <w:tcW w:w="651" w:type="pct"/>
            <w:tcBorders>
              <w:top w:val="single" w:color="000000" w:sz="4" w:space="0"/>
              <w:left w:val="single" w:color="000000" w:sz="4" w:space="0"/>
              <w:bottom w:val="single" w:color="000000" w:sz="4" w:space="0"/>
              <w:right w:val="single" w:color="000000" w:sz="4" w:space="0"/>
            </w:tcBorders>
            <w:vAlign w:val="center"/>
          </w:tcPr>
          <w:p w14:paraId="269E7D17">
            <w:pPr>
              <w:jc w:val="center"/>
              <w:rPr>
                <w:rFonts w:ascii="Times New Roman" w:hAnsi="Times New Roman"/>
                <w:color w:val="000000" w:themeColor="text1"/>
                <w:sz w:val="18"/>
                <w:szCs w:val="18"/>
                <w14:textFill>
                  <w14:solidFill>
                    <w14:schemeClr w14:val="tx1"/>
                  </w14:solidFill>
                </w14:textFill>
              </w:rPr>
            </w:pPr>
          </w:p>
        </w:tc>
      </w:tr>
      <w:tr w14:paraId="771F20DF">
        <w:tblPrEx>
          <w:tblCellMar>
            <w:top w:w="15" w:type="dxa"/>
            <w:left w:w="15" w:type="dxa"/>
            <w:bottom w:w="15" w:type="dxa"/>
            <w:right w:w="15" w:type="dxa"/>
          </w:tblCellMar>
        </w:tblPrEx>
        <w:trPr>
          <w:cantSplit/>
          <w:trHeight w:val="397" w:hRule="atLeast"/>
          <w:jc w:val="center"/>
        </w:trPr>
        <w:tc>
          <w:tcPr>
            <w:tcW w:w="370" w:type="pct"/>
            <w:tcBorders>
              <w:top w:val="single" w:color="000000" w:sz="4" w:space="0"/>
              <w:left w:val="single" w:color="000000" w:sz="4" w:space="0"/>
              <w:bottom w:val="single" w:color="000000" w:sz="4" w:space="0"/>
              <w:right w:val="single" w:color="000000" w:sz="4" w:space="0"/>
            </w:tcBorders>
            <w:vAlign w:val="center"/>
          </w:tcPr>
          <w:p w14:paraId="6F637A7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696" w:type="pct"/>
            <w:tcBorders>
              <w:top w:val="single" w:color="000000" w:sz="4" w:space="0"/>
              <w:left w:val="single" w:color="000000" w:sz="4" w:space="0"/>
              <w:bottom w:val="single" w:color="000000" w:sz="4" w:space="0"/>
              <w:right w:val="single" w:color="000000" w:sz="4" w:space="0"/>
            </w:tcBorders>
            <w:vAlign w:val="center"/>
          </w:tcPr>
          <w:p w14:paraId="565E8A56">
            <w:pPr>
              <w:jc w:val="center"/>
              <w:rPr>
                <w:rFonts w:ascii="Times New Roman" w:hAnsi="Times New Roman"/>
                <w:color w:val="000000" w:themeColor="text1"/>
                <w:sz w:val="18"/>
                <w:szCs w:val="18"/>
                <w14:textFill>
                  <w14:solidFill>
                    <w14:schemeClr w14:val="tx1"/>
                  </w14:solidFill>
                </w14:textFill>
              </w:rPr>
            </w:pPr>
          </w:p>
        </w:tc>
        <w:tc>
          <w:tcPr>
            <w:tcW w:w="1459" w:type="pct"/>
            <w:tcBorders>
              <w:top w:val="single" w:color="000000" w:sz="4" w:space="0"/>
              <w:left w:val="single" w:color="000000" w:sz="4" w:space="0"/>
              <w:bottom w:val="single" w:color="000000" w:sz="4" w:space="0"/>
              <w:right w:val="single" w:color="000000" w:sz="4" w:space="0"/>
            </w:tcBorders>
            <w:vAlign w:val="center"/>
          </w:tcPr>
          <w:p w14:paraId="03EDF45D">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5AC45592">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3913AE50">
            <w:pPr>
              <w:jc w:val="center"/>
              <w:rPr>
                <w:rFonts w:ascii="Times New Roman" w:hAnsi="Times New Roman"/>
                <w:color w:val="000000" w:themeColor="text1"/>
                <w:sz w:val="18"/>
                <w:szCs w:val="18"/>
                <w14:textFill>
                  <w14:solidFill>
                    <w14:schemeClr w14:val="tx1"/>
                  </w14:solidFill>
                </w14:textFill>
              </w:rPr>
            </w:pPr>
          </w:p>
        </w:tc>
        <w:tc>
          <w:tcPr>
            <w:tcW w:w="608" w:type="pct"/>
            <w:tcBorders>
              <w:top w:val="single" w:color="000000" w:sz="4" w:space="0"/>
              <w:left w:val="single" w:color="000000" w:sz="4" w:space="0"/>
              <w:bottom w:val="single" w:color="000000" w:sz="4" w:space="0"/>
              <w:right w:val="single" w:color="000000" w:sz="4" w:space="0"/>
            </w:tcBorders>
            <w:vAlign w:val="center"/>
          </w:tcPr>
          <w:p w14:paraId="4312F899">
            <w:pPr>
              <w:jc w:val="center"/>
              <w:rPr>
                <w:rFonts w:ascii="Times New Roman" w:hAnsi="Times New Roman"/>
                <w:color w:val="000000" w:themeColor="text1"/>
                <w:sz w:val="18"/>
                <w:szCs w:val="18"/>
                <w14:textFill>
                  <w14:solidFill>
                    <w14:schemeClr w14:val="tx1"/>
                  </w14:solidFill>
                </w14:textFill>
              </w:rPr>
            </w:pPr>
          </w:p>
        </w:tc>
        <w:tc>
          <w:tcPr>
            <w:tcW w:w="651" w:type="pct"/>
            <w:tcBorders>
              <w:top w:val="single" w:color="000000" w:sz="4" w:space="0"/>
              <w:left w:val="single" w:color="000000" w:sz="4" w:space="0"/>
              <w:bottom w:val="single" w:color="000000" w:sz="4" w:space="0"/>
              <w:right w:val="single" w:color="000000" w:sz="4" w:space="0"/>
            </w:tcBorders>
            <w:vAlign w:val="center"/>
          </w:tcPr>
          <w:p w14:paraId="49D7CEA3">
            <w:pPr>
              <w:jc w:val="center"/>
              <w:rPr>
                <w:rFonts w:ascii="Times New Roman" w:hAnsi="Times New Roman"/>
                <w:color w:val="000000" w:themeColor="text1"/>
                <w:sz w:val="18"/>
                <w:szCs w:val="18"/>
                <w14:textFill>
                  <w14:solidFill>
                    <w14:schemeClr w14:val="tx1"/>
                  </w14:solidFill>
                </w14:textFill>
              </w:rPr>
            </w:pPr>
          </w:p>
        </w:tc>
      </w:tr>
    </w:tbl>
    <w:p w14:paraId="003D0D2B">
      <w:pPr>
        <w:pStyle w:val="97"/>
        <w:spacing w:before="120" w:after="120"/>
      </w:pPr>
      <w:r>
        <w:t>主要工程量</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2791"/>
        <w:gridCol w:w="957"/>
        <w:gridCol w:w="764"/>
        <w:gridCol w:w="2299"/>
        <w:gridCol w:w="2105"/>
      </w:tblGrid>
      <w:tr w14:paraId="3335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12ECB5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1458" w:type="pct"/>
            <w:vAlign w:val="center"/>
          </w:tcPr>
          <w:p w14:paraId="3B3C971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工  程  内  容</w:t>
            </w:r>
          </w:p>
        </w:tc>
        <w:tc>
          <w:tcPr>
            <w:tcW w:w="500" w:type="pct"/>
            <w:vAlign w:val="center"/>
          </w:tcPr>
          <w:p w14:paraId="1E7D093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单 位</w:t>
            </w:r>
          </w:p>
        </w:tc>
        <w:tc>
          <w:tcPr>
            <w:tcW w:w="399" w:type="pct"/>
            <w:vAlign w:val="center"/>
          </w:tcPr>
          <w:p w14:paraId="3DD7AE9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数 量</w:t>
            </w:r>
          </w:p>
        </w:tc>
        <w:tc>
          <w:tcPr>
            <w:tcW w:w="1201" w:type="pct"/>
            <w:vAlign w:val="center"/>
          </w:tcPr>
          <w:p w14:paraId="1650C8D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规 模</w:t>
            </w:r>
          </w:p>
        </w:tc>
        <w:tc>
          <w:tcPr>
            <w:tcW w:w="1100" w:type="pct"/>
            <w:vAlign w:val="center"/>
          </w:tcPr>
          <w:p w14:paraId="3436BE7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备 注</w:t>
            </w:r>
          </w:p>
        </w:tc>
      </w:tr>
      <w:tr w14:paraId="7198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36356BB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一</w:t>
            </w:r>
          </w:p>
        </w:tc>
        <w:tc>
          <w:tcPr>
            <w:tcW w:w="1458" w:type="pct"/>
            <w:vAlign w:val="center"/>
          </w:tcPr>
          <w:p w14:paraId="3A723E5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油气集输、处理及储运工程</w:t>
            </w:r>
          </w:p>
        </w:tc>
        <w:tc>
          <w:tcPr>
            <w:tcW w:w="500" w:type="pct"/>
            <w:vAlign w:val="center"/>
          </w:tcPr>
          <w:p w14:paraId="4BCEA14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510D8BB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FB6A9E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6DA1C1E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CA3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6FF800D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1845278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新建油井</w:t>
            </w:r>
          </w:p>
        </w:tc>
        <w:tc>
          <w:tcPr>
            <w:tcW w:w="500" w:type="pct"/>
            <w:vAlign w:val="center"/>
          </w:tcPr>
          <w:p w14:paraId="300A1D6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口</w:t>
            </w:r>
          </w:p>
        </w:tc>
        <w:tc>
          <w:tcPr>
            <w:tcW w:w="399" w:type="pct"/>
            <w:vAlign w:val="center"/>
          </w:tcPr>
          <w:p w14:paraId="0F174E4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C22499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1A6EEDB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8B8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139ED84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1458" w:type="pct"/>
            <w:vAlign w:val="center"/>
          </w:tcPr>
          <w:p w14:paraId="4FDB9E4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新建计量站（或阀组间）</w:t>
            </w:r>
          </w:p>
        </w:tc>
        <w:tc>
          <w:tcPr>
            <w:tcW w:w="500" w:type="pct"/>
            <w:vAlign w:val="center"/>
          </w:tcPr>
          <w:p w14:paraId="3753705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1708B68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44504B5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576715B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04E9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C8870F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w:t>
            </w:r>
          </w:p>
        </w:tc>
        <w:tc>
          <w:tcPr>
            <w:tcW w:w="1458" w:type="pct"/>
            <w:vAlign w:val="center"/>
          </w:tcPr>
          <w:p w14:paraId="2962B55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新建转油站</w:t>
            </w:r>
          </w:p>
        </w:tc>
        <w:tc>
          <w:tcPr>
            <w:tcW w:w="500" w:type="pct"/>
            <w:vAlign w:val="center"/>
          </w:tcPr>
          <w:p w14:paraId="4AD4470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4CB6227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2546B2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7B9E59D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6388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7A5E248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4</w:t>
            </w:r>
          </w:p>
        </w:tc>
        <w:tc>
          <w:tcPr>
            <w:tcW w:w="1458" w:type="pct"/>
            <w:vAlign w:val="center"/>
          </w:tcPr>
          <w:p w14:paraId="08ABFED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新建脱水站</w:t>
            </w:r>
          </w:p>
        </w:tc>
        <w:tc>
          <w:tcPr>
            <w:tcW w:w="500" w:type="pct"/>
            <w:vAlign w:val="center"/>
          </w:tcPr>
          <w:p w14:paraId="495CA07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0185336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6E11AA0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6B5479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0E5A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1552C19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5</w:t>
            </w:r>
          </w:p>
        </w:tc>
        <w:tc>
          <w:tcPr>
            <w:tcW w:w="1458" w:type="pct"/>
            <w:vAlign w:val="center"/>
          </w:tcPr>
          <w:p w14:paraId="22D8878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集气站</w:t>
            </w:r>
          </w:p>
        </w:tc>
        <w:tc>
          <w:tcPr>
            <w:tcW w:w="500" w:type="pct"/>
            <w:vAlign w:val="center"/>
          </w:tcPr>
          <w:p w14:paraId="67D52F0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787ABEB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17F461A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155238D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04E4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F6747A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6</w:t>
            </w:r>
          </w:p>
        </w:tc>
        <w:tc>
          <w:tcPr>
            <w:tcW w:w="1458" w:type="pct"/>
            <w:vAlign w:val="center"/>
          </w:tcPr>
          <w:p w14:paraId="4834344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脱硫站</w:t>
            </w:r>
          </w:p>
        </w:tc>
        <w:tc>
          <w:tcPr>
            <w:tcW w:w="500" w:type="pct"/>
            <w:vAlign w:val="center"/>
          </w:tcPr>
          <w:p w14:paraId="15C719A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123017E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A11B28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73FB25C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FAE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8E5324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7</w:t>
            </w:r>
          </w:p>
        </w:tc>
        <w:tc>
          <w:tcPr>
            <w:tcW w:w="1458" w:type="pct"/>
            <w:vAlign w:val="center"/>
          </w:tcPr>
          <w:p w14:paraId="1BC68C4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脱水站</w:t>
            </w:r>
          </w:p>
        </w:tc>
        <w:tc>
          <w:tcPr>
            <w:tcW w:w="500" w:type="pct"/>
            <w:vAlign w:val="center"/>
          </w:tcPr>
          <w:p w14:paraId="2B0092B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5009CAF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22BCB7C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CE2464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085C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7D010EB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8</w:t>
            </w:r>
          </w:p>
        </w:tc>
        <w:tc>
          <w:tcPr>
            <w:tcW w:w="1458" w:type="pct"/>
            <w:vAlign w:val="center"/>
          </w:tcPr>
          <w:p w14:paraId="2C9D5EC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中央处理厂</w:t>
            </w:r>
          </w:p>
        </w:tc>
        <w:tc>
          <w:tcPr>
            <w:tcW w:w="500" w:type="pct"/>
            <w:vAlign w:val="center"/>
          </w:tcPr>
          <w:p w14:paraId="2C493D2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10BCB52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327D54E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0D30132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2A41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F00E47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7049FA8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611C0D1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0C2E15B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F043E2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40D1909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6C7F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2D0DEB3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w:t>
            </w:r>
          </w:p>
        </w:tc>
        <w:tc>
          <w:tcPr>
            <w:tcW w:w="1458" w:type="pct"/>
            <w:vAlign w:val="center"/>
          </w:tcPr>
          <w:p w14:paraId="0A05335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新建各种掺水、集输油气管道</w:t>
            </w:r>
          </w:p>
        </w:tc>
        <w:tc>
          <w:tcPr>
            <w:tcW w:w="500" w:type="pct"/>
            <w:vAlign w:val="center"/>
          </w:tcPr>
          <w:p w14:paraId="048E3C7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5FB3324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89C570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20C2CEA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0B4F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79FDB75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二</w:t>
            </w:r>
          </w:p>
        </w:tc>
        <w:tc>
          <w:tcPr>
            <w:tcW w:w="1458" w:type="pct"/>
            <w:vAlign w:val="center"/>
          </w:tcPr>
          <w:p w14:paraId="156EF2D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采出水处理工程</w:t>
            </w:r>
          </w:p>
        </w:tc>
        <w:tc>
          <w:tcPr>
            <w:tcW w:w="500" w:type="pct"/>
            <w:vAlign w:val="center"/>
          </w:tcPr>
          <w:p w14:paraId="5C6746D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0116C34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614DAA8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7B94821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775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0B6212B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4C74269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新建污水处理站</w:t>
            </w:r>
          </w:p>
        </w:tc>
        <w:tc>
          <w:tcPr>
            <w:tcW w:w="500" w:type="pct"/>
            <w:vAlign w:val="center"/>
          </w:tcPr>
          <w:p w14:paraId="1EF9F06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7587C4E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499C1E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49B1DCF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19896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12C92C2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4AB0556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69C8F37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5D31B62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727169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119B9AA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642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67B7F7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w:t>
            </w:r>
          </w:p>
        </w:tc>
        <w:tc>
          <w:tcPr>
            <w:tcW w:w="1458" w:type="pct"/>
            <w:vAlign w:val="center"/>
          </w:tcPr>
          <w:p w14:paraId="0AD717C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新建各种污水管道</w:t>
            </w:r>
          </w:p>
        </w:tc>
        <w:tc>
          <w:tcPr>
            <w:tcW w:w="500" w:type="pct"/>
            <w:vAlign w:val="center"/>
          </w:tcPr>
          <w:p w14:paraId="78B83C0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4EE3D9B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1624476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08D31E6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36D8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6A180B6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三</w:t>
            </w:r>
          </w:p>
        </w:tc>
        <w:tc>
          <w:tcPr>
            <w:tcW w:w="1458" w:type="pct"/>
            <w:vAlign w:val="center"/>
          </w:tcPr>
          <w:p w14:paraId="377B479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注入工程</w:t>
            </w:r>
          </w:p>
        </w:tc>
        <w:tc>
          <w:tcPr>
            <w:tcW w:w="500" w:type="pct"/>
            <w:vAlign w:val="center"/>
          </w:tcPr>
          <w:p w14:paraId="0F7724E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68CFAE1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255E7E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4AEF41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05C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1801DC1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1A64FB0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新建注水、蒸汽、CO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等井</w:t>
            </w:r>
          </w:p>
        </w:tc>
        <w:tc>
          <w:tcPr>
            <w:tcW w:w="500" w:type="pct"/>
            <w:vAlign w:val="center"/>
          </w:tcPr>
          <w:p w14:paraId="2F00115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口</w:t>
            </w:r>
          </w:p>
        </w:tc>
        <w:tc>
          <w:tcPr>
            <w:tcW w:w="399" w:type="pct"/>
            <w:vAlign w:val="center"/>
          </w:tcPr>
          <w:p w14:paraId="30A70F5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1404BF1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1524D06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469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3533A71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1458" w:type="pct"/>
            <w:vAlign w:val="center"/>
          </w:tcPr>
          <w:p w14:paraId="199E064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新建注水、蒸汽、CO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等阀组间</w:t>
            </w:r>
          </w:p>
        </w:tc>
        <w:tc>
          <w:tcPr>
            <w:tcW w:w="500" w:type="pct"/>
            <w:vAlign w:val="center"/>
          </w:tcPr>
          <w:p w14:paraId="5E62D0D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0FF2B12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6C83185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7C4955A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7A9E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6D5DAB3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3</w:t>
            </w:r>
          </w:p>
        </w:tc>
        <w:tc>
          <w:tcPr>
            <w:tcW w:w="1458" w:type="pct"/>
            <w:vAlign w:val="center"/>
          </w:tcPr>
          <w:p w14:paraId="3D7F87E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新建注水、蒸汽、CO</w:t>
            </w:r>
            <w:r>
              <w:rPr>
                <w:rFonts w:ascii="Times New Roman" w:hAnsi="Times New Roman"/>
                <w:color w:val="000000" w:themeColor="text1"/>
                <w:sz w:val="18"/>
                <w:szCs w:val="18"/>
                <w:vertAlign w:val="subscript"/>
                <w14:textFill>
                  <w14:solidFill>
                    <w14:schemeClr w14:val="tx1"/>
                  </w14:solidFill>
                </w14:textFill>
              </w:rPr>
              <w:t>2</w:t>
            </w:r>
            <w:r>
              <w:rPr>
                <w:rFonts w:ascii="Times New Roman" w:hAnsi="Times New Roman"/>
                <w:color w:val="000000" w:themeColor="text1"/>
                <w:sz w:val="18"/>
                <w:szCs w:val="18"/>
                <w14:textFill>
                  <w14:solidFill>
                    <w14:schemeClr w14:val="tx1"/>
                  </w14:solidFill>
                </w14:textFill>
              </w:rPr>
              <w:t>等站</w:t>
            </w:r>
          </w:p>
        </w:tc>
        <w:tc>
          <w:tcPr>
            <w:tcW w:w="500" w:type="pct"/>
            <w:vAlign w:val="center"/>
          </w:tcPr>
          <w:p w14:paraId="608E424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4C91539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E40B1B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12EF1FA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1EF7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2B447F7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7DDAF82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546E0C8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1CE2E79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47DC4CB3">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6977409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6CE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06A9293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w:t>
            </w:r>
          </w:p>
        </w:tc>
        <w:tc>
          <w:tcPr>
            <w:tcW w:w="1458" w:type="pct"/>
            <w:vAlign w:val="center"/>
          </w:tcPr>
          <w:p w14:paraId="229EA1A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新建各种管道</w:t>
            </w:r>
          </w:p>
        </w:tc>
        <w:tc>
          <w:tcPr>
            <w:tcW w:w="500" w:type="pct"/>
            <w:vAlign w:val="center"/>
          </w:tcPr>
          <w:p w14:paraId="3AAB935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6340B2D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4418F4E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0C795C1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1F5BF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E38DCC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四</w:t>
            </w:r>
          </w:p>
        </w:tc>
        <w:tc>
          <w:tcPr>
            <w:tcW w:w="1458" w:type="pct"/>
            <w:vAlign w:val="center"/>
          </w:tcPr>
          <w:p w14:paraId="767AA93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供配电系统</w:t>
            </w:r>
          </w:p>
        </w:tc>
        <w:tc>
          <w:tcPr>
            <w:tcW w:w="500" w:type="pct"/>
            <w:vAlign w:val="center"/>
          </w:tcPr>
          <w:p w14:paraId="5ABA848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407B68C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96FF23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6ACD45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6D75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26CE558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54B3AE7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新建井场变压器</w:t>
            </w:r>
          </w:p>
        </w:tc>
        <w:tc>
          <w:tcPr>
            <w:tcW w:w="500" w:type="pct"/>
            <w:vAlign w:val="center"/>
          </w:tcPr>
          <w:p w14:paraId="0C394C0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台</w:t>
            </w:r>
          </w:p>
        </w:tc>
        <w:tc>
          <w:tcPr>
            <w:tcW w:w="399" w:type="pct"/>
            <w:vAlign w:val="center"/>
          </w:tcPr>
          <w:p w14:paraId="0D26438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FF907C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5FAC3B8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E19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F58581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1458" w:type="pct"/>
            <w:vAlign w:val="center"/>
          </w:tcPr>
          <w:p w14:paraId="0B395B3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新建35/6kV变电所</w:t>
            </w:r>
          </w:p>
        </w:tc>
        <w:tc>
          <w:tcPr>
            <w:tcW w:w="500" w:type="pct"/>
            <w:vAlign w:val="center"/>
          </w:tcPr>
          <w:p w14:paraId="326DA23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座</w:t>
            </w:r>
          </w:p>
        </w:tc>
        <w:tc>
          <w:tcPr>
            <w:tcW w:w="399" w:type="pct"/>
            <w:vAlign w:val="center"/>
          </w:tcPr>
          <w:p w14:paraId="32F562F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AE253A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27B10BA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3033C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338F905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25A0B12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20B8AEF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681DCB8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A157C3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054B2E1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143E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EA261C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N</w:t>
            </w:r>
          </w:p>
        </w:tc>
        <w:tc>
          <w:tcPr>
            <w:tcW w:w="1458" w:type="pct"/>
            <w:vAlign w:val="center"/>
          </w:tcPr>
          <w:p w14:paraId="468DEA7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新建各种供配电线路</w:t>
            </w:r>
          </w:p>
        </w:tc>
        <w:tc>
          <w:tcPr>
            <w:tcW w:w="500" w:type="pct"/>
            <w:vAlign w:val="center"/>
          </w:tcPr>
          <w:p w14:paraId="4D694CB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5BB0249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0F78FCE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2F8B761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5D7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3B39EF5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五</w:t>
            </w:r>
          </w:p>
        </w:tc>
        <w:tc>
          <w:tcPr>
            <w:tcW w:w="1458" w:type="pct"/>
            <w:vAlign w:val="center"/>
          </w:tcPr>
          <w:p w14:paraId="389FF3D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道路、排水工程</w:t>
            </w:r>
          </w:p>
        </w:tc>
        <w:tc>
          <w:tcPr>
            <w:tcW w:w="500" w:type="pct"/>
            <w:vAlign w:val="center"/>
          </w:tcPr>
          <w:p w14:paraId="6B593B2A">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593FBAD5">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CEF71E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08F122F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4E3E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5C4AF79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430A5E8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新建沙石道路</w:t>
            </w:r>
          </w:p>
        </w:tc>
        <w:tc>
          <w:tcPr>
            <w:tcW w:w="500" w:type="pct"/>
            <w:vAlign w:val="center"/>
          </w:tcPr>
          <w:p w14:paraId="7FDA7EF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7C44F270">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C159B8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63FBCEE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638B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18F648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2</w:t>
            </w:r>
          </w:p>
        </w:tc>
        <w:tc>
          <w:tcPr>
            <w:tcW w:w="1458" w:type="pct"/>
            <w:vAlign w:val="center"/>
          </w:tcPr>
          <w:p w14:paraId="351155C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新建沥青及以上道路</w:t>
            </w:r>
          </w:p>
        </w:tc>
        <w:tc>
          <w:tcPr>
            <w:tcW w:w="500" w:type="pct"/>
            <w:vAlign w:val="center"/>
          </w:tcPr>
          <w:p w14:paraId="75159ED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597BAA9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84C793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28D3E1D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3664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06AE5EA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6A720FF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34DAAA9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43CFC12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143265B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6C73ED5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658E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43FFDE67">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六</w:t>
            </w:r>
          </w:p>
        </w:tc>
        <w:tc>
          <w:tcPr>
            <w:tcW w:w="1458" w:type="pct"/>
            <w:vAlign w:val="center"/>
          </w:tcPr>
          <w:p w14:paraId="4A03F061">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通信工程</w:t>
            </w:r>
          </w:p>
        </w:tc>
        <w:tc>
          <w:tcPr>
            <w:tcW w:w="500" w:type="pct"/>
            <w:vAlign w:val="center"/>
          </w:tcPr>
          <w:p w14:paraId="1429A6B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1CED560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80B2AE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F7AD01E">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2CE1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341C4802">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1458" w:type="pct"/>
            <w:vAlign w:val="center"/>
          </w:tcPr>
          <w:p w14:paraId="3C034DAB">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新建通线线路</w:t>
            </w:r>
          </w:p>
        </w:tc>
        <w:tc>
          <w:tcPr>
            <w:tcW w:w="500" w:type="pct"/>
            <w:vAlign w:val="center"/>
          </w:tcPr>
          <w:p w14:paraId="65C763E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km</w:t>
            </w:r>
          </w:p>
        </w:tc>
        <w:tc>
          <w:tcPr>
            <w:tcW w:w="399" w:type="pct"/>
            <w:vAlign w:val="center"/>
          </w:tcPr>
          <w:p w14:paraId="2D505309">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7D8E49F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56B9B1A6">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r w14:paraId="5FCB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rPr>
        <w:tc>
          <w:tcPr>
            <w:tcW w:w="342" w:type="pct"/>
            <w:vAlign w:val="center"/>
          </w:tcPr>
          <w:p w14:paraId="505A626C">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1458" w:type="pct"/>
            <w:vAlign w:val="center"/>
          </w:tcPr>
          <w:p w14:paraId="367EAD1D">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500" w:type="pct"/>
            <w:vAlign w:val="center"/>
          </w:tcPr>
          <w:p w14:paraId="34C4103F">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399" w:type="pct"/>
            <w:vAlign w:val="center"/>
          </w:tcPr>
          <w:p w14:paraId="60B00B2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201" w:type="pct"/>
            <w:vAlign w:val="center"/>
          </w:tcPr>
          <w:p w14:paraId="5CA83E24">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c>
          <w:tcPr>
            <w:tcW w:w="1100" w:type="pct"/>
            <w:vAlign w:val="center"/>
          </w:tcPr>
          <w:p w14:paraId="3D64D1A8">
            <w:pPr>
              <w:pStyle w:val="20"/>
              <w:snapToGrid w:val="0"/>
              <w:spacing w:line="276" w:lineRule="auto"/>
              <w:jc w:val="center"/>
              <w:rPr>
                <w:rFonts w:ascii="Times New Roman" w:hAnsi="Times New Roman"/>
                <w:color w:val="000000" w:themeColor="text1"/>
                <w:sz w:val="18"/>
                <w:szCs w:val="18"/>
                <w14:textFill>
                  <w14:solidFill>
                    <w14:schemeClr w14:val="tx1"/>
                  </w14:solidFill>
                </w14:textFill>
              </w:rPr>
            </w:pPr>
          </w:p>
        </w:tc>
      </w:tr>
    </w:tbl>
    <w:p w14:paraId="2C6BF9CD">
      <w:pPr>
        <w:pStyle w:val="97"/>
        <w:spacing w:before="120" w:after="120"/>
      </w:pPr>
      <w:r>
        <w:t>主要工艺设备汇总</w:t>
      </w:r>
    </w:p>
    <w:tbl>
      <w:tblPr>
        <w:tblStyle w:val="3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1235"/>
        <w:gridCol w:w="1580"/>
        <w:gridCol w:w="2141"/>
        <w:gridCol w:w="1057"/>
        <w:gridCol w:w="1468"/>
        <w:gridCol w:w="1903"/>
      </w:tblGrid>
      <w:tr w14:paraId="468CC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vAlign w:val="center"/>
          </w:tcPr>
          <w:p w14:paraId="455AEEA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842" w:type="pct"/>
            <w:tcBorders>
              <w:right w:val="single" w:color="auto" w:sz="4" w:space="0"/>
            </w:tcBorders>
            <w:vAlign w:val="center"/>
          </w:tcPr>
          <w:p w14:paraId="4C82A44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设备名称</w:t>
            </w:r>
          </w:p>
        </w:tc>
        <w:tc>
          <w:tcPr>
            <w:tcW w:w="1141" w:type="pct"/>
            <w:tcBorders>
              <w:left w:val="single" w:color="auto" w:sz="4" w:space="0"/>
              <w:right w:val="single" w:color="auto" w:sz="4" w:space="0"/>
            </w:tcBorders>
            <w:vAlign w:val="center"/>
          </w:tcPr>
          <w:p w14:paraId="4AE544A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规格型号</w:t>
            </w:r>
          </w:p>
        </w:tc>
        <w:tc>
          <w:tcPr>
            <w:tcW w:w="563" w:type="pct"/>
            <w:tcBorders>
              <w:left w:val="single" w:color="auto" w:sz="4" w:space="0"/>
            </w:tcBorders>
            <w:vAlign w:val="center"/>
          </w:tcPr>
          <w:p w14:paraId="5887CD7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数量</w:t>
            </w:r>
          </w:p>
        </w:tc>
        <w:tc>
          <w:tcPr>
            <w:tcW w:w="782" w:type="pct"/>
            <w:vAlign w:val="center"/>
          </w:tcPr>
          <w:p w14:paraId="6CE1AE9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主要介质</w:t>
            </w:r>
          </w:p>
        </w:tc>
        <w:tc>
          <w:tcPr>
            <w:tcW w:w="1014" w:type="pct"/>
            <w:vAlign w:val="center"/>
          </w:tcPr>
          <w:p w14:paraId="28F47DD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主体材质</w:t>
            </w:r>
          </w:p>
        </w:tc>
      </w:tr>
      <w:tr w14:paraId="222AE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22871B2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一</w:t>
            </w:r>
          </w:p>
        </w:tc>
        <w:tc>
          <w:tcPr>
            <w:tcW w:w="4342" w:type="pct"/>
            <w:gridSpan w:val="5"/>
            <w:vAlign w:val="center"/>
          </w:tcPr>
          <w:p w14:paraId="3428F42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XX站场</w:t>
            </w:r>
          </w:p>
        </w:tc>
      </w:tr>
      <w:tr w14:paraId="3A0CB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640DAEF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一</w:t>
            </w:r>
          </w:p>
        </w:tc>
        <w:tc>
          <w:tcPr>
            <w:tcW w:w="842" w:type="pct"/>
            <w:vAlign w:val="center"/>
          </w:tcPr>
          <w:p w14:paraId="7BFF536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储罐</w:t>
            </w:r>
          </w:p>
        </w:tc>
        <w:tc>
          <w:tcPr>
            <w:tcW w:w="1141" w:type="pct"/>
            <w:tcBorders>
              <w:right w:val="single" w:color="auto" w:sz="4" w:space="0"/>
            </w:tcBorders>
            <w:vAlign w:val="center"/>
          </w:tcPr>
          <w:p w14:paraId="0D30D19F">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Borders>
              <w:left w:val="single" w:color="auto" w:sz="4" w:space="0"/>
            </w:tcBorders>
          </w:tcPr>
          <w:p w14:paraId="24E683D3">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Borders>
              <w:right w:val="single" w:color="auto" w:sz="4" w:space="0"/>
            </w:tcBorders>
          </w:tcPr>
          <w:p w14:paraId="3A5BFEEF">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Borders>
              <w:left w:val="single" w:color="auto" w:sz="4" w:space="0"/>
            </w:tcBorders>
            <w:vAlign w:val="center"/>
          </w:tcPr>
          <w:p w14:paraId="764FE306">
            <w:pPr>
              <w:jc w:val="center"/>
              <w:rPr>
                <w:rFonts w:ascii="Times New Roman" w:hAnsi="Times New Roman"/>
                <w:snapToGrid w:val="0"/>
                <w:color w:val="000000" w:themeColor="text1"/>
                <w:kern w:val="0"/>
                <w:sz w:val="18"/>
                <w:szCs w:val="18"/>
                <w14:textFill>
                  <w14:solidFill>
                    <w14:schemeClr w14:val="tx1"/>
                  </w14:solidFill>
                </w14:textFill>
              </w:rPr>
            </w:pPr>
          </w:p>
        </w:tc>
      </w:tr>
      <w:tr w14:paraId="17AB2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159EBA18">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842" w:type="pct"/>
            <w:vAlign w:val="center"/>
          </w:tcPr>
          <w:p w14:paraId="0555F234">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4D39734E">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30095CF1">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723F48B6">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00D5730B">
            <w:pPr>
              <w:jc w:val="center"/>
              <w:rPr>
                <w:rFonts w:ascii="Times New Roman" w:hAnsi="Times New Roman"/>
                <w:snapToGrid w:val="0"/>
                <w:color w:val="000000" w:themeColor="text1"/>
                <w:kern w:val="0"/>
                <w:sz w:val="18"/>
                <w:szCs w:val="18"/>
                <w14:textFill>
                  <w14:solidFill>
                    <w14:schemeClr w14:val="tx1"/>
                  </w14:solidFill>
                </w14:textFill>
              </w:rPr>
            </w:pPr>
          </w:p>
        </w:tc>
      </w:tr>
      <w:tr w14:paraId="7592F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1C62841D">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842" w:type="pct"/>
            <w:vAlign w:val="center"/>
          </w:tcPr>
          <w:p w14:paraId="0A730F43">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7B1D3A71">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2B57F2FB">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68115508">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7BF8098A">
            <w:pPr>
              <w:jc w:val="center"/>
              <w:rPr>
                <w:rFonts w:ascii="Times New Roman" w:hAnsi="Times New Roman"/>
                <w:snapToGrid w:val="0"/>
                <w:color w:val="000000" w:themeColor="text1"/>
                <w:kern w:val="0"/>
                <w:sz w:val="18"/>
                <w:szCs w:val="18"/>
                <w14:textFill>
                  <w14:solidFill>
                    <w14:schemeClr w14:val="tx1"/>
                  </w14:solidFill>
                </w14:textFill>
              </w:rPr>
            </w:pPr>
          </w:p>
        </w:tc>
      </w:tr>
      <w:tr w14:paraId="7013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2290B05A">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842" w:type="pct"/>
            <w:vAlign w:val="center"/>
          </w:tcPr>
          <w:p w14:paraId="23CA3381">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1F26A84B">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29130337">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596F10C6">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14E353D3">
            <w:pPr>
              <w:jc w:val="center"/>
              <w:rPr>
                <w:rFonts w:ascii="Times New Roman" w:hAnsi="Times New Roman"/>
                <w:snapToGrid w:val="0"/>
                <w:color w:val="000000" w:themeColor="text1"/>
                <w:kern w:val="0"/>
                <w:sz w:val="18"/>
                <w:szCs w:val="18"/>
                <w14:textFill>
                  <w14:solidFill>
                    <w14:schemeClr w14:val="tx1"/>
                  </w14:solidFill>
                </w14:textFill>
              </w:rPr>
            </w:pPr>
          </w:p>
        </w:tc>
      </w:tr>
      <w:tr w14:paraId="636E7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36799465">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二</w:t>
            </w:r>
          </w:p>
        </w:tc>
        <w:tc>
          <w:tcPr>
            <w:tcW w:w="842" w:type="pct"/>
            <w:vAlign w:val="center"/>
          </w:tcPr>
          <w:p w14:paraId="713EAB40">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压力容器</w:t>
            </w:r>
          </w:p>
        </w:tc>
        <w:tc>
          <w:tcPr>
            <w:tcW w:w="1141" w:type="pct"/>
            <w:vAlign w:val="center"/>
          </w:tcPr>
          <w:p w14:paraId="0C3C97CF">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0B98A6DC">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7A460469">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6B241CB7">
            <w:pPr>
              <w:jc w:val="center"/>
              <w:rPr>
                <w:rFonts w:ascii="Times New Roman" w:hAnsi="Times New Roman"/>
                <w:snapToGrid w:val="0"/>
                <w:color w:val="000000" w:themeColor="text1"/>
                <w:kern w:val="0"/>
                <w:sz w:val="18"/>
                <w:szCs w:val="18"/>
                <w14:textFill>
                  <w14:solidFill>
                    <w14:schemeClr w14:val="tx1"/>
                  </w14:solidFill>
                </w14:textFill>
              </w:rPr>
            </w:pPr>
          </w:p>
        </w:tc>
      </w:tr>
      <w:tr w14:paraId="459A8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2049B85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842" w:type="pct"/>
            <w:vAlign w:val="center"/>
          </w:tcPr>
          <w:p w14:paraId="4731E9FA">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60E9E5C6">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0820C17D">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6BAB82BE">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2DC3A4EA">
            <w:pPr>
              <w:jc w:val="center"/>
              <w:rPr>
                <w:rFonts w:ascii="Times New Roman" w:hAnsi="Times New Roman"/>
                <w:snapToGrid w:val="0"/>
                <w:color w:val="000000" w:themeColor="text1"/>
                <w:kern w:val="0"/>
                <w:sz w:val="18"/>
                <w:szCs w:val="18"/>
                <w14:textFill>
                  <w14:solidFill>
                    <w14:schemeClr w14:val="tx1"/>
                  </w14:solidFill>
                </w14:textFill>
              </w:rPr>
            </w:pPr>
          </w:p>
        </w:tc>
      </w:tr>
      <w:tr w14:paraId="7D37B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538B164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842" w:type="pct"/>
            <w:vAlign w:val="center"/>
          </w:tcPr>
          <w:p w14:paraId="19E33502">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3C754792">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7A478E91">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26354B69">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659AC300">
            <w:pPr>
              <w:jc w:val="center"/>
              <w:rPr>
                <w:rFonts w:ascii="Times New Roman" w:hAnsi="Times New Roman"/>
                <w:snapToGrid w:val="0"/>
                <w:color w:val="000000" w:themeColor="text1"/>
                <w:kern w:val="0"/>
                <w:sz w:val="18"/>
                <w:szCs w:val="18"/>
                <w14:textFill>
                  <w14:solidFill>
                    <w14:schemeClr w14:val="tx1"/>
                  </w14:solidFill>
                </w14:textFill>
              </w:rPr>
            </w:pPr>
          </w:p>
        </w:tc>
      </w:tr>
      <w:tr w14:paraId="790FE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5DA48CF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842" w:type="pct"/>
            <w:vAlign w:val="center"/>
          </w:tcPr>
          <w:p w14:paraId="0CC113F0">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66268BBE">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6FCBE2A5">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7BC2BFFC">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794C240C">
            <w:pPr>
              <w:jc w:val="center"/>
              <w:rPr>
                <w:rFonts w:ascii="Times New Roman" w:hAnsi="Times New Roman"/>
                <w:snapToGrid w:val="0"/>
                <w:color w:val="000000" w:themeColor="text1"/>
                <w:kern w:val="0"/>
                <w:sz w:val="18"/>
                <w:szCs w:val="18"/>
                <w14:textFill>
                  <w14:solidFill>
                    <w14:schemeClr w14:val="tx1"/>
                  </w14:solidFill>
                </w14:textFill>
              </w:rPr>
            </w:pPr>
          </w:p>
        </w:tc>
      </w:tr>
      <w:tr w14:paraId="587F3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7296B58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三</w:t>
            </w:r>
          </w:p>
        </w:tc>
        <w:tc>
          <w:tcPr>
            <w:tcW w:w="842" w:type="pct"/>
            <w:vAlign w:val="center"/>
          </w:tcPr>
          <w:p w14:paraId="1ABDFFE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泵</w:t>
            </w:r>
          </w:p>
        </w:tc>
        <w:tc>
          <w:tcPr>
            <w:tcW w:w="1141" w:type="pct"/>
            <w:vAlign w:val="center"/>
          </w:tcPr>
          <w:p w14:paraId="060E8235">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75A5DD74">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772D9FCD">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2C5874A2">
            <w:pPr>
              <w:jc w:val="center"/>
              <w:rPr>
                <w:rFonts w:ascii="Times New Roman" w:hAnsi="Times New Roman"/>
                <w:snapToGrid w:val="0"/>
                <w:color w:val="000000" w:themeColor="text1"/>
                <w:kern w:val="0"/>
                <w:sz w:val="18"/>
                <w:szCs w:val="18"/>
                <w14:textFill>
                  <w14:solidFill>
                    <w14:schemeClr w14:val="tx1"/>
                  </w14:solidFill>
                </w14:textFill>
              </w:rPr>
            </w:pPr>
          </w:p>
        </w:tc>
      </w:tr>
      <w:tr w14:paraId="4522D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23D75ED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842" w:type="pct"/>
            <w:vAlign w:val="center"/>
          </w:tcPr>
          <w:p w14:paraId="185EC4D0">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06B11D75">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53C3C654">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189C6088">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422FF6FB">
            <w:pPr>
              <w:jc w:val="center"/>
              <w:rPr>
                <w:rFonts w:ascii="Times New Roman" w:hAnsi="Times New Roman"/>
                <w:snapToGrid w:val="0"/>
                <w:color w:val="000000" w:themeColor="text1"/>
                <w:kern w:val="0"/>
                <w:sz w:val="18"/>
                <w:szCs w:val="18"/>
                <w14:textFill>
                  <w14:solidFill>
                    <w14:schemeClr w14:val="tx1"/>
                  </w14:solidFill>
                </w14:textFill>
              </w:rPr>
            </w:pPr>
          </w:p>
        </w:tc>
      </w:tr>
      <w:tr w14:paraId="0C1A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63984142">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842" w:type="pct"/>
            <w:vAlign w:val="center"/>
          </w:tcPr>
          <w:p w14:paraId="630C59B1">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6BD9B789">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1A62F39D">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612896CA">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6D2DAB88">
            <w:pPr>
              <w:jc w:val="center"/>
              <w:rPr>
                <w:rFonts w:ascii="Times New Roman" w:hAnsi="Times New Roman"/>
                <w:snapToGrid w:val="0"/>
                <w:color w:val="000000" w:themeColor="text1"/>
                <w:kern w:val="0"/>
                <w:sz w:val="18"/>
                <w:szCs w:val="18"/>
                <w14:textFill>
                  <w14:solidFill>
                    <w14:schemeClr w14:val="tx1"/>
                  </w14:solidFill>
                </w14:textFill>
              </w:rPr>
            </w:pPr>
          </w:p>
        </w:tc>
      </w:tr>
      <w:tr w14:paraId="4C97F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6CC814D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842" w:type="pct"/>
            <w:vAlign w:val="center"/>
          </w:tcPr>
          <w:p w14:paraId="52D38C50">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18BAB29B">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4D629A1B">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5ABEE7AE">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68CAF14C">
            <w:pPr>
              <w:jc w:val="center"/>
              <w:rPr>
                <w:rFonts w:ascii="Times New Roman" w:hAnsi="Times New Roman"/>
                <w:snapToGrid w:val="0"/>
                <w:color w:val="000000" w:themeColor="text1"/>
                <w:kern w:val="0"/>
                <w:sz w:val="18"/>
                <w:szCs w:val="18"/>
                <w14:textFill>
                  <w14:solidFill>
                    <w14:schemeClr w14:val="tx1"/>
                  </w14:solidFill>
                </w14:textFill>
              </w:rPr>
            </w:pPr>
          </w:p>
        </w:tc>
      </w:tr>
      <w:tr w14:paraId="4457F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7BFE2D3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四</w:t>
            </w:r>
          </w:p>
        </w:tc>
        <w:tc>
          <w:tcPr>
            <w:tcW w:w="842" w:type="pct"/>
            <w:vAlign w:val="center"/>
          </w:tcPr>
          <w:p w14:paraId="611A302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压缩机</w:t>
            </w:r>
          </w:p>
        </w:tc>
        <w:tc>
          <w:tcPr>
            <w:tcW w:w="1141" w:type="pct"/>
            <w:vAlign w:val="center"/>
          </w:tcPr>
          <w:p w14:paraId="44B76FBD">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4C467861">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46850F75">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79AEDCC2">
            <w:pPr>
              <w:jc w:val="center"/>
              <w:rPr>
                <w:rFonts w:ascii="Times New Roman" w:hAnsi="Times New Roman"/>
                <w:snapToGrid w:val="0"/>
                <w:color w:val="000000" w:themeColor="text1"/>
                <w:kern w:val="0"/>
                <w:sz w:val="18"/>
                <w:szCs w:val="18"/>
                <w14:textFill>
                  <w14:solidFill>
                    <w14:schemeClr w14:val="tx1"/>
                  </w14:solidFill>
                </w14:textFill>
              </w:rPr>
            </w:pPr>
          </w:p>
        </w:tc>
      </w:tr>
      <w:tr w14:paraId="339AC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7D7EFA37">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842" w:type="pct"/>
            <w:vAlign w:val="center"/>
          </w:tcPr>
          <w:p w14:paraId="0B520A44">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656096F6">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458C476A">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319C8480">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5C93F7EB">
            <w:pPr>
              <w:jc w:val="center"/>
              <w:rPr>
                <w:rFonts w:ascii="Times New Roman" w:hAnsi="Times New Roman"/>
                <w:snapToGrid w:val="0"/>
                <w:color w:val="000000" w:themeColor="text1"/>
                <w:kern w:val="0"/>
                <w:sz w:val="18"/>
                <w:szCs w:val="18"/>
                <w14:textFill>
                  <w14:solidFill>
                    <w14:schemeClr w14:val="tx1"/>
                  </w14:solidFill>
                </w14:textFill>
              </w:rPr>
            </w:pPr>
          </w:p>
        </w:tc>
      </w:tr>
      <w:tr w14:paraId="29DBE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550080A2">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842" w:type="pct"/>
            <w:vAlign w:val="center"/>
          </w:tcPr>
          <w:p w14:paraId="0F53A557">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vAlign w:val="center"/>
          </w:tcPr>
          <w:p w14:paraId="16FAAFF5">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2A3D0A12">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02B813A2">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vAlign w:val="center"/>
          </w:tcPr>
          <w:p w14:paraId="6AD5DF14">
            <w:pPr>
              <w:jc w:val="center"/>
              <w:rPr>
                <w:rFonts w:ascii="Times New Roman" w:hAnsi="Times New Roman"/>
                <w:snapToGrid w:val="0"/>
                <w:color w:val="000000" w:themeColor="text1"/>
                <w:kern w:val="0"/>
                <w:sz w:val="18"/>
                <w:szCs w:val="18"/>
                <w14:textFill>
                  <w14:solidFill>
                    <w14:schemeClr w14:val="tx1"/>
                  </w14:solidFill>
                </w14:textFill>
              </w:rPr>
            </w:pPr>
          </w:p>
        </w:tc>
      </w:tr>
      <w:tr w14:paraId="5FEE1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74892A2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842" w:type="pct"/>
            <w:vAlign w:val="center"/>
          </w:tcPr>
          <w:p w14:paraId="4D243453">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tcPr>
          <w:p w14:paraId="00F839AF">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4DC9A6C5">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4C0FB63F">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Pr>
          <w:p w14:paraId="11CF7CA9">
            <w:pPr>
              <w:jc w:val="center"/>
              <w:rPr>
                <w:rFonts w:ascii="Times New Roman" w:hAnsi="Times New Roman"/>
                <w:snapToGrid w:val="0"/>
                <w:color w:val="000000" w:themeColor="text1"/>
                <w:kern w:val="0"/>
                <w:sz w:val="18"/>
                <w:szCs w:val="18"/>
                <w14:textFill>
                  <w14:solidFill>
                    <w14:schemeClr w14:val="tx1"/>
                  </w14:solidFill>
                </w14:textFill>
              </w:rPr>
            </w:pPr>
          </w:p>
        </w:tc>
      </w:tr>
      <w:tr w14:paraId="61095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4BEF1FD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五</w:t>
            </w:r>
          </w:p>
        </w:tc>
        <w:tc>
          <w:tcPr>
            <w:tcW w:w="842" w:type="pct"/>
            <w:vAlign w:val="center"/>
          </w:tcPr>
          <w:p w14:paraId="2FA4ED2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加热炉</w:t>
            </w:r>
          </w:p>
        </w:tc>
        <w:tc>
          <w:tcPr>
            <w:tcW w:w="1141" w:type="pct"/>
          </w:tcPr>
          <w:p w14:paraId="652B6CB3">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4DF60650">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725D0B7E">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Pr>
          <w:p w14:paraId="768ED835">
            <w:pPr>
              <w:jc w:val="center"/>
              <w:rPr>
                <w:rFonts w:ascii="Times New Roman" w:hAnsi="Times New Roman"/>
                <w:snapToGrid w:val="0"/>
                <w:color w:val="000000" w:themeColor="text1"/>
                <w:kern w:val="0"/>
                <w:sz w:val="18"/>
                <w:szCs w:val="18"/>
                <w14:textFill>
                  <w14:solidFill>
                    <w14:schemeClr w14:val="tx1"/>
                  </w14:solidFill>
                </w14:textFill>
              </w:rPr>
            </w:pPr>
          </w:p>
        </w:tc>
      </w:tr>
      <w:tr w14:paraId="77624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3E791DC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842" w:type="pct"/>
            <w:vAlign w:val="center"/>
          </w:tcPr>
          <w:p w14:paraId="4777FC69">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tcPr>
          <w:p w14:paraId="611B2CEC">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6A973F56">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4765ABC5">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Pr>
          <w:p w14:paraId="227B8321">
            <w:pPr>
              <w:jc w:val="center"/>
              <w:rPr>
                <w:rFonts w:ascii="Times New Roman" w:hAnsi="Times New Roman"/>
                <w:snapToGrid w:val="0"/>
                <w:color w:val="000000" w:themeColor="text1"/>
                <w:kern w:val="0"/>
                <w:sz w:val="18"/>
                <w:szCs w:val="18"/>
                <w14:textFill>
                  <w14:solidFill>
                    <w14:schemeClr w14:val="tx1"/>
                  </w14:solidFill>
                </w14:textFill>
              </w:rPr>
            </w:pPr>
          </w:p>
        </w:tc>
      </w:tr>
      <w:tr w14:paraId="59619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1009A3A5">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842" w:type="pct"/>
            <w:vAlign w:val="center"/>
          </w:tcPr>
          <w:p w14:paraId="5CD7B067">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tcPr>
          <w:p w14:paraId="599759D9">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1E5ED265">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36BA2A22">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Pr>
          <w:p w14:paraId="1EEF3218">
            <w:pPr>
              <w:jc w:val="center"/>
              <w:rPr>
                <w:rFonts w:ascii="Times New Roman" w:hAnsi="Times New Roman"/>
                <w:snapToGrid w:val="0"/>
                <w:color w:val="000000" w:themeColor="text1"/>
                <w:kern w:val="0"/>
                <w:sz w:val="18"/>
                <w:szCs w:val="18"/>
                <w14:textFill>
                  <w14:solidFill>
                    <w14:schemeClr w14:val="tx1"/>
                  </w14:solidFill>
                </w14:textFill>
              </w:rPr>
            </w:pPr>
          </w:p>
        </w:tc>
      </w:tr>
      <w:tr w14:paraId="2063C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cantSplit/>
          <w:trHeight w:val="454" w:hRule="atLeast"/>
          <w:jc w:val="center"/>
        </w:trPr>
        <w:tc>
          <w:tcPr>
            <w:tcW w:w="658" w:type="pct"/>
          </w:tcPr>
          <w:p w14:paraId="0F081F6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842" w:type="pct"/>
            <w:vAlign w:val="center"/>
          </w:tcPr>
          <w:p w14:paraId="45A9C2E1">
            <w:pPr>
              <w:jc w:val="center"/>
              <w:rPr>
                <w:rFonts w:ascii="Times New Roman" w:hAnsi="Times New Roman"/>
                <w:snapToGrid w:val="0"/>
                <w:color w:val="000000" w:themeColor="text1"/>
                <w:kern w:val="0"/>
                <w:sz w:val="18"/>
                <w:szCs w:val="18"/>
                <w14:textFill>
                  <w14:solidFill>
                    <w14:schemeClr w14:val="tx1"/>
                  </w14:solidFill>
                </w14:textFill>
              </w:rPr>
            </w:pPr>
          </w:p>
        </w:tc>
        <w:tc>
          <w:tcPr>
            <w:tcW w:w="1141" w:type="pct"/>
          </w:tcPr>
          <w:p w14:paraId="1CA6135F">
            <w:pPr>
              <w:jc w:val="center"/>
              <w:rPr>
                <w:rFonts w:ascii="Times New Roman" w:hAnsi="Times New Roman"/>
                <w:snapToGrid w:val="0"/>
                <w:color w:val="000000" w:themeColor="text1"/>
                <w:kern w:val="0"/>
                <w:sz w:val="18"/>
                <w:szCs w:val="18"/>
                <w14:textFill>
                  <w14:solidFill>
                    <w14:schemeClr w14:val="tx1"/>
                  </w14:solidFill>
                </w14:textFill>
              </w:rPr>
            </w:pPr>
          </w:p>
        </w:tc>
        <w:tc>
          <w:tcPr>
            <w:tcW w:w="563" w:type="pct"/>
          </w:tcPr>
          <w:p w14:paraId="2A41F0FD">
            <w:pPr>
              <w:jc w:val="center"/>
              <w:rPr>
                <w:rFonts w:ascii="Times New Roman" w:hAnsi="Times New Roman"/>
                <w:snapToGrid w:val="0"/>
                <w:color w:val="000000" w:themeColor="text1"/>
                <w:kern w:val="0"/>
                <w:sz w:val="18"/>
                <w:szCs w:val="18"/>
                <w14:textFill>
                  <w14:solidFill>
                    <w14:schemeClr w14:val="tx1"/>
                  </w14:solidFill>
                </w14:textFill>
              </w:rPr>
            </w:pPr>
          </w:p>
        </w:tc>
        <w:tc>
          <w:tcPr>
            <w:tcW w:w="782" w:type="pct"/>
          </w:tcPr>
          <w:p w14:paraId="3EC6ECB5">
            <w:pPr>
              <w:jc w:val="center"/>
              <w:rPr>
                <w:rFonts w:ascii="Times New Roman" w:hAnsi="Times New Roman"/>
                <w:snapToGrid w:val="0"/>
                <w:color w:val="000000" w:themeColor="text1"/>
                <w:kern w:val="0"/>
                <w:sz w:val="18"/>
                <w:szCs w:val="18"/>
                <w14:textFill>
                  <w14:solidFill>
                    <w14:schemeClr w14:val="tx1"/>
                  </w14:solidFill>
                </w14:textFill>
              </w:rPr>
            </w:pPr>
          </w:p>
        </w:tc>
        <w:tc>
          <w:tcPr>
            <w:tcW w:w="1014" w:type="pct"/>
          </w:tcPr>
          <w:p w14:paraId="7073AA93">
            <w:pPr>
              <w:jc w:val="center"/>
              <w:rPr>
                <w:rFonts w:ascii="Times New Roman" w:hAnsi="Times New Roman"/>
                <w:snapToGrid w:val="0"/>
                <w:color w:val="000000" w:themeColor="text1"/>
                <w:kern w:val="0"/>
                <w:sz w:val="18"/>
                <w:szCs w:val="18"/>
                <w14:textFill>
                  <w14:solidFill>
                    <w14:schemeClr w14:val="tx1"/>
                  </w14:solidFill>
                </w14:textFill>
              </w:rPr>
            </w:pPr>
          </w:p>
        </w:tc>
      </w:tr>
    </w:tbl>
    <w:p w14:paraId="2FB88B5E">
      <w:pPr>
        <w:pStyle w:val="97"/>
        <w:spacing w:before="120" w:after="120"/>
      </w:pPr>
      <w:r>
        <w:t>设计变更情况分析</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965"/>
        <w:gridCol w:w="1459"/>
        <w:gridCol w:w="1384"/>
        <w:gridCol w:w="3180"/>
        <w:gridCol w:w="1851"/>
      </w:tblGrid>
      <w:tr w14:paraId="55D7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82" w:type="pct"/>
            <w:vAlign w:val="center"/>
          </w:tcPr>
          <w:p w14:paraId="55C759A2">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序号</w:t>
            </w:r>
          </w:p>
        </w:tc>
        <w:tc>
          <w:tcPr>
            <w:tcW w:w="504" w:type="pct"/>
            <w:vAlign w:val="center"/>
          </w:tcPr>
          <w:p w14:paraId="5BC67670">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变更项</w:t>
            </w:r>
          </w:p>
        </w:tc>
        <w:tc>
          <w:tcPr>
            <w:tcW w:w="762" w:type="pct"/>
            <w:vAlign w:val="center"/>
          </w:tcPr>
          <w:p w14:paraId="67BA97AD">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变更方案描述</w:t>
            </w:r>
          </w:p>
        </w:tc>
        <w:tc>
          <w:tcPr>
            <w:tcW w:w="723" w:type="pct"/>
            <w:vAlign w:val="center"/>
          </w:tcPr>
          <w:p w14:paraId="7C59C4C0">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变更原因</w:t>
            </w:r>
          </w:p>
        </w:tc>
        <w:tc>
          <w:tcPr>
            <w:tcW w:w="1661" w:type="pct"/>
            <w:vAlign w:val="center"/>
          </w:tcPr>
          <w:p w14:paraId="1ADDF216">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危险有害因素辨识</w:t>
            </w:r>
          </w:p>
        </w:tc>
        <w:tc>
          <w:tcPr>
            <w:tcW w:w="967" w:type="pct"/>
            <w:vAlign w:val="center"/>
          </w:tcPr>
          <w:p w14:paraId="4F9D050A">
            <w:pPr>
              <w:widowControl/>
              <w:jc w:val="center"/>
              <w:textAlignment w:val="baseline"/>
              <w:rPr>
                <w:rFonts w:ascii="Times New Roman" w:hAnsi="Times New Roman"/>
                <w:color w:val="000000" w:themeColor="text1"/>
                <w:kern w:val="0"/>
                <w:sz w:val="18"/>
                <w:szCs w:val="18"/>
                <w:u w:color="000000"/>
                <w14:textFill>
                  <w14:solidFill>
                    <w14:schemeClr w14:val="tx1"/>
                  </w14:solidFill>
                </w14:textFill>
              </w:rPr>
            </w:pPr>
            <w:r>
              <w:rPr>
                <w:rFonts w:ascii="Times New Roman" w:hAnsi="Times New Roman"/>
                <w:color w:val="000000" w:themeColor="text1"/>
                <w:kern w:val="0"/>
                <w:sz w:val="18"/>
                <w:szCs w:val="18"/>
                <w:u w:color="000000"/>
                <w14:textFill>
                  <w14:solidFill>
                    <w14:schemeClr w14:val="tx1"/>
                  </w14:solidFill>
                </w14:textFill>
              </w:rPr>
              <w:t>安全措施</w:t>
            </w:r>
          </w:p>
        </w:tc>
      </w:tr>
      <w:tr w14:paraId="79860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2" w:type="pct"/>
            <w:vAlign w:val="center"/>
          </w:tcPr>
          <w:p w14:paraId="3E25ABDB">
            <w:pPr>
              <w:pStyle w:val="283"/>
              <w:spacing w:line="240" w:lineRule="exact"/>
              <w:ind w:left="-80" w:right="-69"/>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504" w:type="pct"/>
            <w:vAlign w:val="center"/>
          </w:tcPr>
          <w:p w14:paraId="463ED590">
            <w:pPr>
              <w:pStyle w:val="292"/>
              <w:adjustRightInd w:val="0"/>
              <w:snapToGrid w:val="0"/>
              <w:spacing w:before="120" w:after="120" w:line="240" w:lineRule="exact"/>
              <w:rPr>
                <w:i/>
                <w:iCs/>
                <w:color w:val="000000" w:themeColor="text1"/>
                <w14:textFill>
                  <w14:solidFill>
                    <w14:schemeClr w14:val="tx1"/>
                  </w14:solidFill>
                </w14:textFill>
              </w:rPr>
            </w:pPr>
          </w:p>
        </w:tc>
        <w:tc>
          <w:tcPr>
            <w:tcW w:w="762" w:type="pct"/>
            <w:vAlign w:val="center"/>
          </w:tcPr>
          <w:p w14:paraId="7393C974">
            <w:pPr>
              <w:pStyle w:val="292"/>
              <w:adjustRightInd w:val="0"/>
              <w:snapToGrid w:val="0"/>
              <w:spacing w:before="120" w:after="120" w:line="240" w:lineRule="exact"/>
              <w:rPr>
                <w:i/>
                <w:iCs/>
                <w:color w:val="000000" w:themeColor="text1"/>
                <w14:textFill>
                  <w14:solidFill>
                    <w14:schemeClr w14:val="tx1"/>
                  </w14:solidFill>
                </w14:textFill>
              </w:rPr>
            </w:pPr>
          </w:p>
        </w:tc>
        <w:tc>
          <w:tcPr>
            <w:tcW w:w="723" w:type="pct"/>
            <w:vAlign w:val="center"/>
          </w:tcPr>
          <w:p w14:paraId="07A466AC">
            <w:pPr>
              <w:pStyle w:val="292"/>
              <w:adjustRightInd w:val="0"/>
              <w:snapToGrid w:val="0"/>
              <w:spacing w:before="120" w:after="120" w:line="240" w:lineRule="exact"/>
              <w:jc w:val="left"/>
              <w:rPr>
                <w:i/>
                <w:iCs/>
                <w:color w:val="000000" w:themeColor="text1"/>
                <w14:textFill>
                  <w14:solidFill>
                    <w14:schemeClr w14:val="tx1"/>
                  </w14:solidFill>
                </w14:textFill>
              </w:rPr>
            </w:pPr>
          </w:p>
        </w:tc>
        <w:tc>
          <w:tcPr>
            <w:tcW w:w="1661" w:type="pct"/>
            <w:vAlign w:val="center"/>
          </w:tcPr>
          <w:p w14:paraId="49038DF4">
            <w:pPr>
              <w:pStyle w:val="292"/>
              <w:adjustRightInd w:val="0"/>
              <w:snapToGrid w:val="0"/>
              <w:spacing w:before="120" w:after="120" w:line="240" w:lineRule="exact"/>
              <w:jc w:val="left"/>
              <w:rPr>
                <w:i/>
                <w:iCs/>
                <w:color w:val="000000" w:themeColor="text1"/>
                <w14:textFill>
                  <w14:solidFill>
                    <w14:schemeClr w14:val="tx1"/>
                  </w14:solidFill>
                </w14:textFill>
              </w:rPr>
            </w:pPr>
          </w:p>
        </w:tc>
        <w:tc>
          <w:tcPr>
            <w:tcW w:w="967" w:type="pct"/>
            <w:vAlign w:val="center"/>
          </w:tcPr>
          <w:p w14:paraId="2869AFB2">
            <w:pPr>
              <w:pStyle w:val="292"/>
              <w:adjustRightInd w:val="0"/>
              <w:snapToGrid w:val="0"/>
              <w:spacing w:before="120" w:after="120" w:line="240" w:lineRule="exact"/>
              <w:jc w:val="left"/>
              <w:rPr>
                <w:i/>
                <w:iCs/>
                <w:color w:val="000000" w:themeColor="text1"/>
                <w14:textFill>
                  <w14:solidFill>
                    <w14:schemeClr w14:val="tx1"/>
                  </w14:solidFill>
                </w14:textFill>
              </w:rPr>
            </w:pPr>
          </w:p>
        </w:tc>
      </w:tr>
      <w:tr w14:paraId="3853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82" w:type="pct"/>
            <w:vAlign w:val="center"/>
          </w:tcPr>
          <w:p w14:paraId="251223A1">
            <w:pPr>
              <w:pStyle w:val="283"/>
              <w:spacing w:line="240" w:lineRule="exact"/>
              <w:ind w:left="-80" w:right="-69"/>
              <w:rPr>
                <w:color w:val="000000" w:themeColor="text1"/>
                <w:sz w:val="18"/>
                <w:szCs w:val="18"/>
                <w14:textFill>
                  <w14:solidFill>
                    <w14:schemeClr w14:val="tx1"/>
                  </w14:solidFill>
                </w14:textFill>
              </w:rPr>
            </w:pPr>
            <w:r>
              <w:rPr>
                <w:color w:val="000000" w:themeColor="text1"/>
                <w:kern w:val="0"/>
                <w:sz w:val="18"/>
                <w:szCs w:val="18"/>
                <w14:textFill>
                  <w14:solidFill>
                    <w14:schemeClr w14:val="tx1"/>
                  </w14:solidFill>
                </w14:textFill>
              </w:rPr>
              <w:t>…</w:t>
            </w:r>
          </w:p>
        </w:tc>
        <w:tc>
          <w:tcPr>
            <w:tcW w:w="504" w:type="pct"/>
            <w:vAlign w:val="center"/>
          </w:tcPr>
          <w:p w14:paraId="43ED960E">
            <w:pPr>
              <w:pStyle w:val="283"/>
              <w:spacing w:line="240" w:lineRule="exact"/>
              <w:ind w:left="-80" w:right="-69"/>
              <w:rPr>
                <w:color w:val="000000" w:themeColor="text1"/>
                <w:sz w:val="18"/>
                <w:szCs w:val="18"/>
                <w14:textFill>
                  <w14:solidFill>
                    <w14:schemeClr w14:val="tx1"/>
                  </w14:solidFill>
                </w14:textFill>
              </w:rPr>
            </w:pPr>
          </w:p>
        </w:tc>
        <w:tc>
          <w:tcPr>
            <w:tcW w:w="762" w:type="pct"/>
            <w:vAlign w:val="center"/>
          </w:tcPr>
          <w:p w14:paraId="0CA26444">
            <w:pPr>
              <w:pStyle w:val="283"/>
              <w:spacing w:line="240" w:lineRule="exact"/>
              <w:ind w:left="-80" w:right="-69"/>
              <w:rPr>
                <w:color w:val="000000" w:themeColor="text1"/>
                <w:sz w:val="18"/>
                <w:szCs w:val="18"/>
                <w14:textFill>
                  <w14:solidFill>
                    <w14:schemeClr w14:val="tx1"/>
                  </w14:solidFill>
                </w14:textFill>
              </w:rPr>
            </w:pPr>
          </w:p>
        </w:tc>
        <w:tc>
          <w:tcPr>
            <w:tcW w:w="723" w:type="pct"/>
            <w:vAlign w:val="center"/>
          </w:tcPr>
          <w:p w14:paraId="4CED3BA0">
            <w:pPr>
              <w:pStyle w:val="283"/>
              <w:spacing w:line="240" w:lineRule="exact"/>
              <w:ind w:left="-80" w:right="-69"/>
              <w:rPr>
                <w:color w:val="000000" w:themeColor="text1"/>
                <w:sz w:val="18"/>
                <w:szCs w:val="18"/>
                <w14:textFill>
                  <w14:solidFill>
                    <w14:schemeClr w14:val="tx1"/>
                  </w14:solidFill>
                </w14:textFill>
              </w:rPr>
            </w:pPr>
          </w:p>
        </w:tc>
        <w:tc>
          <w:tcPr>
            <w:tcW w:w="1661" w:type="pct"/>
            <w:vAlign w:val="center"/>
          </w:tcPr>
          <w:p w14:paraId="4415486F">
            <w:pPr>
              <w:pStyle w:val="283"/>
              <w:spacing w:line="240" w:lineRule="exact"/>
              <w:ind w:left="-80" w:right="-69"/>
              <w:rPr>
                <w:color w:val="000000" w:themeColor="text1"/>
                <w:sz w:val="18"/>
                <w:szCs w:val="18"/>
                <w14:textFill>
                  <w14:solidFill>
                    <w14:schemeClr w14:val="tx1"/>
                  </w14:solidFill>
                </w14:textFill>
              </w:rPr>
            </w:pPr>
          </w:p>
        </w:tc>
        <w:tc>
          <w:tcPr>
            <w:tcW w:w="967" w:type="pct"/>
            <w:vAlign w:val="center"/>
          </w:tcPr>
          <w:p w14:paraId="7F88A5F5">
            <w:pPr>
              <w:pStyle w:val="283"/>
              <w:spacing w:line="240" w:lineRule="exact"/>
              <w:ind w:left="-80" w:right="-69"/>
              <w:rPr>
                <w:color w:val="000000" w:themeColor="text1"/>
                <w:sz w:val="18"/>
                <w:szCs w:val="18"/>
                <w14:textFill>
                  <w14:solidFill>
                    <w14:schemeClr w14:val="tx1"/>
                  </w14:solidFill>
                </w14:textFill>
              </w:rPr>
            </w:pPr>
          </w:p>
        </w:tc>
      </w:tr>
    </w:tbl>
    <w:p w14:paraId="7D40615F">
      <w:pPr>
        <w:pStyle w:val="97"/>
        <w:spacing w:before="120" w:after="120"/>
      </w:pPr>
      <w:r>
        <w:t>站场与周边设施防火间距合规性一览（单位：m）</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1321"/>
        <w:gridCol w:w="1457"/>
        <w:gridCol w:w="1120"/>
        <w:gridCol w:w="1009"/>
        <w:gridCol w:w="626"/>
        <w:gridCol w:w="1150"/>
        <w:gridCol w:w="1169"/>
        <w:gridCol w:w="794"/>
      </w:tblGrid>
      <w:tr w14:paraId="1E3E9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83" w:type="pct"/>
            <w:vAlign w:val="center"/>
          </w:tcPr>
          <w:p w14:paraId="29E48508">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站场</w:t>
            </w:r>
          </w:p>
          <w:p w14:paraId="3ED03FC6">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名称</w:t>
            </w:r>
          </w:p>
        </w:tc>
        <w:tc>
          <w:tcPr>
            <w:tcW w:w="690" w:type="pct"/>
            <w:vAlign w:val="center"/>
          </w:tcPr>
          <w:p w14:paraId="562B6DCA">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类型</w:t>
            </w:r>
          </w:p>
        </w:tc>
        <w:tc>
          <w:tcPr>
            <w:tcW w:w="761" w:type="pct"/>
            <w:vAlign w:val="center"/>
          </w:tcPr>
          <w:p w14:paraId="5B1FB692">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100人以上居住区、村镇、公共福利设施</w:t>
            </w:r>
          </w:p>
        </w:tc>
        <w:tc>
          <w:tcPr>
            <w:tcW w:w="585" w:type="pct"/>
            <w:vAlign w:val="center"/>
          </w:tcPr>
          <w:p w14:paraId="6AABF73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100人以下的散居房屋</w:t>
            </w:r>
          </w:p>
        </w:tc>
        <w:tc>
          <w:tcPr>
            <w:tcW w:w="527" w:type="pct"/>
            <w:vAlign w:val="center"/>
          </w:tcPr>
          <w:p w14:paraId="62382D08">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相邻</w:t>
            </w:r>
          </w:p>
          <w:p w14:paraId="20247841">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厂矿企业</w:t>
            </w:r>
          </w:p>
        </w:tc>
        <w:tc>
          <w:tcPr>
            <w:tcW w:w="327" w:type="pct"/>
            <w:vAlign w:val="center"/>
          </w:tcPr>
          <w:p w14:paraId="3226221E">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公路/</w:t>
            </w:r>
          </w:p>
          <w:p w14:paraId="7BF79DD4">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铁路</w:t>
            </w:r>
          </w:p>
        </w:tc>
        <w:tc>
          <w:tcPr>
            <w:tcW w:w="601" w:type="pct"/>
            <w:vAlign w:val="center"/>
          </w:tcPr>
          <w:p w14:paraId="656ED26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架空电力线</w:t>
            </w:r>
          </w:p>
        </w:tc>
        <w:tc>
          <w:tcPr>
            <w:tcW w:w="611" w:type="pct"/>
            <w:vAlign w:val="center"/>
          </w:tcPr>
          <w:p w14:paraId="678B04D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其他通信线</w:t>
            </w:r>
          </w:p>
        </w:tc>
        <w:tc>
          <w:tcPr>
            <w:tcW w:w="415" w:type="pct"/>
            <w:vAlign w:val="center"/>
          </w:tcPr>
          <w:p w14:paraId="5B45D897">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危险品仓库/</w:t>
            </w:r>
          </w:p>
          <w:p w14:paraId="2192F7F1">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爆炸作业场地</w:t>
            </w:r>
          </w:p>
        </w:tc>
      </w:tr>
      <w:tr w14:paraId="2982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83" w:type="pct"/>
            <w:vMerge w:val="restart"/>
            <w:vAlign w:val="center"/>
          </w:tcPr>
          <w:p w14:paraId="637178FA">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XX站场</w:t>
            </w:r>
          </w:p>
        </w:tc>
        <w:tc>
          <w:tcPr>
            <w:tcW w:w="690" w:type="pct"/>
            <w:vAlign w:val="center"/>
          </w:tcPr>
          <w:p w14:paraId="133AF746">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标准规范要求</w:t>
            </w:r>
          </w:p>
        </w:tc>
        <w:tc>
          <w:tcPr>
            <w:tcW w:w="761" w:type="pct"/>
            <w:vAlign w:val="center"/>
          </w:tcPr>
          <w:p w14:paraId="582CF3D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85" w:type="pct"/>
            <w:vAlign w:val="center"/>
          </w:tcPr>
          <w:p w14:paraId="4F93A73E">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27" w:type="pct"/>
            <w:vAlign w:val="center"/>
          </w:tcPr>
          <w:p w14:paraId="6E83E670">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327" w:type="pct"/>
            <w:vAlign w:val="center"/>
          </w:tcPr>
          <w:p w14:paraId="552C4CA0">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01" w:type="pct"/>
            <w:vAlign w:val="center"/>
          </w:tcPr>
          <w:p w14:paraId="1F846C5F">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11" w:type="pct"/>
            <w:vAlign w:val="center"/>
          </w:tcPr>
          <w:p w14:paraId="363E2E9C">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415" w:type="pct"/>
            <w:vAlign w:val="center"/>
          </w:tcPr>
          <w:p w14:paraId="0A8EF60F">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r>
      <w:tr w14:paraId="7817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83" w:type="pct"/>
            <w:vMerge w:val="continue"/>
            <w:vAlign w:val="center"/>
          </w:tcPr>
          <w:p w14:paraId="08B7B6A4">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90" w:type="pct"/>
            <w:vAlign w:val="center"/>
          </w:tcPr>
          <w:p w14:paraId="0AE6752B">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现状距离</w:t>
            </w:r>
          </w:p>
        </w:tc>
        <w:tc>
          <w:tcPr>
            <w:tcW w:w="761" w:type="pct"/>
            <w:vAlign w:val="center"/>
          </w:tcPr>
          <w:p w14:paraId="46299FF4">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85" w:type="pct"/>
            <w:vAlign w:val="center"/>
          </w:tcPr>
          <w:p w14:paraId="45EA295C">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27" w:type="pct"/>
            <w:vAlign w:val="center"/>
          </w:tcPr>
          <w:p w14:paraId="43418078">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327" w:type="pct"/>
            <w:vAlign w:val="center"/>
          </w:tcPr>
          <w:p w14:paraId="42EA5176">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01" w:type="pct"/>
            <w:vAlign w:val="center"/>
          </w:tcPr>
          <w:p w14:paraId="3243FBDA">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11" w:type="pct"/>
            <w:vAlign w:val="center"/>
          </w:tcPr>
          <w:p w14:paraId="7521A7D1">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415" w:type="pct"/>
            <w:vAlign w:val="center"/>
          </w:tcPr>
          <w:p w14:paraId="27300406">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r>
      <w:tr w14:paraId="17E1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83" w:type="pct"/>
            <w:vMerge w:val="continue"/>
            <w:vAlign w:val="center"/>
          </w:tcPr>
          <w:p w14:paraId="2A53969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90" w:type="pct"/>
            <w:vAlign w:val="center"/>
          </w:tcPr>
          <w:p w14:paraId="63C531F0">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设计最小间距</w:t>
            </w:r>
          </w:p>
        </w:tc>
        <w:tc>
          <w:tcPr>
            <w:tcW w:w="761" w:type="pct"/>
            <w:vAlign w:val="center"/>
          </w:tcPr>
          <w:p w14:paraId="1F19B38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85" w:type="pct"/>
            <w:vAlign w:val="center"/>
          </w:tcPr>
          <w:p w14:paraId="38093F1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27" w:type="pct"/>
            <w:vAlign w:val="center"/>
          </w:tcPr>
          <w:p w14:paraId="55C681FD">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327" w:type="pct"/>
            <w:vAlign w:val="center"/>
          </w:tcPr>
          <w:p w14:paraId="3B75B3EE">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01" w:type="pct"/>
            <w:vAlign w:val="center"/>
          </w:tcPr>
          <w:p w14:paraId="2D849651">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11" w:type="pct"/>
            <w:vAlign w:val="center"/>
          </w:tcPr>
          <w:p w14:paraId="528767A2">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415" w:type="pct"/>
            <w:vAlign w:val="center"/>
          </w:tcPr>
          <w:p w14:paraId="2F9F9342">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r>
      <w:tr w14:paraId="0AA9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483" w:type="pct"/>
            <w:vMerge w:val="continue"/>
            <w:vAlign w:val="center"/>
          </w:tcPr>
          <w:p w14:paraId="3411AECE">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90" w:type="pct"/>
            <w:vAlign w:val="center"/>
          </w:tcPr>
          <w:p w14:paraId="256BE28A">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拆迁情况</w:t>
            </w:r>
          </w:p>
        </w:tc>
        <w:tc>
          <w:tcPr>
            <w:tcW w:w="761" w:type="pct"/>
            <w:vAlign w:val="center"/>
          </w:tcPr>
          <w:p w14:paraId="36DE897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85" w:type="pct"/>
            <w:vAlign w:val="center"/>
          </w:tcPr>
          <w:p w14:paraId="124CA96C">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527" w:type="pct"/>
            <w:vAlign w:val="center"/>
          </w:tcPr>
          <w:p w14:paraId="220C4C22">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327" w:type="pct"/>
            <w:vAlign w:val="center"/>
          </w:tcPr>
          <w:p w14:paraId="4CD17B29">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01" w:type="pct"/>
            <w:vAlign w:val="center"/>
          </w:tcPr>
          <w:p w14:paraId="1B6EA053">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611" w:type="pct"/>
            <w:vAlign w:val="center"/>
          </w:tcPr>
          <w:p w14:paraId="7E094E1D">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c>
          <w:tcPr>
            <w:tcW w:w="415" w:type="pct"/>
            <w:vAlign w:val="center"/>
          </w:tcPr>
          <w:p w14:paraId="4606B70E">
            <w:pPr>
              <w:snapToGrid w:val="0"/>
              <w:jc w:val="center"/>
              <w:textAlignment w:val="baseline"/>
              <w:rPr>
                <w:rFonts w:ascii="Times New Roman" w:hAnsi="Times New Roman"/>
                <w:snapToGrid w:val="0"/>
                <w:color w:val="000000" w:themeColor="text1"/>
                <w:kern w:val="0"/>
                <w:sz w:val="18"/>
                <w:szCs w:val="18"/>
                <w14:textFill>
                  <w14:solidFill>
                    <w14:schemeClr w14:val="tx1"/>
                  </w14:solidFill>
                </w14:textFill>
              </w:rPr>
            </w:pPr>
          </w:p>
        </w:tc>
      </w:tr>
    </w:tbl>
    <w:p w14:paraId="20A5F1E0">
      <w:pPr>
        <w:pStyle w:val="97"/>
        <w:spacing w:before="120" w:after="120"/>
      </w:pPr>
      <w:r>
        <w:t>站场平面布置间距（m）</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212"/>
        <w:gridCol w:w="1058"/>
        <w:gridCol w:w="1028"/>
        <w:gridCol w:w="1650"/>
        <w:gridCol w:w="1535"/>
        <w:gridCol w:w="1227"/>
        <w:gridCol w:w="1860"/>
      </w:tblGrid>
      <w:tr w14:paraId="1260F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0" w:hRule="atLeast"/>
          <w:tblHeader/>
          <w:jc w:val="center"/>
        </w:trPr>
        <w:tc>
          <w:tcPr>
            <w:tcW w:w="633" w:type="pct"/>
            <w:vMerge w:val="restart"/>
            <w:shd w:val="clear" w:color="auto" w:fill="FFFFFF"/>
            <w:vAlign w:val="center"/>
          </w:tcPr>
          <w:p w14:paraId="193CE79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装置/设施</w:t>
            </w:r>
          </w:p>
        </w:tc>
        <w:tc>
          <w:tcPr>
            <w:tcW w:w="1090" w:type="pct"/>
            <w:gridSpan w:val="2"/>
            <w:vMerge w:val="restart"/>
            <w:shd w:val="clear" w:color="auto" w:fill="FFFFFF"/>
            <w:vAlign w:val="center"/>
          </w:tcPr>
          <w:p w14:paraId="508D045D">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相邻装置/设施</w:t>
            </w:r>
          </w:p>
        </w:tc>
        <w:tc>
          <w:tcPr>
            <w:tcW w:w="862" w:type="pct"/>
            <w:vMerge w:val="restart"/>
            <w:shd w:val="clear" w:color="auto" w:fill="FFFFFF"/>
            <w:vAlign w:val="center"/>
          </w:tcPr>
          <w:p w14:paraId="4CED375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规范要求的间距</w:t>
            </w:r>
          </w:p>
          <w:p w14:paraId="43707FA9">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w:t>
            </w:r>
          </w:p>
        </w:tc>
        <w:tc>
          <w:tcPr>
            <w:tcW w:w="802" w:type="pct"/>
            <w:vMerge w:val="restart"/>
            <w:shd w:val="clear" w:color="auto" w:fill="FFFFFF"/>
            <w:vAlign w:val="center"/>
          </w:tcPr>
          <w:p w14:paraId="4DDE50A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设计最小间距</w:t>
            </w:r>
          </w:p>
          <w:p w14:paraId="64CA1EB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w:t>
            </w:r>
          </w:p>
        </w:tc>
        <w:tc>
          <w:tcPr>
            <w:tcW w:w="641" w:type="pct"/>
            <w:vMerge w:val="restart"/>
            <w:shd w:val="clear" w:color="auto" w:fill="FFFFFF"/>
            <w:vAlign w:val="center"/>
          </w:tcPr>
          <w:p w14:paraId="3908535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对比结果</w:t>
            </w:r>
          </w:p>
        </w:tc>
        <w:tc>
          <w:tcPr>
            <w:tcW w:w="970" w:type="pct"/>
            <w:vMerge w:val="restart"/>
            <w:shd w:val="clear" w:color="auto" w:fill="FFFFFF"/>
            <w:vAlign w:val="center"/>
          </w:tcPr>
          <w:p w14:paraId="0F718DFE">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遵循标准规范及条款</w:t>
            </w:r>
          </w:p>
        </w:tc>
      </w:tr>
      <w:tr w14:paraId="3A76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633" w:type="pct"/>
            <w:vMerge w:val="continue"/>
            <w:shd w:val="clear" w:color="auto" w:fill="FFFFFF"/>
            <w:vAlign w:val="center"/>
          </w:tcPr>
          <w:p w14:paraId="2E45DDFE">
            <w:pPr>
              <w:jc w:val="center"/>
              <w:rPr>
                <w:rFonts w:ascii="Times New Roman" w:hAnsi="Times New Roman"/>
                <w:color w:val="000000" w:themeColor="text1"/>
                <w:sz w:val="18"/>
                <w:szCs w:val="18"/>
                <w14:textFill>
                  <w14:solidFill>
                    <w14:schemeClr w14:val="tx1"/>
                  </w14:solidFill>
                </w14:textFill>
              </w:rPr>
            </w:pPr>
          </w:p>
        </w:tc>
        <w:tc>
          <w:tcPr>
            <w:tcW w:w="1090" w:type="pct"/>
            <w:gridSpan w:val="2"/>
            <w:vMerge w:val="continue"/>
            <w:shd w:val="clear" w:color="auto" w:fill="FFFFFF"/>
            <w:vAlign w:val="center"/>
          </w:tcPr>
          <w:p w14:paraId="49621F08">
            <w:pPr>
              <w:jc w:val="center"/>
              <w:rPr>
                <w:rFonts w:ascii="Times New Roman" w:hAnsi="Times New Roman"/>
                <w:color w:val="000000" w:themeColor="text1"/>
                <w:sz w:val="18"/>
                <w:szCs w:val="18"/>
                <w14:textFill>
                  <w14:solidFill>
                    <w14:schemeClr w14:val="tx1"/>
                  </w14:solidFill>
                </w14:textFill>
              </w:rPr>
            </w:pPr>
          </w:p>
        </w:tc>
        <w:tc>
          <w:tcPr>
            <w:tcW w:w="862" w:type="pct"/>
            <w:vMerge w:val="continue"/>
            <w:shd w:val="clear" w:color="auto" w:fill="FFFFFF"/>
            <w:vAlign w:val="center"/>
          </w:tcPr>
          <w:p w14:paraId="544D53DE">
            <w:pPr>
              <w:jc w:val="center"/>
              <w:rPr>
                <w:rFonts w:ascii="Times New Roman" w:hAnsi="Times New Roman"/>
                <w:color w:val="000000" w:themeColor="text1"/>
                <w:sz w:val="18"/>
                <w:szCs w:val="18"/>
                <w14:textFill>
                  <w14:solidFill>
                    <w14:schemeClr w14:val="tx1"/>
                  </w14:solidFill>
                </w14:textFill>
              </w:rPr>
            </w:pPr>
          </w:p>
        </w:tc>
        <w:tc>
          <w:tcPr>
            <w:tcW w:w="802" w:type="pct"/>
            <w:vMerge w:val="continue"/>
            <w:shd w:val="clear" w:color="auto" w:fill="FFFFFF"/>
            <w:vAlign w:val="center"/>
          </w:tcPr>
          <w:p w14:paraId="35973CF2">
            <w:pPr>
              <w:jc w:val="center"/>
              <w:rPr>
                <w:rFonts w:ascii="Times New Roman" w:hAnsi="Times New Roman"/>
                <w:color w:val="000000" w:themeColor="text1"/>
                <w:sz w:val="18"/>
                <w:szCs w:val="18"/>
                <w14:textFill>
                  <w14:solidFill>
                    <w14:schemeClr w14:val="tx1"/>
                  </w14:solidFill>
                </w14:textFill>
              </w:rPr>
            </w:pPr>
          </w:p>
        </w:tc>
        <w:tc>
          <w:tcPr>
            <w:tcW w:w="641" w:type="pct"/>
            <w:vMerge w:val="continue"/>
            <w:shd w:val="clear" w:color="auto" w:fill="FFFFFF"/>
            <w:vAlign w:val="center"/>
          </w:tcPr>
          <w:p w14:paraId="0609ECD4">
            <w:pPr>
              <w:jc w:val="center"/>
              <w:rPr>
                <w:rFonts w:ascii="Times New Roman" w:hAnsi="Times New Roman"/>
                <w:color w:val="000000" w:themeColor="text1"/>
                <w:sz w:val="18"/>
                <w:szCs w:val="18"/>
                <w14:textFill>
                  <w14:solidFill>
                    <w14:schemeClr w14:val="tx1"/>
                  </w14:solidFill>
                </w14:textFill>
              </w:rPr>
            </w:pPr>
          </w:p>
        </w:tc>
        <w:tc>
          <w:tcPr>
            <w:tcW w:w="970" w:type="pct"/>
            <w:vMerge w:val="continue"/>
            <w:shd w:val="clear" w:color="auto" w:fill="FFFFFF"/>
            <w:vAlign w:val="center"/>
          </w:tcPr>
          <w:p w14:paraId="45CF3D7C">
            <w:pPr>
              <w:jc w:val="center"/>
              <w:rPr>
                <w:rFonts w:ascii="Times New Roman" w:hAnsi="Times New Roman"/>
                <w:color w:val="000000" w:themeColor="text1"/>
                <w:sz w:val="18"/>
                <w:szCs w:val="18"/>
                <w14:textFill>
                  <w14:solidFill>
                    <w14:schemeClr w14:val="tx1"/>
                  </w14:solidFill>
                </w14:textFill>
              </w:rPr>
            </w:pPr>
          </w:p>
        </w:tc>
      </w:tr>
      <w:tr w14:paraId="4867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633" w:type="pct"/>
            <w:vMerge w:val="continue"/>
            <w:shd w:val="clear" w:color="auto" w:fill="FFFFFF"/>
            <w:vAlign w:val="center"/>
          </w:tcPr>
          <w:p w14:paraId="70496CAE">
            <w:pPr>
              <w:jc w:val="center"/>
              <w:rPr>
                <w:rFonts w:ascii="Times New Roman" w:hAnsi="Times New Roman"/>
                <w:color w:val="000000" w:themeColor="text1"/>
                <w:sz w:val="18"/>
                <w:szCs w:val="18"/>
                <w14:textFill>
                  <w14:solidFill>
                    <w14:schemeClr w14:val="tx1"/>
                  </w14:solidFill>
                </w14:textFill>
              </w:rPr>
            </w:pPr>
          </w:p>
        </w:tc>
        <w:tc>
          <w:tcPr>
            <w:tcW w:w="553" w:type="pct"/>
            <w:shd w:val="clear" w:color="auto" w:fill="FFFFFF"/>
            <w:vAlign w:val="center"/>
          </w:tcPr>
          <w:p w14:paraId="4BDB4A6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名称</w:t>
            </w:r>
          </w:p>
        </w:tc>
        <w:tc>
          <w:tcPr>
            <w:tcW w:w="537" w:type="pct"/>
            <w:shd w:val="clear" w:color="auto" w:fill="FFFFFF"/>
            <w:vAlign w:val="center"/>
          </w:tcPr>
          <w:p w14:paraId="36C1CFD8">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属性</w:t>
            </w:r>
          </w:p>
        </w:tc>
        <w:tc>
          <w:tcPr>
            <w:tcW w:w="862" w:type="pct"/>
            <w:vMerge w:val="continue"/>
            <w:shd w:val="clear" w:color="auto" w:fill="FFFFFF"/>
            <w:vAlign w:val="center"/>
          </w:tcPr>
          <w:p w14:paraId="444F726D">
            <w:pPr>
              <w:jc w:val="center"/>
              <w:rPr>
                <w:rFonts w:ascii="Times New Roman" w:hAnsi="Times New Roman"/>
                <w:color w:val="000000" w:themeColor="text1"/>
                <w:sz w:val="18"/>
                <w:szCs w:val="18"/>
                <w14:textFill>
                  <w14:solidFill>
                    <w14:schemeClr w14:val="tx1"/>
                  </w14:solidFill>
                </w14:textFill>
              </w:rPr>
            </w:pPr>
          </w:p>
        </w:tc>
        <w:tc>
          <w:tcPr>
            <w:tcW w:w="802" w:type="pct"/>
            <w:vMerge w:val="continue"/>
            <w:shd w:val="clear" w:color="auto" w:fill="FFFFFF"/>
            <w:vAlign w:val="center"/>
          </w:tcPr>
          <w:p w14:paraId="36E59B16">
            <w:pPr>
              <w:jc w:val="center"/>
              <w:rPr>
                <w:rFonts w:ascii="Times New Roman" w:hAnsi="Times New Roman"/>
                <w:color w:val="000000" w:themeColor="text1"/>
                <w:sz w:val="18"/>
                <w:szCs w:val="18"/>
                <w14:textFill>
                  <w14:solidFill>
                    <w14:schemeClr w14:val="tx1"/>
                  </w14:solidFill>
                </w14:textFill>
              </w:rPr>
            </w:pPr>
          </w:p>
        </w:tc>
        <w:tc>
          <w:tcPr>
            <w:tcW w:w="641" w:type="pct"/>
            <w:vMerge w:val="continue"/>
            <w:shd w:val="clear" w:color="auto" w:fill="FFFFFF"/>
            <w:vAlign w:val="center"/>
          </w:tcPr>
          <w:p w14:paraId="217B6C84">
            <w:pPr>
              <w:jc w:val="center"/>
              <w:rPr>
                <w:rFonts w:ascii="Times New Roman" w:hAnsi="Times New Roman"/>
                <w:color w:val="000000" w:themeColor="text1"/>
                <w:sz w:val="18"/>
                <w:szCs w:val="18"/>
                <w14:textFill>
                  <w14:solidFill>
                    <w14:schemeClr w14:val="tx1"/>
                  </w14:solidFill>
                </w14:textFill>
              </w:rPr>
            </w:pPr>
          </w:p>
        </w:tc>
        <w:tc>
          <w:tcPr>
            <w:tcW w:w="970" w:type="pct"/>
            <w:vMerge w:val="continue"/>
            <w:shd w:val="clear" w:color="auto" w:fill="FFFFFF"/>
            <w:vAlign w:val="center"/>
          </w:tcPr>
          <w:p w14:paraId="16FECF69">
            <w:pPr>
              <w:jc w:val="center"/>
              <w:rPr>
                <w:rFonts w:ascii="Times New Roman" w:hAnsi="Times New Roman"/>
                <w:color w:val="000000" w:themeColor="text1"/>
                <w:sz w:val="18"/>
                <w:szCs w:val="18"/>
                <w14:textFill>
                  <w14:solidFill>
                    <w14:schemeClr w14:val="tx1"/>
                  </w14:solidFill>
                </w14:textFill>
              </w:rPr>
            </w:pPr>
          </w:p>
        </w:tc>
      </w:tr>
      <w:tr w14:paraId="6A60C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3" w:type="pct"/>
            <w:shd w:val="clear" w:color="auto" w:fill="FFFFFF"/>
            <w:vAlign w:val="center"/>
          </w:tcPr>
          <w:p w14:paraId="4A55254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553" w:type="pct"/>
            <w:shd w:val="clear" w:color="auto" w:fill="FFFFFF"/>
            <w:vAlign w:val="center"/>
          </w:tcPr>
          <w:p w14:paraId="3F8301A2">
            <w:pPr>
              <w:jc w:val="center"/>
              <w:rPr>
                <w:rFonts w:ascii="Times New Roman" w:hAnsi="Times New Roman"/>
                <w:color w:val="000000" w:themeColor="text1"/>
                <w:sz w:val="18"/>
                <w:szCs w:val="18"/>
                <w14:textFill>
                  <w14:solidFill>
                    <w14:schemeClr w14:val="tx1"/>
                  </w14:solidFill>
                </w14:textFill>
              </w:rPr>
            </w:pPr>
          </w:p>
        </w:tc>
        <w:tc>
          <w:tcPr>
            <w:tcW w:w="537" w:type="pct"/>
            <w:shd w:val="clear" w:color="auto" w:fill="FFFFFF"/>
            <w:vAlign w:val="center"/>
          </w:tcPr>
          <w:p w14:paraId="1FE28795">
            <w:pPr>
              <w:jc w:val="center"/>
              <w:rPr>
                <w:rFonts w:ascii="Times New Roman" w:hAnsi="Times New Roman"/>
                <w:color w:val="000000" w:themeColor="text1"/>
                <w:sz w:val="18"/>
                <w:szCs w:val="18"/>
                <w14:textFill>
                  <w14:solidFill>
                    <w14:schemeClr w14:val="tx1"/>
                  </w14:solidFill>
                </w14:textFill>
              </w:rPr>
            </w:pPr>
          </w:p>
        </w:tc>
        <w:tc>
          <w:tcPr>
            <w:tcW w:w="862" w:type="pct"/>
            <w:shd w:val="clear" w:color="auto" w:fill="FFFFFF"/>
            <w:vAlign w:val="center"/>
          </w:tcPr>
          <w:p w14:paraId="50782FE7">
            <w:pPr>
              <w:jc w:val="center"/>
              <w:rPr>
                <w:rFonts w:ascii="Times New Roman" w:hAnsi="Times New Roman"/>
                <w:color w:val="000000" w:themeColor="text1"/>
                <w:sz w:val="18"/>
                <w:szCs w:val="18"/>
                <w14:textFill>
                  <w14:solidFill>
                    <w14:schemeClr w14:val="tx1"/>
                  </w14:solidFill>
                </w14:textFill>
              </w:rPr>
            </w:pPr>
          </w:p>
        </w:tc>
        <w:tc>
          <w:tcPr>
            <w:tcW w:w="802" w:type="pct"/>
            <w:shd w:val="clear" w:color="auto" w:fill="FFFFFF"/>
            <w:vAlign w:val="center"/>
          </w:tcPr>
          <w:p w14:paraId="2DD2836A">
            <w:pPr>
              <w:jc w:val="center"/>
              <w:rPr>
                <w:rFonts w:ascii="Times New Roman" w:hAnsi="Times New Roman"/>
                <w:color w:val="000000" w:themeColor="text1"/>
                <w:sz w:val="18"/>
                <w:szCs w:val="18"/>
                <w14:textFill>
                  <w14:solidFill>
                    <w14:schemeClr w14:val="tx1"/>
                  </w14:solidFill>
                </w14:textFill>
              </w:rPr>
            </w:pPr>
          </w:p>
        </w:tc>
        <w:tc>
          <w:tcPr>
            <w:tcW w:w="641" w:type="pct"/>
            <w:shd w:val="clear" w:color="auto" w:fill="FFFFFF"/>
            <w:vAlign w:val="center"/>
          </w:tcPr>
          <w:p w14:paraId="000852D4">
            <w:pPr>
              <w:jc w:val="center"/>
              <w:rPr>
                <w:rFonts w:ascii="Times New Roman" w:hAnsi="Times New Roman"/>
                <w:color w:val="000000" w:themeColor="text1"/>
                <w:sz w:val="18"/>
                <w:szCs w:val="18"/>
                <w14:textFill>
                  <w14:solidFill>
                    <w14:schemeClr w14:val="tx1"/>
                  </w14:solidFill>
                </w14:textFill>
              </w:rPr>
            </w:pPr>
          </w:p>
        </w:tc>
        <w:tc>
          <w:tcPr>
            <w:tcW w:w="970" w:type="pct"/>
            <w:shd w:val="clear" w:color="auto" w:fill="FFFFFF"/>
            <w:vAlign w:val="center"/>
          </w:tcPr>
          <w:p w14:paraId="5A5E2FE8">
            <w:pPr>
              <w:jc w:val="center"/>
              <w:rPr>
                <w:rFonts w:ascii="Times New Roman" w:hAnsi="Times New Roman"/>
                <w:color w:val="000000" w:themeColor="text1"/>
                <w:sz w:val="18"/>
                <w:szCs w:val="18"/>
                <w14:textFill>
                  <w14:solidFill>
                    <w14:schemeClr w14:val="tx1"/>
                  </w14:solidFill>
                </w14:textFill>
              </w:rPr>
            </w:pPr>
          </w:p>
        </w:tc>
      </w:tr>
      <w:tr w14:paraId="2DC0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33" w:type="pct"/>
            <w:shd w:val="clear" w:color="auto" w:fill="FFFFFF"/>
            <w:vAlign w:val="center"/>
          </w:tcPr>
          <w:p w14:paraId="1EB9408F">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kern w:val="0"/>
                <w:sz w:val="18"/>
                <w:szCs w:val="18"/>
                <w14:textFill>
                  <w14:solidFill>
                    <w14:schemeClr w14:val="tx1"/>
                  </w14:solidFill>
                </w14:textFill>
              </w:rPr>
              <w:t>…</w:t>
            </w:r>
          </w:p>
        </w:tc>
        <w:tc>
          <w:tcPr>
            <w:tcW w:w="553" w:type="pct"/>
            <w:shd w:val="clear" w:color="auto" w:fill="FFFFFF"/>
            <w:vAlign w:val="center"/>
          </w:tcPr>
          <w:p w14:paraId="43EE6E3D">
            <w:pPr>
              <w:jc w:val="center"/>
              <w:rPr>
                <w:rFonts w:ascii="Times New Roman" w:hAnsi="Times New Roman"/>
                <w:color w:val="000000" w:themeColor="text1"/>
                <w:sz w:val="18"/>
                <w:szCs w:val="18"/>
                <w14:textFill>
                  <w14:solidFill>
                    <w14:schemeClr w14:val="tx1"/>
                  </w14:solidFill>
                </w14:textFill>
              </w:rPr>
            </w:pPr>
          </w:p>
        </w:tc>
        <w:tc>
          <w:tcPr>
            <w:tcW w:w="537" w:type="pct"/>
            <w:shd w:val="clear" w:color="auto" w:fill="FFFFFF"/>
            <w:vAlign w:val="center"/>
          </w:tcPr>
          <w:p w14:paraId="2D07EE28">
            <w:pPr>
              <w:jc w:val="center"/>
              <w:rPr>
                <w:rFonts w:ascii="Times New Roman" w:hAnsi="Times New Roman"/>
                <w:color w:val="000000" w:themeColor="text1"/>
                <w:sz w:val="18"/>
                <w:szCs w:val="18"/>
                <w14:textFill>
                  <w14:solidFill>
                    <w14:schemeClr w14:val="tx1"/>
                  </w14:solidFill>
                </w14:textFill>
              </w:rPr>
            </w:pPr>
          </w:p>
        </w:tc>
        <w:tc>
          <w:tcPr>
            <w:tcW w:w="862" w:type="pct"/>
            <w:shd w:val="clear" w:color="auto" w:fill="FFFFFF"/>
            <w:vAlign w:val="center"/>
          </w:tcPr>
          <w:p w14:paraId="24483FC3">
            <w:pPr>
              <w:jc w:val="center"/>
              <w:rPr>
                <w:rFonts w:ascii="Times New Roman" w:hAnsi="Times New Roman"/>
                <w:color w:val="000000" w:themeColor="text1"/>
                <w:sz w:val="18"/>
                <w:szCs w:val="18"/>
                <w14:textFill>
                  <w14:solidFill>
                    <w14:schemeClr w14:val="tx1"/>
                  </w14:solidFill>
                </w14:textFill>
              </w:rPr>
            </w:pPr>
          </w:p>
        </w:tc>
        <w:tc>
          <w:tcPr>
            <w:tcW w:w="802" w:type="pct"/>
            <w:shd w:val="clear" w:color="auto" w:fill="FFFFFF"/>
            <w:vAlign w:val="center"/>
          </w:tcPr>
          <w:p w14:paraId="02C2DD68">
            <w:pPr>
              <w:jc w:val="center"/>
              <w:rPr>
                <w:rFonts w:ascii="Times New Roman" w:hAnsi="Times New Roman"/>
                <w:color w:val="000000" w:themeColor="text1"/>
                <w:sz w:val="18"/>
                <w:szCs w:val="18"/>
                <w14:textFill>
                  <w14:solidFill>
                    <w14:schemeClr w14:val="tx1"/>
                  </w14:solidFill>
                </w14:textFill>
              </w:rPr>
            </w:pPr>
          </w:p>
        </w:tc>
        <w:tc>
          <w:tcPr>
            <w:tcW w:w="641" w:type="pct"/>
            <w:shd w:val="clear" w:color="auto" w:fill="FFFFFF"/>
            <w:vAlign w:val="center"/>
          </w:tcPr>
          <w:p w14:paraId="08B48FCA">
            <w:pPr>
              <w:jc w:val="center"/>
              <w:rPr>
                <w:rFonts w:ascii="Times New Roman" w:hAnsi="Times New Roman"/>
                <w:color w:val="000000" w:themeColor="text1"/>
                <w:sz w:val="18"/>
                <w:szCs w:val="18"/>
                <w14:textFill>
                  <w14:solidFill>
                    <w14:schemeClr w14:val="tx1"/>
                  </w14:solidFill>
                </w14:textFill>
              </w:rPr>
            </w:pPr>
          </w:p>
        </w:tc>
        <w:tc>
          <w:tcPr>
            <w:tcW w:w="970" w:type="pct"/>
            <w:shd w:val="clear" w:color="auto" w:fill="FFFFFF"/>
            <w:vAlign w:val="center"/>
          </w:tcPr>
          <w:p w14:paraId="11FCE3EC">
            <w:pPr>
              <w:jc w:val="center"/>
              <w:rPr>
                <w:rFonts w:ascii="Times New Roman" w:hAnsi="Times New Roman"/>
                <w:color w:val="000000" w:themeColor="text1"/>
                <w:sz w:val="18"/>
                <w:szCs w:val="18"/>
                <w14:textFill>
                  <w14:solidFill>
                    <w14:schemeClr w14:val="tx1"/>
                  </w14:solidFill>
                </w14:textFill>
              </w:rPr>
            </w:pPr>
          </w:p>
        </w:tc>
      </w:tr>
      <w:tr w14:paraId="51C5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7"/>
            <w:shd w:val="clear" w:color="auto" w:fill="FFFFFF"/>
            <w:vAlign w:val="center"/>
          </w:tcPr>
          <w:p w14:paraId="4EF96C85">
            <w:pPr>
              <w:pStyle w:val="251"/>
              <w:ind w:firstLine="0" w:firstLineChars="0"/>
              <w:rPr>
                <w:rFonts w:ascii="Times New Roman"/>
                <w:color w:val="000000" w:themeColor="text1"/>
                <w:sz w:val="18"/>
                <w:szCs w:val="18"/>
                <w14:textFill>
                  <w14:solidFill>
                    <w14:schemeClr w14:val="tx1"/>
                  </w14:solidFill>
                </w14:textFill>
              </w:rPr>
            </w:pPr>
            <w:r>
              <w:rPr>
                <w:rFonts w:ascii="Times New Roman"/>
                <w:color w:val="000000" w:themeColor="text1"/>
                <w:sz w:val="18"/>
                <w:szCs w:val="18"/>
                <w14:textFill>
                  <w14:solidFill>
                    <w14:schemeClr w14:val="tx1"/>
                  </w14:solidFill>
                </w14:textFill>
              </w:rPr>
              <w:t>注1：说明</w:t>
            </w:r>
            <w:r>
              <w:rPr>
                <w:rFonts w:ascii="Times New Roman"/>
                <w:snapToGrid w:val="0"/>
                <w:color w:val="000000" w:themeColor="text1"/>
                <w:sz w:val="18"/>
                <w:szCs w:val="18"/>
                <w14:textFill>
                  <w14:solidFill>
                    <w14:schemeClr w14:val="tx1"/>
                  </w14:solidFill>
                </w14:textFill>
              </w:rPr>
              <w:t>装置/</w:t>
            </w:r>
            <w:r>
              <w:rPr>
                <w:rFonts w:ascii="Times New Roman"/>
                <w:color w:val="000000" w:themeColor="text1"/>
                <w:sz w:val="18"/>
                <w:szCs w:val="18"/>
                <w14:textFill>
                  <w14:solidFill>
                    <w14:schemeClr w14:val="tx1"/>
                  </w14:solidFill>
                </w14:textFill>
              </w:rPr>
              <w:t>设施的火灾危险性或属于站场重要设施还是辅助生产设施。</w:t>
            </w:r>
          </w:p>
        </w:tc>
      </w:tr>
    </w:tbl>
    <w:p w14:paraId="0F80A59F">
      <w:pPr>
        <w:pStyle w:val="97"/>
        <w:spacing w:before="120" w:after="120"/>
      </w:pPr>
      <w:r>
        <w:t>安全阀、BDV设定值表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1273"/>
        <w:gridCol w:w="1259"/>
        <w:gridCol w:w="915"/>
        <w:gridCol w:w="2515"/>
        <w:gridCol w:w="2515"/>
      </w:tblGrid>
      <w:tr w14:paraId="587B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571" w:type="pct"/>
            <w:vAlign w:val="center"/>
          </w:tcPr>
          <w:p w14:paraId="555E710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665" w:type="pct"/>
            <w:vAlign w:val="center"/>
          </w:tcPr>
          <w:p w14:paraId="23239A4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压力等级</w:t>
            </w:r>
          </w:p>
          <w:p w14:paraId="27E1484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MPa</w:t>
            </w:r>
          </w:p>
        </w:tc>
        <w:tc>
          <w:tcPr>
            <w:tcW w:w="658" w:type="pct"/>
            <w:vAlign w:val="center"/>
          </w:tcPr>
          <w:p w14:paraId="089E2954">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阀门口径</w:t>
            </w:r>
          </w:p>
          <w:p w14:paraId="36A44013">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mm</w:t>
            </w:r>
          </w:p>
        </w:tc>
        <w:tc>
          <w:tcPr>
            <w:tcW w:w="478" w:type="pct"/>
            <w:vAlign w:val="center"/>
          </w:tcPr>
          <w:p w14:paraId="563AFA75">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数量</w:t>
            </w:r>
          </w:p>
          <w:p w14:paraId="2FA74760">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个</w:t>
            </w:r>
          </w:p>
        </w:tc>
        <w:tc>
          <w:tcPr>
            <w:tcW w:w="1314" w:type="pct"/>
            <w:vAlign w:val="center"/>
          </w:tcPr>
          <w:p w14:paraId="3F6A04CB">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设定压力</w:t>
            </w:r>
          </w:p>
          <w:p w14:paraId="6146AE3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MPa</w:t>
            </w:r>
          </w:p>
        </w:tc>
        <w:tc>
          <w:tcPr>
            <w:tcW w:w="1314" w:type="pct"/>
            <w:vAlign w:val="center"/>
          </w:tcPr>
          <w:p w14:paraId="6F9594D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安装位置</w:t>
            </w:r>
          </w:p>
        </w:tc>
      </w:tr>
      <w:tr w14:paraId="6C5D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571" w:type="pct"/>
            <w:vAlign w:val="center"/>
          </w:tcPr>
          <w:p w14:paraId="06DE6CCA">
            <w:pPr>
              <w:snapToGrid w:val="0"/>
              <w:jc w:val="center"/>
              <w:rPr>
                <w:rFonts w:ascii="Times New Roman" w:hAnsi="Times New Roman"/>
                <w:snapToGrid w:val="0"/>
                <w:color w:val="000000" w:themeColor="text1"/>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665" w:type="pct"/>
            <w:vAlign w:val="center"/>
          </w:tcPr>
          <w:p w14:paraId="1E002BF2">
            <w:pPr>
              <w:snapToGrid w:val="0"/>
              <w:jc w:val="center"/>
              <w:rPr>
                <w:rFonts w:ascii="Times New Roman" w:hAnsi="Times New Roman"/>
                <w:snapToGrid w:val="0"/>
                <w:color w:val="000000" w:themeColor="text1"/>
                <w14:textFill>
                  <w14:solidFill>
                    <w14:schemeClr w14:val="tx1"/>
                  </w14:solidFill>
                </w14:textFill>
              </w:rPr>
            </w:pPr>
          </w:p>
        </w:tc>
        <w:tc>
          <w:tcPr>
            <w:tcW w:w="658" w:type="pct"/>
            <w:vAlign w:val="center"/>
          </w:tcPr>
          <w:p w14:paraId="07A29CFD">
            <w:pPr>
              <w:snapToGrid w:val="0"/>
              <w:jc w:val="center"/>
              <w:rPr>
                <w:rFonts w:ascii="Times New Roman" w:hAnsi="Times New Roman"/>
                <w:snapToGrid w:val="0"/>
                <w:color w:val="000000" w:themeColor="text1"/>
                <w14:textFill>
                  <w14:solidFill>
                    <w14:schemeClr w14:val="tx1"/>
                  </w14:solidFill>
                </w14:textFill>
              </w:rPr>
            </w:pPr>
          </w:p>
        </w:tc>
        <w:tc>
          <w:tcPr>
            <w:tcW w:w="478" w:type="pct"/>
            <w:vAlign w:val="center"/>
          </w:tcPr>
          <w:p w14:paraId="046D40A0">
            <w:pPr>
              <w:snapToGrid w:val="0"/>
              <w:jc w:val="center"/>
              <w:rPr>
                <w:rFonts w:ascii="Times New Roman" w:hAnsi="Times New Roman"/>
                <w:snapToGrid w:val="0"/>
                <w:color w:val="000000" w:themeColor="text1"/>
                <w14:textFill>
                  <w14:solidFill>
                    <w14:schemeClr w14:val="tx1"/>
                  </w14:solidFill>
                </w14:textFill>
              </w:rPr>
            </w:pPr>
          </w:p>
        </w:tc>
        <w:tc>
          <w:tcPr>
            <w:tcW w:w="1314" w:type="pct"/>
            <w:vAlign w:val="center"/>
          </w:tcPr>
          <w:p w14:paraId="6E54DBC4">
            <w:pPr>
              <w:snapToGrid w:val="0"/>
              <w:jc w:val="center"/>
              <w:rPr>
                <w:rFonts w:ascii="Times New Roman" w:hAnsi="Times New Roman"/>
                <w:snapToGrid w:val="0"/>
                <w:color w:val="000000" w:themeColor="text1"/>
                <w14:textFill>
                  <w14:solidFill>
                    <w14:schemeClr w14:val="tx1"/>
                  </w14:solidFill>
                </w14:textFill>
              </w:rPr>
            </w:pPr>
          </w:p>
        </w:tc>
        <w:tc>
          <w:tcPr>
            <w:tcW w:w="1314" w:type="pct"/>
            <w:vAlign w:val="center"/>
          </w:tcPr>
          <w:p w14:paraId="487FDD66">
            <w:pPr>
              <w:snapToGrid w:val="0"/>
              <w:jc w:val="center"/>
              <w:rPr>
                <w:rFonts w:ascii="Times New Roman" w:hAnsi="Times New Roman"/>
                <w:snapToGrid w:val="0"/>
                <w:color w:val="000000" w:themeColor="text1"/>
                <w14:textFill>
                  <w14:solidFill>
                    <w14:schemeClr w14:val="tx1"/>
                  </w14:solidFill>
                </w14:textFill>
              </w:rPr>
            </w:pPr>
          </w:p>
        </w:tc>
      </w:tr>
      <w:tr w14:paraId="683C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571" w:type="pct"/>
            <w:vAlign w:val="center"/>
          </w:tcPr>
          <w:p w14:paraId="54719F59">
            <w:pPr>
              <w:snapToGrid w:val="0"/>
              <w:jc w:val="center"/>
              <w:rPr>
                <w:rFonts w:ascii="Times New Roman" w:hAnsi="Times New Roman"/>
                <w:snapToGrid w:val="0"/>
                <w:color w:val="000000" w:themeColor="text1"/>
                <w14:textFill>
                  <w14:solidFill>
                    <w14:schemeClr w14:val="tx1"/>
                  </w14:solidFill>
                </w14:textFill>
              </w:rPr>
            </w:pPr>
            <w:r>
              <w:rPr>
                <w:rFonts w:ascii="Times New Roman" w:hAnsi="Times New Roman"/>
                <w:snapToGrid w:val="0"/>
                <w:color w:val="000000" w:themeColor="text1"/>
                <w14:textFill>
                  <w14:solidFill>
                    <w14:schemeClr w14:val="tx1"/>
                  </w14:solidFill>
                </w14:textFill>
              </w:rPr>
              <w:t>...</w:t>
            </w:r>
          </w:p>
        </w:tc>
        <w:tc>
          <w:tcPr>
            <w:tcW w:w="665" w:type="pct"/>
            <w:vAlign w:val="center"/>
          </w:tcPr>
          <w:p w14:paraId="25FB05C1">
            <w:pPr>
              <w:snapToGrid w:val="0"/>
              <w:jc w:val="center"/>
              <w:rPr>
                <w:rFonts w:ascii="Times New Roman" w:hAnsi="Times New Roman"/>
                <w:snapToGrid w:val="0"/>
                <w:color w:val="000000" w:themeColor="text1"/>
                <w14:textFill>
                  <w14:solidFill>
                    <w14:schemeClr w14:val="tx1"/>
                  </w14:solidFill>
                </w14:textFill>
              </w:rPr>
            </w:pPr>
          </w:p>
        </w:tc>
        <w:tc>
          <w:tcPr>
            <w:tcW w:w="658" w:type="pct"/>
            <w:vAlign w:val="center"/>
          </w:tcPr>
          <w:p w14:paraId="2A189096">
            <w:pPr>
              <w:snapToGrid w:val="0"/>
              <w:jc w:val="center"/>
              <w:rPr>
                <w:rFonts w:ascii="Times New Roman" w:hAnsi="Times New Roman"/>
                <w:snapToGrid w:val="0"/>
                <w:color w:val="000000" w:themeColor="text1"/>
                <w14:textFill>
                  <w14:solidFill>
                    <w14:schemeClr w14:val="tx1"/>
                  </w14:solidFill>
                </w14:textFill>
              </w:rPr>
            </w:pPr>
          </w:p>
        </w:tc>
        <w:tc>
          <w:tcPr>
            <w:tcW w:w="478" w:type="pct"/>
            <w:vAlign w:val="center"/>
          </w:tcPr>
          <w:p w14:paraId="0B6F8B4F">
            <w:pPr>
              <w:snapToGrid w:val="0"/>
              <w:jc w:val="center"/>
              <w:rPr>
                <w:rFonts w:ascii="Times New Roman" w:hAnsi="Times New Roman"/>
                <w:snapToGrid w:val="0"/>
                <w:color w:val="000000" w:themeColor="text1"/>
                <w14:textFill>
                  <w14:solidFill>
                    <w14:schemeClr w14:val="tx1"/>
                  </w14:solidFill>
                </w14:textFill>
              </w:rPr>
            </w:pPr>
          </w:p>
        </w:tc>
        <w:tc>
          <w:tcPr>
            <w:tcW w:w="1314" w:type="pct"/>
            <w:vAlign w:val="center"/>
          </w:tcPr>
          <w:p w14:paraId="51400DBF">
            <w:pPr>
              <w:snapToGrid w:val="0"/>
              <w:jc w:val="center"/>
              <w:rPr>
                <w:rFonts w:ascii="Times New Roman" w:hAnsi="Times New Roman"/>
                <w:snapToGrid w:val="0"/>
                <w:color w:val="000000" w:themeColor="text1"/>
                <w14:textFill>
                  <w14:solidFill>
                    <w14:schemeClr w14:val="tx1"/>
                  </w14:solidFill>
                </w14:textFill>
              </w:rPr>
            </w:pPr>
          </w:p>
        </w:tc>
        <w:tc>
          <w:tcPr>
            <w:tcW w:w="1314" w:type="pct"/>
            <w:vAlign w:val="center"/>
          </w:tcPr>
          <w:p w14:paraId="215C2D22">
            <w:pPr>
              <w:snapToGrid w:val="0"/>
              <w:jc w:val="center"/>
              <w:rPr>
                <w:rFonts w:ascii="Times New Roman" w:hAnsi="Times New Roman"/>
                <w:snapToGrid w:val="0"/>
                <w:color w:val="000000" w:themeColor="text1"/>
                <w14:textFill>
                  <w14:solidFill>
                    <w14:schemeClr w14:val="tx1"/>
                  </w14:solidFill>
                </w14:textFill>
              </w:rPr>
            </w:pPr>
          </w:p>
        </w:tc>
      </w:tr>
    </w:tbl>
    <w:p w14:paraId="68DEADD8">
      <w:pPr>
        <w:pStyle w:val="97"/>
        <w:spacing w:before="120" w:after="120"/>
      </w:pPr>
      <w:r>
        <w:t>HAZOP分析结果落实情况</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4622"/>
        <w:gridCol w:w="961"/>
        <w:gridCol w:w="3244"/>
      </w:tblGrid>
      <w:tr w14:paraId="00D6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blHeader/>
        </w:trPr>
        <w:tc>
          <w:tcPr>
            <w:tcW w:w="388" w:type="pct"/>
            <w:vAlign w:val="center"/>
          </w:tcPr>
          <w:p w14:paraId="41C038F2">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2415" w:type="pct"/>
            <w:vAlign w:val="center"/>
          </w:tcPr>
          <w:p w14:paraId="065570F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建议内容</w:t>
            </w:r>
          </w:p>
        </w:tc>
        <w:tc>
          <w:tcPr>
            <w:tcW w:w="502" w:type="pct"/>
            <w:vAlign w:val="center"/>
          </w:tcPr>
          <w:p w14:paraId="16DB4711">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是否采纳</w:t>
            </w:r>
          </w:p>
        </w:tc>
        <w:tc>
          <w:tcPr>
            <w:tcW w:w="1695" w:type="pct"/>
            <w:vAlign w:val="center"/>
          </w:tcPr>
          <w:p w14:paraId="75420567">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落实情况</w:t>
            </w:r>
          </w:p>
        </w:tc>
      </w:tr>
      <w:tr w14:paraId="251F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8" w:type="pct"/>
            <w:vAlign w:val="center"/>
          </w:tcPr>
          <w:p w14:paraId="36E440A6">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1</w:t>
            </w:r>
          </w:p>
        </w:tc>
        <w:tc>
          <w:tcPr>
            <w:tcW w:w="2415" w:type="pct"/>
            <w:vAlign w:val="center"/>
          </w:tcPr>
          <w:p w14:paraId="6D90FAAB">
            <w:pPr>
              <w:jc w:val="center"/>
              <w:rPr>
                <w:rFonts w:ascii="Times New Roman" w:hAnsi="Times New Roman"/>
                <w:color w:val="000000" w:themeColor="text1"/>
                <w:sz w:val="18"/>
                <w:szCs w:val="18"/>
                <w14:textFill>
                  <w14:solidFill>
                    <w14:schemeClr w14:val="tx1"/>
                  </w14:solidFill>
                </w14:textFill>
              </w:rPr>
            </w:pPr>
          </w:p>
        </w:tc>
        <w:tc>
          <w:tcPr>
            <w:tcW w:w="502" w:type="pct"/>
            <w:vAlign w:val="center"/>
          </w:tcPr>
          <w:p w14:paraId="6DED59AB">
            <w:pPr>
              <w:jc w:val="center"/>
              <w:rPr>
                <w:rFonts w:ascii="Times New Roman" w:hAnsi="Times New Roman"/>
                <w:color w:val="000000" w:themeColor="text1"/>
                <w:sz w:val="18"/>
                <w:szCs w:val="18"/>
                <w14:textFill>
                  <w14:solidFill>
                    <w14:schemeClr w14:val="tx1"/>
                  </w14:solidFill>
                </w14:textFill>
              </w:rPr>
            </w:pPr>
          </w:p>
        </w:tc>
        <w:tc>
          <w:tcPr>
            <w:tcW w:w="1695" w:type="pct"/>
            <w:vAlign w:val="center"/>
          </w:tcPr>
          <w:p w14:paraId="4595F686">
            <w:pPr>
              <w:jc w:val="center"/>
              <w:rPr>
                <w:rFonts w:ascii="Times New Roman" w:hAnsi="Times New Roman"/>
                <w:color w:val="000000" w:themeColor="text1"/>
                <w:sz w:val="18"/>
                <w:szCs w:val="18"/>
                <w14:textFill>
                  <w14:solidFill>
                    <w14:schemeClr w14:val="tx1"/>
                  </w14:solidFill>
                </w14:textFill>
              </w:rPr>
            </w:pPr>
          </w:p>
        </w:tc>
      </w:tr>
      <w:tr w14:paraId="609C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8" w:type="pct"/>
            <w:vAlign w:val="center"/>
          </w:tcPr>
          <w:p w14:paraId="3B06F02A">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2415" w:type="pct"/>
            <w:vAlign w:val="center"/>
          </w:tcPr>
          <w:p w14:paraId="14384B5C">
            <w:pPr>
              <w:jc w:val="center"/>
              <w:rPr>
                <w:rFonts w:ascii="Times New Roman" w:hAnsi="Times New Roman"/>
                <w:color w:val="000000" w:themeColor="text1"/>
                <w:sz w:val="18"/>
                <w:szCs w:val="18"/>
                <w14:textFill>
                  <w14:solidFill>
                    <w14:schemeClr w14:val="tx1"/>
                  </w14:solidFill>
                </w14:textFill>
              </w:rPr>
            </w:pPr>
          </w:p>
        </w:tc>
        <w:tc>
          <w:tcPr>
            <w:tcW w:w="502" w:type="pct"/>
            <w:vAlign w:val="center"/>
          </w:tcPr>
          <w:p w14:paraId="4EAFC291">
            <w:pPr>
              <w:jc w:val="center"/>
              <w:rPr>
                <w:rFonts w:ascii="Times New Roman" w:hAnsi="Times New Roman"/>
                <w:color w:val="000000" w:themeColor="text1"/>
                <w:sz w:val="18"/>
                <w:szCs w:val="18"/>
                <w14:textFill>
                  <w14:solidFill>
                    <w14:schemeClr w14:val="tx1"/>
                  </w14:solidFill>
                </w14:textFill>
              </w:rPr>
            </w:pPr>
          </w:p>
        </w:tc>
        <w:tc>
          <w:tcPr>
            <w:tcW w:w="1695" w:type="pct"/>
            <w:vAlign w:val="center"/>
          </w:tcPr>
          <w:p w14:paraId="47C80CB7">
            <w:pPr>
              <w:jc w:val="center"/>
              <w:rPr>
                <w:rFonts w:ascii="Times New Roman" w:hAnsi="Times New Roman"/>
                <w:color w:val="000000" w:themeColor="text1"/>
                <w:sz w:val="18"/>
                <w:szCs w:val="18"/>
                <w14:textFill>
                  <w14:solidFill>
                    <w14:schemeClr w14:val="tx1"/>
                  </w14:solidFill>
                </w14:textFill>
              </w:rPr>
            </w:pPr>
          </w:p>
        </w:tc>
      </w:tr>
    </w:tbl>
    <w:p w14:paraId="76817923">
      <w:pPr>
        <w:pStyle w:val="97"/>
        <w:spacing w:before="120" w:after="120"/>
      </w:pPr>
      <w:r>
        <w:t>穿（跨）越统计表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590"/>
        <w:gridCol w:w="2126"/>
        <w:gridCol w:w="1981"/>
        <w:gridCol w:w="1872"/>
      </w:tblGrid>
      <w:tr w14:paraId="0D7C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523" w:type="pct"/>
            <w:vAlign w:val="center"/>
          </w:tcPr>
          <w:p w14:paraId="60111F4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序号</w:t>
            </w:r>
          </w:p>
        </w:tc>
        <w:tc>
          <w:tcPr>
            <w:tcW w:w="1353" w:type="pct"/>
            <w:vAlign w:val="center"/>
          </w:tcPr>
          <w:p w14:paraId="0BEB139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名称</w:t>
            </w:r>
          </w:p>
        </w:tc>
        <w:tc>
          <w:tcPr>
            <w:tcW w:w="1111" w:type="pct"/>
            <w:vAlign w:val="center"/>
          </w:tcPr>
          <w:p w14:paraId="545C0F7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穿（跨）越方式</w:t>
            </w:r>
          </w:p>
        </w:tc>
        <w:tc>
          <w:tcPr>
            <w:tcW w:w="1035" w:type="pct"/>
            <w:vAlign w:val="center"/>
          </w:tcPr>
          <w:p w14:paraId="6AC9AF6D">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长度</w:t>
            </w:r>
          </w:p>
          <w:p w14:paraId="565BE41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c>
          <w:tcPr>
            <w:tcW w:w="979" w:type="pct"/>
            <w:vAlign w:val="center"/>
          </w:tcPr>
          <w:p w14:paraId="1E49BA4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地理位置</w:t>
            </w:r>
          </w:p>
        </w:tc>
      </w:tr>
      <w:tr w14:paraId="2CE4A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010832D5">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1353" w:type="pct"/>
            <w:vAlign w:val="center"/>
          </w:tcPr>
          <w:p w14:paraId="3292D8D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XX山岭穿越</w:t>
            </w:r>
          </w:p>
        </w:tc>
        <w:tc>
          <w:tcPr>
            <w:tcW w:w="1111" w:type="pct"/>
            <w:vAlign w:val="center"/>
          </w:tcPr>
          <w:p w14:paraId="46948FAF">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4C591609">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10AF372E">
            <w:pPr>
              <w:rPr>
                <w:rFonts w:ascii="Times New Roman" w:hAnsi="Times New Roman"/>
                <w:sz w:val="18"/>
                <w:szCs w:val="18"/>
              </w:rPr>
            </w:pPr>
          </w:p>
        </w:tc>
      </w:tr>
      <w:tr w14:paraId="126C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5ACF4900">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1353" w:type="pct"/>
            <w:vAlign w:val="center"/>
          </w:tcPr>
          <w:p w14:paraId="5D307192">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XX河流穿（跨）越</w:t>
            </w:r>
          </w:p>
        </w:tc>
        <w:tc>
          <w:tcPr>
            <w:tcW w:w="1111" w:type="pct"/>
            <w:vAlign w:val="center"/>
          </w:tcPr>
          <w:p w14:paraId="2681CF73">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5D002759">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69F2607D">
            <w:pPr>
              <w:rPr>
                <w:rFonts w:ascii="Times New Roman" w:hAnsi="Times New Roman"/>
                <w:sz w:val="18"/>
                <w:szCs w:val="18"/>
              </w:rPr>
            </w:pPr>
          </w:p>
        </w:tc>
      </w:tr>
      <w:tr w14:paraId="484D3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69C8FCA8">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3</w:t>
            </w:r>
          </w:p>
        </w:tc>
        <w:tc>
          <w:tcPr>
            <w:tcW w:w="1353" w:type="pct"/>
            <w:vAlign w:val="center"/>
          </w:tcPr>
          <w:p w14:paraId="5E91A1D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XX铁路穿越</w:t>
            </w:r>
          </w:p>
        </w:tc>
        <w:tc>
          <w:tcPr>
            <w:tcW w:w="1111" w:type="pct"/>
            <w:vAlign w:val="center"/>
          </w:tcPr>
          <w:p w14:paraId="13FB2CD2">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25F33B19">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7F2EFA81">
            <w:pPr>
              <w:rPr>
                <w:rFonts w:ascii="Times New Roman" w:hAnsi="Times New Roman"/>
                <w:sz w:val="18"/>
                <w:szCs w:val="18"/>
              </w:rPr>
            </w:pPr>
          </w:p>
        </w:tc>
      </w:tr>
      <w:tr w14:paraId="5AAE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5472F6D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4</w:t>
            </w:r>
          </w:p>
        </w:tc>
        <w:tc>
          <w:tcPr>
            <w:tcW w:w="1353" w:type="pct"/>
            <w:vAlign w:val="center"/>
          </w:tcPr>
          <w:p w14:paraId="59738EC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XX公路穿越</w:t>
            </w:r>
          </w:p>
        </w:tc>
        <w:tc>
          <w:tcPr>
            <w:tcW w:w="1111" w:type="pct"/>
            <w:vAlign w:val="center"/>
          </w:tcPr>
          <w:p w14:paraId="41398D36">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57EB2270">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72950A03">
            <w:pPr>
              <w:rPr>
                <w:rFonts w:ascii="Times New Roman" w:hAnsi="Times New Roman"/>
                <w:sz w:val="18"/>
                <w:szCs w:val="18"/>
              </w:rPr>
            </w:pPr>
          </w:p>
        </w:tc>
      </w:tr>
      <w:tr w14:paraId="7468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6079F25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5</w:t>
            </w:r>
          </w:p>
        </w:tc>
        <w:tc>
          <w:tcPr>
            <w:tcW w:w="1353" w:type="pct"/>
            <w:vAlign w:val="center"/>
          </w:tcPr>
          <w:p w14:paraId="4152C67A">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XX隧道穿越</w:t>
            </w:r>
          </w:p>
        </w:tc>
        <w:tc>
          <w:tcPr>
            <w:tcW w:w="1111" w:type="pct"/>
            <w:vAlign w:val="center"/>
          </w:tcPr>
          <w:p w14:paraId="1F950C1E">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33FE8D8D">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47892BF8">
            <w:pPr>
              <w:jc w:val="center"/>
              <w:rPr>
                <w:rFonts w:ascii="Times New Roman" w:hAnsi="Times New Roman"/>
                <w:snapToGrid w:val="0"/>
                <w:color w:val="000000" w:themeColor="text1"/>
                <w:kern w:val="0"/>
                <w:sz w:val="18"/>
                <w:szCs w:val="18"/>
                <w14:textFill>
                  <w14:solidFill>
                    <w14:schemeClr w14:val="tx1"/>
                  </w14:solidFill>
                </w14:textFill>
              </w:rPr>
            </w:pPr>
          </w:p>
        </w:tc>
      </w:tr>
      <w:tr w14:paraId="0692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23" w:type="pct"/>
            <w:vAlign w:val="center"/>
          </w:tcPr>
          <w:p w14:paraId="6E39913E">
            <w:pPr>
              <w:tabs>
                <w:tab w:val="left" w:pos="237"/>
                <w:tab w:val="center" w:pos="446"/>
              </w:tabs>
              <w:jc w:val="left"/>
              <w:rPr>
                <w:rFonts w:ascii="Times New Roman" w:hAnsi="Times New Roman"/>
                <w:snapToGrid w:val="0"/>
                <w:color w:val="000000" w:themeColor="text1"/>
                <w:kern w:val="0"/>
                <w:sz w:val="18"/>
                <w:szCs w:val="18"/>
                <w14:textFill>
                  <w14:solidFill>
                    <w14:schemeClr w14:val="tx1"/>
                  </w14:solidFill>
                </w14:textFill>
              </w:rPr>
            </w:pPr>
            <w:r>
              <w:rPr>
                <w:rFonts w:hint="eastAsia" w:ascii="Times New Roman" w:hAnsi="Times New Roman"/>
                <w:snapToGrid w:val="0"/>
                <w:color w:val="000000" w:themeColor="text1"/>
                <w:kern w:val="0"/>
                <w:sz w:val="18"/>
                <w:szCs w:val="18"/>
                <w14:textFill>
                  <w14:solidFill>
                    <w14:schemeClr w14:val="tx1"/>
                  </w14:solidFill>
                </w14:textFill>
              </w:rPr>
              <w:tab/>
            </w:r>
            <w:r>
              <w:rPr>
                <w:rFonts w:ascii="Times New Roman" w:hAnsi="Times New Roman"/>
                <w:snapToGrid w:val="0"/>
                <w:color w:val="000000" w:themeColor="text1"/>
                <w:kern w:val="0"/>
                <w:sz w:val="18"/>
                <w:szCs w:val="18"/>
                <w14:textFill>
                  <w14:solidFill>
                    <w14:schemeClr w14:val="tx1"/>
                  </w14:solidFill>
                </w14:textFill>
              </w:rPr>
              <w:t>...</w:t>
            </w:r>
          </w:p>
        </w:tc>
        <w:tc>
          <w:tcPr>
            <w:tcW w:w="1353" w:type="pct"/>
            <w:vAlign w:val="center"/>
          </w:tcPr>
          <w:p w14:paraId="3185EA17">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1111" w:type="pct"/>
            <w:vAlign w:val="center"/>
          </w:tcPr>
          <w:p w14:paraId="797243DA">
            <w:pPr>
              <w:jc w:val="center"/>
              <w:rPr>
                <w:rFonts w:ascii="Times New Roman" w:hAnsi="Times New Roman"/>
                <w:snapToGrid w:val="0"/>
                <w:color w:val="000000" w:themeColor="text1"/>
                <w:kern w:val="0"/>
                <w:sz w:val="18"/>
                <w:szCs w:val="18"/>
                <w14:textFill>
                  <w14:solidFill>
                    <w14:schemeClr w14:val="tx1"/>
                  </w14:solidFill>
                </w14:textFill>
              </w:rPr>
            </w:pPr>
          </w:p>
        </w:tc>
        <w:tc>
          <w:tcPr>
            <w:tcW w:w="1035" w:type="pct"/>
            <w:vAlign w:val="center"/>
          </w:tcPr>
          <w:p w14:paraId="2FA1F7AF">
            <w:pPr>
              <w:jc w:val="center"/>
              <w:rPr>
                <w:rFonts w:ascii="Times New Roman" w:hAnsi="Times New Roman"/>
                <w:snapToGrid w:val="0"/>
                <w:color w:val="000000" w:themeColor="text1"/>
                <w:kern w:val="0"/>
                <w:sz w:val="18"/>
                <w:szCs w:val="18"/>
                <w14:textFill>
                  <w14:solidFill>
                    <w14:schemeClr w14:val="tx1"/>
                  </w14:solidFill>
                </w14:textFill>
              </w:rPr>
            </w:pPr>
          </w:p>
        </w:tc>
        <w:tc>
          <w:tcPr>
            <w:tcW w:w="979" w:type="pct"/>
            <w:vAlign w:val="center"/>
          </w:tcPr>
          <w:p w14:paraId="73A7C738">
            <w:pPr>
              <w:jc w:val="center"/>
              <w:rPr>
                <w:rFonts w:ascii="Times New Roman" w:hAnsi="Times New Roman"/>
                <w:snapToGrid w:val="0"/>
                <w:color w:val="000000" w:themeColor="text1"/>
                <w:kern w:val="0"/>
                <w:sz w:val="18"/>
                <w:szCs w:val="18"/>
                <w14:textFill>
                  <w14:solidFill>
                    <w14:schemeClr w14:val="tx1"/>
                  </w14:solidFill>
                </w14:textFill>
              </w:rPr>
            </w:pPr>
          </w:p>
        </w:tc>
      </w:tr>
    </w:tbl>
    <w:p w14:paraId="40A82ABF">
      <w:pPr>
        <w:pStyle w:val="97"/>
        <w:spacing w:before="120" w:after="120"/>
      </w:pPr>
      <w:r>
        <w:t>并行统计</w:t>
      </w:r>
    </w:p>
    <w:tbl>
      <w:tblPr>
        <w:tblStyle w:val="3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2779"/>
        <w:gridCol w:w="2277"/>
        <w:gridCol w:w="2122"/>
        <w:gridCol w:w="1787"/>
      </w:tblGrid>
      <w:tr w14:paraId="67CD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314" w:type="pct"/>
            <w:vAlign w:val="center"/>
          </w:tcPr>
          <w:p w14:paraId="0E7CBFF3">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序号</w:t>
            </w:r>
          </w:p>
        </w:tc>
        <w:tc>
          <w:tcPr>
            <w:tcW w:w="1452" w:type="pct"/>
            <w:vAlign w:val="center"/>
          </w:tcPr>
          <w:p w14:paraId="62DC8998">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名称</w:t>
            </w:r>
          </w:p>
        </w:tc>
        <w:tc>
          <w:tcPr>
            <w:tcW w:w="1190" w:type="pct"/>
            <w:vAlign w:val="center"/>
          </w:tcPr>
          <w:p w14:paraId="41976E8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并行长度</w:t>
            </w:r>
          </w:p>
          <w:p w14:paraId="6977F081">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c>
          <w:tcPr>
            <w:tcW w:w="1109" w:type="pct"/>
            <w:vAlign w:val="center"/>
          </w:tcPr>
          <w:p w14:paraId="39527F4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并行间距</w:t>
            </w:r>
          </w:p>
          <w:p w14:paraId="2CEA58C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km</w:t>
            </w:r>
          </w:p>
        </w:tc>
        <w:tc>
          <w:tcPr>
            <w:tcW w:w="934" w:type="pct"/>
            <w:vAlign w:val="center"/>
          </w:tcPr>
          <w:p w14:paraId="355DBAA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地质条件</w:t>
            </w:r>
          </w:p>
        </w:tc>
      </w:tr>
      <w:tr w14:paraId="2ECC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Align w:val="center"/>
          </w:tcPr>
          <w:p w14:paraId="647C012A">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1</w:t>
            </w:r>
          </w:p>
        </w:tc>
        <w:tc>
          <w:tcPr>
            <w:tcW w:w="1452" w:type="pct"/>
            <w:vAlign w:val="center"/>
          </w:tcPr>
          <w:p w14:paraId="044581F3">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XX铁路并行</w:t>
            </w:r>
          </w:p>
        </w:tc>
        <w:tc>
          <w:tcPr>
            <w:tcW w:w="1190" w:type="pct"/>
            <w:vAlign w:val="center"/>
          </w:tcPr>
          <w:p w14:paraId="79970B02">
            <w:pPr>
              <w:jc w:val="center"/>
              <w:rPr>
                <w:rFonts w:ascii="Times New Roman" w:hAnsi="Times New Roman"/>
                <w:snapToGrid w:val="0"/>
                <w:color w:val="000000" w:themeColor="text1"/>
                <w:kern w:val="0"/>
                <w:sz w:val="18"/>
                <w:szCs w:val="18"/>
                <w14:textFill>
                  <w14:solidFill>
                    <w14:schemeClr w14:val="tx1"/>
                  </w14:solidFill>
                </w14:textFill>
              </w:rPr>
            </w:pPr>
          </w:p>
        </w:tc>
        <w:tc>
          <w:tcPr>
            <w:tcW w:w="1109" w:type="pct"/>
            <w:vAlign w:val="center"/>
          </w:tcPr>
          <w:p w14:paraId="328E53B9">
            <w:pPr>
              <w:jc w:val="center"/>
              <w:rPr>
                <w:rFonts w:ascii="Times New Roman" w:hAnsi="Times New Roman"/>
                <w:snapToGrid w:val="0"/>
                <w:color w:val="000000" w:themeColor="text1"/>
                <w:kern w:val="0"/>
                <w:sz w:val="18"/>
                <w:szCs w:val="18"/>
                <w14:textFill>
                  <w14:solidFill>
                    <w14:schemeClr w14:val="tx1"/>
                  </w14:solidFill>
                </w14:textFill>
              </w:rPr>
            </w:pPr>
          </w:p>
        </w:tc>
        <w:tc>
          <w:tcPr>
            <w:tcW w:w="934" w:type="pct"/>
            <w:vAlign w:val="center"/>
          </w:tcPr>
          <w:p w14:paraId="192EADC3">
            <w:pPr>
              <w:jc w:val="center"/>
              <w:rPr>
                <w:rFonts w:ascii="Times New Roman" w:hAnsi="Times New Roman"/>
                <w:snapToGrid w:val="0"/>
                <w:color w:val="000000" w:themeColor="text1"/>
                <w:kern w:val="0"/>
                <w:sz w:val="18"/>
                <w:szCs w:val="18"/>
                <w14:textFill>
                  <w14:solidFill>
                    <w14:schemeClr w14:val="tx1"/>
                  </w14:solidFill>
                </w14:textFill>
              </w:rPr>
            </w:pPr>
          </w:p>
        </w:tc>
      </w:tr>
      <w:tr w14:paraId="515C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Align w:val="center"/>
          </w:tcPr>
          <w:p w14:paraId="00B7A63B">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2</w:t>
            </w:r>
          </w:p>
        </w:tc>
        <w:tc>
          <w:tcPr>
            <w:tcW w:w="1452" w:type="pct"/>
            <w:vAlign w:val="center"/>
          </w:tcPr>
          <w:p w14:paraId="2070DC95">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XX公路并行</w:t>
            </w:r>
          </w:p>
        </w:tc>
        <w:tc>
          <w:tcPr>
            <w:tcW w:w="1190" w:type="pct"/>
            <w:vAlign w:val="center"/>
          </w:tcPr>
          <w:p w14:paraId="24CB0DFC">
            <w:pPr>
              <w:jc w:val="center"/>
              <w:rPr>
                <w:rFonts w:ascii="Times New Roman" w:hAnsi="Times New Roman"/>
                <w:snapToGrid w:val="0"/>
                <w:color w:val="000000" w:themeColor="text1"/>
                <w:kern w:val="0"/>
                <w:sz w:val="18"/>
                <w:szCs w:val="18"/>
                <w14:textFill>
                  <w14:solidFill>
                    <w14:schemeClr w14:val="tx1"/>
                  </w14:solidFill>
                </w14:textFill>
              </w:rPr>
            </w:pPr>
          </w:p>
        </w:tc>
        <w:tc>
          <w:tcPr>
            <w:tcW w:w="1109" w:type="pct"/>
            <w:vAlign w:val="center"/>
          </w:tcPr>
          <w:p w14:paraId="1CE430F6">
            <w:pPr>
              <w:jc w:val="center"/>
              <w:rPr>
                <w:rFonts w:ascii="Times New Roman" w:hAnsi="Times New Roman"/>
                <w:snapToGrid w:val="0"/>
                <w:color w:val="000000" w:themeColor="text1"/>
                <w:kern w:val="0"/>
                <w:sz w:val="18"/>
                <w:szCs w:val="18"/>
                <w14:textFill>
                  <w14:solidFill>
                    <w14:schemeClr w14:val="tx1"/>
                  </w14:solidFill>
                </w14:textFill>
              </w:rPr>
            </w:pPr>
          </w:p>
        </w:tc>
        <w:tc>
          <w:tcPr>
            <w:tcW w:w="934" w:type="pct"/>
            <w:vAlign w:val="center"/>
          </w:tcPr>
          <w:p w14:paraId="7937163B">
            <w:pPr>
              <w:jc w:val="center"/>
              <w:rPr>
                <w:rFonts w:ascii="Times New Roman" w:hAnsi="Times New Roman"/>
                <w:snapToGrid w:val="0"/>
                <w:color w:val="000000" w:themeColor="text1"/>
                <w:kern w:val="0"/>
                <w:sz w:val="18"/>
                <w:szCs w:val="18"/>
                <w14:textFill>
                  <w14:solidFill>
                    <w14:schemeClr w14:val="tx1"/>
                  </w14:solidFill>
                </w14:textFill>
              </w:rPr>
            </w:pPr>
          </w:p>
        </w:tc>
      </w:tr>
      <w:tr w14:paraId="57C36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Align w:val="center"/>
          </w:tcPr>
          <w:p w14:paraId="7252C649">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3</w:t>
            </w:r>
          </w:p>
        </w:tc>
        <w:tc>
          <w:tcPr>
            <w:tcW w:w="1452" w:type="pct"/>
            <w:vAlign w:val="center"/>
          </w:tcPr>
          <w:p w14:paraId="6C8DE1A4">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w:t>
            </w:r>
            <w:r>
              <w:rPr>
                <w:rFonts w:ascii="Times New Roman" w:hAnsi="Times New Roman"/>
                <w:color w:val="000000" w:themeColor="text1"/>
                <w:sz w:val="18"/>
                <w:szCs w:val="18"/>
                <w14:textFill>
                  <w14:solidFill>
                    <w14:schemeClr w14:val="tx1"/>
                  </w14:solidFill>
                </w14:textFill>
              </w:rPr>
              <w:t>架空输电线路</w:t>
            </w:r>
            <w:r>
              <w:rPr>
                <w:rFonts w:ascii="Times New Roman" w:hAnsi="Times New Roman"/>
                <w:snapToGrid w:val="0"/>
                <w:color w:val="000000" w:themeColor="text1"/>
                <w:kern w:val="0"/>
                <w:sz w:val="18"/>
                <w:szCs w:val="18"/>
                <w14:textFill>
                  <w14:solidFill>
                    <w14:schemeClr w14:val="tx1"/>
                  </w14:solidFill>
                </w14:textFill>
              </w:rPr>
              <w:t>并行</w:t>
            </w:r>
          </w:p>
        </w:tc>
        <w:tc>
          <w:tcPr>
            <w:tcW w:w="1190" w:type="pct"/>
            <w:vAlign w:val="center"/>
          </w:tcPr>
          <w:p w14:paraId="1A164BFD">
            <w:pPr>
              <w:jc w:val="center"/>
              <w:rPr>
                <w:rFonts w:ascii="Times New Roman" w:hAnsi="Times New Roman"/>
                <w:snapToGrid w:val="0"/>
                <w:color w:val="000000" w:themeColor="text1"/>
                <w:kern w:val="0"/>
                <w:sz w:val="18"/>
                <w:szCs w:val="18"/>
                <w14:textFill>
                  <w14:solidFill>
                    <w14:schemeClr w14:val="tx1"/>
                  </w14:solidFill>
                </w14:textFill>
              </w:rPr>
            </w:pPr>
          </w:p>
        </w:tc>
        <w:tc>
          <w:tcPr>
            <w:tcW w:w="1109" w:type="pct"/>
            <w:vAlign w:val="center"/>
          </w:tcPr>
          <w:p w14:paraId="646DE2AE">
            <w:pPr>
              <w:jc w:val="center"/>
              <w:rPr>
                <w:rFonts w:ascii="Times New Roman" w:hAnsi="Times New Roman"/>
                <w:snapToGrid w:val="0"/>
                <w:color w:val="000000" w:themeColor="text1"/>
                <w:kern w:val="0"/>
                <w:sz w:val="18"/>
                <w:szCs w:val="18"/>
                <w14:textFill>
                  <w14:solidFill>
                    <w14:schemeClr w14:val="tx1"/>
                  </w14:solidFill>
                </w14:textFill>
              </w:rPr>
            </w:pPr>
          </w:p>
        </w:tc>
        <w:tc>
          <w:tcPr>
            <w:tcW w:w="934" w:type="pct"/>
            <w:vAlign w:val="center"/>
          </w:tcPr>
          <w:p w14:paraId="669E08C5">
            <w:pPr>
              <w:jc w:val="center"/>
              <w:rPr>
                <w:rFonts w:ascii="Times New Roman" w:hAnsi="Times New Roman"/>
                <w:snapToGrid w:val="0"/>
                <w:color w:val="000000" w:themeColor="text1"/>
                <w:kern w:val="0"/>
                <w:sz w:val="18"/>
                <w:szCs w:val="18"/>
                <w14:textFill>
                  <w14:solidFill>
                    <w14:schemeClr w14:val="tx1"/>
                  </w14:solidFill>
                </w14:textFill>
              </w:rPr>
            </w:pPr>
          </w:p>
        </w:tc>
      </w:tr>
      <w:tr w14:paraId="6648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Align w:val="center"/>
          </w:tcPr>
          <w:p w14:paraId="7F233290">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4</w:t>
            </w:r>
          </w:p>
        </w:tc>
        <w:tc>
          <w:tcPr>
            <w:tcW w:w="1452" w:type="pct"/>
            <w:vAlign w:val="center"/>
          </w:tcPr>
          <w:p w14:paraId="0457BB86">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XX管道并行</w:t>
            </w:r>
          </w:p>
        </w:tc>
        <w:tc>
          <w:tcPr>
            <w:tcW w:w="1190" w:type="pct"/>
            <w:vAlign w:val="center"/>
          </w:tcPr>
          <w:p w14:paraId="34C1A4E0">
            <w:pPr>
              <w:jc w:val="center"/>
              <w:rPr>
                <w:rFonts w:ascii="Times New Roman" w:hAnsi="Times New Roman"/>
                <w:snapToGrid w:val="0"/>
                <w:color w:val="000000" w:themeColor="text1"/>
                <w:kern w:val="0"/>
                <w:sz w:val="18"/>
                <w:szCs w:val="18"/>
                <w14:textFill>
                  <w14:solidFill>
                    <w14:schemeClr w14:val="tx1"/>
                  </w14:solidFill>
                </w14:textFill>
              </w:rPr>
            </w:pPr>
          </w:p>
        </w:tc>
        <w:tc>
          <w:tcPr>
            <w:tcW w:w="1109" w:type="pct"/>
            <w:vAlign w:val="center"/>
          </w:tcPr>
          <w:p w14:paraId="03DEEAC3">
            <w:pPr>
              <w:jc w:val="center"/>
              <w:rPr>
                <w:rFonts w:ascii="Times New Roman" w:hAnsi="Times New Roman"/>
                <w:snapToGrid w:val="0"/>
                <w:color w:val="000000" w:themeColor="text1"/>
                <w:kern w:val="0"/>
                <w:sz w:val="18"/>
                <w:szCs w:val="18"/>
                <w14:textFill>
                  <w14:solidFill>
                    <w14:schemeClr w14:val="tx1"/>
                  </w14:solidFill>
                </w14:textFill>
              </w:rPr>
            </w:pPr>
          </w:p>
        </w:tc>
        <w:tc>
          <w:tcPr>
            <w:tcW w:w="934" w:type="pct"/>
            <w:vAlign w:val="center"/>
          </w:tcPr>
          <w:p w14:paraId="19E0F5F6">
            <w:pPr>
              <w:jc w:val="center"/>
              <w:rPr>
                <w:rFonts w:ascii="Times New Roman" w:hAnsi="Times New Roman"/>
                <w:snapToGrid w:val="0"/>
                <w:color w:val="000000" w:themeColor="text1"/>
                <w:kern w:val="0"/>
                <w:sz w:val="18"/>
                <w:szCs w:val="18"/>
                <w14:textFill>
                  <w14:solidFill>
                    <w14:schemeClr w14:val="tx1"/>
                  </w14:solidFill>
                </w14:textFill>
              </w:rPr>
            </w:pPr>
          </w:p>
        </w:tc>
      </w:tr>
      <w:tr w14:paraId="6CAD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14" w:type="pct"/>
            <w:vAlign w:val="center"/>
          </w:tcPr>
          <w:p w14:paraId="0ADEA853">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1452" w:type="pct"/>
            <w:vAlign w:val="center"/>
          </w:tcPr>
          <w:p w14:paraId="1AEC1FDE">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1190" w:type="pct"/>
            <w:vAlign w:val="center"/>
          </w:tcPr>
          <w:p w14:paraId="6F8F4576">
            <w:pPr>
              <w:jc w:val="center"/>
              <w:rPr>
                <w:rFonts w:ascii="Times New Roman" w:hAnsi="Times New Roman"/>
                <w:snapToGrid w:val="0"/>
                <w:color w:val="000000" w:themeColor="text1"/>
                <w:kern w:val="0"/>
                <w:sz w:val="18"/>
                <w:szCs w:val="18"/>
                <w14:textFill>
                  <w14:solidFill>
                    <w14:schemeClr w14:val="tx1"/>
                  </w14:solidFill>
                </w14:textFill>
              </w:rPr>
            </w:pPr>
          </w:p>
        </w:tc>
        <w:tc>
          <w:tcPr>
            <w:tcW w:w="1109" w:type="pct"/>
            <w:vAlign w:val="center"/>
          </w:tcPr>
          <w:p w14:paraId="6668BA73">
            <w:pPr>
              <w:jc w:val="center"/>
              <w:rPr>
                <w:rFonts w:ascii="Times New Roman" w:hAnsi="Times New Roman"/>
                <w:snapToGrid w:val="0"/>
                <w:color w:val="000000" w:themeColor="text1"/>
                <w:kern w:val="0"/>
                <w:sz w:val="18"/>
                <w:szCs w:val="18"/>
                <w14:textFill>
                  <w14:solidFill>
                    <w14:schemeClr w14:val="tx1"/>
                  </w14:solidFill>
                </w14:textFill>
              </w:rPr>
            </w:pPr>
          </w:p>
        </w:tc>
        <w:tc>
          <w:tcPr>
            <w:tcW w:w="934" w:type="pct"/>
            <w:vAlign w:val="center"/>
          </w:tcPr>
          <w:p w14:paraId="5AC5ADE9">
            <w:pPr>
              <w:jc w:val="center"/>
              <w:rPr>
                <w:rFonts w:ascii="Times New Roman" w:hAnsi="Times New Roman"/>
                <w:snapToGrid w:val="0"/>
                <w:color w:val="000000" w:themeColor="text1"/>
                <w:kern w:val="0"/>
                <w:sz w:val="18"/>
                <w:szCs w:val="18"/>
                <w14:textFill>
                  <w14:solidFill>
                    <w14:schemeClr w14:val="tx1"/>
                  </w14:solidFill>
                </w14:textFill>
              </w:rPr>
            </w:pPr>
          </w:p>
        </w:tc>
      </w:tr>
    </w:tbl>
    <w:p w14:paraId="5BC18CBE">
      <w:pPr>
        <w:pStyle w:val="97"/>
        <w:spacing w:before="120" w:after="120"/>
      </w:pPr>
      <w:r>
        <w:t>SIF定级表</w:t>
      </w:r>
    </w:p>
    <w:tbl>
      <w:tblPr>
        <w:tblStyle w:val="3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9"/>
        <w:gridCol w:w="4588"/>
        <w:gridCol w:w="3193"/>
      </w:tblGrid>
      <w:tr w14:paraId="0482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5" w:type="pct"/>
          </w:tcPr>
          <w:p w14:paraId="2B4142CC">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回路序号</w:t>
            </w:r>
          </w:p>
        </w:tc>
        <w:tc>
          <w:tcPr>
            <w:tcW w:w="2397" w:type="pct"/>
          </w:tcPr>
          <w:p w14:paraId="01AC438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回路描述</w:t>
            </w:r>
          </w:p>
        </w:tc>
        <w:tc>
          <w:tcPr>
            <w:tcW w:w="1668" w:type="pct"/>
          </w:tcPr>
          <w:p w14:paraId="48A8884F">
            <w:pPr>
              <w:jc w:val="center"/>
              <w:rPr>
                <w:rFonts w:ascii="Times New Roman" w:hAnsi="Times New Roman"/>
                <w:snapToGrid w:val="0"/>
                <w:color w:val="000000" w:themeColor="text1"/>
                <w:kern w:val="0"/>
                <w:sz w:val="18"/>
                <w:szCs w:val="18"/>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定级结果</w:t>
            </w:r>
          </w:p>
        </w:tc>
      </w:tr>
      <w:tr w14:paraId="4A0D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 w:type="pct"/>
          </w:tcPr>
          <w:p w14:paraId="0FA65B48">
            <w:pPr>
              <w:jc w:val="center"/>
              <w:rPr>
                <w:rFonts w:ascii="Times New Roman" w:hAnsi="Times New Roman"/>
                <w:color w:val="000000" w:themeColor="text1"/>
                <w14:textFill>
                  <w14:solidFill>
                    <w14:schemeClr w14:val="tx1"/>
                  </w14:solidFill>
                </w14:textFill>
              </w:rPr>
            </w:pPr>
            <w:r>
              <w:rPr>
                <w:rFonts w:hint="eastAsia" w:ascii="Times New Roman" w:hAnsi="Times New Roman"/>
                <w:snapToGrid w:val="0"/>
                <w:color w:val="000000" w:themeColor="text1"/>
                <w:kern w:val="0"/>
                <w:sz w:val="18"/>
                <w:szCs w:val="18"/>
                <w14:textFill>
                  <w14:solidFill>
                    <w14:schemeClr w14:val="tx1"/>
                  </w14:solidFill>
                </w14:textFill>
              </w:rPr>
              <w:t>1</w:t>
            </w:r>
          </w:p>
        </w:tc>
        <w:tc>
          <w:tcPr>
            <w:tcW w:w="2397" w:type="pct"/>
          </w:tcPr>
          <w:p w14:paraId="7C08A102">
            <w:pPr>
              <w:rPr>
                <w:rFonts w:ascii="Times New Roman" w:hAnsi="Times New Roman"/>
                <w:color w:val="000000" w:themeColor="text1"/>
                <w14:textFill>
                  <w14:solidFill>
                    <w14:schemeClr w14:val="tx1"/>
                  </w14:solidFill>
                </w14:textFill>
              </w:rPr>
            </w:pPr>
          </w:p>
        </w:tc>
        <w:tc>
          <w:tcPr>
            <w:tcW w:w="1668" w:type="pct"/>
          </w:tcPr>
          <w:p w14:paraId="7215D158">
            <w:pPr>
              <w:rPr>
                <w:rFonts w:ascii="Times New Roman" w:hAnsi="Times New Roman"/>
                <w:color w:val="000000" w:themeColor="text1"/>
                <w14:textFill>
                  <w14:solidFill>
                    <w14:schemeClr w14:val="tx1"/>
                  </w14:solidFill>
                </w14:textFill>
              </w:rPr>
            </w:pPr>
          </w:p>
        </w:tc>
      </w:tr>
      <w:tr w14:paraId="39B64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5" w:type="pct"/>
          </w:tcPr>
          <w:p w14:paraId="72D781BB">
            <w:pPr>
              <w:jc w:val="center"/>
              <w:rPr>
                <w:rFonts w:ascii="Times New Roman" w:hAnsi="Times New Roman"/>
                <w:color w:val="000000" w:themeColor="text1"/>
                <w14:textFill>
                  <w14:solidFill>
                    <w14:schemeClr w14:val="tx1"/>
                  </w14:solidFill>
                </w14:textFill>
              </w:rPr>
            </w:pPr>
            <w:r>
              <w:rPr>
                <w:rFonts w:ascii="Times New Roman" w:hAnsi="Times New Roman"/>
                <w:snapToGrid w:val="0"/>
                <w:color w:val="000000" w:themeColor="text1"/>
                <w:kern w:val="0"/>
                <w:sz w:val="18"/>
                <w:szCs w:val="18"/>
                <w14:textFill>
                  <w14:solidFill>
                    <w14:schemeClr w14:val="tx1"/>
                  </w14:solidFill>
                </w14:textFill>
              </w:rPr>
              <w:t>...</w:t>
            </w:r>
          </w:p>
        </w:tc>
        <w:tc>
          <w:tcPr>
            <w:tcW w:w="2397" w:type="pct"/>
          </w:tcPr>
          <w:p w14:paraId="5098D4F9">
            <w:pPr>
              <w:rPr>
                <w:rFonts w:ascii="Times New Roman" w:hAnsi="Times New Roman"/>
                <w:color w:val="000000" w:themeColor="text1"/>
                <w14:textFill>
                  <w14:solidFill>
                    <w14:schemeClr w14:val="tx1"/>
                  </w14:solidFill>
                </w14:textFill>
              </w:rPr>
            </w:pPr>
          </w:p>
        </w:tc>
        <w:tc>
          <w:tcPr>
            <w:tcW w:w="1668" w:type="pct"/>
          </w:tcPr>
          <w:p w14:paraId="122F3FFB">
            <w:pPr>
              <w:rPr>
                <w:rFonts w:ascii="Times New Roman" w:hAnsi="Times New Roman"/>
                <w:color w:val="000000" w:themeColor="text1"/>
                <w14:textFill>
                  <w14:solidFill>
                    <w14:schemeClr w14:val="tx1"/>
                  </w14:solidFill>
                </w14:textFill>
              </w:rPr>
            </w:pPr>
          </w:p>
        </w:tc>
      </w:tr>
    </w:tbl>
    <w:p w14:paraId="21ABA0BF">
      <w:pPr>
        <w:pStyle w:val="97"/>
        <w:spacing w:before="120" w:after="120"/>
      </w:pPr>
      <w:r>
        <w:t>建筑物汇总</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3"/>
        <w:gridCol w:w="1362"/>
        <w:gridCol w:w="1176"/>
        <w:gridCol w:w="979"/>
        <w:gridCol w:w="974"/>
        <w:gridCol w:w="1116"/>
        <w:gridCol w:w="1116"/>
        <w:gridCol w:w="875"/>
        <w:gridCol w:w="1223"/>
      </w:tblGrid>
      <w:tr w14:paraId="3A44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290" w:type="pct"/>
            <w:vAlign w:val="center"/>
          </w:tcPr>
          <w:p w14:paraId="504272F0">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序号</w:t>
            </w:r>
          </w:p>
        </w:tc>
        <w:tc>
          <w:tcPr>
            <w:tcW w:w="727" w:type="pct"/>
            <w:vAlign w:val="center"/>
          </w:tcPr>
          <w:p w14:paraId="204039D4">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建筑物名称</w:t>
            </w:r>
          </w:p>
        </w:tc>
        <w:tc>
          <w:tcPr>
            <w:tcW w:w="628" w:type="pct"/>
            <w:vAlign w:val="center"/>
          </w:tcPr>
          <w:p w14:paraId="5AF74F48">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建筑物高度</w:t>
            </w:r>
          </w:p>
        </w:tc>
        <w:tc>
          <w:tcPr>
            <w:tcW w:w="523" w:type="pct"/>
            <w:vAlign w:val="center"/>
          </w:tcPr>
          <w:p w14:paraId="5CA9721E">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建筑面积</w:t>
            </w:r>
          </w:p>
          <w:p w14:paraId="6B8BD77E">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m</w:t>
            </w:r>
            <w:r>
              <w:rPr>
                <w:rFonts w:ascii="Times New Roman" w:hAnsi="Times New Roman"/>
                <w:color w:val="000000" w:themeColor="text1"/>
                <w:sz w:val="18"/>
                <w:szCs w:val="18"/>
                <w:vertAlign w:val="superscript"/>
                <w14:textFill>
                  <w14:solidFill>
                    <w14:schemeClr w14:val="tx1"/>
                  </w14:solidFill>
                </w14:textFill>
              </w:rPr>
              <w:t>2</w:t>
            </w:r>
          </w:p>
        </w:tc>
        <w:tc>
          <w:tcPr>
            <w:tcW w:w="520" w:type="pct"/>
            <w:vAlign w:val="center"/>
          </w:tcPr>
          <w:p w14:paraId="6ED6DA82">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建筑结构</w:t>
            </w:r>
          </w:p>
        </w:tc>
        <w:tc>
          <w:tcPr>
            <w:tcW w:w="596" w:type="pct"/>
            <w:vAlign w:val="center"/>
          </w:tcPr>
          <w:p w14:paraId="4389900F">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火灾危险性</w:t>
            </w:r>
          </w:p>
        </w:tc>
        <w:tc>
          <w:tcPr>
            <w:tcW w:w="596" w:type="pct"/>
            <w:vAlign w:val="center"/>
          </w:tcPr>
          <w:p w14:paraId="0F685968">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耐火等级</w:t>
            </w:r>
          </w:p>
        </w:tc>
        <w:tc>
          <w:tcPr>
            <w:tcW w:w="467" w:type="pct"/>
            <w:vAlign w:val="center"/>
          </w:tcPr>
          <w:p w14:paraId="313AA8F9">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层数</w:t>
            </w:r>
          </w:p>
        </w:tc>
        <w:tc>
          <w:tcPr>
            <w:tcW w:w="654" w:type="pct"/>
            <w:vAlign w:val="center"/>
          </w:tcPr>
          <w:p w14:paraId="32712928">
            <w:pPr>
              <w:spacing w:before="120" w:beforeLines="50" w:line="300" w:lineRule="auto"/>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泄压比值</w:t>
            </w:r>
          </w:p>
        </w:tc>
      </w:tr>
      <w:tr w14:paraId="2114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90" w:type="pct"/>
            <w:vAlign w:val="center"/>
          </w:tcPr>
          <w:p w14:paraId="77FCAFE2">
            <w:pPr>
              <w:pStyle w:val="343"/>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727" w:type="pct"/>
            <w:vAlign w:val="center"/>
          </w:tcPr>
          <w:p w14:paraId="33F45E59">
            <w:pPr>
              <w:pStyle w:val="343"/>
              <w:rPr>
                <w:color w:val="000000" w:themeColor="text1"/>
                <w:sz w:val="18"/>
                <w:szCs w:val="18"/>
                <w14:textFill>
                  <w14:solidFill>
                    <w14:schemeClr w14:val="tx1"/>
                  </w14:solidFill>
                </w14:textFill>
              </w:rPr>
            </w:pPr>
          </w:p>
        </w:tc>
        <w:tc>
          <w:tcPr>
            <w:tcW w:w="628" w:type="pct"/>
            <w:vAlign w:val="center"/>
          </w:tcPr>
          <w:p w14:paraId="40D44FE1">
            <w:pPr>
              <w:rPr>
                <w:rFonts w:ascii="Times New Roman" w:hAnsi="Times New Roman"/>
                <w:color w:val="000000" w:themeColor="text1"/>
                <w:sz w:val="18"/>
                <w:szCs w:val="18"/>
                <w14:textFill>
                  <w14:solidFill>
                    <w14:schemeClr w14:val="tx1"/>
                  </w14:solidFill>
                </w14:textFill>
              </w:rPr>
            </w:pPr>
          </w:p>
        </w:tc>
        <w:tc>
          <w:tcPr>
            <w:tcW w:w="523" w:type="pct"/>
            <w:vAlign w:val="center"/>
          </w:tcPr>
          <w:p w14:paraId="2C093285">
            <w:pPr>
              <w:rPr>
                <w:rFonts w:ascii="Times New Roman" w:hAnsi="Times New Roman"/>
                <w:color w:val="000000" w:themeColor="text1"/>
                <w:sz w:val="18"/>
                <w:szCs w:val="18"/>
                <w14:textFill>
                  <w14:solidFill>
                    <w14:schemeClr w14:val="tx1"/>
                  </w14:solidFill>
                </w14:textFill>
              </w:rPr>
            </w:pPr>
          </w:p>
        </w:tc>
        <w:tc>
          <w:tcPr>
            <w:tcW w:w="520" w:type="pct"/>
            <w:vAlign w:val="center"/>
          </w:tcPr>
          <w:p w14:paraId="77E3F29A">
            <w:pPr>
              <w:rPr>
                <w:rFonts w:ascii="Times New Roman" w:hAnsi="Times New Roman"/>
                <w:color w:val="000000" w:themeColor="text1"/>
                <w:sz w:val="18"/>
                <w:szCs w:val="18"/>
                <w14:textFill>
                  <w14:solidFill>
                    <w14:schemeClr w14:val="tx1"/>
                  </w14:solidFill>
                </w14:textFill>
              </w:rPr>
            </w:pPr>
          </w:p>
        </w:tc>
        <w:tc>
          <w:tcPr>
            <w:tcW w:w="596" w:type="pct"/>
            <w:vAlign w:val="center"/>
          </w:tcPr>
          <w:p w14:paraId="7EDEF96C">
            <w:pPr>
              <w:rPr>
                <w:rFonts w:ascii="Times New Roman" w:hAnsi="Times New Roman"/>
                <w:color w:val="000000" w:themeColor="text1"/>
                <w:sz w:val="18"/>
                <w:szCs w:val="18"/>
                <w14:textFill>
                  <w14:solidFill>
                    <w14:schemeClr w14:val="tx1"/>
                  </w14:solidFill>
                </w14:textFill>
              </w:rPr>
            </w:pPr>
          </w:p>
        </w:tc>
        <w:tc>
          <w:tcPr>
            <w:tcW w:w="596" w:type="pct"/>
            <w:vAlign w:val="center"/>
          </w:tcPr>
          <w:p w14:paraId="4B13B1A0">
            <w:pPr>
              <w:rPr>
                <w:rFonts w:ascii="Times New Roman" w:hAnsi="Times New Roman"/>
                <w:color w:val="000000" w:themeColor="text1"/>
                <w:sz w:val="18"/>
                <w:szCs w:val="18"/>
                <w14:textFill>
                  <w14:solidFill>
                    <w14:schemeClr w14:val="tx1"/>
                  </w14:solidFill>
                </w14:textFill>
              </w:rPr>
            </w:pPr>
          </w:p>
        </w:tc>
        <w:tc>
          <w:tcPr>
            <w:tcW w:w="467" w:type="pct"/>
            <w:vAlign w:val="center"/>
          </w:tcPr>
          <w:p w14:paraId="4D9217AC">
            <w:pPr>
              <w:rPr>
                <w:rFonts w:ascii="Times New Roman" w:hAnsi="Times New Roman"/>
                <w:color w:val="000000" w:themeColor="text1"/>
                <w:sz w:val="18"/>
                <w:szCs w:val="18"/>
                <w14:textFill>
                  <w14:solidFill>
                    <w14:schemeClr w14:val="tx1"/>
                  </w14:solidFill>
                </w14:textFill>
              </w:rPr>
            </w:pPr>
          </w:p>
        </w:tc>
        <w:tc>
          <w:tcPr>
            <w:tcW w:w="654" w:type="pct"/>
            <w:vAlign w:val="center"/>
          </w:tcPr>
          <w:p w14:paraId="78A30570">
            <w:pPr>
              <w:rPr>
                <w:rFonts w:ascii="Times New Roman" w:hAnsi="Times New Roman"/>
                <w:color w:val="000000" w:themeColor="text1"/>
                <w:sz w:val="18"/>
                <w:szCs w:val="18"/>
                <w14:textFill>
                  <w14:solidFill>
                    <w14:schemeClr w14:val="tx1"/>
                  </w14:solidFill>
                </w14:textFill>
              </w:rPr>
            </w:pPr>
          </w:p>
        </w:tc>
      </w:tr>
      <w:tr w14:paraId="5731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290" w:type="pct"/>
            <w:vAlign w:val="center"/>
          </w:tcPr>
          <w:p w14:paraId="2A66FF5C">
            <w:pPr>
              <w:jc w:val="cente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w:t>
            </w:r>
          </w:p>
        </w:tc>
        <w:tc>
          <w:tcPr>
            <w:tcW w:w="727" w:type="pct"/>
            <w:vAlign w:val="center"/>
          </w:tcPr>
          <w:p w14:paraId="4C5F2777">
            <w:pPr>
              <w:jc w:val="center"/>
              <w:rPr>
                <w:rFonts w:ascii="Times New Roman" w:hAnsi="Times New Roman"/>
                <w:color w:val="000000" w:themeColor="text1"/>
                <w:sz w:val="18"/>
                <w:szCs w:val="18"/>
                <w14:textFill>
                  <w14:solidFill>
                    <w14:schemeClr w14:val="tx1"/>
                  </w14:solidFill>
                </w14:textFill>
              </w:rPr>
            </w:pPr>
          </w:p>
        </w:tc>
        <w:tc>
          <w:tcPr>
            <w:tcW w:w="628" w:type="pct"/>
            <w:vAlign w:val="center"/>
          </w:tcPr>
          <w:p w14:paraId="7979DF29">
            <w:pPr>
              <w:rPr>
                <w:rFonts w:ascii="Times New Roman" w:hAnsi="Times New Roman"/>
                <w:color w:val="000000" w:themeColor="text1"/>
                <w:sz w:val="18"/>
                <w:szCs w:val="18"/>
                <w14:textFill>
                  <w14:solidFill>
                    <w14:schemeClr w14:val="tx1"/>
                  </w14:solidFill>
                </w14:textFill>
              </w:rPr>
            </w:pPr>
          </w:p>
        </w:tc>
        <w:tc>
          <w:tcPr>
            <w:tcW w:w="523" w:type="pct"/>
            <w:vAlign w:val="center"/>
          </w:tcPr>
          <w:p w14:paraId="53732D6A">
            <w:pPr>
              <w:rPr>
                <w:rFonts w:ascii="Times New Roman" w:hAnsi="Times New Roman"/>
                <w:color w:val="000000" w:themeColor="text1"/>
                <w:sz w:val="18"/>
                <w:szCs w:val="18"/>
                <w14:textFill>
                  <w14:solidFill>
                    <w14:schemeClr w14:val="tx1"/>
                  </w14:solidFill>
                </w14:textFill>
              </w:rPr>
            </w:pPr>
          </w:p>
        </w:tc>
        <w:tc>
          <w:tcPr>
            <w:tcW w:w="520" w:type="pct"/>
            <w:vAlign w:val="center"/>
          </w:tcPr>
          <w:p w14:paraId="04A22FBA">
            <w:pPr>
              <w:rPr>
                <w:rFonts w:ascii="Times New Roman" w:hAnsi="Times New Roman"/>
                <w:color w:val="000000" w:themeColor="text1"/>
                <w:sz w:val="18"/>
                <w:szCs w:val="18"/>
                <w14:textFill>
                  <w14:solidFill>
                    <w14:schemeClr w14:val="tx1"/>
                  </w14:solidFill>
                </w14:textFill>
              </w:rPr>
            </w:pPr>
          </w:p>
        </w:tc>
        <w:tc>
          <w:tcPr>
            <w:tcW w:w="596" w:type="pct"/>
            <w:vAlign w:val="center"/>
          </w:tcPr>
          <w:p w14:paraId="5D0D9B7B">
            <w:pPr>
              <w:rPr>
                <w:rFonts w:ascii="Times New Roman" w:hAnsi="Times New Roman"/>
                <w:color w:val="000000" w:themeColor="text1"/>
                <w:sz w:val="18"/>
                <w:szCs w:val="18"/>
                <w14:textFill>
                  <w14:solidFill>
                    <w14:schemeClr w14:val="tx1"/>
                  </w14:solidFill>
                </w14:textFill>
              </w:rPr>
            </w:pPr>
          </w:p>
        </w:tc>
        <w:tc>
          <w:tcPr>
            <w:tcW w:w="596" w:type="pct"/>
            <w:vAlign w:val="center"/>
          </w:tcPr>
          <w:p w14:paraId="6E129E44">
            <w:pPr>
              <w:rPr>
                <w:rFonts w:ascii="Times New Roman" w:hAnsi="Times New Roman"/>
                <w:color w:val="000000" w:themeColor="text1"/>
                <w:sz w:val="18"/>
                <w:szCs w:val="18"/>
                <w14:textFill>
                  <w14:solidFill>
                    <w14:schemeClr w14:val="tx1"/>
                  </w14:solidFill>
                </w14:textFill>
              </w:rPr>
            </w:pPr>
          </w:p>
        </w:tc>
        <w:tc>
          <w:tcPr>
            <w:tcW w:w="467" w:type="pct"/>
            <w:vAlign w:val="center"/>
          </w:tcPr>
          <w:p w14:paraId="5B4E75B6">
            <w:pPr>
              <w:rPr>
                <w:rFonts w:ascii="Times New Roman" w:hAnsi="Times New Roman"/>
                <w:color w:val="000000" w:themeColor="text1"/>
                <w:sz w:val="18"/>
                <w:szCs w:val="18"/>
                <w14:textFill>
                  <w14:solidFill>
                    <w14:schemeClr w14:val="tx1"/>
                  </w14:solidFill>
                </w14:textFill>
              </w:rPr>
            </w:pPr>
          </w:p>
        </w:tc>
        <w:tc>
          <w:tcPr>
            <w:tcW w:w="654" w:type="pct"/>
            <w:vAlign w:val="center"/>
          </w:tcPr>
          <w:p w14:paraId="6C06AD3E">
            <w:pPr>
              <w:rPr>
                <w:rFonts w:ascii="Times New Roman" w:hAnsi="Times New Roman"/>
                <w:color w:val="000000" w:themeColor="text1"/>
                <w:sz w:val="18"/>
                <w:szCs w:val="18"/>
                <w14:textFill>
                  <w14:solidFill>
                    <w14:schemeClr w14:val="tx1"/>
                  </w14:solidFill>
                </w14:textFill>
              </w:rPr>
            </w:pPr>
          </w:p>
        </w:tc>
      </w:tr>
    </w:tbl>
    <w:p w14:paraId="10C4A475">
      <w:pPr>
        <w:pStyle w:val="97"/>
        <w:spacing w:before="120" w:after="120"/>
      </w:pPr>
      <w:r>
        <w:t>安全设施专项投资概算表</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4923"/>
        <w:gridCol w:w="1799"/>
        <w:gridCol w:w="1918"/>
      </w:tblGrid>
      <w:tr w14:paraId="27DE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62E5E961">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序号</w:t>
            </w:r>
          </w:p>
        </w:tc>
        <w:tc>
          <w:tcPr>
            <w:tcW w:w="2572" w:type="pct"/>
            <w:vAlign w:val="center"/>
          </w:tcPr>
          <w:p w14:paraId="29371604">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安全技术措施和设施名称</w:t>
            </w:r>
          </w:p>
        </w:tc>
        <w:tc>
          <w:tcPr>
            <w:tcW w:w="940" w:type="pct"/>
            <w:vAlign w:val="center"/>
          </w:tcPr>
          <w:p w14:paraId="415460E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概算投资</w:t>
            </w:r>
          </w:p>
          <w:p w14:paraId="5D15983D">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（万元）</w:t>
            </w:r>
          </w:p>
        </w:tc>
        <w:tc>
          <w:tcPr>
            <w:tcW w:w="1002" w:type="pct"/>
            <w:vAlign w:val="center"/>
          </w:tcPr>
          <w:p w14:paraId="207E49B5">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占概算总投资比例（%）</w:t>
            </w:r>
          </w:p>
        </w:tc>
      </w:tr>
      <w:tr w14:paraId="645D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1B21BC1F">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一</w:t>
            </w:r>
          </w:p>
        </w:tc>
        <w:tc>
          <w:tcPr>
            <w:tcW w:w="2572" w:type="pct"/>
            <w:vAlign w:val="center"/>
          </w:tcPr>
          <w:p w14:paraId="783AAEED">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预防事故设施费用</w:t>
            </w:r>
          </w:p>
        </w:tc>
        <w:tc>
          <w:tcPr>
            <w:tcW w:w="940" w:type="pct"/>
            <w:vAlign w:val="center"/>
          </w:tcPr>
          <w:p w14:paraId="7E55A6BD">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36EAAF8D">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4CD1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709EF5D5">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1</w:t>
            </w:r>
          </w:p>
        </w:tc>
        <w:tc>
          <w:tcPr>
            <w:tcW w:w="2572" w:type="pct"/>
            <w:vAlign w:val="center"/>
          </w:tcPr>
          <w:p w14:paraId="1D49D98D">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检测及报警设施</w:t>
            </w:r>
          </w:p>
        </w:tc>
        <w:tc>
          <w:tcPr>
            <w:tcW w:w="940" w:type="pct"/>
            <w:vAlign w:val="center"/>
          </w:tcPr>
          <w:p w14:paraId="352BC2BA">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6ADA1E81">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2977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0CB507E6">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2</w:t>
            </w:r>
          </w:p>
        </w:tc>
        <w:tc>
          <w:tcPr>
            <w:tcW w:w="2572" w:type="pct"/>
            <w:vAlign w:val="center"/>
          </w:tcPr>
          <w:p w14:paraId="17FCBBF4">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监测设施</w:t>
            </w:r>
          </w:p>
        </w:tc>
        <w:tc>
          <w:tcPr>
            <w:tcW w:w="940" w:type="pct"/>
            <w:vAlign w:val="center"/>
          </w:tcPr>
          <w:p w14:paraId="55C3385C">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3D560E85">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7149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73849960">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3</w:t>
            </w:r>
          </w:p>
        </w:tc>
        <w:tc>
          <w:tcPr>
            <w:tcW w:w="2572" w:type="pct"/>
            <w:vAlign w:val="center"/>
          </w:tcPr>
          <w:p w14:paraId="40FD0005">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防雷电及防静电设施</w:t>
            </w:r>
          </w:p>
        </w:tc>
        <w:tc>
          <w:tcPr>
            <w:tcW w:w="940" w:type="pct"/>
            <w:vAlign w:val="center"/>
          </w:tcPr>
          <w:p w14:paraId="44F69B4E">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43B0D0DC">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1872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25106058">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4</w:t>
            </w:r>
          </w:p>
        </w:tc>
        <w:tc>
          <w:tcPr>
            <w:tcW w:w="2572" w:type="pct"/>
            <w:vAlign w:val="center"/>
          </w:tcPr>
          <w:p w14:paraId="004CDB20">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设备及管道安全防护设施</w:t>
            </w:r>
          </w:p>
        </w:tc>
        <w:tc>
          <w:tcPr>
            <w:tcW w:w="940" w:type="pct"/>
            <w:vAlign w:val="center"/>
          </w:tcPr>
          <w:p w14:paraId="1F7F1539">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695DE0D5">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0339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49947C8A">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5</w:t>
            </w:r>
          </w:p>
        </w:tc>
        <w:tc>
          <w:tcPr>
            <w:tcW w:w="2572" w:type="pct"/>
            <w:vAlign w:val="center"/>
          </w:tcPr>
          <w:p w14:paraId="607A9EFC">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防爆设施</w:t>
            </w:r>
          </w:p>
        </w:tc>
        <w:tc>
          <w:tcPr>
            <w:tcW w:w="940" w:type="pct"/>
            <w:vAlign w:val="center"/>
          </w:tcPr>
          <w:p w14:paraId="5B32161E">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2B875E4F">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C55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57EBF739">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6</w:t>
            </w:r>
          </w:p>
        </w:tc>
        <w:tc>
          <w:tcPr>
            <w:tcW w:w="2572" w:type="pct"/>
            <w:vAlign w:val="center"/>
          </w:tcPr>
          <w:p w14:paraId="127839C7">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安全标志</w:t>
            </w:r>
          </w:p>
        </w:tc>
        <w:tc>
          <w:tcPr>
            <w:tcW w:w="940" w:type="pct"/>
            <w:vAlign w:val="center"/>
          </w:tcPr>
          <w:p w14:paraId="294D3946">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129AEBD4">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24AF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65020564">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7</w:t>
            </w:r>
          </w:p>
        </w:tc>
        <w:tc>
          <w:tcPr>
            <w:tcW w:w="2572" w:type="pct"/>
            <w:vAlign w:val="center"/>
          </w:tcPr>
          <w:p w14:paraId="1995B927">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作业场所防护设施</w:t>
            </w:r>
          </w:p>
        </w:tc>
        <w:tc>
          <w:tcPr>
            <w:tcW w:w="940" w:type="pct"/>
            <w:vAlign w:val="center"/>
          </w:tcPr>
          <w:p w14:paraId="1FECCF4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5AD7D265">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0CC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736DFE5C">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w:t>
            </w:r>
          </w:p>
        </w:tc>
        <w:tc>
          <w:tcPr>
            <w:tcW w:w="2572" w:type="pct"/>
            <w:vAlign w:val="center"/>
          </w:tcPr>
          <w:p w14:paraId="5DC4055C">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w:t>
            </w:r>
          </w:p>
        </w:tc>
        <w:tc>
          <w:tcPr>
            <w:tcW w:w="940" w:type="pct"/>
            <w:vAlign w:val="center"/>
          </w:tcPr>
          <w:p w14:paraId="440E70AA">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79050637">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3530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4E33CF40">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二</w:t>
            </w:r>
          </w:p>
        </w:tc>
        <w:tc>
          <w:tcPr>
            <w:tcW w:w="2572" w:type="pct"/>
            <w:vAlign w:val="center"/>
          </w:tcPr>
          <w:p w14:paraId="34A2AC8F">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控制事故设施费用</w:t>
            </w:r>
          </w:p>
        </w:tc>
        <w:tc>
          <w:tcPr>
            <w:tcW w:w="940" w:type="pct"/>
            <w:vAlign w:val="center"/>
          </w:tcPr>
          <w:p w14:paraId="5FC2A969">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49EA1B94">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8C7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2C80972C">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1</w:t>
            </w:r>
          </w:p>
        </w:tc>
        <w:tc>
          <w:tcPr>
            <w:tcW w:w="2572" w:type="pct"/>
            <w:vAlign w:val="center"/>
          </w:tcPr>
          <w:p w14:paraId="5C344AB9">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泄压设施</w:t>
            </w:r>
          </w:p>
        </w:tc>
        <w:tc>
          <w:tcPr>
            <w:tcW w:w="940" w:type="pct"/>
            <w:vAlign w:val="center"/>
          </w:tcPr>
          <w:p w14:paraId="5D238FF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3856109B">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23F3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04385DA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2</w:t>
            </w:r>
          </w:p>
        </w:tc>
        <w:tc>
          <w:tcPr>
            <w:tcW w:w="2572" w:type="pct"/>
            <w:vAlign w:val="center"/>
          </w:tcPr>
          <w:p w14:paraId="016CB6F8">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紧急处理设施</w:t>
            </w:r>
          </w:p>
        </w:tc>
        <w:tc>
          <w:tcPr>
            <w:tcW w:w="940" w:type="pct"/>
            <w:vAlign w:val="center"/>
          </w:tcPr>
          <w:p w14:paraId="42B3F487">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0CB8ADDF">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3DB2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3D438E9B">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w:t>
            </w:r>
          </w:p>
        </w:tc>
        <w:tc>
          <w:tcPr>
            <w:tcW w:w="2572" w:type="pct"/>
            <w:vAlign w:val="center"/>
          </w:tcPr>
          <w:p w14:paraId="63C2A37A">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w:t>
            </w:r>
          </w:p>
        </w:tc>
        <w:tc>
          <w:tcPr>
            <w:tcW w:w="940" w:type="pct"/>
            <w:vAlign w:val="center"/>
          </w:tcPr>
          <w:p w14:paraId="3D0670FD">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3B296271">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2238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7E8BA1E1">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三</w:t>
            </w:r>
          </w:p>
        </w:tc>
        <w:tc>
          <w:tcPr>
            <w:tcW w:w="2572" w:type="pct"/>
            <w:vAlign w:val="center"/>
          </w:tcPr>
          <w:p w14:paraId="4DCE1F83">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消减事故影响设施费用</w:t>
            </w:r>
          </w:p>
        </w:tc>
        <w:tc>
          <w:tcPr>
            <w:tcW w:w="940" w:type="pct"/>
            <w:vAlign w:val="center"/>
          </w:tcPr>
          <w:p w14:paraId="779BB848">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2BF99E3D">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03755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6736331F">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1</w:t>
            </w:r>
          </w:p>
        </w:tc>
        <w:tc>
          <w:tcPr>
            <w:tcW w:w="2572" w:type="pct"/>
            <w:vAlign w:val="center"/>
          </w:tcPr>
          <w:p w14:paraId="25540C3F">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防止火灾蔓延设施</w:t>
            </w:r>
          </w:p>
        </w:tc>
        <w:tc>
          <w:tcPr>
            <w:tcW w:w="940" w:type="pct"/>
            <w:vAlign w:val="center"/>
          </w:tcPr>
          <w:p w14:paraId="24669A84">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0F427453">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FD4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4826BC2F">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2</w:t>
            </w:r>
          </w:p>
        </w:tc>
        <w:tc>
          <w:tcPr>
            <w:tcW w:w="2572" w:type="pct"/>
            <w:vAlign w:val="center"/>
          </w:tcPr>
          <w:p w14:paraId="110E2168">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应急救援设施</w:t>
            </w:r>
          </w:p>
        </w:tc>
        <w:tc>
          <w:tcPr>
            <w:tcW w:w="940" w:type="pct"/>
            <w:vAlign w:val="center"/>
          </w:tcPr>
          <w:p w14:paraId="66244D73">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19BC173C">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4579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68CA3E5A">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3</w:t>
            </w:r>
          </w:p>
        </w:tc>
        <w:tc>
          <w:tcPr>
            <w:tcW w:w="2572" w:type="pct"/>
            <w:vAlign w:val="center"/>
          </w:tcPr>
          <w:p w14:paraId="31C6FC01">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逃生设施</w:t>
            </w:r>
          </w:p>
        </w:tc>
        <w:tc>
          <w:tcPr>
            <w:tcW w:w="940" w:type="pct"/>
            <w:vAlign w:val="center"/>
          </w:tcPr>
          <w:p w14:paraId="39BE8F20">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5E859384">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413BF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53EAD086">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4</w:t>
            </w:r>
          </w:p>
        </w:tc>
        <w:tc>
          <w:tcPr>
            <w:tcW w:w="2572" w:type="pct"/>
            <w:vAlign w:val="center"/>
          </w:tcPr>
          <w:p w14:paraId="724E808A">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劳动保护用品和装备</w:t>
            </w:r>
          </w:p>
        </w:tc>
        <w:tc>
          <w:tcPr>
            <w:tcW w:w="940" w:type="pct"/>
            <w:vAlign w:val="center"/>
          </w:tcPr>
          <w:p w14:paraId="48A6227F">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28863F6D">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3046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33AE3D2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5</w:t>
            </w:r>
          </w:p>
        </w:tc>
        <w:tc>
          <w:tcPr>
            <w:tcW w:w="2572" w:type="pct"/>
            <w:vAlign w:val="center"/>
          </w:tcPr>
          <w:p w14:paraId="3E6C20D0">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维抢修设备</w:t>
            </w:r>
          </w:p>
        </w:tc>
        <w:tc>
          <w:tcPr>
            <w:tcW w:w="940" w:type="pct"/>
            <w:vAlign w:val="center"/>
          </w:tcPr>
          <w:p w14:paraId="55338EC6">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35F91926">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6D39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1D465161">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w:t>
            </w:r>
          </w:p>
        </w:tc>
        <w:tc>
          <w:tcPr>
            <w:tcW w:w="2572" w:type="pct"/>
            <w:vAlign w:val="center"/>
          </w:tcPr>
          <w:p w14:paraId="2DACB75A">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c>
          <w:tcPr>
            <w:tcW w:w="940" w:type="pct"/>
            <w:vAlign w:val="center"/>
          </w:tcPr>
          <w:p w14:paraId="5602CB9D">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444A30A8">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r w14:paraId="55CA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 w:type="pct"/>
            <w:vAlign w:val="center"/>
          </w:tcPr>
          <w:p w14:paraId="534C9B42">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五</w:t>
            </w:r>
          </w:p>
        </w:tc>
        <w:tc>
          <w:tcPr>
            <w:tcW w:w="2572" w:type="pct"/>
            <w:vAlign w:val="center"/>
          </w:tcPr>
          <w:p w14:paraId="3CED0878">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r>
              <w:rPr>
                <w:rFonts w:ascii="Times New Roman" w:hAnsi="Times New Roman" w:cs="Times New Roman"/>
                <w:color w:val="000000" w:themeColor="text1"/>
                <w:kern w:val="2"/>
                <w:sz w:val="18"/>
                <w:szCs w:val="18"/>
                <w14:textFill>
                  <w14:solidFill>
                    <w14:schemeClr w14:val="tx1"/>
                  </w14:solidFill>
                </w14:textFill>
              </w:rPr>
              <w:t>总计</w:t>
            </w:r>
          </w:p>
        </w:tc>
        <w:tc>
          <w:tcPr>
            <w:tcW w:w="940" w:type="pct"/>
            <w:vAlign w:val="center"/>
          </w:tcPr>
          <w:p w14:paraId="6C6AC719">
            <w:pPr>
              <w:pStyle w:val="344"/>
              <w:spacing w:line="240" w:lineRule="auto"/>
              <w:ind w:firstLine="0" w:firstLineChars="0"/>
              <w:textAlignment w:val="auto"/>
              <w:rPr>
                <w:rFonts w:ascii="Times New Roman" w:hAnsi="Times New Roman" w:cs="Times New Roman"/>
                <w:color w:val="000000" w:themeColor="text1"/>
                <w:kern w:val="2"/>
                <w:sz w:val="18"/>
                <w:szCs w:val="18"/>
                <w14:textFill>
                  <w14:solidFill>
                    <w14:schemeClr w14:val="tx1"/>
                  </w14:solidFill>
                </w14:textFill>
              </w:rPr>
            </w:pPr>
          </w:p>
        </w:tc>
        <w:tc>
          <w:tcPr>
            <w:tcW w:w="1002" w:type="pct"/>
            <w:vAlign w:val="center"/>
          </w:tcPr>
          <w:p w14:paraId="5764EC50">
            <w:pPr>
              <w:pStyle w:val="344"/>
              <w:spacing w:line="240" w:lineRule="auto"/>
              <w:ind w:firstLine="0" w:firstLineChars="0"/>
              <w:jc w:val="both"/>
              <w:textAlignment w:val="auto"/>
              <w:rPr>
                <w:rFonts w:ascii="Times New Roman" w:hAnsi="Times New Roman" w:cs="Times New Roman"/>
                <w:color w:val="000000" w:themeColor="text1"/>
                <w:kern w:val="2"/>
                <w:sz w:val="18"/>
                <w:szCs w:val="18"/>
                <w14:textFill>
                  <w14:solidFill>
                    <w14:schemeClr w14:val="tx1"/>
                  </w14:solidFill>
                </w14:textFill>
              </w:rPr>
            </w:pPr>
          </w:p>
        </w:tc>
      </w:tr>
    </w:tbl>
    <w:p w14:paraId="5835F0CB">
      <w:pPr>
        <w:pStyle w:val="76"/>
        <w:ind w:firstLine="420"/>
      </w:pPr>
    </w:p>
    <w:p w14:paraId="04E1C44B">
      <w:pPr>
        <w:pStyle w:val="76"/>
        <w:ind w:firstLine="420"/>
        <w:sectPr>
          <w:headerReference r:id="rId18" w:type="default"/>
          <w:footerReference r:id="rId20" w:type="default"/>
          <w:headerReference r:id="rId19" w:type="even"/>
          <w:footerReference r:id="rId21" w:type="even"/>
          <w:pgSz w:w="11906" w:h="16838"/>
          <w:pgMar w:top="1928" w:right="1134" w:bottom="1134" w:left="1134" w:header="1418" w:footer="1134" w:gutter="284"/>
          <w:pgNumType w:fmt="decimal"/>
          <w:cols w:space="425" w:num="1"/>
          <w:formProt w:val="0"/>
          <w:docGrid w:linePitch="312" w:charSpace="0"/>
        </w:sectPr>
      </w:pPr>
    </w:p>
    <w:p w14:paraId="43A74681">
      <w:pPr>
        <w:pStyle w:val="218"/>
        <w:rPr>
          <w:rFonts w:hint="eastAsia"/>
          <w:vanish w:val="0"/>
        </w:rPr>
      </w:pPr>
    </w:p>
    <w:p w14:paraId="0348AD57">
      <w:pPr>
        <w:pStyle w:val="219"/>
        <w:rPr>
          <w:vanish w:val="0"/>
        </w:rPr>
      </w:pPr>
    </w:p>
    <w:p w14:paraId="162E9A5B">
      <w:pPr>
        <w:pStyle w:val="96"/>
        <w:spacing w:after="120"/>
        <w:ind w:left="0"/>
      </w:pPr>
      <w:bookmarkStart w:id="701" w:name="OLE_LINK64"/>
      <w:bookmarkStart w:id="702" w:name="OLE_LINK63"/>
      <w:r>
        <w:br w:type="textWrapping"/>
      </w:r>
      <w:bookmarkStart w:id="703" w:name="_Toc195003816"/>
      <w:r>
        <w:rPr>
          <w:rFonts w:hint="eastAsia"/>
        </w:rPr>
        <w:t>（规范性）</w:t>
      </w:r>
      <w:r>
        <w:br w:type="textWrapping"/>
      </w:r>
      <w:r>
        <w:rPr>
          <w:rFonts w:hint="eastAsia"/>
        </w:rPr>
        <w:t>安全设施设计封面格式</w:t>
      </w:r>
      <w:bookmarkEnd w:id="703"/>
    </w:p>
    <w:p w14:paraId="14E44DEF">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bookmarkStart w:id="704" w:name="_Hlk193827163"/>
      <w:bookmarkStart w:id="705" w:name="_Hlk193827104"/>
    </w:p>
    <w:p w14:paraId="158E8F23">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p>
    <w:p w14:paraId="1915E5DE">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b/>
          <w:bCs/>
          <w:kern w:val="0"/>
          <w:sz w:val="44"/>
          <w:szCs w:val="44"/>
        </w:rPr>
      </w:pPr>
      <w:r>
        <w:rPr>
          <w:rFonts w:ascii="Times New Roman" w:hAnsi="Times New Roman"/>
          <w:b/>
          <w:bCs/>
          <w:kern w:val="0"/>
          <w:sz w:val="44"/>
          <w:szCs w:val="44"/>
        </w:rPr>
        <w:t>（</w:t>
      </w:r>
      <w:r>
        <w:rPr>
          <w:rFonts w:ascii="Times New Roman" w:hAnsi="Times New Roman"/>
          <w:b/>
          <w:bCs/>
          <w:color w:val="000000" w:themeColor="text1"/>
          <w:kern w:val="0"/>
          <w:sz w:val="44"/>
          <w:szCs w:val="44"/>
          <w14:textFill>
            <w14:solidFill>
              <w14:schemeClr w14:val="tx1"/>
            </w14:solidFill>
          </w14:textFill>
        </w:rPr>
        <w:t>建设项目名称</w:t>
      </w:r>
      <w:r>
        <w:rPr>
          <w:rFonts w:ascii="Times New Roman" w:hAnsi="Times New Roman"/>
          <w:b/>
          <w:bCs/>
          <w:kern w:val="0"/>
          <w:sz w:val="44"/>
          <w:szCs w:val="44"/>
        </w:rPr>
        <w:t>）</w:t>
      </w:r>
    </w:p>
    <w:p w14:paraId="7820394E">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ascii="Times New Roman" w:hAnsi="Times New Roman"/>
          <w:kern w:val="0"/>
        </w:rPr>
        <w:t>(居中</w:t>
      </w:r>
      <w:r>
        <w:rPr>
          <w:rFonts w:hint="eastAsia" w:ascii="Times New Roman" w:hAnsi="Times New Roman"/>
          <w:kern w:val="0"/>
        </w:rPr>
        <w:t>，</w:t>
      </w:r>
      <w:r>
        <w:rPr>
          <w:rFonts w:ascii="Times New Roman" w:hAnsi="Times New Roman"/>
          <w:kern w:val="0"/>
        </w:rPr>
        <w:t>二号宋体加粗</w:t>
      </w:r>
      <w:r>
        <w:rPr>
          <w:rFonts w:hint="eastAsia" w:ascii="Times New Roman" w:hAnsi="Times New Roman"/>
          <w:kern w:val="0"/>
        </w:rPr>
        <w:t>）</w:t>
      </w:r>
    </w:p>
    <w:p w14:paraId="0743665E">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黑体" w:hAnsi="黑体" w:eastAsia="黑体"/>
          <w:b/>
          <w:bCs/>
          <w:kern w:val="0"/>
          <w:sz w:val="52"/>
        </w:rPr>
      </w:pPr>
      <w:r>
        <w:rPr>
          <w:rFonts w:ascii="黑体" w:hAnsi="黑体" w:eastAsia="黑体"/>
          <w:b/>
          <w:bCs/>
          <w:kern w:val="0"/>
          <w:sz w:val="52"/>
        </w:rPr>
        <w:t>安全</w:t>
      </w:r>
      <w:r>
        <w:rPr>
          <w:rFonts w:ascii="黑体" w:hAnsi="黑体" w:eastAsia="黑体"/>
          <w:b/>
          <w:bCs/>
          <w:sz w:val="52"/>
        </w:rPr>
        <w:t>设施设计</w:t>
      </w:r>
    </w:p>
    <w:bookmarkEnd w:id="704"/>
    <w:p w14:paraId="3FBACF88">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ascii="Times New Roman" w:hAnsi="Times New Roman"/>
          <w:kern w:val="0"/>
        </w:rPr>
        <w:t>(居中</w:t>
      </w:r>
      <w:r>
        <w:rPr>
          <w:rFonts w:hint="eastAsia" w:ascii="Times New Roman" w:hAnsi="Times New Roman"/>
          <w:kern w:val="0"/>
        </w:rPr>
        <w:t>，</w:t>
      </w:r>
      <w:r>
        <w:rPr>
          <w:rFonts w:ascii="Times New Roman" w:hAnsi="Times New Roman"/>
          <w:kern w:val="0"/>
        </w:rPr>
        <w:t>一号黑体加粗</w:t>
      </w:r>
      <w:r>
        <w:rPr>
          <w:rFonts w:hint="eastAsia" w:ascii="Times New Roman" w:hAnsi="Times New Roman"/>
          <w:kern w:val="0"/>
        </w:rPr>
        <w:t>）</w:t>
      </w:r>
    </w:p>
    <w:p w14:paraId="7CB874C3">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4B644D4F">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建设单位：</w:t>
      </w:r>
    </w:p>
    <w:p w14:paraId="61F69BE6">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建设单位法定代表人：</w:t>
      </w:r>
    </w:p>
    <w:p w14:paraId="4CC7BC57">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w:t>
      </w:r>
    </w:p>
    <w:p w14:paraId="25914420">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建设项目单位主要负责人：</w:t>
      </w:r>
    </w:p>
    <w:p w14:paraId="50EF5664">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建设项目单位联系人：</w:t>
      </w:r>
    </w:p>
    <w:p w14:paraId="08D22135">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建设项目单位联系电话：</w:t>
      </w:r>
    </w:p>
    <w:p w14:paraId="0050B0CB">
      <w:pPr>
        <w:pBdr>
          <w:top w:val="single" w:color="auto" w:sz="4" w:space="1"/>
          <w:left w:val="single" w:color="auto" w:sz="4" w:space="4"/>
          <w:bottom w:val="single" w:color="auto" w:sz="4" w:space="1"/>
          <w:right w:val="single" w:color="auto" w:sz="4" w:space="4"/>
        </w:pBdr>
        <w:spacing w:before="120" w:beforeLines="50" w:line="300" w:lineRule="auto"/>
        <w:ind w:firstLine="720" w:firstLineChars="300"/>
        <w:jc w:val="left"/>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顶端缩进2个字符</w:t>
      </w:r>
      <w:r>
        <w:rPr>
          <w:rFonts w:hint="eastAsia" w:ascii="Times New Roman" w:hAnsi="Times New Roman"/>
          <w:kern w:val="0"/>
          <w:sz w:val="24"/>
        </w:rPr>
        <w:t>，</w:t>
      </w:r>
      <w:r>
        <w:rPr>
          <w:rFonts w:ascii="Times New Roman" w:hAnsi="Times New Roman"/>
          <w:kern w:val="0"/>
          <w:sz w:val="24"/>
        </w:rPr>
        <w:t>三号宋体加粗</w:t>
      </w:r>
      <w:r>
        <w:rPr>
          <w:rFonts w:hint="eastAsia" w:ascii="Times New Roman" w:hAnsi="Times New Roman"/>
          <w:kern w:val="0"/>
          <w:sz w:val="24"/>
        </w:rPr>
        <w:t>）</w:t>
      </w:r>
    </w:p>
    <w:p w14:paraId="329B1A9D">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（建设项目单位公章）</w:t>
      </w:r>
    </w:p>
    <w:p w14:paraId="0358BBBA">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年　　月　　日</w:t>
      </w:r>
    </w:p>
    <w:p w14:paraId="7E268364">
      <w:pPr>
        <w:pBdr>
          <w:top w:val="single" w:color="auto" w:sz="4" w:space="1"/>
          <w:left w:val="single" w:color="auto" w:sz="4" w:space="4"/>
          <w:bottom w:val="single" w:color="auto" w:sz="4" w:space="1"/>
          <w:right w:val="single" w:color="auto" w:sz="4" w:space="4"/>
        </w:pBdr>
        <w:spacing w:before="120" w:beforeLines="50" w:line="300" w:lineRule="auto"/>
        <w:jc w:val="center"/>
        <w:rPr>
          <w:rFonts w:hint="eastAsia" w:ascii="宋体" w:hAnsi="宋体" w:cs="宋体"/>
          <w:color w:val="000000"/>
          <w:kern w:val="0"/>
          <w:sz w:val="24"/>
          <w:szCs w:val="24"/>
        </w:rPr>
      </w:pPr>
      <w:r>
        <w:rPr>
          <w:rFonts w:ascii="Times New Roman" w:hAnsi="Times New Roman"/>
          <w:color w:val="000000" w:themeColor="text1"/>
          <w:kern w:val="0"/>
          <w:sz w:val="24"/>
          <w14:textFill>
            <w14:solidFill>
              <w14:schemeClr w14:val="tx1"/>
            </w14:solidFill>
          </w14:textFill>
        </w:rPr>
        <w:t>(居中</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三号宋体加粗</w:t>
      </w:r>
      <w:r>
        <w:rPr>
          <w:rFonts w:hint="eastAsia" w:ascii="Times New Roman" w:hAnsi="Times New Roman"/>
          <w:color w:val="000000" w:themeColor="text1"/>
          <w:kern w:val="0"/>
          <w:sz w:val="24"/>
          <w14:textFill>
            <w14:solidFill>
              <w14:schemeClr w14:val="tx1"/>
            </w14:solidFill>
          </w14:textFill>
        </w:rPr>
        <w:t>）</w:t>
      </w:r>
      <w:bookmarkEnd w:id="705"/>
      <w:bookmarkStart w:id="706" w:name="_Toc7303"/>
      <w:bookmarkEnd w:id="706"/>
    </w:p>
    <w:p w14:paraId="268B95B5">
      <w:pPr>
        <w:pStyle w:val="96"/>
        <w:numPr>
          <w:ilvl w:val="0"/>
          <w:numId w:val="11"/>
        </w:numPr>
        <w:tabs>
          <w:tab w:val="clear" w:pos="823"/>
        </w:tabs>
        <w:spacing w:after="120"/>
        <w:ind w:left="0" w:firstLine="0"/>
      </w:pPr>
      <w:r>
        <w:rPr>
          <w:rFonts w:hint="eastAsia" w:ascii="Times New Roman"/>
          <w:color w:val="000000"/>
          <w:szCs w:val="24"/>
        </w:rPr>
        <w:br w:type="page"/>
      </w:r>
      <w:bookmarkEnd w:id="701"/>
      <w:bookmarkEnd w:id="702"/>
    </w:p>
    <w:p w14:paraId="53FAF654">
      <w:pPr>
        <w:pStyle w:val="96"/>
        <w:spacing w:after="120"/>
        <w:ind w:left="0"/>
      </w:pPr>
      <w:r>
        <w:br w:type="textWrapping"/>
      </w:r>
      <w:bookmarkStart w:id="707" w:name="_Toc195003817"/>
      <w:r>
        <w:rPr>
          <w:rFonts w:hint="eastAsia"/>
        </w:rPr>
        <w:t>（规范性）</w:t>
      </w:r>
      <w:r>
        <w:br w:type="textWrapping"/>
      </w:r>
      <w:r>
        <w:rPr>
          <w:rFonts w:hint="eastAsia" w:hAnsi="黑体"/>
        </w:rPr>
        <w:t>安全设施设计扉页(著录项）格式</w:t>
      </w:r>
      <w:bookmarkEnd w:id="707"/>
    </w:p>
    <w:p w14:paraId="5DC8C97C">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p>
    <w:p w14:paraId="7AE67322">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p>
    <w:p w14:paraId="75DBDE6D">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宋体" w:hAnsi="宋体"/>
          <w:b/>
          <w:bCs/>
          <w:kern w:val="0"/>
          <w:sz w:val="44"/>
          <w:szCs w:val="44"/>
        </w:rPr>
      </w:pPr>
      <w:r>
        <w:rPr>
          <w:rFonts w:ascii="宋体" w:hAnsi="宋体"/>
          <w:b/>
          <w:bCs/>
          <w:kern w:val="0"/>
          <w:sz w:val="44"/>
          <w:szCs w:val="44"/>
        </w:rPr>
        <w:t>（建设项目名称）</w:t>
      </w:r>
    </w:p>
    <w:p w14:paraId="0EF0FE33">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hint="eastAsia" w:ascii="Times New Roman" w:hAnsi="Times New Roman"/>
          <w:kern w:val="0"/>
        </w:rPr>
        <w:t>（</w:t>
      </w:r>
      <w:r>
        <w:rPr>
          <w:rFonts w:ascii="Times New Roman" w:hAnsi="Times New Roman"/>
          <w:kern w:val="0"/>
        </w:rPr>
        <w:t>居中</w:t>
      </w:r>
      <w:r>
        <w:rPr>
          <w:rFonts w:hint="eastAsia" w:ascii="Times New Roman" w:hAnsi="Times New Roman"/>
          <w:kern w:val="0"/>
        </w:rPr>
        <w:t>，</w:t>
      </w:r>
      <w:r>
        <w:rPr>
          <w:rFonts w:ascii="Times New Roman" w:hAnsi="Times New Roman"/>
          <w:kern w:val="0"/>
        </w:rPr>
        <w:t>二号宋体加粗</w:t>
      </w:r>
      <w:r>
        <w:rPr>
          <w:rFonts w:hint="eastAsia" w:ascii="Times New Roman" w:hAnsi="Times New Roman"/>
          <w:kern w:val="0"/>
        </w:rPr>
        <w:t>）</w:t>
      </w:r>
    </w:p>
    <w:p w14:paraId="4E54B515">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hint="eastAsia" w:ascii="黑体" w:hAnsi="黑体" w:eastAsia="黑体"/>
          <w:kern w:val="0"/>
          <w:sz w:val="52"/>
        </w:rPr>
      </w:pPr>
      <w:r>
        <w:rPr>
          <w:rFonts w:ascii="黑体" w:hAnsi="黑体" w:eastAsia="黑体"/>
          <w:kern w:val="0"/>
          <w:sz w:val="52"/>
        </w:rPr>
        <w:t>安全</w:t>
      </w:r>
      <w:r>
        <w:rPr>
          <w:rFonts w:ascii="黑体" w:hAnsi="黑体" w:eastAsia="黑体"/>
          <w:sz w:val="52"/>
        </w:rPr>
        <w:t>设施设计</w:t>
      </w:r>
    </w:p>
    <w:p w14:paraId="22B3B634">
      <w:pPr>
        <w:pBdr>
          <w:top w:val="single" w:color="auto" w:sz="4" w:space="1"/>
          <w:left w:val="single" w:color="auto" w:sz="4" w:space="4"/>
          <w:bottom w:val="single" w:color="auto" w:sz="4" w:space="1"/>
          <w:right w:val="single" w:color="auto" w:sz="4" w:space="4"/>
        </w:pBdr>
        <w:snapToGrid w:val="0"/>
        <w:spacing w:before="120" w:beforeLines="50" w:line="300" w:lineRule="auto"/>
        <w:jc w:val="center"/>
        <w:rPr>
          <w:rFonts w:ascii="Times New Roman" w:hAnsi="Times New Roman"/>
          <w:kern w:val="0"/>
          <w:sz w:val="52"/>
        </w:rPr>
      </w:pPr>
      <w:r>
        <w:rPr>
          <w:rFonts w:hint="eastAsia" w:ascii="Times New Roman" w:hAnsi="Times New Roman"/>
          <w:kern w:val="0"/>
        </w:rPr>
        <w:t>（</w:t>
      </w:r>
      <w:r>
        <w:rPr>
          <w:rFonts w:ascii="Times New Roman" w:hAnsi="Times New Roman"/>
          <w:kern w:val="0"/>
        </w:rPr>
        <w:t>居中</w:t>
      </w:r>
      <w:r>
        <w:rPr>
          <w:rFonts w:hint="eastAsia" w:ascii="Times New Roman" w:hAnsi="Times New Roman"/>
          <w:kern w:val="0"/>
        </w:rPr>
        <w:t>，</w:t>
      </w:r>
      <w:r>
        <w:rPr>
          <w:rFonts w:ascii="Times New Roman" w:hAnsi="Times New Roman"/>
          <w:kern w:val="0"/>
        </w:rPr>
        <w:t>一号黑体加粗</w:t>
      </w:r>
      <w:r>
        <w:rPr>
          <w:rFonts w:hint="eastAsia" w:ascii="Times New Roman" w:hAnsi="Times New Roman"/>
          <w:kern w:val="0"/>
        </w:rPr>
        <w:t>）</w:t>
      </w:r>
    </w:p>
    <w:p w14:paraId="6361BEFB">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37E89813">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711ED22A">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4671771D">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p>
    <w:p w14:paraId="09F37612">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设计单位名称：</w:t>
      </w:r>
    </w:p>
    <w:p w14:paraId="5C053E8B">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设计单位法定代表人：</w:t>
      </w:r>
    </w:p>
    <w:p w14:paraId="503D4891">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设计项目负责人：</w:t>
      </w:r>
    </w:p>
    <w:p w14:paraId="5A15B5FF">
      <w:pPr>
        <w:pBdr>
          <w:top w:val="single" w:color="auto" w:sz="4" w:space="1"/>
          <w:left w:val="single" w:color="auto" w:sz="4" w:space="4"/>
          <w:bottom w:val="single" w:color="auto" w:sz="4" w:space="1"/>
          <w:right w:val="single" w:color="auto" w:sz="4" w:space="4"/>
        </w:pBdr>
        <w:spacing w:before="120" w:beforeLines="50" w:line="300" w:lineRule="auto"/>
        <w:ind w:firstLine="643" w:firstLineChars="200"/>
        <w:jc w:val="left"/>
        <w:rPr>
          <w:rFonts w:ascii="Times New Roman" w:hAnsi="Times New Roman"/>
          <w:b/>
          <w:bCs/>
          <w:kern w:val="0"/>
          <w:sz w:val="32"/>
        </w:rPr>
      </w:pPr>
      <w:r>
        <w:rPr>
          <w:rFonts w:ascii="Times New Roman" w:hAnsi="Times New Roman"/>
          <w:b/>
          <w:bCs/>
          <w:kern w:val="0"/>
          <w:sz w:val="32"/>
        </w:rPr>
        <w:t>设计单位联系电话：</w:t>
      </w:r>
    </w:p>
    <w:p w14:paraId="0DF3D0E1">
      <w:pPr>
        <w:pBdr>
          <w:top w:val="single" w:color="auto" w:sz="4" w:space="1"/>
          <w:left w:val="single" w:color="auto" w:sz="4" w:space="4"/>
          <w:bottom w:val="single" w:color="auto" w:sz="4" w:space="1"/>
          <w:right w:val="single" w:color="auto" w:sz="4" w:space="4"/>
        </w:pBdr>
        <w:spacing w:before="120" w:beforeLines="50" w:line="300" w:lineRule="auto"/>
        <w:ind w:firstLine="720" w:firstLineChars="300"/>
        <w:jc w:val="left"/>
        <w:rPr>
          <w:rFonts w:ascii="Times New Roman" w:hAnsi="Times New Roman"/>
          <w:kern w:val="0"/>
          <w:sz w:val="24"/>
        </w:rPr>
      </w:pPr>
      <w:r>
        <w:rPr>
          <w:rFonts w:hint="eastAsia" w:ascii="Times New Roman" w:hAnsi="Times New Roman"/>
          <w:kern w:val="0"/>
          <w:sz w:val="24"/>
        </w:rPr>
        <w:t>（</w:t>
      </w:r>
      <w:r>
        <w:rPr>
          <w:rFonts w:ascii="Times New Roman" w:hAnsi="Times New Roman"/>
          <w:kern w:val="0"/>
          <w:sz w:val="24"/>
        </w:rPr>
        <w:t>顶端缩进2个字符</w:t>
      </w:r>
      <w:r>
        <w:rPr>
          <w:rFonts w:hint="eastAsia" w:ascii="Times New Roman" w:hAnsi="Times New Roman"/>
          <w:kern w:val="0"/>
          <w:sz w:val="24"/>
        </w:rPr>
        <w:t>，</w:t>
      </w:r>
      <w:r>
        <w:rPr>
          <w:rFonts w:ascii="Times New Roman" w:hAnsi="Times New Roman"/>
          <w:kern w:val="0"/>
          <w:sz w:val="24"/>
        </w:rPr>
        <w:t>三号宋体加粗</w:t>
      </w:r>
      <w:r>
        <w:rPr>
          <w:rFonts w:hint="eastAsia" w:ascii="Times New Roman" w:hAnsi="Times New Roman"/>
          <w:kern w:val="0"/>
          <w:sz w:val="24"/>
        </w:rPr>
        <w:t>）</w:t>
      </w:r>
    </w:p>
    <w:p w14:paraId="5DA10806">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（设计单位公章）</w:t>
      </w:r>
    </w:p>
    <w:p w14:paraId="05BDC88B">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b/>
          <w:bCs/>
          <w:color w:val="000000" w:themeColor="text1"/>
          <w:kern w:val="0"/>
          <w:sz w:val="32"/>
          <w14:textFill>
            <w14:solidFill>
              <w14:schemeClr w14:val="tx1"/>
            </w14:solidFill>
          </w14:textFill>
        </w:rPr>
      </w:pPr>
      <w:r>
        <w:rPr>
          <w:rFonts w:ascii="Times New Roman" w:hAnsi="Times New Roman"/>
          <w:b/>
          <w:bCs/>
          <w:color w:val="000000" w:themeColor="text1"/>
          <w:kern w:val="0"/>
          <w:sz w:val="32"/>
          <w14:textFill>
            <w14:solidFill>
              <w14:schemeClr w14:val="tx1"/>
            </w14:solidFill>
          </w14:textFill>
        </w:rPr>
        <w:t>年　　月　　日</w:t>
      </w:r>
    </w:p>
    <w:p w14:paraId="5CC3215C">
      <w:pPr>
        <w:pBdr>
          <w:top w:val="single" w:color="auto" w:sz="4" w:space="1"/>
          <w:left w:val="single" w:color="auto" w:sz="4" w:space="4"/>
          <w:bottom w:val="single" w:color="auto" w:sz="4" w:space="1"/>
          <w:right w:val="single" w:color="auto" w:sz="4" w:space="4"/>
        </w:pBdr>
        <w:spacing w:before="120" w:beforeLines="50" w:line="300" w:lineRule="auto"/>
        <w:jc w:val="center"/>
        <w:rPr>
          <w:rFonts w:ascii="Times New Roman" w:hAnsi="Times New Roman"/>
          <w:color w:val="000000" w:themeColor="text1"/>
          <w:kern w:val="0"/>
          <w:sz w:val="24"/>
          <w14:textFill>
            <w14:solidFill>
              <w14:schemeClr w14:val="tx1"/>
            </w14:solidFill>
          </w14:textFill>
        </w:rPr>
      </w:pPr>
      <w:r>
        <w:rPr>
          <w:rFonts w:ascii="Times New Roman" w:hAnsi="Times New Roman"/>
          <w:color w:val="000000" w:themeColor="text1"/>
          <w:kern w:val="0"/>
          <w:sz w:val="24"/>
          <w14:textFill>
            <w14:solidFill>
              <w14:schemeClr w14:val="tx1"/>
            </w14:solidFill>
          </w14:textFill>
        </w:rPr>
        <w:t>(居中</w:t>
      </w:r>
      <w:r>
        <w:rPr>
          <w:rFonts w:hint="eastAsia" w:ascii="Times New Roman" w:hAnsi="Times New Roman"/>
          <w:color w:val="000000" w:themeColor="text1"/>
          <w:kern w:val="0"/>
          <w:sz w:val="24"/>
          <w14:textFill>
            <w14:solidFill>
              <w14:schemeClr w14:val="tx1"/>
            </w14:solidFill>
          </w14:textFill>
        </w:rPr>
        <w:t>，</w:t>
      </w:r>
      <w:r>
        <w:rPr>
          <w:rFonts w:ascii="Times New Roman" w:hAnsi="Times New Roman"/>
          <w:color w:val="000000" w:themeColor="text1"/>
          <w:kern w:val="0"/>
          <w:sz w:val="24"/>
          <w14:textFill>
            <w14:solidFill>
              <w14:schemeClr w14:val="tx1"/>
            </w14:solidFill>
          </w14:textFill>
        </w:rPr>
        <w:t>三号宋体加粗</w:t>
      </w:r>
      <w:r>
        <w:rPr>
          <w:rFonts w:hint="eastAsia" w:ascii="Times New Roman" w:hAnsi="Times New Roman"/>
          <w:color w:val="000000" w:themeColor="text1"/>
          <w:kern w:val="0"/>
          <w:sz w:val="24"/>
          <w14:textFill>
            <w14:solidFill>
              <w14:schemeClr w14:val="tx1"/>
            </w14:solidFill>
          </w14:textFill>
        </w:rPr>
        <w:t>）</w:t>
      </w:r>
    </w:p>
    <w:p w14:paraId="44E3AE59">
      <w:pPr>
        <w:pStyle w:val="76"/>
        <w:pBdr>
          <w:top w:val="single" w:color="auto" w:sz="4" w:space="1"/>
          <w:left w:val="single" w:color="auto" w:sz="4" w:space="4"/>
          <w:bottom w:val="single" w:color="auto" w:sz="4" w:space="1"/>
          <w:right w:val="single" w:color="auto" w:sz="4" w:space="4"/>
        </w:pBdr>
        <w:ind w:firstLine="420"/>
      </w:pPr>
    </w:p>
    <w:p w14:paraId="6DA463B2">
      <w:pPr>
        <w:pStyle w:val="76"/>
        <w:pBdr>
          <w:top w:val="single" w:color="auto" w:sz="4" w:space="1"/>
          <w:left w:val="single" w:color="auto" w:sz="4" w:space="4"/>
          <w:bottom w:val="single" w:color="auto" w:sz="4" w:space="1"/>
          <w:right w:val="single" w:color="auto" w:sz="4" w:space="4"/>
        </w:pBdr>
        <w:ind w:firstLine="420"/>
      </w:pPr>
    </w:p>
    <w:bookmarkEnd w:id="699"/>
    <w:p w14:paraId="56919BEC">
      <w:pPr>
        <w:pStyle w:val="76"/>
        <w:pBdr>
          <w:top w:val="single" w:color="auto" w:sz="4" w:space="1"/>
          <w:left w:val="single" w:color="auto" w:sz="4" w:space="4"/>
          <w:bottom w:val="single" w:color="auto" w:sz="4" w:space="1"/>
          <w:right w:val="single" w:color="auto" w:sz="4" w:space="4"/>
        </w:pBdr>
        <w:ind w:firstLine="420"/>
      </w:pPr>
      <w:bookmarkStart w:id="708" w:name="BookMark6"/>
    </w:p>
    <w:p w14:paraId="51F7B463">
      <w:pPr>
        <w:pStyle w:val="76"/>
        <w:pBdr>
          <w:top w:val="single" w:color="auto" w:sz="4" w:space="1"/>
          <w:left w:val="single" w:color="auto" w:sz="4" w:space="4"/>
          <w:bottom w:val="single" w:color="auto" w:sz="4" w:space="1"/>
          <w:right w:val="single" w:color="auto" w:sz="4" w:space="4"/>
        </w:pBdr>
        <w:ind w:firstLine="420"/>
        <w:sectPr>
          <w:footerReference r:id="rId23" w:type="default"/>
          <w:headerReference r:id="rId22" w:type="even"/>
          <w:footerReference r:id="rId24" w:type="even"/>
          <w:pgSz w:w="11906" w:h="16838"/>
          <w:pgMar w:top="1928" w:right="1134" w:bottom="1134" w:left="1134" w:header="1418" w:footer="1134" w:gutter="284"/>
          <w:pgNumType w:fmt="decimal"/>
          <w:cols w:space="425" w:num="1"/>
          <w:formProt w:val="0"/>
          <w:docGrid w:linePitch="312" w:charSpace="0"/>
        </w:sectPr>
      </w:pPr>
    </w:p>
    <w:p w14:paraId="052A63C7">
      <w:pPr>
        <w:pStyle w:val="96"/>
        <w:spacing w:after="120"/>
        <w:ind w:left="0"/>
      </w:pPr>
      <w:bookmarkStart w:id="709" w:name="_Toc17379"/>
      <w:bookmarkStart w:id="710" w:name="_Toc6313"/>
      <w:bookmarkStart w:id="711" w:name="_Toc28570"/>
      <w:r>
        <w:br w:type="textWrapping"/>
      </w:r>
      <w:bookmarkStart w:id="712" w:name="_Toc193375452"/>
      <w:bookmarkStart w:id="713" w:name="_Toc195003818"/>
      <w:r>
        <w:rPr>
          <w:rFonts w:hint="eastAsia"/>
        </w:rPr>
        <w:t>（规范性）</w:t>
      </w:r>
      <w:bookmarkEnd w:id="709"/>
      <w:bookmarkEnd w:id="710"/>
      <w:bookmarkEnd w:id="711"/>
      <w:bookmarkStart w:id="714" w:name="_Toc32159"/>
      <w:r>
        <w:br w:type="textWrapping"/>
      </w:r>
      <w:r>
        <w:t>安全设施设计校审人员名单格式</w:t>
      </w:r>
      <w:bookmarkEnd w:id="712"/>
      <w:bookmarkEnd w:id="713"/>
      <w:bookmarkEnd w:id="714"/>
    </w:p>
    <w:p w14:paraId="46428EFA">
      <w:pPr>
        <w:spacing w:before="120" w:beforeLines="50" w:line="300" w:lineRule="auto"/>
        <w:jc w:val="center"/>
        <w:rPr>
          <w:rFonts w:ascii="Times New Roman" w:hAnsi="Times New Roman"/>
        </w:rPr>
      </w:pPr>
      <w:r>
        <w:rPr>
          <w:rFonts w:ascii="Times New Roman" w:hAnsi="Times New Roman"/>
        </w:rPr>
        <w:t>主要编制人员</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7"/>
        <w:gridCol w:w="1445"/>
        <w:gridCol w:w="1765"/>
        <w:gridCol w:w="1765"/>
        <w:gridCol w:w="1769"/>
      </w:tblGrid>
      <w:tr w14:paraId="6F2D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827" w:type="dxa"/>
            <w:vAlign w:val="center"/>
          </w:tcPr>
          <w:p w14:paraId="0273E3D1">
            <w:pPr>
              <w:spacing w:before="120" w:beforeLines="50" w:line="300" w:lineRule="auto"/>
              <w:jc w:val="center"/>
              <w:rPr>
                <w:rFonts w:ascii="Times New Roman" w:hAnsi="Times New Roman"/>
              </w:rPr>
            </w:pPr>
          </w:p>
        </w:tc>
        <w:tc>
          <w:tcPr>
            <w:tcW w:w="1445" w:type="dxa"/>
            <w:vAlign w:val="center"/>
          </w:tcPr>
          <w:p w14:paraId="32F777FB">
            <w:pPr>
              <w:spacing w:before="120" w:beforeLines="50" w:line="300" w:lineRule="auto"/>
              <w:jc w:val="center"/>
              <w:rPr>
                <w:rFonts w:ascii="Times New Roman" w:hAnsi="Times New Roman"/>
              </w:rPr>
            </w:pPr>
          </w:p>
        </w:tc>
        <w:tc>
          <w:tcPr>
            <w:tcW w:w="1765" w:type="dxa"/>
            <w:vAlign w:val="center"/>
          </w:tcPr>
          <w:p w14:paraId="5AC2B4B9">
            <w:pPr>
              <w:spacing w:before="120" w:beforeLines="50" w:line="300" w:lineRule="auto"/>
              <w:jc w:val="center"/>
              <w:rPr>
                <w:rFonts w:ascii="Times New Roman" w:hAnsi="Times New Roman"/>
              </w:rPr>
            </w:pPr>
          </w:p>
        </w:tc>
        <w:tc>
          <w:tcPr>
            <w:tcW w:w="1765" w:type="dxa"/>
            <w:vAlign w:val="center"/>
          </w:tcPr>
          <w:p w14:paraId="7A9BF432">
            <w:pPr>
              <w:spacing w:before="120" w:beforeLines="50" w:line="300" w:lineRule="auto"/>
              <w:jc w:val="center"/>
              <w:rPr>
                <w:rFonts w:ascii="Times New Roman" w:hAnsi="Times New Roman"/>
              </w:rPr>
            </w:pPr>
          </w:p>
        </w:tc>
        <w:tc>
          <w:tcPr>
            <w:tcW w:w="1769" w:type="dxa"/>
            <w:vAlign w:val="center"/>
          </w:tcPr>
          <w:p w14:paraId="4BF41DF2">
            <w:pPr>
              <w:spacing w:before="120" w:beforeLines="50" w:line="300" w:lineRule="auto"/>
              <w:jc w:val="center"/>
              <w:rPr>
                <w:rFonts w:ascii="Times New Roman" w:hAnsi="Times New Roman"/>
              </w:rPr>
            </w:pPr>
          </w:p>
        </w:tc>
      </w:tr>
      <w:tr w14:paraId="6936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45CA8721">
            <w:pPr>
              <w:spacing w:before="120" w:beforeLines="50" w:line="300" w:lineRule="auto"/>
              <w:jc w:val="center"/>
              <w:rPr>
                <w:rFonts w:ascii="Times New Roman" w:hAnsi="Times New Roman"/>
              </w:rPr>
            </w:pPr>
          </w:p>
        </w:tc>
        <w:tc>
          <w:tcPr>
            <w:tcW w:w="1445" w:type="dxa"/>
            <w:vAlign w:val="center"/>
          </w:tcPr>
          <w:p w14:paraId="05AEDBA0">
            <w:pPr>
              <w:spacing w:before="120" w:beforeLines="50" w:line="300" w:lineRule="auto"/>
              <w:jc w:val="center"/>
              <w:rPr>
                <w:rFonts w:ascii="Times New Roman" w:hAnsi="Times New Roman"/>
              </w:rPr>
            </w:pPr>
          </w:p>
        </w:tc>
        <w:tc>
          <w:tcPr>
            <w:tcW w:w="1765" w:type="dxa"/>
            <w:vAlign w:val="center"/>
          </w:tcPr>
          <w:p w14:paraId="202C4C6A">
            <w:pPr>
              <w:spacing w:before="120" w:beforeLines="50" w:line="300" w:lineRule="auto"/>
              <w:jc w:val="center"/>
              <w:rPr>
                <w:rFonts w:ascii="Times New Roman" w:hAnsi="Times New Roman"/>
              </w:rPr>
            </w:pPr>
          </w:p>
        </w:tc>
        <w:tc>
          <w:tcPr>
            <w:tcW w:w="1765" w:type="dxa"/>
            <w:vAlign w:val="center"/>
          </w:tcPr>
          <w:p w14:paraId="5E7C3654">
            <w:pPr>
              <w:spacing w:before="120" w:beforeLines="50" w:line="300" w:lineRule="auto"/>
              <w:jc w:val="center"/>
              <w:rPr>
                <w:rFonts w:ascii="Times New Roman" w:hAnsi="Times New Roman"/>
              </w:rPr>
            </w:pPr>
          </w:p>
        </w:tc>
        <w:tc>
          <w:tcPr>
            <w:tcW w:w="1769" w:type="dxa"/>
            <w:vAlign w:val="center"/>
          </w:tcPr>
          <w:p w14:paraId="5E3D1AB7">
            <w:pPr>
              <w:spacing w:before="120" w:beforeLines="50" w:line="300" w:lineRule="auto"/>
              <w:jc w:val="center"/>
              <w:rPr>
                <w:rFonts w:ascii="Times New Roman" w:hAnsi="Times New Roman"/>
              </w:rPr>
            </w:pPr>
          </w:p>
        </w:tc>
      </w:tr>
      <w:tr w14:paraId="1147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77A54148">
            <w:pPr>
              <w:spacing w:before="120" w:beforeLines="50" w:line="300" w:lineRule="auto"/>
              <w:jc w:val="center"/>
              <w:rPr>
                <w:rFonts w:ascii="Times New Roman" w:hAnsi="Times New Roman"/>
              </w:rPr>
            </w:pPr>
          </w:p>
        </w:tc>
        <w:tc>
          <w:tcPr>
            <w:tcW w:w="1445" w:type="dxa"/>
            <w:vAlign w:val="center"/>
          </w:tcPr>
          <w:p w14:paraId="19C64CD6">
            <w:pPr>
              <w:spacing w:before="120" w:beforeLines="50" w:line="300" w:lineRule="auto"/>
              <w:jc w:val="center"/>
              <w:rPr>
                <w:rFonts w:ascii="Times New Roman" w:hAnsi="Times New Roman"/>
              </w:rPr>
            </w:pPr>
          </w:p>
        </w:tc>
        <w:tc>
          <w:tcPr>
            <w:tcW w:w="1765" w:type="dxa"/>
            <w:vAlign w:val="center"/>
          </w:tcPr>
          <w:p w14:paraId="677E73F3">
            <w:pPr>
              <w:spacing w:before="120" w:beforeLines="50" w:line="300" w:lineRule="auto"/>
              <w:jc w:val="center"/>
              <w:rPr>
                <w:rFonts w:ascii="Times New Roman" w:hAnsi="Times New Roman"/>
              </w:rPr>
            </w:pPr>
          </w:p>
        </w:tc>
        <w:tc>
          <w:tcPr>
            <w:tcW w:w="1765" w:type="dxa"/>
            <w:vAlign w:val="center"/>
          </w:tcPr>
          <w:p w14:paraId="793312AE">
            <w:pPr>
              <w:spacing w:before="120" w:beforeLines="50" w:line="300" w:lineRule="auto"/>
              <w:jc w:val="center"/>
              <w:rPr>
                <w:rFonts w:ascii="Times New Roman" w:hAnsi="Times New Roman"/>
              </w:rPr>
            </w:pPr>
          </w:p>
        </w:tc>
        <w:tc>
          <w:tcPr>
            <w:tcW w:w="1769" w:type="dxa"/>
            <w:vAlign w:val="center"/>
          </w:tcPr>
          <w:p w14:paraId="3760A282">
            <w:pPr>
              <w:spacing w:before="120" w:beforeLines="50" w:line="300" w:lineRule="auto"/>
              <w:jc w:val="center"/>
              <w:rPr>
                <w:rFonts w:ascii="Times New Roman" w:hAnsi="Times New Roman"/>
              </w:rPr>
            </w:pPr>
          </w:p>
        </w:tc>
      </w:tr>
      <w:tr w14:paraId="4142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73B46789">
            <w:pPr>
              <w:spacing w:before="120" w:beforeLines="50" w:line="300" w:lineRule="auto"/>
              <w:jc w:val="center"/>
              <w:rPr>
                <w:rFonts w:ascii="Times New Roman" w:hAnsi="Times New Roman"/>
              </w:rPr>
            </w:pPr>
          </w:p>
        </w:tc>
        <w:tc>
          <w:tcPr>
            <w:tcW w:w="1445" w:type="dxa"/>
            <w:vAlign w:val="center"/>
          </w:tcPr>
          <w:p w14:paraId="6AF4D659">
            <w:pPr>
              <w:spacing w:before="120" w:beforeLines="50" w:line="300" w:lineRule="auto"/>
              <w:jc w:val="center"/>
              <w:rPr>
                <w:rFonts w:ascii="Times New Roman" w:hAnsi="Times New Roman"/>
              </w:rPr>
            </w:pPr>
          </w:p>
        </w:tc>
        <w:tc>
          <w:tcPr>
            <w:tcW w:w="1765" w:type="dxa"/>
            <w:vAlign w:val="center"/>
          </w:tcPr>
          <w:p w14:paraId="4DCFFD9B">
            <w:pPr>
              <w:spacing w:before="120" w:beforeLines="50" w:line="300" w:lineRule="auto"/>
              <w:jc w:val="center"/>
              <w:rPr>
                <w:rFonts w:ascii="Times New Roman" w:hAnsi="Times New Roman"/>
              </w:rPr>
            </w:pPr>
          </w:p>
        </w:tc>
        <w:tc>
          <w:tcPr>
            <w:tcW w:w="1765" w:type="dxa"/>
            <w:vAlign w:val="center"/>
          </w:tcPr>
          <w:p w14:paraId="3F410517">
            <w:pPr>
              <w:spacing w:before="120" w:beforeLines="50" w:line="300" w:lineRule="auto"/>
              <w:jc w:val="center"/>
              <w:rPr>
                <w:rFonts w:ascii="Times New Roman" w:hAnsi="Times New Roman"/>
              </w:rPr>
            </w:pPr>
          </w:p>
        </w:tc>
        <w:tc>
          <w:tcPr>
            <w:tcW w:w="1769" w:type="dxa"/>
            <w:vAlign w:val="center"/>
          </w:tcPr>
          <w:p w14:paraId="3C6D1EC5">
            <w:pPr>
              <w:spacing w:before="120" w:beforeLines="50" w:line="300" w:lineRule="auto"/>
              <w:jc w:val="center"/>
              <w:rPr>
                <w:rFonts w:ascii="Times New Roman" w:hAnsi="Times New Roman"/>
              </w:rPr>
            </w:pPr>
          </w:p>
        </w:tc>
      </w:tr>
      <w:tr w14:paraId="3E2F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242312D6">
            <w:pPr>
              <w:spacing w:before="120" w:beforeLines="50" w:line="300" w:lineRule="auto"/>
              <w:jc w:val="center"/>
              <w:rPr>
                <w:rFonts w:ascii="Times New Roman" w:hAnsi="Times New Roman"/>
              </w:rPr>
            </w:pPr>
          </w:p>
        </w:tc>
        <w:tc>
          <w:tcPr>
            <w:tcW w:w="1445" w:type="dxa"/>
            <w:vAlign w:val="center"/>
          </w:tcPr>
          <w:p w14:paraId="709671D5">
            <w:pPr>
              <w:spacing w:before="120" w:beforeLines="50" w:line="300" w:lineRule="auto"/>
              <w:jc w:val="center"/>
              <w:rPr>
                <w:rFonts w:ascii="Times New Roman" w:hAnsi="Times New Roman"/>
              </w:rPr>
            </w:pPr>
          </w:p>
        </w:tc>
        <w:tc>
          <w:tcPr>
            <w:tcW w:w="1765" w:type="dxa"/>
            <w:vAlign w:val="center"/>
          </w:tcPr>
          <w:p w14:paraId="5699ED44">
            <w:pPr>
              <w:spacing w:before="120" w:beforeLines="50" w:line="300" w:lineRule="auto"/>
              <w:jc w:val="center"/>
              <w:rPr>
                <w:rFonts w:ascii="Times New Roman" w:hAnsi="Times New Roman"/>
              </w:rPr>
            </w:pPr>
          </w:p>
        </w:tc>
        <w:tc>
          <w:tcPr>
            <w:tcW w:w="1765" w:type="dxa"/>
            <w:vAlign w:val="center"/>
          </w:tcPr>
          <w:p w14:paraId="6A303154">
            <w:pPr>
              <w:spacing w:before="120" w:beforeLines="50" w:line="300" w:lineRule="auto"/>
              <w:jc w:val="center"/>
              <w:rPr>
                <w:rFonts w:ascii="Times New Roman" w:hAnsi="Times New Roman"/>
              </w:rPr>
            </w:pPr>
          </w:p>
        </w:tc>
        <w:tc>
          <w:tcPr>
            <w:tcW w:w="1769" w:type="dxa"/>
            <w:vAlign w:val="center"/>
          </w:tcPr>
          <w:p w14:paraId="55E1455F">
            <w:pPr>
              <w:spacing w:before="120" w:beforeLines="50" w:line="300" w:lineRule="auto"/>
              <w:jc w:val="center"/>
              <w:rPr>
                <w:rFonts w:ascii="Times New Roman" w:hAnsi="Times New Roman"/>
              </w:rPr>
            </w:pPr>
          </w:p>
        </w:tc>
      </w:tr>
      <w:tr w14:paraId="0766A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exact"/>
          <w:jc w:val="center"/>
        </w:trPr>
        <w:tc>
          <w:tcPr>
            <w:tcW w:w="2827" w:type="dxa"/>
            <w:vAlign w:val="center"/>
          </w:tcPr>
          <w:p w14:paraId="334D2AA0">
            <w:pPr>
              <w:spacing w:before="120" w:beforeLines="50" w:line="300" w:lineRule="auto"/>
              <w:jc w:val="center"/>
              <w:rPr>
                <w:rFonts w:ascii="Times New Roman" w:hAnsi="Times New Roman"/>
              </w:rPr>
            </w:pPr>
          </w:p>
        </w:tc>
        <w:tc>
          <w:tcPr>
            <w:tcW w:w="1445" w:type="dxa"/>
            <w:vAlign w:val="center"/>
          </w:tcPr>
          <w:p w14:paraId="32690C13">
            <w:pPr>
              <w:spacing w:before="120" w:beforeLines="50" w:line="300" w:lineRule="auto"/>
              <w:jc w:val="center"/>
              <w:rPr>
                <w:rFonts w:ascii="Times New Roman" w:hAnsi="Times New Roman"/>
              </w:rPr>
            </w:pPr>
          </w:p>
        </w:tc>
        <w:tc>
          <w:tcPr>
            <w:tcW w:w="1765" w:type="dxa"/>
            <w:vAlign w:val="center"/>
          </w:tcPr>
          <w:p w14:paraId="0301077A">
            <w:pPr>
              <w:spacing w:before="120" w:beforeLines="50" w:line="300" w:lineRule="auto"/>
              <w:jc w:val="center"/>
              <w:rPr>
                <w:rFonts w:ascii="Times New Roman" w:hAnsi="Times New Roman"/>
              </w:rPr>
            </w:pPr>
          </w:p>
        </w:tc>
        <w:tc>
          <w:tcPr>
            <w:tcW w:w="1765" w:type="dxa"/>
            <w:vAlign w:val="center"/>
          </w:tcPr>
          <w:p w14:paraId="59888D3D">
            <w:pPr>
              <w:spacing w:before="120" w:beforeLines="50" w:line="300" w:lineRule="auto"/>
              <w:jc w:val="center"/>
              <w:rPr>
                <w:rFonts w:ascii="Times New Roman" w:hAnsi="Times New Roman"/>
              </w:rPr>
            </w:pPr>
          </w:p>
        </w:tc>
        <w:tc>
          <w:tcPr>
            <w:tcW w:w="1769" w:type="dxa"/>
            <w:vAlign w:val="center"/>
          </w:tcPr>
          <w:p w14:paraId="669F46A9">
            <w:pPr>
              <w:spacing w:before="120" w:beforeLines="50" w:line="300" w:lineRule="auto"/>
              <w:jc w:val="center"/>
              <w:rPr>
                <w:rFonts w:ascii="Times New Roman" w:hAnsi="Times New Roman"/>
              </w:rPr>
            </w:pPr>
          </w:p>
        </w:tc>
      </w:tr>
      <w:tr w14:paraId="36ED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0860A753">
            <w:pPr>
              <w:spacing w:before="120" w:beforeLines="50" w:line="300" w:lineRule="auto"/>
              <w:jc w:val="center"/>
              <w:rPr>
                <w:rFonts w:ascii="Times New Roman" w:hAnsi="Times New Roman"/>
              </w:rPr>
            </w:pPr>
          </w:p>
        </w:tc>
        <w:tc>
          <w:tcPr>
            <w:tcW w:w="1445" w:type="dxa"/>
            <w:vAlign w:val="center"/>
          </w:tcPr>
          <w:p w14:paraId="7EFFC569">
            <w:pPr>
              <w:spacing w:before="120" w:beforeLines="50" w:line="300" w:lineRule="auto"/>
              <w:jc w:val="center"/>
              <w:rPr>
                <w:rFonts w:ascii="Times New Roman" w:hAnsi="Times New Roman"/>
              </w:rPr>
            </w:pPr>
          </w:p>
        </w:tc>
        <w:tc>
          <w:tcPr>
            <w:tcW w:w="1765" w:type="dxa"/>
            <w:vAlign w:val="center"/>
          </w:tcPr>
          <w:p w14:paraId="35453811">
            <w:pPr>
              <w:spacing w:before="120" w:beforeLines="50" w:line="300" w:lineRule="auto"/>
              <w:jc w:val="center"/>
              <w:rPr>
                <w:rFonts w:ascii="Times New Roman" w:hAnsi="Times New Roman"/>
              </w:rPr>
            </w:pPr>
          </w:p>
        </w:tc>
        <w:tc>
          <w:tcPr>
            <w:tcW w:w="1765" w:type="dxa"/>
            <w:vAlign w:val="center"/>
          </w:tcPr>
          <w:p w14:paraId="3B84C5CF">
            <w:pPr>
              <w:spacing w:before="120" w:beforeLines="50" w:line="300" w:lineRule="auto"/>
              <w:jc w:val="center"/>
              <w:rPr>
                <w:rFonts w:ascii="Times New Roman" w:hAnsi="Times New Roman"/>
              </w:rPr>
            </w:pPr>
          </w:p>
        </w:tc>
        <w:tc>
          <w:tcPr>
            <w:tcW w:w="1769" w:type="dxa"/>
            <w:vAlign w:val="center"/>
          </w:tcPr>
          <w:p w14:paraId="6FA563AC">
            <w:pPr>
              <w:spacing w:before="120" w:beforeLines="50" w:line="300" w:lineRule="auto"/>
              <w:jc w:val="center"/>
              <w:rPr>
                <w:rFonts w:ascii="Times New Roman" w:hAnsi="Times New Roman"/>
              </w:rPr>
            </w:pPr>
          </w:p>
        </w:tc>
      </w:tr>
      <w:tr w14:paraId="04AA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5884A6D7">
            <w:pPr>
              <w:spacing w:before="120" w:beforeLines="50" w:line="300" w:lineRule="auto"/>
              <w:jc w:val="center"/>
              <w:rPr>
                <w:rFonts w:ascii="Times New Roman" w:hAnsi="Times New Roman"/>
              </w:rPr>
            </w:pPr>
          </w:p>
        </w:tc>
        <w:tc>
          <w:tcPr>
            <w:tcW w:w="1445" w:type="dxa"/>
            <w:vAlign w:val="center"/>
          </w:tcPr>
          <w:p w14:paraId="74016A35">
            <w:pPr>
              <w:spacing w:before="120" w:beforeLines="50" w:line="300" w:lineRule="auto"/>
              <w:jc w:val="center"/>
              <w:rPr>
                <w:rFonts w:ascii="Times New Roman" w:hAnsi="Times New Roman"/>
              </w:rPr>
            </w:pPr>
          </w:p>
        </w:tc>
        <w:tc>
          <w:tcPr>
            <w:tcW w:w="1765" w:type="dxa"/>
            <w:vAlign w:val="center"/>
          </w:tcPr>
          <w:p w14:paraId="755466DE">
            <w:pPr>
              <w:spacing w:before="120" w:beforeLines="50" w:line="300" w:lineRule="auto"/>
              <w:jc w:val="center"/>
              <w:rPr>
                <w:rFonts w:ascii="Times New Roman" w:hAnsi="Times New Roman"/>
              </w:rPr>
            </w:pPr>
          </w:p>
        </w:tc>
        <w:tc>
          <w:tcPr>
            <w:tcW w:w="1765" w:type="dxa"/>
            <w:vAlign w:val="center"/>
          </w:tcPr>
          <w:p w14:paraId="41FB36FA">
            <w:pPr>
              <w:spacing w:before="120" w:beforeLines="50" w:line="300" w:lineRule="auto"/>
              <w:jc w:val="center"/>
              <w:rPr>
                <w:rFonts w:ascii="Times New Roman" w:hAnsi="Times New Roman"/>
              </w:rPr>
            </w:pPr>
          </w:p>
        </w:tc>
        <w:tc>
          <w:tcPr>
            <w:tcW w:w="1769" w:type="dxa"/>
            <w:vAlign w:val="center"/>
          </w:tcPr>
          <w:p w14:paraId="5D78F70D">
            <w:pPr>
              <w:spacing w:before="120" w:beforeLines="50" w:line="300" w:lineRule="auto"/>
              <w:jc w:val="center"/>
              <w:rPr>
                <w:rFonts w:ascii="Times New Roman" w:hAnsi="Times New Roman"/>
              </w:rPr>
            </w:pPr>
          </w:p>
        </w:tc>
      </w:tr>
      <w:tr w14:paraId="12DD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2827" w:type="dxa"/>
            <w:vAlign w:val="center"/>
          </w:tcPr>
          <w:p w14:paraId="1DE00852">
            <w:pPr>
              <w:spacing w:before="120" w:beforeLines="50" w:line="300" w:lineRule="auto"/>
              <w:jc w:val="center"/>
              <w:rPr>
                <w:rFonts w:ascii="Times New Roman" w:hAnsi="Times New Roman"/>
              </w:rPr>
            </w:pPr>
          </w:p>
        </w:tc>
        <w:tc>
          <w:tcPr>
            <w:tcW w:w="1445" w:type="dxa"/>
            <w:vAlign w:val="center"/>
          </w:tcPr>
          <w:p w14:paraId="36AC039D">
            <w:pPr>
              <w:spacing w:before="120" w:beforeLines="50" w:line="300" w:lineRule="auto"/>
              <w:jc w:val="center"/>
              <w:rPr>
                <w:rFonts w:ascii="Times New Roman" w:hAnsi="Times New Roman"/>
              </w:rPr>
            </w:pPr>
          </w:p>
        </w:tc>
        <w:tc>
          <w:tcPr>
            <w:tcW w:w="1765" w:type="dxa"/>
            <w:vAlign w:val="center"/>
          </w:tcPr>
          <w:p w14:paraId="00135F01">
            <w:pPr>
              <w:spacing w:before="120" w:beforeLines="50" w:line="300" w:lineRule="auto"/>
              <w:jc w:val="center"/>
              <w:rPr>
                <w:rFonts w:ascii="Times New Roman" w:hAnsi="Times New Roman"/>
              </w:rPr>
            </w:pPr>
          </w:p>
        </w:tc>
        <w:tc>
          <w:tcPr>
            <w:tcW w:w="1765" w:type="dxa"/>
            <w:vAlign w:val="center"/>
          </w:tcPr>
          <w:p w14:paraId="023048FD">
            <w:pPr>
              <w:spacing w:before="120" w:beforeLines="50" w:line="300" w:lineRule="auto"/>
              <w:jc w:val="center"/>
              <w:rPr>
                <w:rFonts w:ascii="Times New Roman" w:hAnsi="Times New Roman"/>
              </w:rPr>
            </w:pPr>
          </w:p>
        </w:tc>
        <w:tc>
          <w:tcPr>
            <w:tcW w:w="1769" w:type="dxa"/>
            <w:vAlign w:val="center"/>
          </w:tcPr>
          <w:p w14:paraId="116CB80E">
            <w:pPr>
              <w:spacing w:before="120" w:beforeLines="50" w:line="300" w:lineRule="auto"/>
              <w:jc w:val="center"/>
              <w:rPr>
                <w:rFonts w:ascii="Times New Roman" w:hAnsi="Times New Roman"/>
              </w:rPr>
            </w:pPr>
          </w:p>
        </w:tc>
      </w:tr>
      <w:tr w14:paraId="3312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jc w:val="center"/>
        </w:trPr>
        <w:tc>
          <w:tcPr>
            <w:tcW w:w="2827" w:type="dxa"/>
            <w:vAlign w:val="center"/>
          </w:tcPr>
          <w:p w14:paraId="5AE8DE7F">
            <w:pPr>
              <w:spacing w:before="120" w:beforeLines="50" w:line="300" w:lineRule="auto"/>
              <w:jc w:val="center"/>
              <w:rPr>
                <w:rFonts w:ascii="Times New Roman" w:hAnsi="Times New Roman"/>
              </w:rPr>
            </w:pPr>
          </w:p>
        </w:tc>
        <w:tc>
          <w:tcPr>
            <w:tcW w:w="1445" w:type="dxa"/>
            <w:vAlign w:val="center"/>
          </w:tcPr>
          <w:p w14:paraId="32AC8D04">
            <w:pPr>
              <w:spacing w:before="120" w:beforeLines="50" w:line="300" w:lineRule="auto"/>
              <w:jc w:val="center"/>
              <w:rPr>
                <w:rFonts w:ascii="Times New Roman" w:hAnsi="Times New Roman"/>
              </w:rPr>
            </w:pPr>
          </w:p>
        </w:tc>
        <w:tc>
          <w:tcPr>
            <w:tcW w:w="1765" w:type="dxa"/>
            <w:vAlign w:val="center"/>
          </w:tcPr>
          <w:p w14:paraId="20AAA2C7">
            <w:pPr>
              <w:spacing w:before="120" w:beforeLines="50" w:line="300" w:lineRule="auto"/>
              <w:jc w:val="center"/>
              <w:rPr>
                <w:rFonts w:ascii="Times New Roman" w:hAnsi="Times New Roman"/>
              </w:rPr>
            </w:pPr>
          </w:p>
        </w:tc>
        <w:tc>
          <w:tcPr>
            <w:tcW w:w="1765" w:type="dxa"/>
            <w:vAlign w:val="center"/>
          </w:tcPr>
          <w:p w14:paraId="4D337B58">
            <w:pPr>
              <w:spacing w:before="120" w:beforeLines="50" w:line="300" w:lineRule="auto"/>
              <w:jc w:val="center"/>
              <w:rPr>
                <w:rFonts w:ascii="Times New Roman" w:hAnsi="Times New Roman"/>
              </w:rPr>
            </w:pPr>
          </w:p>
        </w:tc>
        <w:tc>
          <w:tcPr>
            <w:tcW w:w="1769" w:type="dxa"/>
            <w:vAlign w:val="center"/>
          </w:tcPr>
          <w:p w14:paraId="4B0FAAA5">
            <w:pPr>
              <w:spacing w:before="120" w:beforeLines="50" w:line="300" w:lineRule="auto"/>
              <w:jc w:val="center"/>
              <w:rPr>
                <w:rFonts w:ascii="Times New Roman" w:hAnsi="Times New Roman"/>
              </w:rPr>
            </w:pPr>
          </w:p>
        </w:tc>
      </w:tr>
      <w:tr w14:paraId="002F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2827" w:type="dxa"/>
            <w:vAlign w:val="center"/>
          </w:tcPr>
          <w:p w14:paraId="64124D10">
            <w:pPr>
              <w:spacing w:before="120" w:beforeLines="50" w:line="300" w:lineRule="auto"/>
              <w:jc w:val="center"/>
              <w:rPr>
                <w:rFonts w:ascii="Times New Roman" w:hAnsi="Times New Roman"/>
              </w:rPr>
            </w:pPr>
          </w:p>
        </w:tc>
        <w:tc>
          <w:tcPr>
            <w:tcW w:w="1445" w:type="dxa"/>
            <w:vAlign w:val="center"/>
          </w:tcPr>
          <w:p w14:paraId="2D235952">
            <w:pPr>
              <w:spacing w:before="120" w:beforeLines="50" w:line="300" w:lineRule="auto"/>
              <w:jc w:val="center"/>
              <w:rPr>
                <w:rFonts w:ascii="Times New Roman" w:hAnsi="Times New Roman"/>
              </w:rPr>
            </w:pPr>
          </w:p>
        </w:tc>
        <w:tc>
          <w:tcPr>
            <w:tcW w:w="1765" w:type="dxa"/>
            <w:vAlign w:val="center"/>
          </w:tcPr>
          <w:p w14:paraId="402677F4">
            <w:pPr>
              <w:spacing w:before="120" w:beforeLines="50" w:line="300" w:lineRule="auto"/>
              <w:jc w:val="center"/>
              <w:rPr>
                <w:rFonts w:ascii="Times New Roman" w:hAnsi="Times New Roman"/>
              </w:rPr>
            </w:pPr>
          </w:p>
        </w:tc>
        <w:tc>
          <w:tcPr>
            <w:tcW w:w="1765" w:type="dxa"/>
            <w:vAlign w:val="center"/>
          </w:tcPr>
          <w:p w14:paraId="1ED4AB54">
            <w:pPr>
              <w:spacing w:before="120" w:beforeLines="50" w:line="300" w:lineRule="auto"/>
              <w:jc w:val="center"/>
              <w:rPr>
                <w:rFonts w:ascii="Times New Roman" w:hAnsi="Times New Roman"/>
              </w:rPr>
            </w:pPr>
          </w:p>
        </w:tc>
        <w:tc>
          <w:tcPr>
            <w:tcW w:w="1769" w:type="dxa"/>
            <w:vAlign w:val="center"/>
          </w:tcPr>
          <w:p w14:paraId="5FBD6744">
            <w:pPr>
              <w:spacing w:before="120" w:beforeLines="50" w:line="300" w:lineRule="auto"/>
              <w:jc w:val="center"/>
              <w:rPr>
                <w:rFonts w:ascii="Times New Roman" w:hAnsi="Times New Roman"/>
              </w:rPr>
            </w:pPr>
          </w:p>
        </w:tc>
      </w:tr>
      <w:tr w14:paraId="0FB3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3B3DFED2">
            <w:pPr>
              <w:spacing w:before="120" w:beforeLines="50" w:line="300" w:lineRule="auto"/>
              <w:jc w:val="center"/>
              <w:rPr>
                <w:rFonts w:ascii="Times New Roman" w:hAnsi="Times New Roman"/>
              </w:rPr>
            </w:pPr>
          </w:p>
        </w:tc>
        <w:tc>
          <w:tcPr>
            <w:tcW w:w="1445" w:type="dxa"/>
            <w:vAlign w:val="center"/>
          </w:tcPr>
          <w:p w14:paraId="546583E6">
            <w:pPr>
              <w:spacing w:before="120" w:beforeLines="50" w:line="300" w:lineRule="auto"/>
              <w:jc w:val="center"/>
              <w:rPr>
                <w:rFonts w:ascii="Times New Roman" w:hAnsi="Times New Roman"/>
              </w:rPr>
            </w:pPr>
          </w:p>
        </w:tc>
        <w:tc>
          <w:tcPr>
            <w:tcW w:w="1765" w:type="dxa"/>
            <w:vAlign w:val="center"/>
          </w:tcPr>
          <w:p w14:paraId="5581ECF7">
            <w:pPr>
              <w:spacing w:before="120" w:beforeLines="50" w:line="300" w:lineRule="auto"/>
              <w:jc w:val="center"/>
              <w:rPr>
                <w:rFonts w:ascii="Times New Roman" w:hAnsi="Times New Roman"/>
              </w:rPr>
            </w:pPr>
          </w:p>
        </w:tc>
        <w:tc>
          <w:tcPr>
            <w:tcW w:w="1765" w:type="dxa"/>
            <w:vAlign w:val="center"/>
          </w:tcPr>
          <w:p w14:paraId="746C9479">
            <w:pPr>
              <w:spacing w:before="120" w:beforeLines="50" w:line="300" w:lineRule="auto"/>
              <w:jc w:val="center"/>
              <w:rPr>
                <w:rFonts w:ascii="Times New Roman" w:hAnsi="Times New Roman"/>
              </w:rPr>
            </w:pPr>
          </w:p>
        </w:tc>
        <w:tc>
          <w:tcPr>
            <w:tcW w:w="1769" w:type="dxa"/>
            <w:vAlign w:val="center"/>
          </w:tcPr>
          <w:p w14:paraId="0488D082">
            <w:pPr>
              <w:spacing w:before="120" w:beforeLines="50" w:line="300" w:lineRule="auto"/>
              <w:jc w:val="center"/>
              <w:rPr>
                <w:rFonts w:ascii="Times New Roman" w:hAnsi="Times New Roman"/>
              </w:rPr>
            </w:pPr>
          </w:p>
        </w:tc>
      </w:tr>
      <w:tr w14:paraId="5A754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2827" w:type="dxa"/>
            <w:vAlign w:val="center"/>
          </w:tcPr>
          <w:p w14:paraId="7F5CBD67">
            <w:pPr>
              <w:spacing w:before="120" w:beforeLines="50" w:line="300" w:lineRule="auto"/>
              <w:jc w:val="center"/>
              <w:rPr>
                <w:rFonts w:ascii="Times New Roman" w:hAnsi="Times New Roman"/>
              </w:rPr>
            </w:pPr>
          </w:p>
        </w:tc>
        <w:tc>
          <w:tcPr>
            <w:tcW w:w="1445" w:type="dxa"/>
            <w:vAlign w:val="center"/>
          </w:tcPr>
          <w:p w14:paraId="23DB0B96">
            <w:pPr>
              <w:spacing w:before="120" w:beforeLines="50" w:line="300" w:lineRule="auto"/>
              <w:jc w:val="center"/>
              <w:rPr>
                <w:rFonts w:ascii="Times New Roman" w:hAnsi="Times New Roman"/>
              </w:rPr>
            </w:pPr>
          </w:p>
        </w:tc>
        <w:tc>
          <w:tcPr>
            <w:tcW w:w="1765" w:type="dxa"/>
            <w:vAlign w:val="center"/>
          </w:tcPr>
          <w:p w14:paraId="25583403">
            <w:pPr>
              <w:spacing w:before="120" w:beforeLines="50" w:line="300" w:lineRule="auto"/>
              <w:jc w:val="center"/>
              <w:rPr>
                <w:rFonts w:ascii="Times New Roman" w:hAnsi="Times New Roman"/>
              </w:rPr>
            </w:pPr>
          </w:p>
        </w:tc>
        <w:tc>
          <w:tcPr>
            <w:tcW w:w="1765" w:type="dxa"/>
            <w:vAlign w:val="center"/>
          </w:tcPr>
          <w:p w14:paraId="43D02B9C">
            <w:pPr>
              <w:spacing w:before="120" w:beforeLines="50" w:line="300" w:lineRule="auto"/>
              <w:jc w:val="center"/>
              <w:rPr>
                <w:rFonts w:ascii="Times New Roman" w:hAnsi="Times New Roman"/>
              </w:rPr>
            </w:pPr>
          </w:p>
        </w:tc>
        <w:tc>
          <w:tcPr>
            <w:tcW w:w="1769" w:type="dxa"/>
            <w:vAlign w:val="center"/>
          </w:tcPr>
          <w:p w14:paraId="2425D551">
            <w:pPr>
              <w:spacing w:before="120" w:beforeLines="50" w:line="300" w:lineRule="auto"/>
              <w:jc w:val="center"/>
              <w:rPr>
                <w:rFonts w:ascii="Times New Roman" w:hAnsi="Times New Roman"/>
              </w:rPr>
            </w:pPr>
          </w:p>
        </w:tc>
      </w:tr>
      <w:tr w14:paraId="503C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6177E1DA">
            <w:pPr>
              <w:spacing w:before="120" w:beforeLines="50" w:line="300" w:lineRule="auto"/>
              <w:jc w:val="center"/>
              <w:rPr>
                <w:rFonts w:ascii="Times New Roman" w:hAnsi="Times New Roman"/>
              </w:rPr>
            </w:pPr>
          </w:p>
        </w:tc>
        <w:tc>
          <w:tcPr>
            <w:tcW w:w="1445" w:type="dxa"/>
            <w:vAlign w:val="center"/>
          </w:tcPr>
          <w:p w14:paraId="4F2047CE">
            <w:pPr>
              <w:spacing w:before="120" w:beforeLines="50" w:line="300" w:lineRule="auto"/>
              <w:jc w:val="center"/>
              <w:rPr>
                <w:rFonts w:ascii="Times New Roman" w:hAnsi="Times New Roman"/>
              </w:rPr>
            </w:pPr>
          </w:p>
        </w:tc>
        <w:tc>
          <w:tcPr>
            <w:tcW w:w="1765" w:type="dxa"/>
            <w:vAlign w:val="center"/>
          </w:tcPr>
          <w:p w14:paraId="246F7AFC">
            <w:pPr>
              <w:spacing w:before="120" w:beforeLines="50" w:line="300" w:lineRule="auto"/>
              <w:jc w:val="center"/>
              <w:rPr>
                <w:rFonts w:ascii="Times New Roman" w:hAnsi="Times New Roman"/>
              </w:rPr>
            </w:pPr>
          </w:p>
        </w:tc>
        <w:tc>
          <w:tcPr>
            <w:tcW w:w="1765" w:type="dxa"/>
            <w:vAlign w:val="center"/>
          </w:tcPr>
          <w:p w14:paraId="63CDE485">
            <w:pPr>
              <w:spacing w:before="120" w:beforeLines="50" w:line="300" w:lineRule="auto"/>
              <w:jc w:val="center"/>
              <w:rPr>
                <w:rFonts w:ascii="Times New Roman" w:hAnsi="Times New Roman"/>
              </w:rPr>
            </w:pPr>
          </w:p>
        </w:tc>
        <w:tc>
          <w:tcPr>
            <w:tcW w:w="1769" w:type="dxa"/>
            <w:vAlign w:val="center"/>
          </w:tcPr>
          <w:p w14:paraId="6CC4AD63">
            <w:pPr>
              <w:spacing w:before="120" w:beforeLines="50" w:line="300" w:lineRule="auto"/>
              <w:jc w:val="center"/>
              <w:rPr>
                <w:rFonts w:ascii="Times New Roman" w:hAnsi="Times New Roman"/>
              </w:rPr>
            </w:pPr>
          </w:p>
        </w:tc>
      </w:tr>
      <w:tr w14:paraId="5E56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4097D322">
            <w:pPr>
              <w:spacing w:before="120" w:beforeLines="50" w:line="300" w:lineRule="auto"/>
              <w:jc w:val="center"/>
              <w:rPr>
                <w:rFonts w:ascii="Times New Roman" w:hAnsi="Times New Roman"/>
              </w:rPr>
            </w:pPr>
          </w:p>
        </w:tc>
        <w:tc>
          <w:tcPr>
            <w:tcW w:w="1445" w:type="dxa"/>
            <w:vAlign w:val="center"/>
          </w:tcPr>
          <w:p w14:paraId="1B8B9705">
            <w:pPr>
              <w:spacing w:before="120" w:beforeLines="50" w:line="300" w:lineRule="auto"/>
              <w:jc w:val="center"/>
              <w:rPr>
                <w:rFonts w:ascii="Times New Roman" w:hAnsi="Times New Roman"/>
              </w:rPr>
            </w:pPr>
          </w:p>
        </w:tc>
        <w:tc>
          <w:tcPr>
            <w:tcW w:w="1765" w:type="dxa"/>
            <w:vAlign w:val="center"/>
          </w:tcPr>
          <w:p w14:paraId="552D6239">
            <w:pPr>
              <w:spacing w:before="120" w:beforeLines="50" w:line="300" w:lineRule="auto"/>
              <w:jc w:val="center"/>
              <w:rPr>
                <w:rFonts w:ascii="Times New Roman" w:hAnsi="Times New Roman"/>
              </w:rPr>
            </w:pPr>
          </w:p>
        </w:tc>
        <w:tc>
          <w:tcPr>
            <w:tcW w:w="1765" w:type="dxa"/>
            <w:vAlign w:val="center"/>
          </w:tcPr>
          <w:p w14:paraId="491E0284">
            <w:pPr>
              <w:spacing w:before="120" w:beforeLines="50" w:line="300" w:lineRule="auto"/>
              <w:jc w:val="center"/>
              <w:rPr>
                <w:rFonts w:ascii="Times New Roman" w:hAnsi="Times New Roman"/>
              </w:rPr>
            </w:pPr>
          </w:p>
        </w:tc>
        <w:tc>
          <w:tcPr>
            <w:tcW w:w="1769" w:type="dxa"/>
            <w:vAlign w:val="center"/>
          </w:tcPr>
          <w:p w14:paraId="1F536BAE">
            <w:pPr>
              <w:spacing w:before="120" w:beforeLines="50" w:line="300" w:lineRule="auto"/>
              <w:jc w:val="center"/>
              <w:rPr>
                <w:rFonts w:ascii="Times New Roman" w:hAnsi="Times New Roman"/>
              </w:rPr>
            </w:pPr>
          </w:p>
        </w:tc>
      </w:tr>
      <w:tr w14:paraId="24DB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exact"/>
          <w:jc w:val="center"/>
        </w:trPr>
        <w:tc>
          <w:tcPr>
            <w:tcW w:w="2827" w:type="dxa"/>
            <w:vAlign w:val="center"/>
          </w:tcPr>
          <w:p w14:paraId="3ED12F15">
            <w:pPr>
              <w:spacing w:before="120" w:beforeLines="50" w:line="300" w:lineRule="auto"/>
              <w:jc w:val="center"/>
              <w:rPr>
                <w:rFonts w:ascii="Times New Roman" w:hAnsi="Times New Roman"/>
              </w:rPr>
            </w:pPr>
          </w:p>
        </w:tc>
        <w:tc>
          <w:tcPr>
            <w:tcW w:w="1445" w:type="dxa"/>
            <w:vAlign w:val="center"/>
          </w:tcPr>
          <w:p w14:paraId="7A08098C">
            <w:pPr>
              <w:spacing w:before="120" w:beforeLines="50" w:line="300" w:lineRule="auto"/>
              <w:jc w:val="center"/>
              <w:rPr>
                <w:rFonts w:ascii="Times New Roman" w:hAnsi="Times New Roman"/>
              </w:rPr>
            </w:pPr>
          </w:p>
        </w:tc>
        <w:tc>
          <w:tcPr>
            <w:tcW w:w="1765" w:type="dxa"/>
            <w:vAlign w:val="center"/>
          </w:tcPr>
          <w:p w14:paraId="216346A8">
            <w:pPr>
              <w:spacing w:before="120" w:beforeLines="50" w:line="300" w:lineRule="auto"/>
              <w:jc w:val="center"/>
              <w:rPr>
                <w:rFonts w:ascii="Times New Roman" w:hAnsi="Times New Roman"/>
              </w:rPr>
            </w:pPr>
          </w:p>
        </w:tc>
        <w:tc>
          <w:tcPr>
            <w:tcW w:w="1765" w:type="dxa"/>
            <w:vAlign w:val="center"/>
          </w:tcPr>
          <w:p w14:paraId="789A6C2D">
            <w:pPr>
              <w:spacing w:before="120" w:beforeLines="50" w:line="300" w:lineRule="auto"/>
              <w:jc w:val="center"/>
              <w:rPr>
                <w:rFonts w:ascii="Times New Roman" w:hAnsi="Times New Roman"/>
              </w:rPr>
            </w:pPr>
          </w:p>
        </w:tc>
        <w:tc>
          <w:tcPr>
            <w:tcW w:w="1769" w:type="dxa"/>
            <w:vAlign w:val="center"/>
          </w:tcPr>
          <w:p w14:paraId="5734EFAF">
            <w:pPr>
              <w:spacing w:before="120" w:beforeLines="50" w:line="300" w:lineRule="auto"/>
              <w:jc w:val="center"/>
              <w:rPr>
                <w:rFonts w:ascii="Times New Roman" w:hAnsi="Times New Roman"/>
              </w:rPr>
            </w:pPr>
          </w:p>
        </w:tc>
      </w:tr>
      <w:tr w14:paraId="2862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25BE242E">
            <w:pPr>
              <w:spacing w:before="120" w:beforeLines="50" w:line="300" w:lineRule="auto"/>
              <w:jc w:val="center"/>
              <w:rPr>
                <w:rFonts w:ascii="Times New Roman" w:hAnsi="Times New Roman"/>
              </w:rPr>
            </w:pPr>
          </w:p>
        </w:tc>
        <w:tc>
          <w:tcPr>
            <w:tcW w:w="1445" w:type="dxa"/>
            <w:vAlign w:val="center"/>
          </w:tcPr>
          <w:p w14:paraId="0A7EAEBD">
            <w:pPr>
              <w:spacing w:before="120" w:beforeLines="50" w:line="300" w:lineRule="auto"/>
              <w:jc w:val="center"/>
              <w:rPr>
                <w:rFonts w:ascii="Times New Roman" w:hAnsi="Times New Roman"/>
              </w:rPr>
            </w:pPr>
          </w:p>
        </w:tc>
        <w:tc>
          <w:tcPr>
            <w:tcW w:w="1765" w:type="dxa"/>
            <w:vAlign w:val="center"/>
          </w:tcPr>
          <w:p w14:paraId="39023AB7">
            <w:pPr>
              <w:spacing w:before="120" w:beforeLines="50" w:line="300" w:lineRule="auto"/>
              <w:jc w:val="center"/>
              <w:rPr>
                <w:rFonts w:ascii="Times New Roman" w:hAnsi="Times New Roman"/>
              </w:rPr>
            </w:pPr>
          </w:p>
        </w:tc>
        <w:tc>
          <w:tcPr>
            <w:tcW w:w="1765" w:type="dxa"/>
            <w:vAlign w:val="center"/>
          </w:tcPr>
          <w:p w14:paraId="25933ED9">
            <w:pPr>
              <w:spacing w:before="120" w:beforeLines="50" w:line="300" w:lineRule="auto"/>
              <w:jc w:val="center"/>
              <w:rPr>
                <w:rFonts w:ascii="Times New Roman" w:hAnsi="Times New Roman"/>
              </w:rPr>
            </w:pPr>
          </w:p>
        </w:tc>
        <w:tc>
          <w:tcPr>
            <w:tcW w:w="1769" w:type="dxa"/>
            <w:vAlign w:val="center"/>
          </w:tcPr>
          <w:p w14:paraId="1CDEBF6F">
            <w:pPr>
              <w:spacing w:before="120" w:beforeLines="50" w:line="300" w:lineRule="auto"/>
              <w:jc w:val="center"/>
              <w:rPr>
                <w:rFonts w:ascii="Times New Roman" w:hAnsi="Times New Roman"/>
              </w:rPr>
            </w:pPr>
          </w:p>
        </w:tc>
      </w:tr>
      <w:tr w14:paraId="2CA79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71498042">
            <w:pPr>
              <w:spacing w:before="120" w:beforeLines="50" w:line="300" w:lineRule="auto"/>
              <w:jc w:val="center"/>
              <w:rPr>
                <w:rFonts w:ascii="Times New Roman" w:hAnsi="Times New Roman"/>
              </w:rPr>
            </w:pPr>
          </w:p>
        </w:tc>
        <w:tc>
          <w:tcPr>
            <w:tcW w:w="1445" w:type="dxa"/>
            <w:vAlign w:val="center"/>
          </w:tcPr>
          <w:p w14:paraId="2BCA5E30">
            <w:pPr>
              <w:spacing w:before="120" w:beforeLines="50" w:line="300" w:lineRule="auto"/>
              <w:jc w:val="center"/>
              <w:rPr>
                <w:rFonts w:ascii="Times New Roman" w:hAnsi="Times New Roman"/>
              </w:rPr>
            </w:pPr>
          </w:p>
        </w:tc>
        <w:tc>
          <w:tcPr>
            <w:tcW w:w="1765" w:type="dxa"/>
            <w:vAlign w:val="center"/>
          </w:tcPr>
          <w:p w14:paraId="0D8C14CF">
            <w:pPr>
              <w:spacing w:before="120" w:beforeLines="50" w:line="300" w:lineRule="auto"/>
              <w:jc w:val="center"/>
              <w:rPr>
                <w:rFonts w:ascii="Times New Roman" w:hAnsi="Times New Roman"/>
              </w:rPr>
            </w:pPr>
          </w:p>
        </w:tc>
        <w:tc>
          <w:tcPr>
            <w:tcW w:w="1765" w:type="dxa"/>
            <w:vAlign w:val="center"/>
          </w:tcPr>
          <w:p w14:paraId="5206F39C">
            <w:pPr>
              <w:spacing w:before="120" w:beforeLines="50" w:line="300" w:lineRule="auto"/>
              <w:jc w:val="center"/>
              <w:rPr>
                <w:rFonts w:ascii="Times New Roman" w:hAnsi="Times New Roman"/>
              </w:rPr>
            </w:pPr>
          </w:p>
        </w:tc>
        <w:tc>
          <w:tcPr>
            <w:tcW w:w="1769" w:type="dxa"/>
            <w:vAlign w:val="center"/>
          </w:tcPr>
          <w:p w14:paraId="6FBC7A2A">
            <w:pPr>
              <w:spacing w:before="120" w:beforeLines="50" w:line="300" w:lineRule="auto"/>
              <w:jc w:val="center"/>
              <w:rPr>
                <w:rFonts w:ascii="Times New Roman" w:hAnsi="Times New Roman"/>
              </w:rPr>
            </w:pPr>
          </w:p>
        </w:tc>
      </w:tr>
      <w:tr w14:paraId="30DE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827" w:type="dxa"/>
            <w:vAlign w:val="center"/>
          </w:tcPr>
          <w:p w14:paraId="353C6A72">
            <w:pPr>
              <w:spacing w:before="120" w:beforeLines="50" w:line="300" w:lineRule="auto"/>
              <w:jc w:val="center"/>
              <w:rPr>
                <w:rFonts w:ascii="Times New Roman" w:hAnsi="Times New Roman"/>
              </w:rPr>
            </w:pPr>
          </w:p>
        </w:tc>
        <w:tc>
          <w:tcPr>
            <w:tcW w:w="1445" w:type="dxa"/>
            <w:vAlign w:val="center"/>
          </w:tcPr>
          <w:p w14:paraId="69CC6749">
            <w:pPr>
              <w:spacing w:before="120" w:beforeLines="50" w:line="300" w:lineRule="auto"/>
              <w:jc w:val="center"/>
              <w:rPr>
                <w:rFonts w:ascii="Times New Roman" w:hAnsi="Times New Roman"/>
              </w:rPr>
            </w:pPr>
          </w:p>
        </w:tc>
        <w:tc>
          <w:tcPr>
            <w:tcW w:w="1765" w:type="dxa"/>
            <w:vAlign w:val="center"/>
          </w:tcPr>
          <w:p w14:paraId="61A34D7C">
            <w:pPr>
              <w:spacing w:before="120" w:beforeLines="50" w:line="300" w:lineRule="auto"/>
              <w:jc w:val="center"/>
              <w:rPr>
                <w:rFonts w:ascii="Times New Roman" w:hAnsi="Times New Roman"/>
              </w:rPr>
            </w:pPr>
          </w:p>
        </w:tc>
        <w:tc>
          <w:tcPr>
            <w:tcW w:w="1765" w:type="dxa"/>
            <w:vAlign w:val="center"/>
          </w:tcPr>
          <w:p w14:paraId="50E07273">
            <w:pPr>
              <w:spacing w:before="120" w:beforeLines="50" w:line="300" w:lineRule="auto"/>
              <w:jc w:val="center"/>
              <w:rPr>
                <w:rFonts w:ascii="Times New Roman" w:hAnsi="Times New Roman"/>
              </w:rPr>
            </w:pPr>
          </w:p>
        </w:tc>
        <w:tc>
          <w:tcPr>
            <w:tcW w:w="1769" w:type="dxa"/>
            <w:vAlign w:val="center"/>
          </w:tcPr>
          <w:p w14:paraId="4D938EE7">
            <w:pPr>
              <w:spacing w:before="120" w:beforeLines="50" w:line="300" w:lineRule="auto"/>
              <w:jc w:val="center"/>
              <w:rPr>
                <w:rFonts w:ascii="Times New Roman" w:hAnsi="Times New Roman"/>
              </w:rPr>
            </w:pPr>
          </w:p>
        </w:tc>
      </w:tr>
      <w:tr w14:paraId="28E9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exact"/>
          <w:jc w:val="center"/>
        </w:trPr>
        <w:tc>
          <w:tcPr>
            <w:tcW w:w="2827" w:type="dxa"/>
            <w:vAlign w:val="center"/>
          </w:tcPr>
          <w:p w14:paraId="50D9C7A0">
            <w:pPr>
              <w:spacing w:before="120" w:beforeLines="50" w:line="300" w:lineRule="auto"/>
              <w:jc w:val="center"/>
              <w:rPr>
                <w:rFonts w:ascii="Times New Roman" w:hAnsi="Times New Roman"/>
              </w:rPr>
            </w:pPr>
            <w:r>
              <w:rPr>
                <w:rFonts w:ascii="Times New Roman" w:hAnsi="Times New Roman"/>
              </w:rPr>
              <w:t>专业名称</w:t>
            </w:r>
          </w:p>
        </w:tc>
        <w:tc>
          <w:tcPr>
            <w:tcW w:w="1445" w:type="dxa"/>
            <w:vAlign w:val="center"/>
          </w:tcPr>
          <w:p w14:paraId="4DCC130D">
            <w:pPr>
              <w:spacing w:before="120" w:beforeLines="50" w:line="300" w:lineRule="auto"/>
              <w:jc w:val="center"/>
              <w:rPr>
                <w:rFonts w:ascii="Times New Roman" w:hAnsi="Times New Roman"/>
              </w:rPr>
            </w:pPr>
            <w:r>
              <w:rPr>
                <w:rFonts w:ascii="Times New Roman" w:hAnsi="Times New Roman"/>
              </w:rPr>
              <w:t>设  计</w:t>
            </w:r>
          </w:p>
        </w:tc>
        <w:tc>
          <w:tcPr>
            <w:tcW w:w="1765" w:type="dxa"/>
            <w:vAlign w:val="center"/>
          </w:tcPr>
          <w:p w14:paraId="2903AFF8">
            <w:pPr>
              <w:spacing w:before="120" w:beforeLines="50" w:line="300" w:lineRule="auto"/>
              <w:jc w:val="center"/>
              <w:rPr>
                <w:rFonts w:ascii="Times New Roman" w:hAnsi="Times New Roman"/>
              </w:rPr>
            </w:pPr>
            <w:r>
              <w:rPr>
                <w:rFonts w:ascii="Times New Roman" w:hAnsi="Times New Roman"/>
              </w:rPr>
              <w:t>校  对</w:t>
            </w:r>
          </w:p>
        </w:tc>
        <w:tc>
          <w:tcPr>
            <w:tcW w:w="1765" w:type="dxa"/>
            <w:vAlign w:val="center"/>
          </w:tcPr>
          <w:p w14:paraId="0D827332">
            <w:pPr>
              <w:spacing w:before="120" w:beforeLines="50" w:line="300" w:lineRule="auto"/>
              <w:jc w:val="center"/>
              <w:rPr>
                <w:rFonts w:ascii="Times New Roman" w:hAnsi="Times New Roman"/>
              </w:rPr>
            </w:pPr>
            <w:r>
              <w:rPr>
                <w:rFonts w:ascii="Times New Roman" w:hAnsi="Times New Roman"/>
              </w:rPr>
              <w:t>审  核</w:t>
            </w:r>
          </w:p>
        </w:tc>
        <w:tc>
          <w:tcPr>
            <w:tcW w:w="1769" w:type="dxa"/>
            <w:vAlign w:val="center"/>
          </w:tcPr>
          <w:p w14:paraId="6089FE2F">
            <w:pPr>
              <w:spacing w:before="120" w:beforeLines="50" w:line="300" w:lineRule="auto"/>
              <w:jc w:val="center"/>
              <w:rPr>
                <w:rFonts w:ascii="Times New Roman" w:hAnsi="Times New Roman"/>
              </w:rPr>
            </w:pPr>
            <w:r>
              <w:rPr>
                <w:rFonts w:ascii="Times New Roman" w:hAnsi="Times New Roman"/>
              </w:rPr>
              <w:t>审  定</w:t>
            </w:r>
          </w:p>
        </w:tc>
      </w:tr>
    </w:tbl>
    <w:p w14:paraId="1570758D">
      <w:pPr>
        <w:pStyle w:val="76"/>
        <w:ind w:firstLine="420"/>
      </w:pPr>
      <w:bookmarkStart w:id="715" w:name="_Toc30189"/>
      <w:bookmarkEnd w:id="715"/>
    </w:p>
    <w:p w14:paraId="165A65D0">
      <w:pPr>
        <w:pStyle w:val="76"/>
        <w:ind w:firstLine="420"/>
      </w:pPr>
    </w:p>
    <w:p w14:paraId="250089E5">
      <w:pPr>
        <w:pStyle w:val="76"/>
        <w:ind w:firstLine="420"/>
      </w:pPr>
    </w:p>
    <w:p w14:paraId="20B6EBE9">
      <w:pPr>
        <w:pStyle w:val="76"/>
        <w:ind w:firstLine="420"/>
      </w:pPr>
    </w:p>
    <w:p w14:paraId="24851BB1">
      <w:pPr>
        <w:pStyle w:val="76"/>
        <w:ind w:firstLine="420"/>
      </w:pPr>
    </w:p>
    <w:p w14:paraId="21842B2C">
      <w:pPr>
        <w:pStyle w:val="76"/>
        <w:ind w:firstLine="420"/>
      </w:pPr>
    </w:p>
    <w:p w14:paraId="6678F09A">
      <w:pPr>
        <w:pStyle w:val="76"/>
        <w:ind w:firstLine="420"/>
      </w:pPr>
    </w:p>
    <w:p w14:paraId="48B337EF">
      <w:pPr>
        <w:pStyle w:val="76"/>
        <w:ind w:firstLine="420"/>
      </w:pPr>
    </w:p>
    <w:p w14:paraId="1E75AC8F">
      <w:pPr>
        <w:pStyle w:val="76"/>
        <w:ind w:firstLine="420"/>
      </w:pPr>
    </w:p>
    <w:p w14:paraId="2369B089">
      <w:pPr>
        <w:pStyle w:val="76"/>
        <w:ind w:firstLine="420"/>
      </w:pPr>
    </w:p>
    <w:p w14:paraId="28A62F4B">
      <w:pPr>
        <w:pStyle w:val="76"/>
        <w:ind w:firstLine="420"/>
      </w:pPr>
    </w:p>
    <w:bookmarkEnd w:id="708"/>
    <w:p w14:paraId="0A711A94">
      <w:pPr>
        <w:pStyle w:val="76"/>
        <w:ind w:firstLine="0" w:firstLineChars="0"/>
        <w:jc w:val="center"/>
      </w:pPr>
      <w:bookmarkStart w:id="716" w:name="BookMark8"/>
      <w: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16"/>
    </w:p>
    <w:p w14:paraId="30155A70">
      <w:pPr>
        <w:pStyle w:val="76"/>
        <w:ind w:firstLine="0" w:firstLineChars="0"/>
        <w:jc w:val="center"/>
      </w:pPr>
    </w:p>
    <w:p w14:paraId="3E3B36C8">
      <w:pPr>
        <w:pStyle w:val="76"/>
        <w:ind w:firstLine="0" w:firstLineChars="0"/>
        <w:jc w:val="center"/>
      </w:pPr>
    </w:p>
    <w:p w14:paraId="00B16410">
      <w:pPr>
        <w:pStyle w:val="76"/>
        <w:ind w:firstLine="0" w:firstLineChars="0"/>
        <w:jc w:val="center"/>
      </w:pPr>
    </w:p>
    <w:p w14:paraId="30585F47">
      <w:pPr>
        <w:pStyle w:val="76"/>
        <w:ind w:firstLine="0" w:firstLineChars="0"/>
        <w:jc w:val="center"/>
      </w:pPr>
    </w:p>
    <w:p w14:paraId="494BF9BD">
      <w:pPr>
        <w:pStyle w:val="76"/>
        <w:ind w:firstLine="0" w:firstLineChars="0"/>
        <w:jc w:val="center"/>
      </w:pPr>
    </w:p>
    <w:p w14:paraId="02B8AFED">
      <w:pPr>
        <w:pStyle w:val="76"/>
        <w:ind w:firstLine="0" w:firstLineChars="0"/>
        <w:jc w:val="center"/>
      </w:pPr>
    </w:p>
    <w:p w14:paraId="0241D43E">
      <w:pPr>
        <w:pStyle w:val="76"/>
        <w:ind w:firstLine="0" w:firstLineChars="0"/>
        <w:jc w:val="center"/>
      </w:pPr>
    </w:p>
    <w:p w14:paraId="32780A65">
      <w:pPr>
        <w:pStyle w:val="76"/>
        <w:ind w:firstLine="0" w:firstLineChars="0"/>
        <w:jc w:val="center"/>
      </w:pPr>
    </w:p>
    <w:p w14:paraId="42339430">
      <w:pPr>
        <w:pStyle w:val="76"/>
        <w:ind w:firstLine="0" w:firstLineChars="0"/>
        <w:jc w:val="center"/>
      </w:pPr>
    </w:p>
    <w:p w14:paraId="4FC8BCEB">
      <w:pPr>
        <w:pStyle w:val="76"/>
        <w:ind w:firstLine="0" w:firstLineChars="0"/>
        <w:jc w:val="center"/>
      </w:pPr>
    </w:p>
    <w:p w14:paraId="63046826">
      <w:pPr>
        <w:pStyle w:val="76"/>
        <w:ind w:firstLine="0" w:firstLineChars="0"/>
        <w:jc w:val="center"/>
      </w:pPr>
    </w:p>
    <w:p w14:paraId="3B1C5F68">
      <w:pPr>
        <w:pStyle w:val="76"/>
        <w:ind w:firstLine="0" w:firstLineChars="0"/>
        <w:jc w:val="center"/>
      </w:pPr>
    </w:p>
    <w:p w14:paraId="4A84FE4F">
      <w:pPr>
        <w:pStyle w:val="76"/>
        <w:ind w:firstLine="0" w:firstLineChars="0"/>
        <w:jc w:val="center"/>
      </w:pPr>
    </w:p>
    <w:p w14:paraId="6B1CFB42">
      <w:pPr>
        <w:pStyle w:val="76"/>
        <w:ind w:firstLine="0" w:firstLineChars="0"/>
        <w:jc w:val="center"/>
      </w:pPr>
    </w:p>
    <w:p w14:paraId="51DFF5A8">
      <w:pPr>
        <w:pStyle w:val="76"/>
        <w:ind w:firstLine="0" w:firstLineChars="0"/>
        <w:jc w:val="center"/>
      </w:pPr>
    </w:p>
    <w:p w14:paraId="17E0106A">
      <w:pPr>
        <w:pStyle w:val="76"/>
        <w:ind w:firstLine="0" w:firstLineChars="0"/>
        <w:jc w:val="center"/>
      </w:pPr>
    </w:p>
    <w:p w14:paraId="09E278F2">
      <w:pPr>
        <w:pStyle w:val="76"/>
        <w:ind w:firstLine="0" w:firstLineChars="0"/>
        <w:jc w:val="center"/>
      </w:pPr>
    </w:p>
    <w:p w14:paraId="50468580">
      <w:pPr>
        <w:pStyle w:val="76"/>
        <w:ind w:firstLine="0" w:firstLineChars="0"/>
        <w:jc w:val="center"/>
      </w:pPr>
    </w:p>
    <w:p w14:paraId="3C7C5212">
      <w:pPr>
        <w:pStyle w:val="76"/>
        <w:ind w:firstLine="0" w:firstLineChars="0"/>
        <w:jc w:val="center"/>
      </w:pPr>
    </w:p>
    <w:p w14:paraId="08655CD3">
      <w:pPr>
        <w:pStyle w:val="76"/>
        <w:ind w:firstLine="0" w:firstLineChars="0"/>
        <w:jc w:val="center"/>
      </w:pPr>
    </w:p>
    <w:p w14:paraId="33A6CDCA">
      <w:pPr>
        <w:pStyle w:val="76"/>
        <w:ind w:firstLine="0" w:firstLineChars="0"/>
        <w:jc w:val="center"/>
      </w:pPr>
    </w:p>
    <w:p w14:paraId="71A155D7">
      <w:pPr>
        <w:pStyle w:val="76"/>
        <w:ind w:firstLine="0" w:firstLineChars="0"/>
        <w:jc w:val="center"/>
        <w:sectPr>
          <w:pgSz w:w="11906" w:h="16838"/>
          <w:pgMar w:top="1928" w:right="1134" w:bottom="1134" w:left="1134" w:header="1418" w:footer="1134" w:gutter="284"/>
          <w:pgNumType w:fmt="decimal"/>
          <w:cols w:space="425" w:num="1"/>
          <w:formProt w:val="0"/>
          <w:docGrid w:linePitch="312" w:charSpace="0"/>
        </w:sectPr>
      </w:pPr>
    </w:p>
    <w:p w14:paraId="0539A4F0">
      <w:pPr>
        <w:rPr>
          <w:rFonts w:hint="eastAsia" w:ascii="宋体" w:hAnsi="宋体" w:eastAsia="仿宋"/>
          <w:sz w:val="30"/>
          <w:szCs w:val="30"/>
        </w:rPr>
      </w:pPr>
    </w:p>
    <w:p w14:paraId="0F7934A0">
      <w:pPr>
        <w:rPr>
          <w:rFonts w:hint="eastAsia" w:ascii="宋体" w:hAnsi="宋体" w:eastAsia="仿宋"/>
          <w:sz w:val="30"/>
          <w:szCs w:val="30"/>
        </w:rPr>
      </w:pPr>
    </w:p>
    <w:p w14:paraId="37E4A2C3">
      <w:pPr>
        <w:adjustRightInd/>
        <w:spacing w:line="240" w:lineRule="auto"/>
        <w:jc w:val="center"/>
        <w:rPr>
          <w:rFonts w:hint="eastAsia" w:ascii="宋体" w:hAnsi="宋体" w:eastAsia="方正小标宋简体"/>
          <w:sz w:val="44"/>
          <w:szCs w:val="44"/>
        </w:rPr>
      </w:pPr>
    </w:p>
    <w:p w14:paraId="5944D500">
      <w:pPr>
        <w:adjustRightInd/>
        <w:spacing w:line="240" w:lineRule="auto"/>
        <w:jc w:val="center"/>
        <w:rPr>
          <w:rFonts w:hint="eastAsia" w:ascii="宋体" w:hAnsi="宋体" w:eastAsia="方正小标宋简体"/>
          <w:sz w:val="44"/>
          <w:szCs w:val="44"/>
        </w:rPr>
      </w:pPr>
    </w:p>
    <w:p w14:paraId="40AC49C0">
      <w:pPr>
        <w:adjustRightInd/>
        <w:spacing w:line="360" w:lineRule="auto"/>
        <w:jc w:val="center"/>
        <w:rPr>
          <w:rFonts w:hint="eastAsia" w:ascii="宋体" w:hAnsi="宋体" w:eastAsia="方正小标宋简体"/>
          <w:sz w:val="40"/>
          <w:szCs w:val="40"/>
        </w:rPr>
      </w:pPr>
      <w:bookmarkStart w:id="717" w:name="_Toc2085077807_WPSOffice_Level2"/>
      <w:r>
        <w:rPr>
          <w:rFonts w:hint="eastAsia" w:ascii="宋体" w:hAnsi="宋体" w:eastAsia="方正小标宋简体"/>
          <w:sz w:val="40"/>
          <w:szCs w:val="40"/>
        </w:rPr>
        <w:t>《</w:t>
      </w:r>
      <w:r>
        <w:rPr>
          <w:rFonts w:hint="eastAsia" w:ascii="宋体" w:hAnsi="宋体" w:eastAsia="方正小标宋简体"/>
          <w:sz w:val="44"/>
          <w:szCs w:val="44"/>
        </w:rPr>
        <w:t>陆上石油天然气开采建设项目（地面工程）安全设施设计导则</w:t>
      </w:r>
      <w:r>
        <w:rPr>
          <w:rFonts w:hint="eastAsia" w:ascii="宋体" w:hAnsi="宋体" w:eastAsia="方正小标宋简体"/>
          <w:sz w:val="40"/>
          <w:szCs w:val="40"/>
        </w:rPr>
        <w:t>》</w:t>
      </w:r>
    </w:p>
    <w:p w14:paraId="2C96220B">
      <w:pPr>
        <w:jc w:val="center"/>
        <w:rPr>
          <w:rFonts w:hint="eastAsia" w:ascii="宋体" w:hAnsi="宋体" w:eastAsia="仿宋_GB2312"/>
          <w:sz w:val="32"/>
          <w:szCs w:val="32"/>
        </w:rPr>
      </w:pPr>
      <w:r>
        <w:rPr>
          <w:rFonts w:hint="eastAsia" w:ascii="宋体" w:hAnsi="宋体" w:eastAsia="仿宋_GB2312"/>
          <w:sz w:val="32"/>
          <w:szCs w:val="32"/>
        </w:rPr>
        <w:t>（</w:t>
      </w:r>
      <w:r>
        <w:rPr>
          <w:rFonts w:ascii="宋体" w:hAnsi="宋体" w:eastAsia="仿宋_GB2312"/>
          <w:sz w:val="32"/>
          <w:szCs w:val="32"/>
        </w:rPr>
        <w:t xml:space="preserve"> </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14:paraId="16A4CAED">
      <w:pPr>
        <w:jc w:val="center"/>
        <w:rPr>
          <w:rFonts w:hint="eastAsia" w:ascii="宋体" w:hAnsi="宋体" w:eastAsia="方正小标宋简体"/>
          <w:sz w:val="44"/>
          <w:szCs w:val="44"/>
        </w:rPr>
      </w:pPr>
    </w:p>
    <w:bookmarkEnd w:id="717"/>
    <w:p w14:paraId="4B09B226">
      <w:pPr>
        <w:pStyle w:val="2"/>
        <w:ind w:firstLine="440"/>
        <w:jc w:val="center"/>
        <w:rPr>
          <w:rFonts w:eastAsia="黑体"/>
        </w:rPr>
      </w:pPr>
      <w:r>
        <w:rPr>
          <w:rFonts w:hint="eastAsia" w:ascii="宋体" w:hAnsi="宋体" w:eastAsia="黑体" w:cs="黑体"/>
          <w:sz w:val="44"/>
          <w:szCs w:val="44"/>
        </w:rPr>
        <w:t>编制说明</w:t>
      </w:r>
    </w:p>
    <w:p w14:paraId="4E0443A8">
      <w:pPr>
        <w:jc w:val="center"/>
        <w:rPr>
          <w:rFonts w:hint="eastAsia" w:ascii="宋体" w:hAnsi="宋体" w:eastAsia="仿宋_GB2312"/>
          <w:i/>
          <w:iCs/>
          <w:sz w:val="28"/>
          <w:szCs w:val="28"/>
        </w:rPr>
      </w:pPr>
      <w:r>
        <w:rPr>
          <w:rFonts w:ascii="宋体" w:hAnsi="宋体" w:eastAsia="仿宋"/>
          <w:i/>
          <w:iCs/>
          <w:sz w:val="28"/>
          <w:szCs w:val="28"/>
        </w:rPr>
        <w:br w:type="textWrapping"/>
      </w:r>
    </w:p>
    <w:p w14:paraId="14A4546F">
      <w:pPr>
        <w:rPr>
          <w:rFonts w:hint="eastAsia" w:ascii="宋体" w:hAnsi="宋体" w:eastAsia="仿宋_GB2312"/>
          <w:i/>
          <w:iCs/>
          <w:sz w:val="28"/>
          <w:szCs w:val="28"/>
        </w:rPr>
      </w:pPr>
    </w:p>
    <w:p w14:paraId="7F47D5FA">
      <w:pPr>
        <w:jc w:val="center"/>
        <w:rPr>
          <w:rFonts w:hint="eastAsia" w:ascii="宋体" w:hAnsi="宋体" w:eastAsia="仿宋_GB2312"/>
          <w:i/>
          <w:iCs/>
          <w:sz w:val="28"/>
          <w:szCs w:val="28"/>
        </w:rPr>
      </w:pPr>
    </w:p>
    <w:p w14:paraId="01E8C5BF">
      <w:pPr>
        <w:jc w:val="center"/>
        <w:rPr>
          <w:rFonts w:hint="eastAsia" w:ascii="宋体" w:hAnsi="宋体" w:eastAsia="仿宋_GB2312"/>
          <w:i/>
          <w:iCs/>
          <w:sz w:val="28"/>
          <w:szCs w:val="28"/>
        </w:rPr>
      </w:pPr>
    </w:p>
    <w:p w14:paraId="59F6CF7B">
      <w:pPr>
        <w:jc w:val="center"/>
        <w:rPr>
          <w:rFonts w:hint="eastAsia" w:ascii="宋体" w:hAnsi="宋体" w:eastAsia="仿宋_GB2312"/>
          <w:i/>
          <w:iCs/>
          <w:sz w:val="28"/>
          <w:szCs w:val="28"/>
        </w:rPr>
      </w:pPr>
    </w:p>
    <w:p w14:paraId="6C828A22">
      <w:pPr>
        <w:jc w:val="center"/>
        <w:rPr>
          <w:rFonts w:hint="eastAsia" w:ascii="宋体" w:hAnsi="宋体" w:eastAsia="仿宋_GB2312"/>
          <w:i/>
          <w:iCs/>
          <w:sz w:val="28"/>
          <w:szCs w:val="28"/>
        </w:rPr>
      </w:pPr>
    </w:p>
    <w:p w14:paraId="66FA3322">
      <w:pPr>
        <w:pStyle w:val="2"/>
        <w:ind w:firstLine="280"/>
        <w:rPr>
          <w:rFonts w:hint="eastAsia" w:ascii="宋体" w:hAnsi="宋体" w:eastAsia="仿宋_GB2312"/>
          <w:i/>
          <w:iCs/>
          <w:sz w:val="28"/>
          <w:szCs w:val="28"/>
        </w:rPr>
      </w:pPr>
    </w:p>
    <w:p w14:paraId="27889810">
      <w:pPr>
        <w:pStyle w:val="2"/>
        <w:ind w:firstLine="280"/>
        <w:rPr>
          <w:rFonts w:hint="eastAsia" w:ascii="宋体" w:hAnsi="宋体" w:eastAsia="仿宋_GB2312"/>
          <w:i/>
          <w:iCs/>
          <w:sz w:val="28"/>
          <w:szCs w:val="28"/>
        </w:rPr>
      </w:pPr>
    </w:p>
    <w:p w14:paraId="3E3E6931">
      <w:pPr>
        <w:pStyle w:val="2"/>
        <w:ind w:firstLine="280"/>
        <w:rPr>
          <w:rFonts w:hint="eastAsia" w:ascii="宋体" w:hAnsi="宋体" w:eastAsia="仿宋_GB2312"/>
          <w:i/>
          <w:iCs/>
          <w:sz w:val="28"/>
          <w:szCs w:val="28"/>
        </w:rPr>
      </w:pPr>
    </w:p>
    <w:p w14:paraId="7B564C4C">
      <w:pPr>
        <w:pStyle w:val="2"/>
        <w:ind w:firstLine="280"/>
        <w:rPr>
          <w:rFonts w:hint="eastAsia" w:ascii="宋体" w:hAnsi="宋体" w:eastAsia="仿宋_GB2312"/>
          <w:i/>
          <w:iCs/>
          <w:sz w:val="28"/>
          <w:szCs w:val="28"/>
        </w:rPr>
      </w:pPr>
    </w:p>
    <w:p w14:paraId="38B9F519">
      <w:pPr>
        <w:rPr>
          <w:rFonts w:hint="eastAsia" w:ascii="宋体" w:hAnsi="宋体" w:eastAsia="仿宋_GB2312"/>
          <w:sz w:val="28"/>
          <w:szCs w:val="28"/>
        </w:rPr>
      </w:pPr>
    </w:p>
    <w:p w14:paraId="50FC92BA">
      <w:pPr>
        <w:jc w:val="center"/>
        <w:rPr>
          <w:rFonts w:hint="eastAsia" w:ascii="宋体" w:hAnsi="宋体" w:eastAsia="仿宋_GB2312" w:cs="仿宋_GB2312"/>
          <w:sz w:val="32"/>
          <w:szCs w:val="32"/>
        </w:rPr>
      </w:pPr>
      <w:r>
        <w:rPr>
          <w:rFonts w:hint="eastAsia" w:ascii="宋体" w:hAnsi="宋体" w:eastAsia="仿宋_GB2312" w:cs="仿宋_GB2312"/>
          <w:sz w:val="32"/>
          <w:szCs w:val="32"/>
        </w:rPr>
        <w:t>标准编制组</w:t>
      </w:r>
    </w:p>
    <w:p w14:paraId="0495D0D3">
      <w:pPr>
        <w:jc w:val="center"/>
        <w:rPr>
          <w:rFonts w:hint="eastAsia" w:ascii="宋体" w:hAnsi="宋体"/>
          <w:b/>
          <w:sz w:val="32"/>
          <w:szCs w:val="32"/>
        </w:rPr>
      </w:pPr>
      <w:r>
        <w:rPr>
          <w:rFonts w:hint="eastAsia" w:ascii="宋体" w:hAnsi="宋体" w:eastAsia="仿宋_GB2312" w:cs="仿宋_GB2312"/>
          <w:sz w:val="32"/>
          <w:szCs w:val="32"/>
        </w:rPr>
        <w:t>2025年</w:t>
      </w:r>
      <w:r>
        <w:rPr>
          <w:rFonts w:hint="eastAsia" w:ascii="宋体" w:hAnsi="宋体" w:eastAsia="仿宋_GB2312" w:cs="仿宋_GB2312"/>
          <w:sz w:val="32"/>
          <w:szCs w:val="32"/>
          <w:lang w:val="en-US" w:eastAsia="zh-CN"/>
        </w:rPr>
        <w:t>4</w:t>
      </w:r>
      <w:r>
        <w:rPr>
          <w:rFonts w:hint="eastAsia" w:ascii="宋体" w:hAnsi="宋体" w:eastAsia="仿宋_GB2312" w:cs="仿宋_GB2312"/>
          <w:sz w:val="32"/>
          <w:szCs w:val="32"/>
        </w:rPr>
        <w:t>月</w:t>
      </w:r>
    </w:p>
    <w:p w14:paraId="782B2CA3">
      <w:pPr>
        <w:ind w:firstLine="880" w:firstLineChars="200"/>
        <w:jc w:val="center"/>
        <w:rPr>
          <w:rFonts w:hint="eastAsia" w:ascii="宋体" w:hAnsi="宋体" w:eastAsia="方正小标宋_GBK" w:cs="方正小标宋_GBK"/>
          <w:sz w:val="44"/>
          <w:szCs w:val="44"/>
        </w:rPr>
        <w:sectPr>
          <w:headerReference r:id="rId25" w:type="default"/>
          <w:footerReference r:id="rId26" w:type="default"/>
          <w:footerReference r:id="rId27" w:type="even"/>
          <w:pgSz w:w="11906" w:h="16838"/>
          <w:pgMar w:top="1701" w:right="1474" w:bottom="1474" w:left="1587" w:header="851" w:footer="992" w:gutter="0"/>
          <w:pgNumType w:fmt="decimal"/>
          <w:cols w:space="720" w:num="1"/>
          <w:docGrid w:type="lines" w:linePitch="312" w:charSpace="0"/>
        </w:sectPr>
      </w:pPr>
    </w:p>
    <w:p w14:paraId="3B3CE410">
      <w:pPr>
        <w:adjustRightInd/>
        <w:spacing w:line="240" w:lineRule="auto"/>
        <w:jc w:val="center"/>
        <w:rPr>
          <w:rFonts w:hint="eastAsia" w:ascii="宋体" w:hAnsi="宋体" w:eastAsia="方正小标宋_GBK" w:cs="方正小标宋_GBK"/>
          <w:sz w:val="44"/>
          <w:szCs w:val="44"/>
        </w:rPr>
      </w:pPr>
      <w:r>
        <w:rPr>
          <w:rFonts w:hint="eastAsia" w:ascii="宋体" w:hAnsi="宋体" w:eastAsia="方正小标宋_GBK" w:cs="方正小标宋_GBK"/>
          <w:sz w:val="44"/>
          <w:szCs w:val="44"/>
        </w:rPr>
        <w:t xml:space="preserve">说 </w:t>
      </w:r>
      <w:r>
        <w:rPr>
          <w:rFonts w:hint="eastAsia" w:ascii="宋体" w:hAnsi="宋体" w:eastAsia="方正小标宋_GBK" w:cs="方正小标宋_GBK"/>
          <w:sz w:val="44"/>
          <w:szCs w:val="44"/>
          <w:lang w:val="en-US" w:eastAsia="zh-CN"/>
        </w:rPr>
        <w:t xml:space="preserve"> </w:t>
      </w:r>
      <w:r>
        <w:rPr>
          <w:rFonts w:hint="eastAsia" w:ascii="宋体" w:hAnsi="宋体" w:eastAsia="方正小标宋_GBK" w:cs="方正小标宋_GBK"/>
          <w:sz w:val="44"/>
          <w:szCs w:val="44"/>
        </w:rPr>
        <w:t>明</w:t>
      </w:r>
    </w:p>
    <w:p w14:paraId="2A061693">
      <w:pPr>
        <w:adjustRightInd/>
        <w:spacing w:line="360" w:lineRule="auto"/>
        <w:rPr>
          <w:rFonts w:hint="eastAsia" w:ascii="宋体" w:hAnsi="宋体" w:eastAsia="仿宋_GB2312"/>
          <w:sz w:val="24"/>
        </w:rPr>
      </w:pPr>
      <w:r>
        <w:rPr>
          <w:rFonts w:hint="eastAsia" w:ascii="宋体" w:hAnsi="宋体" w:eastAsia="仿宋_GB2312"/>
          <w:sz w:val="24"/>
        </w:rPr>
        <w:t xml:space="preserve">    1．标准编制说明的封面</w:t>
      </w:r>
    </w:p>
    <w:p w14:paraId="469CDA4C">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（1）标准名称。应在封面靠上居中位置，与标准稿名称保持一致。字体字号为方正小标宋二号。</w:t>
      </w:r>
    </w:p>
    <w:p w14:paraId="0A6F67BC">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（2）标准文稿版次。在标准名称下方“征求意见稿、送审稿、报批稿”前的方框凃选其一，例如“</w:t>
      </w:r>
      <w:r>
        <w:rPr>
          <w:rFonts w:hint="eastAsia" w:ascii="宋体" w:hAnsi="宋体" w:eastAsia="华文宋体" w:cs="华文宋体"/>
          <w:sz w:val="24"/>
        </w:rPr>
        <w:t>■</w:t>
      </w:r>
      <w:r>
        <w:rPr>
          <w:rFonts w:hint="eastAsia" w:ascii="宋体" w:hAnsi="宋体" w:eastAsia="仿宋_GB2312"/>
          <w:sz w:val="24"/>
        </w:rPr>
        <w:t>征求意见稿”。字体字号为仿宋三号。</w:t>
      </w:r>
    </w:p>
    <w:p w14:paraId="6EEB4DC4">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（3）标准编制组。在封面靠下居中位置。字体字号为仿宋三号。</w:t>
      </w:r>
    </w:p>
    <w:p w14:paraId="54135A6D">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（4）编制日期。编制日期为本阶段完成的日期，以数字格式书写，字体为宋体，字号为三号。如：“2020</w:t>
      </w:r>
      <w:r>
        <w:rPr>
          <w:rFonts w:hint="eastAsia" w:ascii="宋体" w:hAnsi="宋体" w:eastAsia="仿宋_GB2312" w:cs="仿宋_GB2312"/>
          <w:sz w:val="24"/>
        </w:rPr>
        <w:t>年3月30日”</w:t>
      </w:r>
      <w:r>
        <w:rPr>
          <w:rFonts w:hint="eastAsia" w:ascii="宋体" w:hAnsi="宋体" w:eastAsia="仿宋_GB2312"/>
          <w:sz w:val="24"/>
        </w:rPr>
        <w:t>。</w:t>
      </w:r>
    </w:p>
    <w:p w14:paraId="0580FC1D">
      <w:pPr>
        <w:adjustRightInd/>
        <w:spacing w:line="360" w:lineRule="auto"/>
        <w:rPr>
          <w:rFonts w:hint="eastAsia" w:ascii="宋体" w:hAnsi="宋体" w:eastAsia="仿宋_GB2312"/>
          <w:sz w:val="24"/>
        </w:rPr>
      </w:pPr>
      <w:r>
        <w:rPr>
          <w:rFonts w:hint="eastAsia" w:ascii="宋体" w:hAnsi="宋体" w:eastAsia="仿宋_GB2312"/>
          <w:sz w:val="24"/>
        </w:rPr>
        <w:t xml:space="preserve">    2．标准编制说明的正文</w:t>
      </w:r>
    </w:p>
    <w:p w14:paraId="4054A952">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（1）正文页边距为上3cm、下</w:t>
      </w:r>
      <w:r>
        <w:rPr>
          <w:rFonts w:ascii="宋体" w:hAnsi="宋体" w:eastAsia="仿宋_GB2312"/>
          <w:sz w:val="24"/>
        </w:rPr>
        <w:t>2.6</w:t>
      </w:r>
      <w:r>
        <w:rPr>
          <w:rFonts w:hint="eastAsia" w:ascii="宋体" w:hAnsi="宋体" w:eastAsia="仿宋_GB2312"/>
          <w:sz w:val="24"/>
        </w:rPr>
        <w:t>cm、左2.8cm、右2.6cm。</w:t>
      </w:r>
    </w:p>
    <w:p w14:paraId="0AF07EE4">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（2）正文标题，一级标题用黑体三号字，二级标题用楷体三号字不加粗。三级、四级标题用仿宋GB-2312三号字不加粗。文中结构层次序数为“一、”“（一）”“1.”“（1）”标注。</w:t>
      </w:r>
    </w:p>
    <w:p w14:paraId="4740AAF9">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（3）正文中文字体字号为仿宋GB-2312三号字，数字、字母等西文字体为宋体三号字，段落行距为28磅，首行缩进2字符。</w:t>
      </w:r>
    </w:p>
    <w:p w14:paraId="16EBEA80">
      <w:pPr>
        <w:adjustRightInd/>
        <w:spacing w:line="360" w:lineRule="auto"/>
        <w:rPr>
          <w:rFonts w:hint="eastAsia" w:ascii="宋体" w:hAnsi="宋体" w:eastAsia="仿宋_GB2312"/>
          <w:sz w:val="24"/>
        </w:rPr>
      </w:pPr>
      <w:r>
        <w:rPr>
          <w:rFonts w:hint="eastAsia" w:ascii="宋体" w:hAnsi="宋体" w:eastAsia="仿宋_GB2312"/>
          <w:sz w:val="24"/>
        </w:rPr>
        <w:t xml:space="preserve">    3.编制说明的内容</w:t>
      </w:r>
    </w:p>
    <w:p w14:paraId="738FF462">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（1）应按照格式要求逐条说明，不涉及的填“无”。</w:t>
      </w:r>
    </w:p>
    <w:p w14:paraId="749F432B">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（2）应根据工作进度不断补充完善，工作过程有连续性。</w:t>
      </w:r>
    </w:p>
    <w:p w14:paraId="1CE0B44C">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（3）编制说明不是对标准内容的复制。</w:t>
      </w:r>
    </w:p>
    <w:p w14:paraId="73717BD5">
      <w:pPr>
        <w:adjustRightInd/>
        <w:spacing w:line="360" w:lineRule="auto"/>
        <w:ind w:firstLine="480" w:firstLineChars="200"/>
        <w:rPr>
          <w:rFonts w:hint="eastAsia" w:ascii="宋体" w:hAnsi="宋体" w:eastAsia="仿宋_GB2312"/>
          <w:sz w:val="24"/>
        </w:rPr>
      </w:pPr>
      <w:r>
        <w:rPr>
          <w:rFonts w:hint="eastAsia" w:ascii="宋体" w:hAnsi="宋体" w:eastAsia="仿宋_GB2312"/>
          <w:sz w:val="24"/>
        </w:rPr>
        <w:t>（4）应关注强制性标准的依据、修订标准的主要技术内容比对、标准实施过渡期、强制性标准实施政策等重要内容的编写，详见下文模板。</w:t>
      </w:r>
    </w:p>
    <w:p w14:paraId="63A88B5E">
      <w:pPr>
        <w:widowControl/>
        <w:adjustRightInd/>
        <w:spacing w:line="360" w:lineRule="auto"/>
        <w:rPr>
          <w:rFonts w:hint="eastAsia" w:ascii="宋体" w:hAnsi="宋体" w:eastAsia="仿宋_GB2312"/>
          <w:sz w:val="24"/>
        </w:rPr>
      </w:pPr>
      <w:r>
        <w:rPr>
          <w:rFonts w:hint="eastAsia" w:ascii="宋体" w:hAnsi="宋体" w:eastAsia="仿宋_GB2312"/>
          <w:sz w:val="24"/>
        </w:rPr>
        <w:t xml:space="preserve">    4.其他</w:t>
      </w:r>
    </w:p>
    <w:p w14:paraId="53F7920E">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（1）编制说明内容模板中的斜体文字内容为参考，正式提交后应删除。</w:t>
      </w:r>
    </w:p>
    <w:p w14:paraId="5BAAF50E">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（2）编制说明应正反面打印。本说明保留，打印首页反面。</w:t>
      </w:r>
    </w:p>
    <w:p w14:paraId="48880F59">
      <w:pPr>
        <w:widowControl/>
        <w:adjustRightInd/>
        <w:spacing w:line="360" w:lineRule="auto"/>
        <w:ind w:firstLine="480"/>
        <w:rPr>
          <w:rFonts w:hint="eastAsia" w:ascii="宋体" w:hAnsi="宋体" w:eastAsia="仿宋_GB2312"/>
          <w:sz w:val="24"/>
        </w:rPr>
      </w:pPr>
      <w:r>
        <w:rPr>
          <w:rFonts w:hint="eastAsia" w:ascii="宋体" w:hAnsi="宋体" w:eastAsia="仿宋_GB2312"/>
          <w:sz w:val="24"/>
        </w:rPr>
        <w:t>（3）页码从第三页开始编，起始页码为“</w:t>
      </w:r>
      <w:r>
        <w:rPr>
          <w:rFonts w:ascii="宋体" w:hAnsi="宋体" w:eastAsia="仿宋_GB2312"/>
          <w:sz w:val="24"/>
        </w:rPr>
        <w:t>1</w:t>
      </w:r>
      <w:r>
        <w:rPr>
          <w:rFonts w:hint="eastAsia" w:ascii="宋体" w:hAnsi="宋体" w:eastAsia="仿宋_GB2312"/>
          <w:sz w:val="24"/>
        </w:rPr>
        <w:t>”，页码为五号宋体。</w:t>
      </w:r>
    </w:p>
    <w:p w14:paraId="26C1AD70">
      <w:pPr>
        <w:ind w:firstLine="1076" w:firstLineChars="336"/>
        <w:rPr>
          <w:rFonts w:ascii="Times New Roman" w:hAnsi="Times New Roman" w:eastAsia="等线"/>
          <w:b/>
          <w:sz w:val="32"/>
          <w:szCs w:val="32"/>
        </w:rPr>
      </w:pPr>
    </w:p>
    <w:p w14:paraId="2B4DE06D">
      <w:pPr>
        <w:snapToGrid w:val="0"/>
        <w:spacing w:line="360" w:lineRule="auto"/>
        <w:ind w:firstLine="560" w:firstLineChars="200"/>
        <w:rPr>
          <w:rFonts w:ascii="Times New Roman" w:hAnsi="Times New Roman" w:eastAsia="仿宋"/>
          <w:sz w:val="28"/>
          <w:szCs w:val="28"/>
        </w:rPr>
        <w:sectPr>
          <w:footerReference r:id="rId29" w:type="default"/>
          <w:headerReference r:id="rId28" w:type="even"/>
          <w:pgSz w:w="11906" w:h="16838"/>
          <w:pgMar w:top="1701" w:right="1474" w:bottom="1474" w:left="1587" w:header="851" w:footer="992" w:gutter="0"/>
          <w:pgNumType w:fmt="decimal"/>
          <w:cols w:space="720" w:num="1"/>
          <w:docGrid w:type="lines" w:linePitch="312" w:charSpace="0"/>
        </w:sectPr>
      </w:pPr>
    </w:p>
    <w:p w14:paraId="23D25D38">
      <w:pPr>
        <w:widowControl/>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18" w:name="_Toc193319243"/>
      <w:bookmarkStart w:id="719" w:name="_Toc193375457"/>
      <w:r>
        <w:rPr>
          <w:rFonts w:hint="eastAsia" w:ascii="黑体" w:hAnsi="黑体" w:eastAsia="黑体"/>
          <w:color w:val="000000" w:themeColor="text1"/>
          <w:sz w:val="32"/>
          <w:szCs w:val="32"/>
          <w14:textFill>
            <w14:solidFill>
              <w14:schemeClr w14:val="tx1"/>
            </w14:solidFill>
          </w14:textFill>
        </w:rPr>
        <w:t>一、工作简况</w:t>
      </w:r>
      <w:bookmarkEnd w:id="718"/>
      <w:bookmarkEnd w:id="719"/>
    </w:p>
    <w:p w14:paraId="584F0336">
      <w:pPr>
        <w:spacing w:line="560" w:lineRule="exact"/>
        <w:ind w:firstLine="640" w:firstLineChars="200"/>
        <w:rPr>
          <w:rFonts w:hint="eastAsia" w:ascii="楷体" w:hAnsi="楷体" w:eastAsia="楷体"/>
          <w:color w:val="000000" w:themeColor="text1"/>
          <w:sz w:val="32"/>
          <w:szCs w:val="32"/>
          <w:shd w:val="clear" w:color="auto" w:fill="FFFFFF"/>
          <w14:textFill>
            <w14:solidFill>
              <w14:schemeClr w14:val="tx1"/>
            </w14:solidFill>
          </w14:textFill>
        </w:rPr>
      </w:pPr>
      <w:r>
        <w:rPr>
          <w:rFonts w:hint="eastAsia" w:ascii="楷体" w:hAnsi="楷体" w:eastAsia="楷体"/>
          <w:color w:val="000000" w:themeColor="text1"/>
          <w:sz w:val="32"/>
          <w:szCs w:val="32"/>
          <w:shd w:val="clear" w:color="auto" w:fill="FFFFFF"/>
          <w14:textFill>
            <w14:solidFill>
              <w14:schemeClr w14:val="tx1"/>
            </w14:solidFill>
          </w14:textFill>
        </w:rPr>
        <w:t>（一）任务来源</w:t>
      </w:r>
    </w:p>
    <w:p w14:paraId="6A3B0E99">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根据应急管理部办公厅《关于印发34项行业标准制修订计划的通知》（应急厅函〔2024〕262号）文件，《陆上石油天然气开采建设项目（地面工程）安全设施设计导则》的制修订计划编号为2024-AQ-29，项目周期18个月，应急管理部委托TC288/SC10全国安全生产标准化技术委员会石油天然气开采安全分技术委员会</w:t>
      </w:r>
      <w:r>
        <w:rPr>
          <w:rFonts w:hint="eastAsia" w:ascii="仿宋_GB2312" w:eastAsia="仿宋_GB2312"/>
          <w:sz w:val="32"/>
          <w:szCs w:val="32"/>
          <w:shd w:val="clear" w:color="auto" w:fill="FFFFFF"/>
        </w:rPr>
        <w:t>（以下简称石油安全分标委）</w:t>
      </w:r>
      <w:r>
        <w:rPr>
          <w:rFonts w:hint="eastAsia" w:ascii="仿宋_GB2312" w:hAnsi="Times New Roman" w:eastAsia="仿宋_GB2312"/>
          <w:color w:val="000000" w:themeColor="text1"/>
          <w:sz w:val="32"/>
          <w:szCs w:val="32"/>
          <w:shd w:val="clear" w:color="auto" w:fill="FFFFFF"/>
          <w14:textFill>
            <w14:solidFill>
              <w14:schemeClr w14:val="tx1"/>
            </w14:solidFill>
          </w14:textFill>
        </w:rPr>
        <w:t>组织起草和审查。</w:t>
      </w:r>
    </w:p>
    <w:p w14:paraId="76ABF791">
      <w:pPr>
        <w:spacing w:line="560" w:lineRule="exact"/>
        <w:ind w:firstLine="640" w:firstLineChars="200"/>
        <w:rPr>
          <w:rFonts w:hint="eastAsia" w:ascii="楷体" w:hAnsi="楷体" w:eastAsia="楷体"/>
          <w:color w:val="000000" w:themeColor="text1"/>
          <w:sz w:val="32"/>
          <w:szCs w:val="32"/>
          <w:shd w:val="clear" w:color="auto" w:fill="FFFFFF"/>
          <w14:textFill>
            <w14:solidFill>
              <w14:schemeClr w14:val="tx1"/>
            </w14:solidFill>
          </w14:textFill>
        </w:rPr>
      </w:pPr>
      <w:r>
        <w:rPr>
          <w:rFonts w:hint="eastAsia" w:ascii="楷体" w:hAnsi="楷体" w:eastAsia="楷体"/>
          <w:color w:val="000000" w:themeColor="text1"/>
          <w:sz w:val="32"/>
          <w:szCs w:val="32"/>
          <w:shd w:val="clear" w:color="auto" w:fill="FFFFFF"/>
          <w14:textFill>
            <w14:solidFill>
              <w14:schemeClr w14:val="tx1"/>
            </w14:solidFill>
          </w14:textFill>
        </w:rPr>
        <w:t>（二）制定背景</w:t>
      </w:r>
    </w:p>
    <w:p w14:paraId="3E457CC6">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eastAsia="仿宋_GB2312"/>
          <w:sz w:val="32"/>
          <w:szCs w:val="32"/>
          <w:shd w:val="clear" w:color="auto" w:fill="FFFFFF"/>
        </w:rPr>
        <w:t>随着油气田地面工程新技术的应用、相关技术规范的不断更新以及国家安全要求的不断提升，对陆上石油天然气开采地面工程建设项目安全设施设计提出了更高要求，需要制定标准进一步明确安全设计的内容、推荐的标准和编制的深度。本标准为补充行政审批的配套标准，在《石油天然气地面工程安全设施设计编写指导书》（安监总管一</w:t>
      </w:r>
      <w:r>
        <w:rPr>
          <w:rFonts w:hint="eastAsia" w:ascii="仿宋_GB2312" w:hAnsi="Times New Roman" w:eastAsia="仿宋_GB2312"/>
          <w:color w:val="000000" w:themeColor="text1"/>
          <w:sz w:val="32"/>
          <w:szCs w:val="32"/>
          <w:shd w:val="clear" w:color="auto" w:fill="FFFFFF"/>
          <w14:textFill>
            <w14:solidFill>
              <w14:schemeClr w14:val="tx1"/>
            </w14:solidFill>
          </w14:textFill>
        </w:rPr>
        <w:t>〔2008〕</w:t>
      </w:r>
      <w:r>
        <w:rPr>
          <w:rFonts w:hint="eastAsia" w:ascii="仿宋_GB2312" w:eastAsia="仿宋_GB2312"/>
          <w:sz w:val="32"/>
          <w:szCs w:val="32"/>
          <w:shd w:val="clear" w:color="auto" w:fill="FFFFFF"/>
        </w:rPr>
        <w:t>7号）、《陆上石油天然气开采安全规程》的基础上，进一步规范油气田安全设施设计，提升油气田安全设施设计专篇审查质量，强化油气田地面工程新模式、新形势下的安全管控水平。</w:t>
      </w:r>
    </w:p>
    <w:p w14:paraId="0AD07E97">
      <w:pPr>
        <w:spacing w:line="560" w:lineRule="exact"/>
        <w:ind w:firstLine="640" w:firstLineChars="200"/>
        <w:rPr>
          <w:rFonts w:hint="eastAsia" w:ascii="楷体" w:hAnsi="楷体" w:eastAsia="楷体"/>
          <w:color w:val="000000" w:themeColor="text1"/>
          <w:sz w:val="32"/>
          <w:szCs w:val="32"/>
          <w:shd w:val="clear" w:color="auto" w:fill="FFFFFF"/>
          <w14:textFill>
            <w14:solidFill>
              <w14:schemeClr w14:val="tx1"/>
            </w14:solidFill>
          </w14:textFill>
        </w:rPr>
      </w:pPr>
      <w:r>
        <w:rPr>
          <w:rFonts w:hint="eastAsia" w:ascii="楷体" w:hAnsi="楷体" w:eastAsia="楷体"/>
          <w:color w:val="000000" w:themeColor="text1"/>
          <w:sz w:val="32"/>
          <w:szCs w:val="32"/>
          <w:shd w:val="clear" w:color="auto" w:fill="FFFFFF"/>
          <w14:textFill>
            <w14:solidFill>
              <w14:schemeClr w14:val="tx1"/>
            </w14:solidFill>
          </w14:textFill>
        </w:rPr>
        <w:t>（三）起草小组人员组成及所在单位</w:t>
      </w:r>
    </w:p>
    <w:p w14:paraId="7B952558">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eastAsia="仿宋_GB2312"/>
          <w:sz w:val="32"/>
          <w:szCs w:val="32"/>
          <w:shd w:val="clear" w:color="auto" w:fill="FFFFFF"/>
        </w:rPr>
        <w:t>根据立项通知，</w:t>
      </w:r>
      <w:r>
        <w:rPr>
          <w:rFonts w:hint="eastAsia" w:ascii="宋体" w:hAnsi="宋体" w:cs="宋体"/>
          <w:sz w:val="32"/>
          <w:szCs w:val="32"/>
          <w:shd w:val="clear" w:color="auto" w:fill="FFFFFF"/>
        </w:rPr>
        <w:t>2024</w:t>
      </w:r>
      <w:r>
        <w:rPr>
          <w:rFonts w:hint="eastAsia" w:ascii="仿宋_GB2312" w:eastAsia="仿宋_GB2312"/>
          <w:sz w:val="32"/>
          <w:szCs w:val="32"/>
          <w:shd w:val="clear" w:color="auto" w:fill="FFFFFF"/>
        </w:rPr>
        <w:t>年9月成立标准起草工作组，中国石油天然气股份有限公司规划总院牵头负责本文件的制定工作，参编单位包括中国石油工程建设有限公司华北分公司、中国石油天然气管道工程有限公司天津分公司、中国石油集团工程材料研究院有限公司、中石化石油工程设计有限公司、中国石油集团安全环保技术研究院有限公司、中国石油大庆油田有限责任公司。</w:t>
      </w:r>
    </w:p>
    <w:p w14:paraId="23C68D8B">
      <w:pPr>
        <w:spacing w:line="560" w:lineRule="exact"/>
        <w:ind w:firstLine="640" w:firstLineChars="200"/>
        <w:rPr>
          <w:rFonts w:hint="eastAsia" w:ascii="楷体" w:hAnsi="楷体" w:eastAsia="楷体"/>
          <w:color w:val="000000" w:themeColor="text1"/>
          <w:sz w:val="32"/>
          <w:szCs w:val="32"/>
          <w:shd w:val="clear" w:color="auto" w:fill="FFFFFF"/>
          <w14:textFill>
            <w14:solidFill>
              <w14:schemeClr w14:val="tx1"/>
            </w14:solidFill>
          </w14:textFill>
        </w:rPr>
      </w:pPr>
      <w:r>
        <w:rPr>
          <w:rFonts w:hint="eastAsia" w:ascii="楷体" w:hAnsi="楷体" w:eastAsia="楷体"/>
          <w:color w:val="000000" w:themeColor="text1"/>
          <w:sz w:val="32"/>
          <w:szCs w:val="32"/>
          <w:shd w:val="clear" w:color="auto" w:fill="FFFFFF"/>
          <w14:textFill>
            <w14:solidFill>
              <w14:schemeClr w14:val="tx1"/>
            </w14:solidFill>
          </w14:textFill>
        </w:rPr>
        <w:t>（四）主要起草过程</w:t>
      </w:r>
    </w:p>
    <w:p w14:paraId="1330C89E">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2024年9月成立起草组，根据石油安全分标委要求，《陆上石油天然气开采建设项目（地面工程）安全设施设计导则》《陆上石油天然气开采建设项目（天然气处理厂）安全设施设计导则》《陆上石油天然气开采建设项目（地下储气库）安全设施设计导则》三项标准为系列标准，同步进行标准的编制、审查，</w:t>
      </w:r>
      <w:r>
        <w:rPr>
          <w:rFonts w:hint="eastAsia" w:ascii="仿宋_GB2312" w:eastAsia="仿宋_GB2312"/>
          <w:sz w:val="32"/>
          <w:szCs w:val="32"/>
          <w:shd w:val="clear" w:color="auto" w:fill="FFFFFF"/>
          <w:lang w:eastAsia="zh-CN"/>
        </w:rPr>
        <w:t>中石油</w:t>
      </w:r>
      <w:r>
        <w:rPr>
          <w:rFonts w:hint="eastAsia" w:ascii="仿宋_GB2312" w:eastAsia="仿宋_GB2312"/>
          <w:sz w:val="32"/>
          <w:szCs w:val="32"/>
          <w:shd w:val="clear" w:color="auto" w:fill="FFFFFF"/>
        </w:rPr>
        <w:t>规划总院组织各起草单位编制形成标准草案。</w:t>
      </w:r>
    </w:p>
    <w:p w14:paraId="518D14F0">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2024年9月</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标准起草组在北京</w:t>
      </w:r>
      <w:r>
        <w:rPr>
          <w:rFonts w:hint="eastAsia" w:ascii="仿宋_GB2312" w:eastAsia="仿宋_GB2312"/>
          <w:sz w:val="32"/>
          <w:szCs w:val="32"/>
          <w:shd w:val="clear" w:color="auto" w:fill="FFFFFF"/>
          <w:lang w:eastAsia="zh-CN"/>
        </w:rPr>
        <w:t>组织</w:t>
      </w:r>
      <w:r>
        <w:rPr>
          <w:rFonts w:hint="eastAsia" w:ascii="仿宋_GB2312" w:eastAsia="仿宋_GB2312"/>
          <w:sz w:val="32"/>
          <w:szCs w:val="32"/>
          <w:shd w:val="clear" w:color="auto" w:fill="FFFFFF"/>
        </w:rPr>
        <w:t>研讨，进一步规范编制的一致性,</w:t>
      </w:r>
      <w:r>
        <w:rPr>
          <w:rFonts w:hint="eastAsia" w:ascii="宋体" w:hAnsi="宋体" w:eastAsia="仿宋_GB2312"/>
          <w:iCs/>
          <w:sz w:val="32"/>
          <w:szCs w:val="32"/>
        </w:rPr>
        <w:t>并修改标准文本，形成标准初稿</w:t>
      </w:r>
      <w:r>
        <w:rPr>
          <w:rFonts w:hint="eastAsia" w:ascii="仿宋_GB2312" w:eastAsia="仿宋_GB2312"/>
          <w:sz w:val="32"/>
          <w:szCs w:val="32"/>
          <w:shd w:val="clear" w:color="auto" w:fill="FFFFFF"/>
        </w:rPr>
        <w:t>。</w:t>
      </w:r>
    </w:p>
    <w:p w14:paraId="2C69163A">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2024年10月</w:t>
      </w:r>
      <w:r>
        <w:rPr>
          <w:rFonts w:hint="eastAsia" w:ascii="仿宋_GB2312" w:eastAsia="仿宋_GB2312"/>
          <w:sz w:val="32"/>
          <w:szCs w:val="32"/>
          <w:shd w:val="clear" w:color="auto" w:fill="FFFFFF"/>
          <w:lang w:eastAsia="zh-CN"/>
        </w:rPr>
        <w:t>至</w:t>
      </w:r>
      <w:r>
        <w:rPr>
          <w:rFonts w:hint="eastAsia" w:ascii="仿宋_GB2312" w:eastAsia="仿宋_GB2312"/>
          <w:sz w:val="32"/>
          <w:szCs w:val="32"/>
          <w:shd w:val="clear" w:color="auto" w:fill="FFFFFF"/>
        </w:rPr>
        <w:t>12月，石油安全分标委先后组织两次标准初稿审核会，与会代表与专家听取了起草工作组的汇报，就初稿全文进行了讨论，提出了相关修改意见建议。起草组根据专家意见进行了修改完善。</w:t>
      </w:r>
    </w:p>
    <w:p w14:paraId="56867D25">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2025年2月，石油安全分标委组织标准征求意见前的审核研讨会，应急管理部危化监管二司有关业务负责人，石油安全分标委有关委员，辽宁省、四川省、重庆市应急管理厅有关处室负责人，中国石油、中国石化有关业务负责人和专家，对标准草案进行审查研讨。会后，工作组按照专家的意见进一步完善文稿。至此，本标准初稿经过多轮评审、修改，最终形成征求意见稿。</w:t>
      </w:r>
    </w:p>
    <w:p w14:paraId="007BD8A0">
      <w:pPr>
        <w:widowControl/>
        <w:numPr>
          <w:ilvl w:val="0"/>
          <w:numId w:val="80"/>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20" w:name="_Toc193375458"/>
      <w:bookmarkStart w:id="721" w:name="_Toc193319244"/>
      <w:r>
        <w:rPr>
          <w:rFonts w:hint="eastAsia" w:ascii="黑体" w:hAnsi="黑体" w:eastAsia="黑体"/>
          <w:color w:val="000000" w:themeColor="text1"/>
          <w:sz w:val="32"/>
          <w:szCs w:val="32"/>
          <w14:textFill>
            <w14:solidFill>
              <w14:schemeClr w14:val="tx1"/>
            </w14:solidFill>
          </w14:textFill>
        </w:rPr>
        <w:t>标准编制原则、主要技术内容及其确定依据</w:t>
      </w:r>
      <w:bookmarkEnd w:id="720"/>
      <w:bookmarkEnd w:id="721"/>
    </w:p>
    <w:p w14:paraId="2A321FFC">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（一）标准编制原则</w:t>
      </w:r>
    </w:p>
    <w:p w14:paraId="6001C05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本标准在制定的过程中严格执行《标准化工作导则 第1部分：标准化文件的结构和起草规则》（GB/T 1.1-2020）的要求，对标准进行认真的策划和编排，确保标准层次清楚、逻辑严谨、条理通顺，便于操作。</w:t>
      </w:r>
    </w:p>
    <w:p w14:paraId="3E3BCA7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1.协调性</w:t>
      </w:r>
    </w:p>
    <w:p w14:paraId="16D40484">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标准编制保证与现行法律法规、规章规范的协调性，同时具体条款不能与上一级法规要求相冲突。</w:t>
      </w:r>
    </w:p>
    <w:p w14:paraId="5EBDED08">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2.适用性</w:t>
      </w:r>
    </w:p>
    <w:p w14:paraId="373B24C6">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广泛收集目前现行法律、法规、标准、规范中的相关要求，充分调研了解陆上石油天然气开采建设地面工程行业发展现状，确保标准条款与行业发展实际相结合，确保标准的适用性。</w:t>
      </w:r>
    </w:p>
    <w:p w14:paraId="72FE83B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3.科学性</w:t>
      </w:r>
    </w:p>
    <w:p w14:paraId="2910D243">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借鉴了国家标准和行业标准。标准编制由中国石油天然气股份有限公司规划总院牵头，中国石油工程建设有限公司华北分公司、中国石油天然气管道工程有限公司天津分公司、中国石油集团工程材料研究院有限公司、中石化石油工程设计有限公司、中国石油集团安全环保技术研究院有限公司、中国石油大庆油田有限责任公司等单位参与，充分吸收、总结油气田地面工程建设项目的行业现行做法，保证标准的科学性。</w:t>
      </w:r>
    </w:p>
    <w:p w14:paraId="055F1DB3">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4.可执行性</w:t>
      </w:r>
    </w:p>
    <w:p w14:paraId="2D0308D6">
      <w:pPr>
        <w:spacing w:line="560" w:lineRule="exact"/>
        <w:ind w:firstLine="640" w:firstLineChars="200"/>
        <w:rPr>
          <w:rFonts w:hint="eastAsia" w:ascii="宋体" w:hAnsi="宋体" w:eastAsia="仿宋_GB2312"/>
          <w:iCs/>
          <w:sz w:val="32"/>
          <w:szCs w:val="32"/>
        </w:rPr>
      </w:pPr>
      <w:r>
        <w:rPr>
          <w:rFonts w:hint="eastAsia" w:ascii="仿宋_GB2312" w:eastAsia="仿宋_GB2312"/>
          <w:sz w:val="32"/>
          <w:szCs w:val="32"/>
          <w:shd w:val="clear" w:color="auto" w:fill="FFFFFF"/>
        </w:rPr>
        <w:t>标准条款内容将广泛征求相关单位的意见建议，对于反馈的意见建议组织工作组专题讨论，采纳吸收科学合理的意见建议，确保标准内容贴近行业实际需求，兼顾标准的可执行性。</w:t>
      </w:r>
    </w:p>
    <w:p w14:paraId="6876C50B">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（二）标准主要技术内容及确定依据</w:t>
      </w:r>
    </w:p>
    <w:p w14:paraId="2F7225E4">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针对陆上油气田地面工程油气集输管道及油气站场建设项目，对安全设施设计内容与编制提出要求。结合多年国内陆上石油天然气开采建设地面工程项目建设经验和技术成果，本</w:t>
      </w:r>
      <w:r>
        <w:rPr>
          <w:rFonts w:hint="eastAsia" w:ascii="仿宋_GB2312" w:eastAsia="仿宋_GB2312"/>
          <w:sz w:val="32"/>
          <w:szCs w:val="32"/>
          <w:shd w:val="clear" w:color="auto" w:fill="FFFFFF"/>
          <w:lang w:eastAsia="zh-CN"/>
        </w:rPr>
        <w:t>标准</w:t>
      </w:r>
      <w:r>
        <w:rPr>
          <w:rFonts w:hint="eastAsia" w:ascii="仿宋_GB2312" w:eastAsia="仿宋_GB2312"/>
          <w:sz w:val="32"/>
          <w:szCs w:val="32"/>
          <w:shd w:val="clear" w:color="auto" w:fill="FFFFFF"/>
        </w:rPr>
        <w:t>主要内容拟包括前言、正文20章以及附件、附录。</w:t>
      </w:r>
    </w:p>
    <w:p w14:paraId="49246F13">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范围</w:t>
      </w:r>
    </w:p>
    <w:p w14:paraId="67B4C8C1">
      <w:pPr>
        <w:spacing w:line="560" w:lineRule="exact"/>
        <w:ind w:firstLine="640" w:firstLineChars="200"/>
        <w:rPr>
          <w:rFonts w:ascii="仿宋_GB2312" w:eastAsia="仿宋_GB2312"/>
          <w:sz w:val="32"/>
          <w:szCs w:val="32"/>
          <w:shd w:val="clear" w:color="auto" w:fill="FFFFFF"/>
        </w:rPr>
      </w:pPr>
      <w:r>
        <w:rPr>
          <w:rFonts w:ascii="仿宋_GB2312" w:eastAsia="仿宋_GB2312"/>
          <w:sz w:val="32"/>
          <w:szCs w:val="32"/>
          <w:shd w:val="clear" w:color="auto" w:fill="FFFFFF"/>
        </w:rPr>
        <w:t>参照《</w:t>
      </w:r>
      <w:r>
        <w:rPr>
          <w:rFonts w:hint="eastAsia" w:ascii="仿宋_GB2312" w:eastAsia="仿宋_GB2312"/>
          <w:sz w:val="32"/>
          <w:szCs w:val="32"/>
          <w:shd w:val="clear" w:color="auto" w:fill="FFFFFF"/>
        </w:rPr>
        <w:t>关于陆上石油天然气建设项目安全设施设计审查与竣工验收有关事项的通知</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安监总管一〔2006〕151号</w:t>
      </w:r>
      <w:r>
        <w:rPr>
          <w:rFonts w:ascii="仿宋_GB2312" w:eastAsia="仿宋_GB2312"/>
          <w:sz w:val="32"/>
          <w:szCs w:val="32"/>
          <w:shd w:val="clear" w:color="auto" w:fill="FFFFFF"/>
        </w:rPr>
        <w:t>）与《陆上石油天然气开采安全规程》（GB</w:t>
      </w:r>
      <w:r>
        <w:rPr>
          <w:rFonts w:hint="eastAsia" w:ascii="仿宋_GB2312" w:eastAsia="仿宋_GB2312"/>
          <w:sz w:val="32"/>
          <w:szCs w:val="32"/>
          <w:shd w:val="clear" w:color="auto" w:fill="FFFFFF"/>
        </w:rPr>
        <w:t xml:space="preserve"> </w:t>
      </w:r>
      <w:r>
        <w:rPr>
          <w:rFonts w:ascii="仿宋_GB2312" w:eastAsia="仿宋_GB2312"/>
          <w:sz w:val="32"/>
          <w:szCs w:val="32"/>
          <w:shd w:val="clear" w:color="auto" w:fill="FFFFFF"/>
        </w:rPr>
        <w:t>42294）中相关描述，结合陆上石油天然气</w:t>
      </w:r>
      <w:r>
        <w:rPr>
          <w:rFonts w:hint="eastAsia" w:ascii="仿宋_GB2312" w:eastAsia="仿宋_GB2312"/>
          <w:sz w:val="32"/>
          <w:szCs w:val="32"/>
          <w:shd w:val="clear" w:color="auto" w:fill="FFFFFF"/>
        </w:rPr>
        <w:t>开采建设地面工程项目</w:t>
      </w:r>
      <w:r>
        <w:rPr>
          <w:rFonts w:ascii="仿宋_GB2312" w:eastAsia="仿宋_GB2312"/>
          <w:sz w:val="32"/>
          <w:szCs w:val="32"/>
          <w:shd w:val="clear" w:color="auto" w:fill="FFFFFF"/>
        </w:rPr>
        <w:t>安全生产需要，对本</w:t>
      </w:r>
      <w:r>
        <w:rPr>
          <w:rFonts w:hint="eastAsia" w:ascii="仿宋_GB2312" w:eastAsia="仿宋_GB2312"/>
          <w:sz w:val="32"/>
          <w:szCs w:val="32"/>
          <w:shd w:val="clear" w:color="auto" w:fill="FFFFFF"/>
          <w:lang w:eastAsia="zh-CN"/>
        </w:rPr>
        <w:t>标准</w:t>
      </w:r>
      <w:r>
        <w:rPr>
          <w:rFonts w:ascii="仿宋_GB2312" w:eastAsia="仿宋_GB2312"/>
          <w:sz w:val="32"/>
          <w:szCs w:val="32"/>
          <w:shd w:val="clear" w:color="auto" w:fill="FFFFFF"/>
        </w:rPr>
        <w:t>的适用范围予以明确。</w:t>
      </w:r>
    </w:p>
    <w:p w14:paraId="1D868E19">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规范性引用文件</w:t>
      </w:r>
    </w:p>
    <w:p w14:paraId="4E0623D5">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列出了本标准引用和相衔接的相关标准，如《</w:t>
      </w:r>
      <w:r>
        <w:rPr>
          <w:rFonts w:ascii="仿宋_GB2312" w:eastAsia="仿宋_GB2312"/>
          <w:sz w:val="32"/>
          <w:szCs w:val="32"/>
          <w:shd w:val="clear" w:color="auto" w:fill="FFFFFF"/>
        </w:rPr>
        <w:t>建筑设计防火规范</w:t>
      </w:r>
      <w:r>
        <w:rPr>
          <w:rFonts w:hint="eastAsia" w:ascii="仿宋_GB2312" w:eastAsia="仿宋_GB2312"/>
          <w:sz w:val="32"/>
          <w:szCs w:val="32"/>
          <w:shd w:val="clear" w:color="auto" w:fill="FFFFFF"/>
        </w:rPr>
        <w:t>》（GB 50016）、《建筑物防雷设计规范》（GB 50057）、《气田集输设计规范》（GB 50349）、《油田油气集输设计规范》（GB 50350）、《石油天然气工程设计防火规范》（GB 50183）等。</w:t>
      </w:r>
    </w:p>
    <w:p w14:paraId="5C99788C">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术语和定义</w:t>
      </w:r>
    </w:p>
    <w:p w14:paraId="06B2685B">
      <w:pPr>
        <w:spacing w:line="560" w:lineRule="exact"/>
        <w:ind w:firstLine="640" w:firstLineChars="200"/>
        <w:rPr>
          <w:rFonts w:ascii="仿宋_GB2312" w:eastAsia="仿宋_GB2312"/>
          <w:sz w:val="32"/>
          <w:szCs w:val="32"/>
          <w:shd w:val="clear" w:color="auto" w:fill="FFFFFF"/>
        </w:rPr>
      </w:pPr>
      <w:r>
        <w:rPr>
          <w:rFonts w:hint="eastAsia" w:ascii="仿宋_GB2312" w:hAnsi="Times New Roman" w:eastAsia="仿宋_GB2312"/>
          <w:sz w:val="32"/>
          <w:szCs w:val="32"/>
          <w:shd w:val="clear" w:color="auto" w:fill="FFFFFF"/>
        </w:rPr>
        <w:t>标准列出了2项文中涉及的行业术语和定义，包括“安全设施”和“重大变更”。术语和定义的描述部分根据行业内统一认识，结合《建设项目安全设施“三同时”监督管理办法》要求及评审会意见，统一和明确行业相关用语表述。</w:t>
      </w:r>
    </w:p>
    <w:p w14:paraId="055A2834">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缩略语</w:t>
      </w:r>
    </w:p>
    <w:p w14:paraId="6EC50EC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列出了本</w:t>
      </w:r>
      <w:r>
        <w:rPr>
          <w:rFonts w:hint="eastAsia" w:ascii="仿宋_GB2312" w:eastAsia="仿宋_GB2312"/>
          <w:sz w:val="32"/>
          <w:szCs w:val="32"/>
          <w:shd w:val="clear" w:color="auto" w:fill="FFFFFF"/>
          <w:lang w:eastAsia="zh-CN"/>
        </w:rPr>
        <w:t>标准</w:t>
      </w:r>
      <w:r>
        <w:rPr>
          <w:rFonts w:hint="eastAsia" w:ascii="仿宋_GB2312" w:eastAsia="仿宋_GB2312"/>
          <w:sz w:val="32"/>
          <w:szCs w:val="32"/>
          <w:shd w:val="clear" w:color="auto" w:fill="FFFFFF"/>
        </w:rPr>
        <w:t>中涉及的英文缩略语。</w:t>
      </w:r>
    </w:p>
    <w:p w14:paraId="18D40757">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总体要求</w:t>
      </w:r>
    </w:p>
    <w:p w14:paraId="192A4696">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《建设项目安全设施“三同时”监督管理办法》，</w:t>
      </w:r>
      <w:r>
        <w:rPr>
          <w:rFonts w:hint="eastAsia" w:ascii="仿宋_GB2312" w:eastAsia="仿宋_GB2312"/>
          <w:sz w:val="32"/>
          <w:szCs w:val="32"/>
          <w:shd w:val="clear" w:color="auto" w:fill="FFFFFF"/>
        </w:rPr>
        <w:t>提出相关工作需委托有资质的单位进行设计，明确了重新编制安全设施设计的条件，确定了安全设施设计应该包括的主要章节内容。</w:t>
      </w:r>
    </w:p>
    <w:p w14:paraId="05E2A1E4">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设计依据</w:t>
      </w:r>
    </w:p>
    <w:p w14:paraId="6269608C">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参照《石油天然气地面工程安全设施设计编写指导书》明确了安全设施设计遵循的法律法规，执行的标准规范及需要提供的相关文件。</w:t>
      </w:r>
    </w:p>
    <w:p w14:paraId="7FA9C7F4">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建设项目概述</w:t>
      </w:r>
    </w:p>
    <w:p w14:paraId="2F68C777">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参照《石油天然气地面工程安全设施设计编写指导书》、《气田集输设计规范》（GB 50349）、《油田油气集输设计规范》（GB 50350）明确了建设项目需要介绍的基本情况，主要包括项目概况、工艺方案、辅助生产系统</w:t>
      </w:r>
      <w:r>
        <w:rPr>
          <w:rFonts w:hint="eastAsia" w:ascii="仿宋_GB2312" w:eastAsia="仿宋_GB2312"/>
          <w:sz w:val="32"/>
          <w:szCs w:val="32"/>
          <w:shd w:val="clear" w:color="auto" w:fill="FFFFFF"/>
          <w:lang w:eastAsia="zh-CN"/>
        </w:rPr>
        <w:t>、</w:t>
      </w:r>
      <w:r>
        <w:rPr>
          <w:rFonts w:hint="eastAsia" w:ascii="仿宋_GB2312" w:eastAsia="仿宋_GB2312"/>
          <w:sz w:val="32"/>
          <w:szCs w:val="32"/>
          <w:shd w:val="clear" w:color="auto" w:fill="FFFFFF"/>
        </w:rPr>
        <w:t>公用工程及主要工程量。</w:t>
      </w:r>
    </w:p>
    <w:p w14:paraId="61B8E264">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危险有害因素分析</w:t>
      </w:r>
    </w:p>
    <w:p w14:paraId="0CD1FF15">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《建设项目安全设施“三同时”监督管理办法》，需</w:t>
      </w:r>
      <w:r>
        <w:rPr>
          <w:rFonts w:hint="eastAsia" w:ascii="仿宋_GB2312" w:eastAsia="仿宋_GB2312"/>
          <w:sz w:val="32"/>
          <w:szCs w:val="32"/>
          <w:shd w:val="clear" w:color="auto" w:fill="FFFFFF"/>
        </w:rPr>
        <w:t>说明安全预评价报告危险有害因素分析结论；明确了应对变更部分进行危险有害因素辨识，提出安全对策措施；对采用的新工艺、新技术、新材料或新设备应进行危险有害因素分析。</w:t>
      </w:r>
    </w:p>
    <w:p w14:paraId="6F33798E">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安全预评价响应</w:t>
      </w:r>
    </w:p>
    <w:p w14:paraId="24CB2DE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《建设项目安全设施“三同时”监督管理办法》、</w:t>
      </w:r>
      <w:r>
        <w:rPr>
          <w:rFonts w:hint="eastAsia" w:ascii="仿宋_GB2312" w:eastAsia="仿宋_GB2312"/>
          <w:sz w:val="32"/>
          <w:szCs w:val="32"/>
          <w:shd w:val="clear" w:color="auto" w:fill="FFFFFF"/>
        </w:rPr>
        <w:t>《石油天然气地面工程安全设施设计编写指导书》，需列出建设项目安全预评价报告中提出的安全对策措施的采纳情况；对未采纳的或部分采纳的措施作充分论证说明。</w:t>
      </w:r>
    </w:p>
    <w:p w14:paraId="21ABDCCB">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区域布置及总平面布置安全措施</w:t>
      </w:r>
    </w:p>
    <w:p w14:paraId="5942193B">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提出了天然气站场、井场的地理位置及周边环境情况描述的要求，明确了</w:t>
      </w:r>
      <w:r>
        <w:rPr>
          <w:rFonts w:ascii="仿宋_GB2312" w:eastAsia="仿宋_GB2312"/>
          <w:sz w:val="32"/>
          <w:szCs w:val="32"/>
          <w:shd w:val="clear" w:color="auto" w:fill="FFFFFF"/>
        </w:rPr>
        <w:t>站场内各装置（设施）布置</w:t>
      </w:r>
      <w:r>
        <w:rPr>
          <w:rFonts w:hint="eastAsia" w:ascii="仿宋_GB2312" w:eastAsia="仿宋_GB2312"/>
          <w:sz w:val="32"/>
          <w:szCs w:val="32"/>
          <w:shd w:val="clear" w:color="auto" w:fill="FFFFFF"/>
        </w:rPr>
        <w:t>需要说明的</w:t>
      </w:r>
      <w:r>
        <w:rPr>
          <w:rFonts w:ascii="仿宋_GB2312" w:eastAsia="仿宋_GB2312"/>
          <w:sz w:val="32"/>
          <w:szCs w:val="32"/>
          <w:shd w:val="clear" w:color="auto" w:fill="FFFFFF"/>
        </w:rPr>
        <w:t>安全考虑</w:t>
      </w:r>
      <w:r>
        <w:rPr>
          <w:rFonts w:hint="eastAsia" w:ascii="仿宋_GB2312" w:eastAsia="仿宋_GB2312"/>
          <w:sz w:val="32"/>
          <w:szCs w:val="32"/>
          <w:shd w:val="clear" w:color="auto" w:fill="FFFFFF"/>
        </w:rPr>
        <w:t>因素。根据</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）、《石油天然气工程总图设计规范》（SY/T 0048）说明油气站场平面布置方案及设备设施防火间距的符合性。根据《湿陷性黄土地区建筑标准》（GB 50025）、《膨胀土地区建筑技术规范》（GB 50112）、《盐渍土地区建筑技术规范》（GB/T 50942）、《石油天然气工程总图设计规范》（SY/T 0048）说明油气站场所在位置自然地形情况及竖向设计的安全措施。根据《</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）说明站场消防道路及出入口情况。</w:t>
      </w:r>
    </w:p>
    <w:p w14:paraId="57CEE332">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工艺系统安全措施</w:t>
      </w:r>
    </w:p>
    <w:p w14:paraId="36EECB2F">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提出了油气集输处理工艺、水处理工艺、注入系统的安全设施设计需要说明的内容。</w:t>
      </w:r>
    </w:p>
    <w:p w14:paraId="01F591A3">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w:t>
      </w:r>
      <w:r>
        <w:rPr>
          <w:rFonts w:hint="eastAsia" w:ascii="仿宋_GB2312" w:eastAsia="仿宋_GB2312"/>
          <w:sz w:val="32"/>
          <w:szCs w:val="32"/>
          <w:shd w:val="clear" w:color="auto" w:fill="FFFFFF"/>
        </w:rPr>
        <w:t>《气田集输设计规范》（GB 50349）、《油田油气集输设计规范》（GB 50350）说明油气集输管道针对防凝、防水击、防气蚀等采取的工艺安全措施；说明工艺运行参数超出限定值时的报警及安全联锁调节。</w:t>
      </w:r>
    </w:p>
    <w:p w14:paraId="44E0B93C">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w:t>
      </w:r>
      <w:r>
        <w:rPr>
          <w:rFonts w:hint="eastAsia" w:ascii="仿宋_GB2312" w:eastAsia="仿宋_GB2312"/>
          <w:sz w:val="32"/>
          <w:szCs w:val="32"/>
          <w:shd w:val="clear" w:color="auto" w:fill="FFFFFF"/>
        </w:rPr>
        <w:t>《气田集输设计规范》（GB 50349）、《油田采出水处理设计规范》（GB 50428）说明水处理工艺采取的安全措施，包括细菌腐蚀、结垢的控制措施。</w:t>
      </w:r>
    </w:p>
    <w:p w14:paraId="7C2F1447">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w:t>
      </w:r>
      <w:r>
        <w:rPr>
          <w:rFonts w:hint="eastAsia" w:ascii="仿宋_GB2312" w:eastAsia="仿宋_GB2312"/>
          <w:sz w:val="32"/>
          <w:szCs w:val="32"/>
          <w:shd w:val="clear" w:color="auto" w:fill="FFFFFF"/>
        </w:rPr>
        <w:t>《气田集输设计规范》（GB 50349）、《油田注水工程设计规范》（GB 50391）说明防止管道应力破坏、压缩机振动、离心泵气蚀的控制措施。</w:t>
      </w:r>
    </w:p>
    <w:p w14:paraId="3529E4B3">
      <w:pPr>
        <w:spacing w:line="560" w:lineRule="exact"/>
        <w:ind w:firstLine="640" w:firstLineChars="200"/>
      </w:pPr>
      <w:r>
        <w:rPr>
          <w:rFonts w:hint="eastAsia" w:ascii="仿宋_GB2312" w:eastAsia="仿宋_GB2312"/>
          <w:sz w:val="32"/>
          <w:szCs w:val="32"/>
          <w:shd w:val="clear" w:color="auto" w:fill="FFFFFF"/>
        </w:rPr>
        <w:t>根据</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w:t>
      </w:r>
      <w:r>
        <w:rPr>
          <w:rFonts w:hint="eastAsia" w:ascii="仿宋_GB2312" w:eastAsia="仿宋_GB2312"/>
          <w:sz w:val="32"/>
          <w:szCs w:val="32"/>
          <w:shd w:val="clear" w:color="auto" w:fill="FFFFFF"/>
        </w:rPr>
        <w:t>《泄压和减压系统指南》（SY/T 10043）说明安全泄放系统放空管或放空火炬的设计放空量、直径、高度和放空火炬热辐射强度、干气密封、气体吹扫、防止回火措施。根据《压力容器》（GB/T 150）、《天然气地面设施抗硫化物应力开裂和应力腐蚀开裂金属材料技术规范》（SY/T 0599）等说明工艺设备、管线选材采取的措施。</w:t>
      </w:r>
    </w:p>
    <w:p w14:paraId="23377913">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线路工程安全措施</w:t>
      </w:r>
    </w:p>
    <w:p w14:paraId="222CA3C6">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提出了管道本体、管道敷设、地质灾害的安全措施设计需要说明的内容。根据《气田集输设计规范》（GB 50349）、《油田油气集输设计规范》（GB 50350）说明管道强度设计系数、管材、焊接与无损检测采取的安全措施；说明管道埋深、管沟开挖等敷设相关安全措施；说明管道地质灾害段采取的安全措施；说明管道穿跨越和并行段采取的安全措施。</w:t>
      </w:r>
    </w:p>
    <w:p w14:paraId="25939C8D">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自控安全措施</w:t>
      </w:r>
    </w:p>
    <w:p w14:paraId="2AE99ADA">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根据《过程工业领域安全仪表系统的功能安全》（GB/T 21109）、《油气田及管道工程计算机控制系统设计规范》（SY/T 7628）、《油气田及管道工程仪表控制系统设计规范》（SY/T 7700）说明安全仪表系统、安全仪表系统SIF回路、井口控制系统、气体检测和报警系统的安全设计要求。</w:t>
      </w:r>
    </w:p>
    <w:p w14:paraId="5EE65790">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公用工程安全措施</w:t>
      </w:r>
    </w:p>
    <w:p w14:paraId="45BA1C42">
      <w:pPr>
        <w:spacing w:line="560" w:lineRule="exact"/>
        <w:ind w:firstLine="640" w:firstLineChars="200"/>
        <w:rPr>
          <w:rFonts w:ascii="仿宋_GB2312" w:eastAsia="仿宋_GB2312"/>
          <w:sz w:val="32"/>
          <w:szCs w:val="32"/>
          <w:shd w:val="clear" w:color="auto" w:fill="FFFFFF"/>
        </w:rPr>
      </w:pPr>
      <w:r>
        <w:rPr>
          <w:rFonts w:hint="eastAsia" w:ascii="仿宋_GB2312" w:hAnsi="仿宋_GB2312" w:eastAsia="仿宋_GB2312" w:cs="仿宋_GB2312"/>
          <w:sz w:val="32"/>
          <w:szCs w:val="32"/>
        </w:rPr>
        <w:t>提出了通信、供配电、给排水、防腐保温、通风系统和建（构）筑物</w:t>
      </w:r>
      <w:r>
        <w:rPr>
          <w:rFonts w:hint="eastAsia" w:ascii="仿宋_GB2312" w:eastAsia="仿宋_GB2312"/>
          <w:sz w:val="32"/>
          <w:szCs w:val="32"/>
          <w:shd w:val="clear" w:color="auto" w:fill="FFFFFF"/>
        </w:rPr>
        <w:t>的安全设计需要说明的内容。</w:t>
      </w:r>
    </w:p>
    <w:p w14:paraId="0FDAEDD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根据《火灾自动报警系统设计规范》（GB 50116）、</w:t>
      </w:r>
      <w:r>
        <w:rPr>
          <w:rFonts w:hint="eastAsia" w:ascii="仿宋_GB2312" w:hAnsi="Times New Roman" w:eastAsia="仿宋_GB2312"/>
          <w:sz w:val="32"/>
          <w:szCs w:val="32"/>
          <w:shd w:val="clear" w:color="auto" w:fill="FFFFFF"/>
        </w:rPr>
        <w:t>《</w:t>
      </w:r>
      <w:r>
        <w:rPr>
          <w:rFonts w:ascii="仿宋_GB2312" w:hAnsi="Times New Roman" w:eastAsia="仿宋_GB2312"/>
          <w:sz w:val="32"/>
          <w:szCs w:val="32"/>
          <w:shd w:val="clear" w:color="auto" w:fill="FFFFFF"/>
        </w:rPr>
        <w:t>石油天然气工程设计防火规范</w:t>
      </w:r>
      <w:r>
        <w:rPr>
          <w:rFonts w:hint="eastAsia" w:ascii="仿宋_GB2312" w:hAnsi="Times New Roman" w:eastAsia="仿宋_GB2312"/>
          <w:sz w:val="32"/>
          <w:szCs w:val="32"/>
          <w:shd w:val="clear" w:color="auto" w:fill="FFFFFF"/>
        </w:rPr>
        <w:t>》（</w:t>
      </w:r>
      <w:r>
        <w:rPr>
          <w:rFonts w:hint="eastAsia" w:ascii="宋体" w:hAnsi="宋体" w:cs="宋体"/>
          <w:sz w:val="32"/>
          <w:szCs w:val="32"/>
          <w:shd w:val="clear" w:color="auto" w:fill="FFFFFF"/>
        </w:rPr>
        <w:t>GB 50183</w:t>
      </w:r>
      <w:r>
        <w:rPr>
          <w:rFonts w:hint="eastAsia" w:ascii="仿宋_GB2312" w:hAnsi="Times New Roman" w:eastAsia="仿宋_GB2312"/>
          <w:sz w:val="32"/>
          <w:szCs w:val="32"/>
          <w:shd w:val="clear" w:color="auto" w:fill="FFFFFF"/>
        </w:rPr>
        <w:t>）、</w:t>
      </w:r>
      <w:r>
        <w:rPr>
          <w:rFonts w:hint="eastAsia" w:ascii="仿宋_GB2312" w:eastAsia="仿宋_GB2312"/>
          <w:sz w:val="32"/>
          <w:szCs w:val="32"/>
          <w:shd w:val="clear" w:color="auto" w:fill="FFFFFF"/>
        </w:rPr>
        <w:t>《供配电系统设计规范》（GB 50052）、《油气田变配电设计规范》（SY/T 0033）说明应急电源设置、防火防爆、应急照明、防雷防静电采取的安全措施。</w:t>
      </w:r>
    </w:p>
    <w:p w14:paraId="5CE4019D">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根据《公共广播系统工程技术标准》（GB 50526）说明电话系统、扩音对讲系统、应急通信系统的设置情况。</w:t>
      </w:r>
    </w:p>
    <w:p w14:paraId="321EC512">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根据《锅炉房设计标准》（GB 50041）、《锅炉用液体和气体燃料燃烧器技术条件》（GB/T 36699）说明锅炉、加热炉熄火保护，燃料气供气管道紧急切断等措施。根据《工业建筑供暖通风与空气调节设计规范》（GB 50019）、《消防设施通用规范》（GB 55036）等说明建筑物通风和防排烟设置情况。</w:t>
      </w:r>
    </w:p>
    <w:p w14:paraId="617AFFA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根据《火灾自动报警系统设计规范》（GB 50116）、《建筑防火通用规范》（GB 55037）、《建筑工程抗震设防分类标准》（GB 50223）说明建筑物设置的防火、泄爆、抗爆、防腐等安全措施。</w:t>
      </w:r>
    </w:p>
    <w:p w14:paraId="46ADB74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根据《钢质管道外腐蚀控制规范》（GB/T 21447）、《钢质管道内腐蚀控制规范》（GB/T 23258）、《气田集输设计规范》（GB 50349）说明线路管道防腐、站内管道设备及储罐防腐、管道内腐蚀控制等采取的安全措施；根据《埋地钢质管道防腐保温层技术标准》（GB/T 50538）说明管道绝热、储罐绝热采取的措施。</w:t>
      </w:r>
    </w:p>
    <w:p w14:paraId="115C0472">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防范其他危险、危害因素的安全措施</w:t>
      </w:r>
    </w:p>
    <w:p w14:paraId="12233600">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提出了防范自然灾害、防噪声、防机械伤害、物体打击、防灼烫、防低温冻伤、防高处坠落需要说明的内容。</w:t>
      </w:r>
    </w:p>
    <w:p w14:paraId="6BDB5465">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逃生及救生</w:t>
      </w:r>
    </w:p>
    <w:p w14:paraId="5841A1F3">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提出了发生事故时人员的逃生及救生需要说明的内容。</w:t>
      </w:r>
    </w:p>
    <w:p w14:paraId="68EEB979">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安全管理</w:t>
      </w:r>
    </w:p>
    <w:p w14:paraId="294E3AC3">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参照《安全生产法》关于安全管理的相关要求，提出了安全管理机构设置、人员编制与安全管理人员设置、个体安全防护用品配备、抢修机构设置及设备配备、外部依托力量、安全投入等需要说明的内容。</w:t>
      </w:r>
    </w:p>
    <w:p w14:paraId="39312295">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专项投资概算</w:t>
      </w:r>
    </w:p>
    <w:p w14:paraId="2D087C81">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规定了用于安全的专用投资需说明的内容。</w:t>
      </w:r>
      <w:bookmarkStart w:id="746" w:name="_GoBack"/>
      <w:bookmarkEnd w:id="746"/>
    </w:p>
    <w:p w14:paraId="399D3A8E">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主要结论和建议</w:t>
      </w:r>
    </w:p>
    <w:p w14:paraId="5FDC1D52">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明确了应说明初步设计所采用的安全设施和采取的安全措施；安全预评价对安全设施设计提出的安全对策措施落实情况；说明在施工图设计、施工及生产运行中应采取的措施建议。</w:t>
      </w:r>
    </w:p>
    <w:p w14:paraId="1A5DB46C">
      <w:pPr>
        <w:numPr>
          <w:ilvl w:val="0"/>
          <w:numId w:val="81"/>
        </w:numPr>
        <w:tabs>
          <w:tab w:val="left" w:pos="7373"/>
        </w:tabs>
        <w:adjustRightInd/>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格式要求</w:t>
      </w:r>
    </w:p>
    <w:p w14:paraId="17DF60B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规定了安全设施设计专篇结构、字号和字体、纸张、排版、印刷、封装的要求。</w:t>
      </w:r>
    </w:p>
    <w:p w14:paraId="6F8DF8E9">
      <w:pPr>
        <w:spacing w:line="560" w:lineRule="exact"/>
        <w:ind w:firstLine="640" w:firstLineChars="20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（三）标准修订变化及依据（仅修订标准需要列出）</w:t>
      </w:r>
    </w:p>
    <w:p w14:paraId="3492F7D5">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宋体" w:hAnsi="宋体" w:eastAsia="仿宋_GB2312"/>
          <w:iCs/>
          <w:sz w:val="32"/>
          <w:szCs w:val="32"/>
        </w:rPr>
        <w:t>无。</w:t>
      </w:r>
    </w:p>
    <w:p w14:paraId="053A8385">
      <w:pPr>
        <w:spacing w:line="560" w:lineRule="exact"/>
        <w:ind w:firstLine="640" w:firstLineChars="200"/>
        <w:rPr>
          <w:rFonts w:hint="eastAsia"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三、试验验证的分析、综述报告、技术经济论证，预期的经济效益、社会效益和生态效益</w:t>
      </w:r>
    </w:p>
    <w:p w14:paraId="30D43054">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eastAsia="仿宋_GB2312"/>
          <w:sz w:val="32"/>
          <w:szCs w:val="32"/>
          <w:shd w:val="clear" w:color="auto" w:fill="FFFFFF"/>
        </w:rPr>
        <w:t>该标准的制定，可以进一步明确安全设计需要说明的内容、推荐的标准和编制的深度，填补石油行业安全生产标准体系的空白。本标准为补充行政审批的配套标准，可规范油气田安全设施设计，提升油气田安全设施设计专篇审查质量，强化油气田地面工程新模式、新形势下的安全管控水平，带来明显的经济效益和社会效益。</w:t>
      </w:r>
    </w:p>
    <w:p w14:paraId="574EC408">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22" w:name="_Toc193375459"/>
      <w:bookmarkStart w:id="723" w:name="_Toc193319245"/>
      <w:r>
        <w:rPr>
          <w:rFonts w:hint="eastAsia" w:ascii="黑体" w:hAnsi="黑体" w:eastAsia="黑体"/>
          <w:color w:val="000000" w:themeColor="text1"/>
          <w:sz w:val="32"/>
          <w:szCs w:val="32"/>
          <w14:textFill>
            <w14:solidFill>
              <w14:schemeClr w14:val="tx1"/>
            </w14:solidFill>
          </w14:textFill>
        </w:rPr>
        <w:t>与国际、国外同类标准技术内容的对比情况</w:t>
      </w:r>
      <w:bookmarkEnd w:id="722"/>
      <w:bookmarkEnd w:id="723"/>
    </w:p>
    <w:p w14:paraId="03C3459F">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为强化陆上石油天然气开采建设项目的安全要求，</w:t>
      </w:r>
      <w:r>
        <w:rPr>
          <w:rFonts w:hint="eastAsia" w:ascii="仿宋_GB2312" w:eastAsia="仿宋_GB2312"/>
          <w:sz w:val="32"/>
          <w:szCs w:val="32"/>
          <w:shd w:val="clear" w:color="auto" w:fill="FFFFFF"/>
          <w:lang w:eastAsia="zh-CN"/>
        </w:rPr>
        <w:t>原国家安全监管总局</w:t>
      </w:r>
      <w:r>
        <w:rPr>
          <w:rFonts w:hint="eastAsia" w:ascii="仿宋_GB2312" w:eastAsia="仿宋_GB2312"/>
          <w:sz w:val="32"/>
          <w:szCs w:val="32"/>
          <w:shd w:val="clear" w:color="auto" w:fill="FFFFFF"/>
        </w:rPr>
        <w:t>发布了《石油天然气地面工程安全设施设计编写指导书》（安监总管一</w:t>
      </w:r>
      <w:r>
        <w:rPr>
          <w:rFonts w:hint="eastAsia" w:ascii="仿宋_GB2312" w:hAnsi="Times New Roman" w:eastAsia="仿宋_GB2312"/>
          <w:color w:val="000000" w:themeColor="text1"/>
          <w:sz w:val="32"/>
          <w:szCs w:val="32"/>
          <w:shd w:val="clear" w:color="auto" w:fill="FFFFFF"/>
          <w14:textFill>
            <w14:solidFill>
              <w14:schemeClr w14:val="tx1"/>
            </w14:solidFill>
          </w14:textFill>
        </w:rPr>
        <w:t>〔2008〕</w:t>
      </w:r>
      <w:r>
        <w:rPr>
          <w:rFonts w:hint="eastAsia" w:ascii="仿宋_GB2312" w:eastAsia="仿宋_GB2312"/>
          <w:sz w:val="32"/>
          <w:szCs w:val="32"/>
          <w:shd w:val="clear" w:color="auto" w:fill="FFFFFF"/>
        </w:rPr>
        <w:t>7号）、《陆上石油天然气开采安全规程》和《高风险非煤矿山建设项目安全设施设计审查》等一系列文件，有效提升了油气田地面工程安全设施建设水平，但相关要求偏宏观，对于地面工程安全设计具体执行的标准，编制的内容深度缺乏明确说明。目前在石油天然气开采建设项目安全设施设计方面，国内针对管道发布了行业标准《陆上油气管道建设项目安全设施设计导则》（</w:t>
      </w:r>
      <w:r>
        <w:rPr>
          <w:rFonts w:ascii="仿宋_GB2312" w:eastAsia="仿宋_GB2312"/>
          <w:sz w:val="32"/>
          <w:szCs w:val="32"/>
          <w:shd w:val="clear" w:color="auto" w:fill="FFFFFF"/>
        </w:rPr>
        <w:t>AQ/T 3055-2019</w:t>
      </w:r>
      <w:r>
        <w:rPr>
          <w:rFonts w:hint="eastAsia" w:ascii="仿宋_GB2312" w:eastAsia="仿宋_GB2312"/>
          <w:sz w:val="32"/>
          <w:szCs w:val="32"/>
          <w:shd w:val="clear" w:color="auto" w:fill="FFFFFF"/>
        </w:rPr>
        <w:t>），针对海洋石油生产设施正在编制《海上石油天然气建设项目安全设施设计导则》，尚无专门应用于陆上油气田地面工程油气集输管道及油气站场安全设施设计的具体标准，拟制定的标准与现行标准不存在冲突。国际国外尚无适用的同类标准。</w:t>
      </w:r>
    </w:p>
    <w:p w14:paraId="755288A6">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24" w:name="_Toc193375460"/>
      <w:bookmarkStart w:id="725" w:name="_Toc193319246"/>
      <w:r>
        <w:rPr>
          <w:rFonts w:hint="eastAsia" w:ascii="黑体" w:hAnsi="黑体" w:eastAsia="黑体"/>
          <w:color w:val="000000" w:themeColor="text1"/>
          <w:sz w:val="32"/>
          <w:szCs w:val="32"/>
          <w14:textFill>
            <w14:solidFill>
              <w14:schemeClr w14:val="tx1"/>
            </w14:solidFill>
          </w14:textFill>
        </w:rPr>
        <w:t>以国际标准为基础的起草情况、是否合规引用或采用国际国外标准以及未采用国际标准的原因</w:t>
      </w:r>
      <w:bookmarkEnd w:id="724"/>
      <w:bookmarkEnd w:id="725"/>
    </w:p>
    <w:p w14:paraId="7A5148BB">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无。</w:t>
      </w:r>
    </w:p>
    <w:p w14:paraId="1B6014AA">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26" w:name="_Toc193375461"/>
      <w:bookmarkStart w:id="727" w:name="_Toc193319247"/>
      <w:r>
        <w:rPr>
          <w:rFonts w:hint="eastAsia" w:ascii="黑体" w:hAnsi="黑体" w:eastAsia="黑体"/>
          <w:color w:val="000000" w:themeColor="text1"/>
          <w:sz w:val="32"/>
          <w:szCs w:val="32"/>
          <w14:textFill>
            <w14:solidFill>
              <w14:schemeClr w14:val="tx1"/>
            </w14:solidFill>
          </w14:textFill>
        </w:rPr>
        <w:t>与有关法律、行政法规及相关标准水平的关系</w:t>
      </w:r>
      <w:bookmarkEnd w:id="726"/>
      <w:bookmarkEnd w:id="727"/>
    </w:p>
    <w:p w14:paraId="5005726F">
      <w:pPr>
        <w:spacing w:line="560" w:lineRule="exact"/>
        <w:ind w:left="64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（一）与有关法律、行政法规、标准关系</w:t>
      </w:r>
    </w:p>
    <w:p w14:paraId="7C03DA65">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本标准符合《安全生产法》《标准化法》等相关法律要求。</w:t>
      </w:r>
    </w:p>
    <w:p w14:paraId="3ADE5F3C">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本标准依据《标准化工作导则第1部分：标准化文件的结构和起草规则》（GB/T 1.1-2020）的规定起草。</w:t>
      </w:r>
    </w:p>
    <w:p w14:paraId="7FF85516">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本标准遵循《安全生产法》《建设项目安全设施“三同时”监督管理办法》等相关要求而制定，标准内容是对法律、法规进一步落实和细化，是指导陆上石油天然气开采建设地面工程项目安全设施设计管理工作的重要支撑。</w:t>
      </w:r>
    </w:p>
    <w:p w14:paraId="74E53A74">
      <w:pPr>
        <w:spacing w:line="560" w:lineRule="exact"/>
        <w:ind w:left="640"/>
        <w:rPr>
          <w:rFonts w:hint="eastAsia" w:ascii="楷体" w:hAnsi="楷体" w:eastAsia="楷体"/>
          <w:sz w:val="32"/>
          <w:szCs w:val="32"/>
          <w:shd w:val="clear" w:color="auto" w:fill="FFFFFF"/>
        </w:rPr>
      </w:pPr>
      <w:r>
        <w:rPr>
          <w:rFonts w:hint="eastAsia" w:ascii="楷体" w:hAnsi="楷体" w:eastAsia="楷体"/>
          <w:sz w:val="32"/>
          <w:szCs w:val="32"/>
          <w:shd w:val="clear" w:color="auto" w:fill="FFFFFF"/>
        </w:rPr>
        <w:t>（二）配套推荐性标准的制定情况（强制性标准应填写）</w:t>
      </w:r>
    </w:p>
    <w:p w14:paraId="190071F3">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宋体" w:hAnsi="宋体" w:eastAsia="仿宋_GB2312"/>
          <w:iCs/>
          <w:sz w:val="32"/>
          <w:szCs w:val="32"/>
        </w:rPr>
        <w:t>本标准为补充行政审批配套标准，属于强制性标准，与现行的法律法规和标准要求相一致，不存在交叉与重复。本标准进一步明确了陆上石油天然气开采建设项目安全设施设计关注的要点，给出了防火、防爆、防毒、防雷、防静电的推荐标准，可以指导陆上油气生产单位安全设施设计符合法律法规要求，同时也为</w:t>
      </w:r>
      <w:r>
        <w:rPr>
          <w:rFonts w:hint="eastAsia" w:ascii="宋体" w:hAnsi="宋体" w:eastAsia="仿宋_GB2312"/>
          <w:iCs/>
          <w:sz w:val="32"/>
          <w:szCs w:val="32"/>
          <w:lang w:eastAsia="zh-CN"/>
        </w:rPr>
        <w:t>安全</w:t>
      </w:r>
      <w:r>
        <w:rPr>
          <w:rFonts w:hint="eastAsia" w:ascii="宋体" w:hAnsi="宋体" w:eastAsia="仿宋_GB2312"/>
          <w:iCs/>
          <w:sz w:val="32"/>
          <w:szCs w:val="32"/>
        </w:rPr>
        <w:t>监管部门的安全设施设计审查提供支撑。</w:t>
      </w:r>
    </w:p>
    <w:p w14:paraId="412029DB">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28" w:name="_Toc193319248"/>
      <w:bookmarkStart w:id="729" w:name="_Toc193375462"/>
      <w:r>
        <w:rPr>
          <w:rFonts w:hint="eastAsia" w:ascii="黑体" w:hAnsi="黑体" w:eastAsia="黑体"/>
          <w:color w:val="000000" w:themeColor="text1"/>
          <w:sz w:val="32"/>
          <w:szCs w:val="32"/>
          <w14:textFill>
            <w14:solidFill>
              <w14:schemeClr w14:val="tx1"/>
            </w14:solidFill>
          </w14:textFill>
        </w:rPr>
        <w:t>重大分歧意见的处理过程及依据</w:t>
      </w:r>
      <w:bookmarkEnd w:id="728"/>
      <w:bookmarkEnd w:id="729"/>
    </w:p>
    <w:p w14:paraId="09F28157">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无。</w:t>
      </w:r>
    </w:p>
    <w:p w14:paraId="3758A4B9">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30" w:name="_Toc193375463"/>
      <w:bookmarkStart w:id="731" w:name="_Toc193319249"/>
      <w:r>
        <w:rPr>
          <w:rFonts w:hint="eastAsia" w:ascii="黑体" w:hAnsi="黑体" w:eastAsia="黑体"/>
          <w:color w:val="000000" w:themeColor="text1"/>
          <w:sz w:val="32"/>
          <w:szCs w:val="32"/>
          <w14:textFill>
            <w14:solidFill>
              <w14:schemeClr w14:val="tx1"/>
            </w14:solidFill>
          </w14:textFill>
        </w:rPr>
        <w:t>作为强制性标准或推荐性标准的建议及理由</w:t>
      </w:r>
      <w:bookmarkEnd w:id="730"/>
      <w:bookmarkEnd w:id="731"/>
    </w:p>
    <w:p w14:paraId="6315A38C">
      <w:pPr>
        <w:spacing w:line="560" w:lineRule="exact"/>
        <w:ind w:firstLine="640" w:firstLineChars="200"/>
        <w:rPr>
          <w:rFonts w:hint="eastAsia" w:ascii="仿宋_GB2312" w:hAnsi="Times New Roman" w:eastAsia="仿宋_GB2312"/>
          <w:color w:val="000000" w:themeColor="text1"/>
          <w:sz w:val="32"/>
          <w:szCs w:val="32"/>
          <w:shd w:val="clear" w:color="auto" w:fill="FFFFFF"/>
          <w:lang w:eastAsia="zh-CN"/>
          <w14:textFill>
            <w14:solidFill>
              <w14:schemeClr w14:val="tx1"/>
            </w14:solidFill>
          </w14:textFill>
        </w:rPr>
      </w:pPr>
      <w:r>
        <w:rPr>
          <w:rFonts w:hint="eastAsia" w:ascii="仿宋_GB2312" w:hAnsi="Times New Roman" w:eastAsia="仿宋_GB2312"/>
          <w:color w:val="000000" w:themeColor="text1"/>
          <w:sz w:val="32"/>
          <w:szCs w:val="32"/>
          <w:shd w:val="clear" w:color="auto" w:fill="FFFFFF"/>
          <w:lang w:eastAsia="zh-CN"/>
          <w14:textFill>
            <w14:solidFill>
              <w14:schemeClr w14:val="tx1"/>
            </w14:solidFill>
          </w14:textFill>
        </w:rPr>
        <w:t>建议本标准为强制性标准。</w:t>
      </w:r>
    </w:p>
    <w:p w14:paraId="5EB416EF">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安全生产法》第三十一条、三十三条、九十八条要求，生产经营单位新建、改建、扩建工程项目的安全设施，必须与主体工程同时设计、同时施工、同时投入生产和使用；建设项目的安全设施设计应当按照国家有关规定报经有关部门审查。建设项目没有安全设施设计或者安全设施设计未按照规定报经有关部门审查同意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建设项目安全设施“三同时”监督管理办法》第十二条规定，建设项目安全设施设计完成后，生产经营单位应向安全生产监督管理部门提出审查申请。第十四条规定建设项目安全设施设计未委托具有相应资质的设计单位进行设计的、设计内容不符合有关安全生产的法律、法规、规章和国家标准或者行业标准、技术规范的规定的，不予批准，并不得开工建设。</w:t>
      </w:r>
    </w:p>
    <w:p w14:paraId="3DE0C4D6">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通过本标准的实施可进一步规范陆上石油天然气开采建设项目（地面工程）安全设计的内容、要求和深度，明确安全设施设计的推荐标准，提升油气田安全设施设计专篇的审查质量和工作效率，保障油气生产设施的安全平稳运行。</w:t>
      </w:r>
    </w:p>
    <w:p w14:paraId="72EC22CD">
      <w:pPr>
        <w:widowControl/>
        <w:numPr>
          <w:ilvl w:val="0"/>
          <w:numId w:val="82"/>
        </w:numPr>
        <w:adjustRightInd/>
        <w:spacing w:line="560" w:lineRule="exact"/>
        <w:ind w:firstLine="640" w:firstLineChars="200"/>
        <w:outlineLvl w:val="0"/>
        <w:rPr>
          <w:rFonts w:hint="eastAsia" w:ascii="黑体" w:hAnsi="黑体" w:eastAsia="黑体"/>
          <w:color w:val="000000" w:themeColor="text1"/>
          <w:sz w:val="32"/>
          <w:szCs w:val="32"/>
          <w14:textFill>
            <w14:solidFill>
              <w14:schemeClr w14:val="tx1"/>
            </w14:solidFill>
          </w14:textFill>
        </w:rPr>
      </w:pPr>
      <w:bookmarkStart w:id="732" w:name="_Toc193319250"/>
      <w:bookmarkStart w:id="733" w:name="_Toc193375464"/>
      <w:r>
        <w:rPr>
          <w:rFonts w:hint="eastAsia" w:ascii="黑体" w:hAnsi="黑体" w:eastAsia="黑体"/>
          <w:color w:val="000000" w:themeColor="text1"/>
          <w:sz w:val="32"/>
          <w:szCs w:val="32"/>
          <w14:textFill>
            <w14:solidFill>
              <w14:schemeClr w14:val="tx1"/>
            </w14:solidFill>
          </w14:textFill>
        </w:rPr>
        <w:t>标准自发布日期至实施日期的过渡期建议及理由</w:t>
      </w:r>
      <w:bookmarkEnd w:id="732"/>
      <w:bookmarkEnd w:id="733"/>
    </w:p>
    <w:p w14:paraId="6800033D">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建议实施过渡期为6个月。</w:t>
      </w:r>
    </w:p>
    <w:p w14:paraId="6389233C">
      <w:pPr>
        <w:spacing w:line="560" w:lineRule="exact"/>
        <w:ind w:firstLine="640" w:firstLineChars="200"/>
        <w:rPr>
          <w:rFonts w:ascii="仿宋_GB2312" w:hAnsi="Times New Roman" w:eastAsia="仿宋_GB2312"/>
          <w:color w:val="000000" w:themeColor="text1"/>
          <w:sz w:val="32"/>
          <w:szCs w:val="32"/>
          <w:shd w:val="clear" w:color="auto" w:fill="FFFFFF"/>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标准发布后，标委会或标准起草单位应及时组织标准宣贯，建议对建设单位、设计单位等相关单位进行宣贯，以便相关人员能够更好理解标准技术内容。积极推进企业主体责任的落实，督导相关企业积极落实本标准要求。通过设置过渡期，可以确保标准在实施之前得到广泛的宣传和推广，使建设单位和设计单位有足够的时间来适应和遵守新标准的要求，从而确保标准的顺利实施。</w:t>
      </w:r>
    </w:p>
    <w:p w14:paraId="1F199A1A">
      <w:pPr>
        <w:spacing w:line="560" w:lineRule="exact"/>
        <w:ind w:firstLine="640" w:firstLineChars="200"/>
        <w:rPr>
          <w:rFonts w:ascii="Arial" w:hAnsi="Arial" w:eastAsia="Arial" w:cs="Arial"/>
          <w:color w:val="000000" w:themeColor="text1"/>
          <w:sz w:val="14"/>
          <w:szCs w:val="14"/>
          <w14:textFill>
            <w14:solidFill>
              <w14:schemeClr w14:val="tx1"/>
            </w14:solidFill>
          </w14:textFill>
        </w:rPr>
      </w:pPr>
      <w:r>
        <w:rPr>
          <w:rFonts w:hint="eastAsia" w:ascii="仿宋_GB2312" w:hAnsi="Times New Roman" w:eastAsia="仿宋_GB2312"/>
          <w:color w:val="000000" w:themeColor="text1"/>
          <w:sz w:val="32"/>
          <w:szCs w:val="32"/>
          <w:shd w:val="clear" w:color="auto" w:fill="FFFFFF"/>
          <w14:textFill>
            <w14:solidFill>
              <w14:schemeClr w14:val="tx1"/>
            </w14:solidFill>
          </w14:textFill>
        </w:rPr>
        <w:t>综上所述，建议的6个月过渡期旨在平衡新标准的推广实施与建设单位和设计单位的适应时间，确保新标准的有效执行，同时减少不必要的工作消耗。</w:t>
      </w:r>
      <w:r>
        <w:rPr>
          <w:rFonts w:ascii="Arial" w:hAnsi="Arial" w:eastAsia="Arial" w:cs="Arial"/>
          <w:color w:val="000000" w:themeColor="text1"/>
          <w:sz w:val="14"/>
          <w:szCs w:val="14"/>
          <w:shd w:val="clear" w:color="auto" w:fill="FFFFFF"/>
          <w14:textFill>
            <w14:solidFill>
              <w14:schemeClr w14:val="tx1"/>
            </w14:solidFill>
          </w14:textFill>
        </w:rPr>
        <w:t>‌</w:t>
      </w:r>
    </w:p>
    <w:p w14:paraId="3439A11A">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34" w:name="_Toc193319251"/>
      <w:bookmarkStart w:id="735" w:name="_Toc193375465"/>
      <w:r>
        <w:rPr>
          <w:rFonts w:hint="eastAsia" w:ascii="宋体" w:hAnsi="宋体" w:eastAsia="黑体"/>
          <w:color w:val="000000" w:themeColor="text1"/>
          <w:sz w:val="32"/>
          <w:szCs w:val="32"/>
          <w14:textFill>
            <w14:solidFill>
              <w14:schemeClr w14:val="tx1"/>
            </w14:solidFill>
          </w14:textFill>
        </w:rPr>
        <w:t>与实施</w:t>
      </w:r>
      <w:r>
        <w:rPr>
          <w:rFonts w:hint="eastAsia" w:ascii="黑体" w:hAnsi="黑体" w:eastAsia="黑体"/>
          <w:color w:val="000000" w:themeColor="text1"/>
          <w:sz w:val="32"/>
          <w:szCs w:val="32"/>
          <w14:textFill>
            <w14:solidFill>
              <w14:schemeClr w14:val="tx1"/>
            </w14:solidFill>
          </w14:textFill>
        </w:rPr>
        <w:t>标准</w:t>
      </w:r>
      <w:r>
        <w:rPr>
          <w:rFonts w:hint="eastAsia" w:ascii="宋体" w:hAnsi="宋体" w:eastAsia="黑体"/>
          <w:color w:val="000000" w:themeColor="text1"/>
          <w:sz w:val="32"/>
          <w:szCs w:val="32"/>
          <w14:textFill>
            <w14:solidFill>
              <w14:schemeClr w14:val="tx1"/>
            </w14:solidFill>
          </w14:textFill>
        </w:rPr>
        <w:t>有关的政策措施</w:t>
      </w:r>
      <w:bookmarkEnd w:id="734"/>
      <w:bookmarkEnd w:id="735"/>
    </w:p>
    <w:p w14:paraId="21E62B21">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本标准符合国家现行法律、法规、规章和强制性标准的要求，对于规范国内设计企业提高本质安全设计水平，预防避免发生重大安全事故的发生有重要作用。</w:t>
      </w:r>
    </w:p>
    <w:p w14:paraId="16114BCF">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本标准制定以《中华人民共和国安全生产法》《建设项目安全设施“三同时”监督管理办法》等作为违反标准行为进行处理的法律法规规章依据。具体条款如下：</w:t>
      </w:r>
    </w:p>
    <w:p w14:paraId="30960E3B">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（一）《中华人民共和国安全生产法》</w:t>
      </w:r>
    </w:p>
    <w:p w14:paraId="07ACB299">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第三十一条 生产经营单位新建、改建、扩建工程项目（以下统称建设项目）的安全设施，必须与主体工程同时设计、同时施工、同时投入生产和使用。安全设施投资应当纳入建设项目概算。</w:t>
      </w:r>
    </w:p>
    <w:p w14:paraId="074C3DCD">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第三十三条 建设项目安全设施的设计人、设计单位应当对安全设施设计负责。矿山、金属冶炼建设项目和用于生产、储存、装卸危险物品的建设项目的安全设施设计应当按照国家有关规定报经有关部门审查，审查部门及其负责审查的人员对审查结果负责。</w:t>
      </w:r>
    </w:p>
    <w:p w14:paraId="26FB1B44">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（二）《建设项目安全设施“三同时”监督管理办法》（原国家安全生产监督管理总局令第36号）</w:t>
      </w:r>
    </w:p>
    <w:p w14:paraId="0A51B774">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第十条 生产经营单位在建设项目初步设计时，应当委托有相应资质的设计单位对建设项目安全设施同时进行设计，编制安全设施设计。</w:t>
      </w:r>
    </w:p>
    <w:p w14:paraId="7BF79602">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6442C5C2">
      <w:pPr>
        <w:spacing w:line="560" w:lineRule="exact"/>
        <w:ind w:firstLine="640" w:firstLineChars="200"/>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安全设施设计单位、设计人应当对其编制的设计文件负责。</w:t>
      </w:r>
    </w:p>
    <w:p w14:paraId="70A98734">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36" w:name="_Toc193375466"/>
      <w:bookmarkStart w:id="737" w:name="_Toc193319252"/>
      <w:r>
        <w:rPr>
          <w:rFonts w:hint="eastAsia" w:ascii="宋体" w:hAnsi="宋体" w:eastAsia="黑体"/>
          <w:color w:val="000000" w:themeColor="text1"/>
          <w:sz w:val="32"/>
          <w:szCs w:val="32"/>
          <w14:textFill>
            <w14:solidFill>
              <w14:schemeClr w14:val="tx1"/>
            </w14:solidFill>
          </w14:textFill>
        </w:rPr>
        <w:t>是否需要对外通报的建议及理由。</w:t>
      </w:r>
      <w:bookmarkEnd w:id="736"/>
      <w:bookmarkEnd w:id="737"/>
    </w:p>
    <w:p w14:paraId="32B4CD07">
      <w:pPr>
        <w:spacing w:line="560" w:lineRule="exact"/>
        <w:ind w:firstLine="640" w:firstLineChars="200"/>
        <w:rPr>
          <w:rFonts w:hint="eastAsia" w:ascii="宋体" w:hAnsi="宋体" w:eastAsia="仿宋_GB2312"/>
          <w:color w:val="000000" w:themeColor="text1"/>
          <w:sz w:val="32"/>
          <w:szCs w:val="32"/>
          <w14:textFill>
            <w14:solidFill>
              <w14:schemeClr w14:val="tx1"/>
            </w14:solidFill>
          </w14:textFill>
        </w:rPr>
      </w:pPr>
      <w:r>
        <w:rPr>
          <w:rFonts w:hint="eastAsia" w:ascii="宋体" w:hAnsi="宋体" w:eastAsia="仿宋_GB2312"/>
          <w:color w:val="000000" w:themeColor="text1"/>
          <w:sz w:val="32"/>
          <w:szCs w:val="32"/>
          <w14:textFill>
            <w14:solidFill>
              <w14:schemeClr w14:val="tx1"/>
            </w14:solidFill>
          </w14:textFill>
        </w:rPr>
        <w:t>无需对外通报，主要原因为本标准未直接引用和采用国外标准。另本标准为陆上石油天然气开采地面工程建设项目安全设施设计的技术标准，非产品标准。</w:t>
      </w:r>
    </w:p>
    <w:p w14:paraId="5D2A5830">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38" w:name="_Toc193319253"/>
      <w:bookmarkStart w:id="739" w:name="_Toc193375467"/>
      <w:r>
        <w:rPr>
          <w:rFonts w:ascii="宋体" w:hAnsi="宋体" w:eastAsia="黑体"/>
          <w:color w:val="000000" w:themeColor="text1"/>
          <w:sz w:val="32"/>
          <w:szCs w:val="32"/>
          <w14:textFill>
            <w14:solidFill>
              <w14:schemeClr w14:val="tx1"/>
            </w14:solidFill>
          </w14:textFill>
        </w:rPr>
        <w:t>废止现行有关标准的建议</w:t>
      </w:r>
      <w:bookmarkEnd w:id="738"/>
      <w:bookmarkEnd w:id="739"/>
    </w:p>
    <w:p w14:paraId="3C8610B0">
      <w:pPr>
        <w:spacing w:line="560" w:lineRule="exact"/>
        <w:ind w:firstLine="640" w:firstLineChars="200"/>
        <w:rPr>
          <w:rFonts w:hint="eastAsia" w:ascii="宋体" w:hAnsi="宋体" w:eastAsia="仿宋_GB2312"/>
          <w:i/>
          <w:iCs/>
          <w:color w:val="000000" w:themeColor="text1"/>
          <w:sz w:val="32"/>
          <w:szCs w:val="32"/>
          <w14:textFill>
            <w14:solidFill>
              <w14:schemeClr w14:val="tx1"/>
            </w14:solidFill>
          </w14:textFill>
        </w:rPr>
      </w:pPr>
      <w:r>
        <w:rPr>
          <w:rFonts w:hint="eastAsia" w:ascii="宋体" w:hAnsi="宋体" w:eastAsia="仿宋_GB2312"/>
          <w:color w:val="000000" w:themeColor="text1"/>
          <w:sz w:val="32"/>
          <w:szCs w:val="32"/>
          <w14:textFill>
            <w14:solidFill>
              <w14:schemeClr w14:val="tx1"/>
            </w14:solidFill>
          </w14:textFill>
        </w:rPr>
        <w:t>无。</w:t>
      </w:r>
    </w:p>
    <w:p w14:paraId="7E3B1550">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40" w:name="_Toc193375468"/>
      <w:bookmarkStart w:id="741" w:name="_Toc193319254"/>
      <w:r>
        <w:rPr>
          <w:rFonts w:hint="eastAsia" w:ascii="宋体" w:hAnsi="宋体" w:eastAsia="黑体"/>
          <w:color w:val="000000" w:themeColor="text1"/>
          <w:sz w:val="32"/>
          <w:szCs w:val="32"/>
          <w14:textFill>
            <w14:solidFill>
              <w14:schemeClr w14:val="tx1"/>
            </w14:solidFill>
          </w14:textFill>
        </w:rPr>
        <w:t>涉及专利的有关说明</w:t>
      </w:r>
      <w:bookmarkEnd w:id="740"/>
      <w:bookmarkEnd w:id="741"/>
    </w:p>
    <w:p w14:paraId="3BAD950D">
      <w:pPr>
        <w:spacing w:line="560" w:lineRule="exact"/>
        <w:ind w:firstLine="640" w:firstLineChars="200"/>
        <w:rPr>
          <w:rFonts w:hint="eastAsia" w:ascii="宋体" w:hAnsi="宋体" w:eastAsia="仿宋_GB2312"/>
          <w:color w:val="000000" w:themeColor="text1"/>
          <w:sz w:val="32"/>
          <w:szCs w:val="32"/>
          <w14:textFill>
            <w14:solidFill>
              <w14:schemeClr w14:val="tx1"/>
            </w14:solidFill>
          </w14:textFill>
        </w:rPr>
      </w:pPr>
      <w:r>
        <w:rPr>
          <w:rFonts w:hint="eastAsia" w:ascii="宋体" w:hAnsi="宋体" w:eastAsia="仿宋_GB2312"/>
          <w:color w:val="000000" w:themeColor="text1"/>
          <w:sz w:val="32"/>
          <w:szCs w:val="32"/>
          <w14:textFill>
            <w14:solidFill>
              <w14:schemeClr w14:val="tx1"/>
            </w14:solidFill>
          </w14:textFill>
        </w:rPr>
        <w:t>本标准未涉及相关专利。</w:t>
      </w:r>
    </w:p>
    <w:p w14:paraId="0D3BD849">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42" w:name="_Toc193319255"/>
      <w:bookmarkStart w:id="743" w:name="_Toc193375469"/>
      <w:r>
        <w:rPr>
          <w:rFonts w:hint="eastAsia" w:ascii="宋体" w:hAnsi="宋体" w:eastAsia="黑体"/>
          <w:color w:val="000000" w:themeColor="text1"/>
          <w:sz w:val="32"/>
          <w:szCs w:val="32"/>
          <w14:textFill>
            <w14:solidFill>
              <w14:schemeClr w14:val="tx1"/>
            </w14:solidFill>
          </w14:textFill>
        </w:rPr>
        <w:t>标准所涉及的产品、过程或者服务目录</w:t>
      </w:r>
      <w:bookmarkEnd w:id="742"/>
      <w:bookmarkEnd w:id="743"/>
    </w:p>
    <w:p w14:paraId="4BE523B6">
      <w:pPr>
        <w:spacing w:line="560" w:lineRule="exact"/>
        <w:ind w:firstLine="640" w:firstLineChars="200"/>
        <w:rPr>
          <w:rFonts w:hint="eastAsia" w:ascii="宋体" w:hAnsi="宋体" w:eastAsia="仿宋_GB2312"/>
          <w:color w:val="000000" w:themeColor="text1"/>
          <w:sz w:val="32"/>
          <w:szCs w:val="32"/>
          <w14:textFill>
            <w14:solidFill>
              <w14:schemeClr w14:val="tx1"/>
            </w14:solidFill>
          </w14:textFill>
        </w:rPr>
      </w:pPr>
      <w:r>
        <w:rPr>
          <w:rFonts w:hint="default" w:ascii="宋体" w:hAnsi="宋体" w:eastAsia="仿宋_GB2312" w:cs="Times New Roman"/>
          <w:i w:val="0"/>
          <w:iCs w:val="0"/>
          <w:color w:val="auto"/>
          <w:sz w:val="32"/>
          <w:szCs w:val="32"/>
          <w:shd w:val="clear" w:color="auto" w:fill="FFFFFF"/>
          <w:lang w:val="en-US" w:eastAsia="zh-CN"/>
        </w:rPr>
        <w:t>标准所涉及的产品、过程或者服务目录主要有：陆上石油天然气开采建设项目（地面工程）安全设施设计的编制内容</w:t>
      </w:r>
      <w:r>
        <w:rPr>
          <w:rFonts w:hint="eastAsia" w:ascii="宋体" w:hAnsi="宋体" w:eastAsia="仿宋_GB2312"/>
          <w:color w:val="000000" w:themeColor="text1"/>
          <w:sz w:val="32"/>
          <w:szCs w:val="32"/>
          <w14:textFill>
            <w14:solidFill>
              <w14:schemeClr w14:val="tx1"/>
            </w14:solidFill>
          </w14:textFill>
        </w:rPr>
        <w:t>。</w:t>
      </w:r>
    </w:p>
    <w:p w14:paraId="3097E9FD">
      <w:pPr>
        <w:widowControl/>
        <w:numPr>
          <w:ilvl w:val="0"/>
          <w:numId w:val="82"/>
        </w:numPr>
        <w:adjustRightInd/>
        <w:spacing w:line="560" w:lineRule="exact"/>
        <w:ind w:firstLine="640" w:firstLineChars="200"/>
        <w:outlineLvl w:val="0"/>
        <w:rPr>
          <w:rFonts w:hint="eastAsia" w:ascii="宋体" w:hAnsi="宋体" w:eastAsia="黑体"/>
          <w:color w:val="000000" w:themeColor="text1"/>
          <w:sz w:val="32"/>
          <w:szCs w:val="32"/>
          <w14:textFill>
            <w14:solidFill>
              <w14:schemeClr w14:val="tx1"/>
            </w14:solidFill>
          </w14:textFill>
        </w:rPr>
      </w:pPr>
      <w:bookmarkStart w:id="744" w:name="_Toc193375470"/>
      <w:bookmarkStart w:id="745" w:name="_Toc193319256"/>
      <w:r>
        <w:rPr>
          <w:rFonts w:hint="eastAsia" w:ascii="宋体" w:hAnsi="宋体" w:eastAsia="黑体"/>
          <w:color w:val="000000" w:themeColor="text1"/>
          <w:sz w:val="32"/>
          <w:szCs w:val="32"/>
          <w14:textFill>
            <w14:solidFill>
              <w14:schemeClr w14:val="tx1"/>
            </w14:solidFill>
          </w14:textFill>
        </w:rPr>
        <w:t>其他</w:t>
      </w:r>
      <w:r>
        <w:rPr>
          <w:rFonts w:ascii="宋体" w:hAnsi="宋体" w:eastAsia="黑体"/>
          <w:color w:val="000000" w:themeColor="text1"/>
          <w:sz w:val="32"/>
          <w:szCs w:val="32"/>
          <w14:textFill>
            <w14:solidFill>
              <w14:schemeClr w14:val="tx1"/>
            </w14:solidFill>
          </w14:textFill>
        </w:rPr>
        <w:t>应予以说明的事项</w:t>
      </w:r>
      <w:bookmarkEnd w:id="744"/>
      <w:bookmarkEnd w:id="745"/>
    </w:p>
    <w:p w14:paraId="4EF865D4">
      <w:pPr>
        <w:spacing w:line="560" w:lineRule="exact"/>
        <w:ind w:firstLine="640" w:firstLineChars="200"/>
        <w:rPr>
          <w:rFonts w:hint="eastAsia" w:ascii="宋体" w:hAnsi="宋体" w:eastAsia="仿宋_GB2312"/>
          <w:color w:val="000000" w:themeColor="text1"/>
          <w:sz w:val="32"/>
          <w:szCs w:val="32"/>
          <w14:textFill>
            <w14:solidFill>
              <w14:schemeClr w14:val="tx1"/>
            </w14:solidFill>
          </w14:textFill>
        </w:rPr>
      </w:pPr>
      <w:r>
        <w:rPr>
          <w:rFonts w:hint="eastAsia" w:ascii="宋体" w:hAnsi="宋体" w:eastAsia="仿宋_GB2312"/>
          <w:color w:val="000000" w:themeColor="text1"/>
          <w:sz w:val="32"/>
          <w:szCs w:val="32"/>
          <w14:textFill>
            <w14:solidFill>
              <w14:schemeClr w14:val="tx1"/>
            </w14:solidFill>
          </w14:textFill>
        </w:rPr>
        <w:t>无。</w:t>
      </w:r>
    </w:p>
    <w:sectPr>
      <w:headerReference r:id="rId30" w:type="default"/>
      <w:footerReference r:id="rId32" w:type="default"/>
      <w:headerReference r:id="rId31" w:type="even"/>
      <w:footerReference r:id="rId33" w:type="even"/>
      <w:pgSz w:w="11906" w:h="16838"/>
      <w:pgMar w:top="1928" w:right="1134" w:bottom="1134" w:left="1134" w:header="1418" w:footer="1134" w:gutter="284"/>
      <w:pgNumType w:fmt="decimal"/>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TimesNewRomanPSMT">
    <w:altName w:val="Times New Roman"/>
    <w:panose1 w:val="00000000000000000000"/>
    <w:charset w:val="00"/>
    <w:family w:val="roman"/>
    <w:pitch w:val="default"/>
    <w:sig w:usb0="00000000" w:usb1="00000000" w:usb2="00000010" w:usb3="00000000" w:csb0="00060001"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Cambria Math">
    <w:panose1 w:val="02040503050406030204"/>
    <w:charset w:val="00"/>
    <w:family w:val="roman"/>
    <w:pitch w:val="default"/>
    <w:sig w:usb0="A00002EF" w:usb1="420020EB"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altName w:val="Arial Unicode MS"/>
    <w:panose1 w:val="02000000000000000000"/>
    <w:charset w:val="86"/>
    <w:family w:val="auto"/>
    <w:pitch w:val="default"/>
    <w:sig w:usb0="00000000" w:usb1="00000000" w:usb2="00082016" w:usb3="00000000" w:csb0="00040001" w:csb1="00000000"/>
  </w:font>
  <w:font w:name="华文宋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C3154">
    <w:pPr>
      <w:pStyle w:val="24"/>
      <w:ind w:right="720"/>
      <w:jc w:val="both"/>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623A4">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60045" cy="154940"/>
              <wp:effectExtent l="3175" t="3810" r="0" b="3175"/>
              <wp:wrapNone/>
              <wp:docPr id="679421965" name="文本框 21"/>
              <wp:cNvGraphicFramePr/>
              <a:graphic xmlns:a="http://schemas.openxmlformats.org/drawingml/2006/main">
                <a:graphicData uri="http://schemas.microsoft.com/office/word/2010/wordprocessingShape">
                  <wps:wsp>
                    <wps:cNvSpPr txBox="1"/>
                    <wps:spPr bwMode="auto">
                      <a:xfrm>
                        <a:off x="0" y="0"/>
                        <a:ext cx="360045" cy="154940"/>
                      </a:xfrm>
                      <a:prstGeom prst="rect">
                        <a:avLst/>
                      </a:prstGeom>
                      <a:noFill/>
                      <a:ln>
                        <a:noFill/>
                      </a:ln>
                    </wps:spPr>
                    <wps:txbx>
                      <w:txbxContent>
                        <w:p w14:paraId="41B4D4D1">
                          <w:pPr>
                            <w:pStyle w:val="24"/>
                            <w:ind w:right="231" w:rightChars="110"/>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wps:txbx>
                    <wps:bodyPr rot="0" vert="horz" wrap="square" lIns="0" tIns="0" rIns="0" bIns="0" anchor="t" anchorCtr="0" upright="1">
                      <a:noAutofit/>
                    </wps:bodyPr>
                  </wps:wsp>
                </a:graphicData>
              </a:graphic>
            </wp:anchor>
          </w:drawing>
        </mc:Choice>
        <mc:Fallback>
          <w:pict>
            <v:shape id="文本框 21" o:spid="_x0000_s1026" o:spt="202" type="#_x0000_t202" style="position:absolute;left:0pt;margin-top:0pt;height:12.2pt;width:28.35pt;mso-position-horizontal:center;mso-position-horizontal-relative:margin;z-index:251661312;mso-width-relative:page;mso-height-relative:page;" filled="f" stroked="f" coordsize="21600,21600" o:gfxdata="UEsDBAoAAAAAAIdO4kAAAAAAAAAAAAAAAAAEAAAAZHJzL1BLAwQUAAAACACHTuJAqTtTltQAAAAD&#10;AQAADwAAAGRycy9kb3ducmV2LnhtbE2PzU7DMBCE70i8g7VI3KjdqoQS4lQIwQkJkYZDj5t4m1iN&#10;1yF2f3h7DBe4rDSa0cy3xfrsBnGkKVjPGuYzBYK49cZyp+GjfrlZgQgR2eDgmTR8UYB1eXlRYG78&#10;iSs6bmInUgmHHDX0MY65lKHtyWGY+ZE4eTs/OYxJTp00E55SuRvkQqlMOrScFnoc6amndr85OA2P&#10;W66e7edb817tKlvX94pfs73W11dz9QAi0jn+heEHP6FDmZgaf2ATxKAhPRJ/b/JuszsQjYbFcgmy&#10;LOR/9vIbUEsDBBQAAAAIAIdO4kDadgmM+gEAAN0DAAAOAAAAZHJzL2Uyb0RvYy54bWytU02u0zAQ&#10;3iNxB8t7mqT0FRo1fQKqh5D4kx4cwHGcxlLsMbbTpBwAbsCKDXvO1XMwdpICj81bsLHG45lv5vtm&#10;vL0eVEuOwjoJuqDZIqVEaA6V1IeCfvxw8+gpJc4zXbEWtCjoSTh6vXv4YNubXCyhgbYSliCIdnlv&#10;Ctp4b/IkcbwRirkFGKHxsQarmMerPSSVZT2iqzZZpuk66cFWxgIXzqF3Pz7SCdHeBxDqWnKxB94p&#10;of2IakXLPFJyjTSO7mK3dS24f1fXTnjSFhSZ+nhiEbTLcCa7LcsPlplG8qkFdp8W7nBSTGoseoHa&#10;M89IZ+U/UEpyCw5qv+CgkpFIVARZZOkdbW4bZkTkglI7cxHd/T9Y/vb43hJZFXT9ZLNaZpv1FSWa&#10;KRz8+dvX8/ef5x9fyDILOvXG5Rh+azDBD89hwO2Z/S44y/4NVJjIOg9RjKG2KoiCNAlGo+ani+Zi&#10;8ISj8/E6TVdYk+NTdrXarOJMEpbPycY6/1KAIsEoqMWRRnB2fO08toWhc0iopeFGtm0ca6v/cmBg&#10;8CSBR+h3ZOSHcpjIlVCdkIaFcUvwj6DRgP1MSY8bUlD3qWNWUNK+0jiCsE6zYWejnA2mOaYW1FMy&#10;mi/8uHadsfLQIHIWaWh4hnLVMlIJrY1dTH3i1CPDaUPDWv15j1G/f+Xu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k7U5bUAAAAAwEAAA8AAAAAAAAAAQAgAAAAIgAAAGRycy9kb3ducmV2LnhtbFBL&#10;AQIUABQAAAAIAIdO4kDadgmM+gEAAN0DAAAOAAAAAAAAAAEAIAAAACMBAABkcnMvZTJvRG9jLnht&#10;bFBLBQYAAAAABgAGAFkBAACPBQAAAAA=&#10;">
              <v:fill on="f" focussize="0,0"/>
              <v:stroke on="f"/>
              <v:imagedata o:title=""/>
              <o:lock v:ext="edit" aspectratio="f"/>
              <v:textbox inset="0mm,0mm,0mm,0mm">
                <w:txbxContent>
                  <w:p w14:paraId="41B4D4D1">
                    <w:pPr>
                      <w:pStyle w:val="24"/>
                      <w:ind w:right="231" w:rightChars="110"/>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7</w:t>
                    </w:r>
                    <w:r>
                      <w:rPr>
                        <w:rFonts w:hint="eastAsia" w:hAnsi="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637B">
    <w:pPr>
      <w:pStyle w:val="2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93395" cy="136525"/>
              <wp:effectExtent l="0" t="0" r="0" b="0"/>
              <wp:wrapNone/>
              <wp:docPr id="479062947" name="文本框 20"/>
              <wp:cNvGraphicFramePr/>
              <a:graphic xmlns:a="http://schemas.openxmlformats.org/drawingml/2006/main">
                <a:graphicData uri="http://schemas.microsoft.com/office/word/2010/wordprocessingShape">
                  <wps:wsp>
                    <wps:cNvSpPr txBox="1"/>
                    <wps:spPr bwMode="auto">
                      <a:xfrm>
                        <a:off x="0" y="0"/>
                        <a:ext cx="493395" cy="136525"/>
                      </a:xfrm>
                      <a:prstGeom prst="rect">
                        <a:avLst/>
                      </a:prstGeom>
                      <a:noFill/>
                      <a:ln>
                        <a:noFill/>
                      </a:ln>
                    </wps:spPr>
                    <wps:txbx>
                      <w:txbxContent>
                        <w:p w14:paraId="09D08889">
                          <w:pPr>
                            <w:pStyle w:val="24"/>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wps:txbx>
                    <wps:bodyPr rot="0" vert="horz" wrap="square" lIns="0" tIns="0" rIns="0" bIns="0" anchor="t" anchorCtr="0" upright="1">
                      <a:noAutofit/>
                    </wps:bodyPr>
                  </wps:wsp>
                </a:graphicData>
              </a:graphic>
            </wp:anchor>
          </w:drawing>
        </mc:Choice>
        <mc:Fallback>
          <w:pict>
            <v:shape id="文本框 20" o:spid="_x0000_s1026" o:spt="202" type="#_x0000_t202" style="position:absolute;left:0pt;margin-top:0pt;height:10.75pt;width:38.85pt;mso-position-horizontal:center;mso-position-horizontal-relative:margin;z-index:251660288;mso-width-relative:page;mso-height-relative:page;" filled="f" stroked="f" coordsize="21600,21600" o:gfxdata="UEsDBAoAAAAAAIdO4kAAAAAAAAAAAAAAAAAEAAAAZHJzL1BLAwQUAAAACACHTuJAuySBrdQAAAAD&#10;AQAADwAAAGRycy9kb3ducmV2LnhtbE2PzU7DMBCE70i8g7VI3KidSjQQ4lQIwQkJkYYDRyfeJlbj&#10;dYjdH96ehQu9rDSa0cy35frkR3HAObpAGrKFAoHUBeuo1/DRvNzcgYjJkDVjINTwjRHW1eVFaQob&#10;jlTjYZN6wSUUC6NhSGkqpIzdgN7ERZiQ2NuG2ZvEcu6lnc2Ry/0ol0qtpDeOeGEwEz4N2O02e6/h&#10;8ZPqZ/f11r7X29o1zb2i19VO6+urTD2ASHhK/2H4xWd0qJipDXuyUYwa+JH0d9nL8xxEq2GZ3YKs&#10;SnnOXv0AUEsDBBQAAAAIAIdO4kBlR0Nw+QEAAN0DAAAOAAAAZHJzL2Uyb0RvYy54bWytU0uOEzEQ&#10;3SNxB8t70vkPaaUzAqJBSPykgQM4bnfaUttlyk66hwPADVixYc+5cg7K7nSAYTMLNla5XH5+71V5&#10;fd2Zhh0Veg224JPRmDNlJZTa7gv+8cPNk6ec+SBsKRqwquB3yvPrzeNH69blago1NKVCRiDW560r&#10;eB2Cy7PMy1oZ4UfglKXDCtCIQFvcZyWKltBNk03H42XWApYOQSrvKbvtD/kZER8CCFWlpdqCPBhl&#10;Q4+KqhGBJPlaO883iW1VKRneVZVXgTUFJ6UhrfQIxbu4Zpu1yPcoXK3lmYJ4CIV7mozQlh69QG1F&#10;EOyA+h8ooyWChyqMJJisF5IcIRWT8T1vbmvhVNJCVnt3Md3/P1j59vgemS4LPr9ajZfT1fyKMysM&#10;Nf707evp+8/Tjy9smnxqnc+p/NbRhdA9h46mJ/oX8z4md+0bKOmiOARIZnQVmmgKyWRUTZ7fXTxX&#10;XWCSkvPVbLZacCbpaDJbLqaLiJmJfLjs0IeXCgyLQcGRWprAxfG1D33pUBLfsnCjmya1tbF/JQgz&#10;ZrKBb888dLvuLGIH5R3JQOinhP4IBTXgZ85ampCC+08HgYqz5pWlFsRxGgIcgt0QCCvpasEDZ334&#10;IvRjd3Co9zUhT5IMC8/IrkonKZFaz+LMk7qezDhPaByrP/ep6vev3P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ySBrdQAAAADAQAADwAAAAAAAAABACAAAAAiAAAAZHJzL2Rvd25yZXYueG1sUEsB&#10;AhQAFAAAAAgAh07iQGVHQ3D5AQAA3QMAAA4AAAAAAAAAAQAgAAAAIwEAAGRycy9lMm9Eb2MueG1s&#10;UEsFBgAAAAAGAAYAWQEAAI4FAAAAAA==&#10;">
              <v:fill on="f" focussize="0,0"/>
              <v:stroke on="f"/>
              <v:imagedata o:title=""/>
              <o:lock v:ext="edit" aspectratio="f"/>
              <v:textbox inset="0mm,0mm,0mm,0mm">
                <w:txbxContent>
                  <w:p w14:paraId="09D08889">
                    <w:pPr>
                      <w:pStyle w:val="24"/>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EC479">
    <w:pPr>
      <w:pStyle w:val="24"/>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1427"/>
                          </w:sdtPr>
                          <w:sdtContent>
                            <w:p w14:paraId="4B5C9F39">
                              <w:pPr>
                                <w:pStyle w:val="24"/>
                              </w:pPr>
                              <w:r>
                                <w:fldChar w:fldCharType="begin"/>
                              </w:r>
                              <w:r>
                                <w:instrText xml:space="preserve">PAGE   \* MERGEFORMAT</w:instrText>
                              </w:r>
                              <w:r>
                                <w:fldChar w:fldCharType="separate"/>
                              </w:r>
                              <w:r>
                                <w:rPr>
                                  <w:lang w:val="zh-CN"/>
                                </w:rPr>
                                <w:t>2</w:t>
                              </w:r>
                              <w:r>
                                <w:fldChar w:fldCharType="end"/>
                              </w:r>
                            </w:p>
                          </w:sdtContent>
                        </w:sdt>
                        <w:p w14:paraId="6DDC2408">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1427"/>
                    </w:sdtPr>
                    <w:sdtContent>
                      <w:p w14:paraId="4B5C9F39">
                        <w:pPr>
                          <w:pStyle w:val="24"/>
                        </w:pPr>
                        <w:r>
                          <w:fldChar w:fldCharType="begin"/>
                        </w:r>
                        <w:r>
                          <w:instrText xml:space="preserve">PAGE   \* MERGEFORMAT</w:instrText>
                        </w:r>
                        <w:r>
                          <w:fldChar w:fldCharType="separate"/>
                        </w:r>
                        <w:r>
                          <w:rPr>
                            <w:lang w:val="zh-CN"/>
                          </w:rPr>
                          <w:t>2</w:t>
                        </w:r>
                        <w:r>
                          <w:fldChar w:fldCharType="end"/>
                        </w:r>
                      </w:p>
                    </w:sdtContent>
                  </w:sdt>
                  <w:p w14:paraId="6DDC2408">
                    <w:pPr>
                      <w:pStyle w:val="2"/>
                    </w:pPr>
                  </w:p>
                </w:txbxContent>
              </v:textbox>
            </v:shape>
          </w:pict>
        </mc:Fallback>
      </mc:AlternateContent>
    </w:r>
  </w:p>
  <w:p w14:paraId="34D439C3">
    <w:pPr>
      <w:pStyle w:val="2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0B380">
    <w:pPr>
      <w:pStyle w:val="24"/>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493395" cy="136525"/>
              <wp:effectExtent l="0" t="0" r="3810" b="0"/>
              <wp:wrapNone/>
              <wp:docPr id="1027088745" name="Text Box 15"/>
              <wp:cNvGraphicFramePr/>
              <a:graphic xmlns:a="http://schemas.openxmlformats.org/drawingml/2006/main">
                <a:graphicData uri="http://schemas.microsoft.com/office/word/2010/wordprocessingShape">
                  <wps:wsp>
                    <wps:cNvSpPr txBox="1"/>
                    <wps:spPr bwMode="auto">
                      <a:xfrm>
                        <a:off x="0" y="0"/>
                        <a:ext cx="493395" cy="136525"/>
                      </a:xfrm>
                      <a:prstGeom prst="rect">
                        <a:avLst/>
                      </a:prstGeom>
                      <a:noFill/>
                      <a:ln>
                        <a:noFill/>
                      </a:ln>
                    </wps:spPr>
                    <wps:txbx>
                      <w:txbxContent>
                        <w:p w14:paraId="7EAEC76B">
                          <w:pPr>
                            <w:pStyle w:val="24"/>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wps:txbx>
                    <wps:bodyPr rot="0" vert="horz" wrap="square" lIns="0" tIns="0" rIns="0" bIns="0" anchor="t" anchorCtr="0" upright="1">
                      <a:noAutofit/>
                    </wps:bodyPr>
                  </wps:wsp>
                </a:graphicData>
              </a:graphic>
            </wp:anchor>
          </w:drawing>
        </mc:Choice>
        <mc:Fallback>
          <w:pict>
            <v:shape id="Text Box 15" o:spid="_x0000_s1026" o:spt="202" type="#_x0000_t202" style="position:absolute;left:0pt;margin-top:0pt;height:10.75pt;width:38.85pt;mso-position-horizontal:center;mso-position-horizontal-relative:margin;z-index:251673600;mso-width-relative:page;mso-height-relative:page;" filled="f" stroked="f" coordsize="21600,21600" o:gfxdata="UEsDBAoAAAAAAIdO4kAAAAAAAAAAAAAAAAAEAAAAZHJzL1BLAwQUAAAACACHTuJAuySBrdQAAAAD&#10;AQAADwAAAGRycy9kb3ducmV2LnhtbE2PzU7DMBCE70i8g7VI3KidSjQQ4lQIwQkJkYYDRyfeJlbj&#10;dYjdH96ehQu9rDSa0cy35frkR3HAObpAGrKFAoHUBeuo1/DRvNzcgYjJkDVjINTwjRHW1eVFaQob&#10;jlTjYZN6wSUUC6NhSGkqpIzdgN7ERZiQ2NuG2ZvEcu6lnc2Ry/0ol0qtpDeOeGEwEz4N2O02e6/h&#10;8ZPqZ/f11r7X29o1zb2i19VO6+urTD2ASHhK/2H4xWd0qJipDXuyUYwa+JH0d9nL8xxEq2GZ3YKs&#10;SnnOXv0AUEsDBBQAAAAIAIdO4kCLhhZo6wEAAN0DAAAOAAAAZHJzL2Uyb0RvYy54bWytU01v2zAM&#10;vQ/YfxB0X+wkTZsacYptQYcB+wLa/QBFlmMBlqhRSuzs14+S7aztLj3sIlAU+cj3SG3uetOyk0Kv&#10;wZZ8Pss5U1ZCpe2h5D8f79+tOfNB2Eq0YFXJz8rzu+3bN5vOFWoBDbSVQkYg1hedK3kTgiuyzMtG&#10;GeFn4JSlxxrQiEBXPGQVio7QTZst8vw66wArhyCV9+TdDY98RMTXAEJda6l2II9G2TCgompFIEq+&#10;0c7zbeq2rpUM3+vaq8DakhPTkE4qQvY+ntl2I4oDCtdoObYgXtPCC05GaEtFL1A7EQQ7ov4HymiJ&#10;4KEOMwkmG4gkRYjFPH+hzUMjnEpcSGrvLqL7/wcrv51+INMVbUK+uMnX65urFWdWGJr8o+oD+wA9&#10;m6+iTp3zBYU/OEoIPfkpZ/L76Nx3X6GiPHEMkMToazRRFKLJKJo0P180j9iSnFe3y+UtlZT0NF9e&#10;rxapViaKKdmhD58UGBaNkiONNIGL0xcfqC0KnUJiLQv3um3TWFv7zEGB0ZNFHrHfgVHo9/1Ibg/V&#10;mWggDFtCf4SMBvA3Zx1tSMn9r6NAxVn72dII4jpNBk7GfjKElZRa8sDZYH4Mw9odHepDQ8jzRMPC&#10;e5Kr1olKbG3oYuyTpp4Yjhsa1+rpPUX9/ZXb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skga3U&#10;AAAAAwEAAA8AAAAAAAAAAQAgAAAAIgAAAGRycy9kb3ducmV2LnhtbFBLAQIUABQAAAAIAIdO4kCL&#10;hhZo6wEAAN0DAAAOAAAAAAAAAAEAIAAAACMBAABkcnMvZTJvRG9jLnhtbFBLBQYAAAAABgAGAFkB&#10;AACABQAAAAA=&#10;">
              <v:fill on="f" focussize="0,0"/>
              <v:stroke on="f"/>
              <v:imagedata o:title=""/>
              <o:lock v:ext="edit" aspectratio="f"/>
              <v:textbox inset="0mm,0mm,0mm,0mm">
                <w:txbxContent>
                  <w:p w14:paraId="7EAEC76B">
                    <w:pPr>
                      <w:pStyle w:val="24"/>
                      <w:jc w:val="center"/>
                      <w:rPr>
                        <w:rFonts w:hint="eastAsia" w:hAnsi="宋体" w:cs="宋体"/>
                      </w:rPr>
                    </w:pPr>
                    <w:r>
                      <w:rPr>
                        <w:rFonts w:hint="eastAsia" w:hAnsi="宋体" w:cs="宋体"/>
                      </w:rPr>
                      <w:fldChar w:fldCharType="begin"/>
                    </w:r>
                    <w:r>
                      <w:rPr>
                        <w:rFonts w:hint="eastAsia" w:hAnsi="宋体" w:cs="宋体"/>
                      </w:rPr>
                      <w:instrText xml:space="preserve"> PAGE  \* MERGEFORMAT </w:instrText>
                    </w:r>
                    <w:r>
                      <w:rPr>
                        <w:rFonts w:hint="eastAsia" w:hAnsi="宋体" w:cs="宋体"/>
                      </w:rPr>
                      <w:fldChar w:fldCharType="separate"/>
                    </w:r>
                    <w:r>
                      <w:rPr>
                        <w:rFonts w:hAnsi="宋体" w:cs="宋体"/>
                      </w:rPr>
                      <w:t>6</w:t>
                    </w:r>
                    <w:r>
                      <w:rPr>
                        <w:rFonts w:hint="eastAsia" w:hAnsi="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D171">
    <w:pPr>
      <w:tabs>
        <w:tab w:val="center" w:pos="4153"/>
        <w:tab w:val="right" w:pos="8306"/>
      </w:tabs>
      <w:snapToGrid w:val="0"/>
      <w:jc w:val="center"/>
      <w:rPr>
        <w:rFonts w:hint="eastAsia" w:ascii="等线" w:hAnsi="等线" w:eastAsia="等线"/>
        <w:sz w:val="18"/>
        <w:szCs w:val="18"/>
      </w:rPr>
    </w:pPr>
  </w:p>
  <w:p w14:paraId="308AB764">
    <w:pPr>
      <w:tabs>
        <w:tab w:val="center" w:pos="4153"/>
        <w:tab w:val="right" w:pos="8306"/>
      </w:tabs>
      <w:snapToGrid w:val="0"/>
      <w:jc w:val="left"/>
      <w:rPr>
        <w:rFonts w:hint="eastAsia" w:ascii="等线" w:hAnsi="等线" w:eastAsia="等线"/>
        <w:sz w:val="18"/>
        <w:szCs w:val="1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7FCF9">
    <w:pPr>
      <w:pStyle w:val="24"/>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200660" cy="142240"/>
              <wp:effectExtent l="0" t="0" r="8890" b="10160"/>
              <wp:wrapNone/>
              <wp:docPr id="27759586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200660" cy="142240"/>
                      </a:xfrm>
                      <a:prstGeom prst="rect">
                        <a:avLst/>
                      </a:prstGeom>
                      <a:noFill/>
                      <a:ln>
                        <a:noFill/>
                      </a:ln>
                    </wps:spPr>
                    <wps:txbx>
                      <w:txbxContent>
                        <w:p w14:paraId="7D749D27">
                          <w:pPr>
                            <w:pStyle w:val="24"/>
                          </w:pPr>
                          <w:r>
                            <w:fldChar w:fldCharType="begin"/>
                          </w:r>
                          <w:r>
                            <w:instrText xml:space="preserve"> PAGE  \* MERGEFORMAT </w:instrText>
                          </w:r>
                          <w:r>
                            <w:fldChar w:fldCharType="separate"/>
                          </w:r>
                          <w:r>
                            <w:t>XIII</w:t>
                          </w:r>
                          <w:r>
                            <w:fldChar w:fldCharType="end"/>
                          </w:r>
                        </w:p>
                      </w:txbxContent>
                    </wps:txbx>
                    <wps:bodyPr rot="0" vert="horz" wrap="square" lIns="0" tIns="0" rIns="0" bIns="0" anchor="t" anchorCtr="0" upright="1">
                      <a:noAutofit/>
                    </wps:bodyPr>
                  </wps:wsp>
                </a:graphicData>
              </a:graphic>
            </wp:anchor>
          </w:drawing>
        </mc:Choice>
        <mc:Fallback>
          <w:pict>
            <v:shape id="Text Box 13" o:spid="_x0000_s1026" o:spt="202" type="#_x0000_t202" style="position:absolute;left:0pt;margin-top:0pt;height:11.2pt;width:15.8pt;mso-position-horizontal:center;mso-position-horizontal-relative:margin;z-index:251671552;mso-width-relative:page;mso-height-relative:page;" filled="f" stroked="f" coordsize="21600,21600" o:gfxdata="UEsDBAoAAAAAAIdO4kAAAAAAAAAAAAAAAAAEAAAAZHJzL1BLAwQUAAAACACHTuJA956U6dMAAAAD&#10;AQAADwAAAGRycy9kb3ducmV2LnhtbE2PT0vEMBDF74LfIYzgzU1apWhtuojoSRC79eAxbWbbsM2k&#10;Ntk/fntHL3oZeLzHe7+p1ic/iQMu0QXSkK0UCKQ+WEeDhvf2+eoWREyGrJkCoYYvjLCuz88qU9pw&#10;pAYPmzQILqFYGg1jSnMpZexH9CauwozE3jYs3iSWyyDtYo5c7ieZK1VIbxzxwmhmfByx3232XsPD&#10;BzVP7vO1e2u2jWvbO0UvxU7ry4tM3YNIeEp/YfjBZ3SomakLe7JRTBr4kfR72bvOChCdhjy/AVlX&#10;8j97/Q1QSwMEFAAAAAgAh07iQE1R/gwEAgAADAQAAA4AAABkcnMvZTJvRG9jLnhtbK1Ty27bMBC8&#10;F+g/ELzXstzESQXLQRojRYE0LZD0A9YUZRGVuOyStuR+fZeU7eZxyaEXYbVcDmeGw8XV0LVip8kb&#10;tKXMJ1MptFVYGbsp5c/H2w+XUvgAtoIWrS7lXnt5tXz/btG7Qs+wwbbSJBjE+qJ3pWxCcEWWedXo&#10;DvwEnba8WCN1EPiXNllF0DN612az6XSe9UiVI1Tae+6uxkV5QKS3AGJdG6VXqLadtmFEJd1CYEm+&#10;Mc7LZWJb11qF73XtdRBtKVlpSF8+hOt1/GbLBRQbAtcYdaAAb6HwQlMHxvKhJ6gVBBBbMq+gOqMI&#10;PdZhorDLRiHJEVaRT19489CA00kLW+3dyXT//2DV/e4HCVOVcnZxcf7p/HKeS2Gh44t/1EMQn3EQ&#10;+cdoU+98wdMPjufDwH0OT5Ls3R2qX15YvGnAbvQ1EfaNhopp5nFn9mTriOMjyLr/hhWfA9uACWio&#10;qYsesiuC0fmK9qcrilwUN2OC5ryieCk/m83O0hVmUBw3O/Lhi8ZOxKKUxAlI4LC78yGSgeI4Es+y&#10;eGvaNqWgtc8aPBg7iXzkOzIPw3o4mLHGas8yCMdQ8ZPiokH6I0XPgSql/70F0lK0Xy1bEdN3LOhY&#10;rI8FWMVbSxmkGMubMKZ068hsGkYezbZ4zXbVJkmJvo4sDjw5JEnhIdAxhU//09S/R7z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eelOnTAAAAAwEAAA8AAAAAAAAAAQAgAAAAIgAAAGRycy9kb3du&#10;cmV2LnhtbFBLAQIUABQAAAAIAIdO4kBNUf4MBAIAAAwEAAAOAAAAAAAAAAEAIAAAACIBAABkcnMv&#10;ZTJvRG9jLnhtbFBLBQYAAAAABgAGAFkBAACYBQAAAAA=&#10;">
              <v:fill on="f" focussize="0,0"/>
              <v:stroke on="f"/>
              <v:imagedata o:title=""/>
              <o:lock v:ext="edit" aspectratio="f"/>
              <v:textbox inset="0mm,0mm,0mm,0mm">
                <w:txbxContent>
                  <w:p w14:paraId="7D749D27">
                    <w:pPr>
                      <w:pStyle w:val="24"/>
                    </w:pPr>
                    <w:r>
                      <w:fldChar w:fldCharType="begin"/>
                    </w:r>
                    <w:r>
                      <w:instrText xml:space="preserve"> PAGE  \* MERGEFORMAT </w:instrText>
                    </w:r>
                    <w:r>
                      <w:fldChar w:fldCharType="separate"/>
                    </w:r>
                    <w:r>
                      <w:t>XIII</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B244B">
    <w:pPr>
      <w:pStyle w:val="24"/>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42240" cy="162560"/>
              <wp:effectExtent l="0" t="0" r="10160" b="8890"/>
              <wp:wrapNone/>
              <wp:docPr id="848456679" name="Text Box 14"/>
              <wp:cNvGraphicFramePr/>
              <a:graphic xmlns:a="http://schemas.openxmlformats.org/drawingml/2006/main">
                <a:graphicData uri="http://schemas.microsoft.com/office/word/2010/wordprocessingShape">
                  <wps:wsp>
                    <wps:cNvSpPr txBox="1">
                      <a:spLocks noChangeArrowheads="1"/>
                    </wps:cNvSpPr>
                    <wps:spPr bwMode="auto">
                      <a:xfrm>
                        <a:off x="0" y="0"/>
                        <a:ext cx="142240" cy="162560"/>
                      </a:xfrm>
                      <a:prstGeom prst="rect">
                        <a:avLst/>
                      </a:prstGeom>
                      <a:noFill/>
                      <a:ln>
                        <a:noFill/>
                      </a:ln>
                    </wps:spPr>
                    <wps:txbx>
                      <w:txbxContent>
                        <w:p w14:paraId="5729A500">
                          <w:pPr>
                            <w:pStyle w:val="24"/>
                          </w:pPr>
                          <w:r>
                            <w:fldChar w:fldCharType="begin"/>
                          </w:r>
                          <w:r>
                            <w:instrText xml:space="preserve"> PAGE  \* MERGEFORMAT </w:instrText>
                          </w:r>
                          <w:r>
                            <w:fldChar w:fldCharType="separate"/>
                          </w:r>
                          <w:r>
                            <w:t>I</w:t>
                          </w:r>
                          <w:r>
                            <w:fldChar w:fldCharType="end"/>
                          </w:r>
                        </w:p>
                      </w:txbxContent>
                    </wps:txbx>
                    <wps:bodyPr rot="0" vert="horz" wrap="square" lIns="0" tIns="0" rIns="0" bIns="0" anchor="t" anchorCtr="0" upright="1">
                      <a:noAutofit/>
                    </wps:bodyPr>
                  </wps:wsp>
                </a:graphicData>
              </a:graphic>
            </wp:anchor>
          </w:drawing>
        </mc:Choice>
        <mc:Fallback>
          <w:pict>
            <v:shape id="Text Box 14" o:spid="_x0000_s1026" o:spt="202" type="#_x0000_t202" style="position:absolute;left:0pt;margin-top:0pt;height:12.8pt;width:11.2pt;mso-position-horizontal:center;mso-position-horizontal-relative:margin;z-index:251672576;mso-width-relative:page;mso-height-relative:page;" filled="f" stroked="f" coordsize="21600,21600" o:gfxdata="UEsDBAoAAAAAAIdO4kAAAAAAAAAAAAAAAAAEAAAAZHJzL1BLAwQUAAAACACHTuJAFNalwNMAAAAD&#10;AQAADwAAAGRycy9kb3ducmV2LnhtbE2PT0vEMBDF74LfIYzgzU22aNHadBHRk7DYrQePaTPbhm0m&#10;tcn++/aOXvQyj+EN7/2mXJ38KA44RxdIw3KhQCB1wTrqNXw0rzf3IGIyZM0YCDWcMcKqurwoTWHD&#10;kWo8bFIvOIRiYTQMKU2FlLEb0Ju4CBMSe9swe5N4nXtpZ3PkcD/KTKlceuOIGwYz4fOA3W6z9xqe&#10;Pql+cV/r9r3e1q5pHhS95Tutr6+W6hFEwlP6O4YffEaHipnasCcbxaiBH0m/k70suwXRst7lIKtS&#10;/mevvgFQSwMEFAAAAAgAh07iQIHsNTIEAgAADAQAAA4AAABkcnMvZTJvRG9jLnhtbK1TQW7bMBC8&#10;F+gfCN5r2YbjuoLlII2RokDaFEj6gDVFWUQlLrukLbmv75Ky3DS95NCLsCKXszPD4fq6bxtx1OQN&#10;2kLOJlMptFVYGrsv5Penu3crKXwAW0KDVhfypL283rx9s+5crudYY1NqEgxifd65QtYhuDzLvKp1&#10;C36CTlverJBaCPxL+6wk6Bi9bbL5dLrMOqTSESrtPa9uh015RqTXAGJVGaW3qA6ttmFAJd1AYEm+&#10;Ns7LTWJbVVqFh6ryOoimkKw0pC8P4XoXv9lmDfmewNVGnSnAayi80NSCsTz0ArWFAOJA5h+o1ihC&#10;j1WYKGyzQUhyhFXMpi+8eazB6aSFrfbuYrr/f7Dq6/EbCVMWcrVYLa6Wy/cfpLDQ8sU/6T6Ij9iL&#10;2SLa1Dmfc/ej4/7Q8zqHJ0n27h7VDy8s3tZg9/qGCLtaQ8k0Z/Fk9uzogOMjyK77giXPgUPABNRX&#10;1EYP2RXB6HxFp8sVRS4qjlzM5wveUbw1W86vlukKM8jHw458+KSxFbEoJHECEjgc732IZCAfW+Is&#10;i3emaVIKGvvXAjfGlUQ+8h2Yh37Xn83YYXliGYRDqPhJcVEj/ZKi40AV0v88AGkpms+WrYjpGwsa&#10;i91YgFV8tJBBiqG8DUNKD47MvmbkwWyLN2xXZZKU6OvA4syTQ5IUngMdU/j8P3X9ecS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TWpcDTAAAAAwEAAA8AAAAAAAAAAQAgAAAAIgAAAGRycy9kb3du&#10;cmV2LnhtbFBLAQIUABQAAAAIAIdO4kCB7DUyBAIAAAwEAAAOAAAAAAAAAAEAIAAAACIBAABkcnMv&#10;ZTJvRG9jLnhtbFBLBQYAAAAABgAGAFkBAACYBQAAAAA=&#10;">
              <v:fill on="f" focussize="0,0"/>
              <v:stroke on="f"/>
              <v:imagedata o:title=""/>
              <o:lock v:ext="edit" aspectratio="f"/>
              <v:textbox inset="0mm,0mm,0mm,0mm">
                <w:txbxContent>
                  <w:p w14:paraId="5729A500">
                    <w:pPr>
                      <w:pStyle w:val="24"/>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34610">
    <w:pPr>
      <w:pStyle w:val="72"/>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201930" cy="147955"/>
              <wp:effectExtent l="0" t="3810" r="0" b="635"/>
              <wp:wrapNone/>
              <wp:docPr id="1494895581" name="Text Box 1"/>
              <wp:cNvGraphicFramePr/>
              <a:graphic xmlns:a="http://schemas.openxmlformats.org/drawingml/2006/main">
                <a:graphicData uri="http://schemas.microsoft.com/office/word/2010/wordprocessingShape">
                  <wps:wsp>
                    <wps:cNvSpPr txBox="1">
                      <a:spLocks noChangeArrowheads="1"/>
                    </wps:cNvSpPr>
                    <wps:spPr bwMode="auto">
                      <a:xfrm>
                        <a:off x="0" y="0"/>
                        <a:ext cx="201930" cy="147955"/>
                      </a:xfrm>
                      <a:prstGeom prst="rect">
                        <a:avLst/>
                      </a:prstGeom>
                      <a:noFill/>
                      <a:ln>
                        <a:noFill/>
                      </a:ln>
                    </wps:spPr>
                    <wps:txbx>
                      <w:txbxContent>
                        <w:p w14:paraId="484E0452">
                          <w:pPr>
                            <w:pStyle w:val="72"/>
                            <w:jc w:val="center"/>
                          </w:pPr>
                          <w:r>
                            <w:fldChar w:fldCharType="begin"/>
                          </w:r>
                          <w:r>
                            <w:instrText xml:space="preserve">PAGE   \* MERGEFORMAT</w:instrText>
                          </w:r>
                          <w:r>
                            <w:fldChar w:fldCharType="separate"/>
                          </w:r>
                          <w:r>
                            <w:rPr>
                              <w:lang w:val="zh-CN"/>
                            </w:rPr>
                            <w:t>I</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65pt;width:15.9pt;mso-position-horizontal:center;mso-position-horizontal-relative:margin;mso-wrap-style:none;z-index:251663360;mso-width-relative:page;mso-height-relative:page;" filled="f" stroked="f" coordsize="21600,21600" o:gfxdata="UEsDBAoAAAAAAIdO4kAAAAAAAAAAAAAAAAAEAAAAZHJzL1BLAwQUAAAACACHTuJAHc+kadEAAAAD&#10;AQAADwAAAGRycy9kb3ducmV2LnhtbE2PwWrDMBBE74X8g9hCb43sGNrgWM4hkEtvTUuhN8XaWKbS&#10;ykiKY/99t720l4Fllpk3zX72TkwY0xBIQbkuQCB1wQzUK3h/Oz5uQaSsyWgXCBUsmGDfru4aXZtw&#10;o1ecTrkXHEKp1gpszmMtZeosep3WYURi7xKi15nP2EsT9Y3DvZOboniSXg/EDVaPeLDYfZ2uXsHz&#10;/BFwTHjAz8vURTssW/eyKPVwXxY7EBnn/PcMP/iMDi0zncOVTBJOAQ/Jv8peVfKKs4JNVYFsG/mf&#10;vf0GUEsDBBQAAAAIAIdO4kBu/vSV/gEAAAoEAAAOAAAAZHJzL2Uyb0RvYy54bWytU8Fu2zAMvQ/Y&#10;Pwi6L066dEuMOEXXIMOArhvQ7gNkWbaFWaJAKbGzrx8lx1nXXXrYRaAo8unx6WlzM5iOHRV6Dbbg&#10;i9mcM2UlVNo2Bf/xtH+34swHYSvRgVUFPynPb7Zv32x6l6sraKGrFDICsT7vXcHbEFyeZV62ygg/&#10;A6csHdaARgTaYpNVKHpCN112NZ9/yHrAyiFI5T1ld+MhPyPiawChrrVUO5AHo2wYUVF1ItBIvtXO&#10;821iW9dKhm917VVgXcFp0pBWuoTiMq7ZdiPyBoVrtTxTEK+h8GImI7SlSy9QOxEEO6D+B8poieCh&#10;DjMJJhsHSYrQFIv5C20eW+FUmoWk9u4iuv9/sPLh+B2ZrsgJy/Vytb6+Xi04s8LQyz+pIbBPMLBF&#10;lKl3PqfqR0f1YaA0taSRvbsH+dMzC3etsI26RYS+VaIimqkze9Y64vgIUvZfoaJrxCFAAhpqNFFD&#10;UoUROj3R6fJEkYqkJKm0fk8nko4Wy4/EN3LLRD41O/ThswLDYlBwJAckcHG892EsnUriXRb2uuuS&#10;Czr7V4IwYyaRj3xH5mEoh7MYJVQnGgNhNBV9KQpawF+c9WSoglv6P5x1XywJEb03BTgF5RQIK6mx&#10;4IGzMbwLo0cPDnXTEu4k9S2JtddpkKjqyOHMkiySpDjbOXrw+T5V/fnC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dz6Rp0QAAAAMBAAAPAAAAAAAAAAEAIAAAACIAAABkcnMvZG93bnJldi54bWxQ&#10;SwECFAAUAAAACACHTuJAbv70lf4BAAAKBAAADgAAAAAAAAABACAAAAAgAQAAZHJzL2Uyb0RvYy54&#10;bWxQSwUGAAAAAAYABgBZAQAAkAUAAAAA&#10;">
              <v:fill on="f" focussize="0,0"/>
              <v:stroke on="f"/>
              <v:imagedata o:title=""/>
              <o:lock v:ext="edit" aspectratio="f"/>
              <v:textbox inset="0mm,0mm,0mm,0mm" style="mso-fit-shape-to-text:t;">
                <w:txbxContent>
                  <w:p w14:paraId="484E0452">
                    <w:pPr>
                      <w:pStyle w:val="72"/>
                      <w:jc w:val="center"/>
                    </w:pPr>
                    <w:r>
                      <w:fldChar w:fldCharType="begin"/>
                    </w:r>
                    <w:r>
                      <w:instrText xml:space="preserve">PAGE   \* MERGEFORMAT</w:instrText>
                    </w:r>
                    <w:r>
                      <w:fldChar w:fldCharType="separate"/>
                    </w:r>
                    <w:r>
                      <w:rPr>
                        <w:lang w:val="zh-CN"/>
                      </w:rP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F6887">
    <w:pPr>
      <w:pStyle w:val="71"/>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40665" cy="147955"/>
              <wp:effectExtent l="0" t="3810" r="1270" b="635"/>
              <wp:wrapNone/>
              <wp:docPr id="142394481" name="Text Box 2"/>
              <wp:cNvGraphicFramePr/>
              <a:graphic xmlns:a="http://schemas.openxmlformats.org/drawingml/2006/main">
                <a:graphicData uri="http://schemas.microsoft.com/office/word/2010/wordprocessingShape">
                  <wps:wsp>
                    <wps:cNvSpPr txBox="1">
                      <a:spLocks noChangeArrowheads="1"/>
                    </wps:cNvSpPr>
                    <wps:spPr bwMode="auto">
                      <a:xfrm>
                        <a:off x="0" y="0"/>
                        <a:ext cx="240665" cy="147955"/>
                      </a:xfrm>
                      <a:prstGeom prst="rect">
                        <a:avLst/>
                      </a:prstGeom>
                      <a:noFill/>
                      <a:ln>
                        <a:noFill/>
                      </a:ln>
                    </wps:spPr>
                    <wps:txbx>
                      <w:txbxContent>
                        <w:p w14:paraId="031E4D53">
                          <w:pPr>
                            <w:pStyle w:val="71"/>
                          </w:pPr>
                          <w:r>
                            <w:fldChar w:fldCharType="begin"/>
                          </w:r>
                          <w:r>
                            <w:instrText xml:space="preserve"> PAGE   \* MERGEFORMAT \* MERGEFORMAT </w:instrText>
                          </w:r>
                          <w:r>
                            <w:fldChar w:fldCharType="separate"/>
                          </w:r>
                          <w:r>
                            <w:t>II</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1.65pt;width:18.95pt;mso-position-horizontal:center;mso-position-horizontal-relative:margin;mso-wrap-style:none;z-index:251664384;mso-width-relative:page;mso-height-relative:page;" filled="f" stroked="f" coordsize="21600,21600" o:gfxdata="UEsDBAoAAAAAAIdO4kAAAAAAAAAAAAAAAAAEAAAAZHJzL1BLAwQUAAAACACHTuJAEtqUAtIAAAAD&#10;AQAADwAAAGRycy9kb3ducmV2LnhtbE2PwU7DMBBE70j8g7WVuFGnjURLiNNDJS7cKAipt228jaPa&#10;68h20+TvMVzgstJoRjNv693krBgpxN6zgtWyAEHcet1zp+Dz4/VxCyImZI3WMymYKcKuub+rsdL+&#10;xu80HlIncgnHChWYlIZKytgachiXfiDO3tkHhynL0Ekd8JbLnZXroniSDnvOCwYH2htqL4erU7CZ&#10;vjwNkfZ0PI9tMP28tW+zUg+LVfECItGU/sLwg5/RoclMJ39lHYVVkB9Jvzd75eYZxEnBuixBNrX8&#10;z958A1BLAwQUAAAACACHTuJACxhhLAICAAAJBAAADgAAAGRycy9lMm9Eb2MueG1srVPLbtswELwX&#10;6D8QvNeSXdtNBMtBGsNFgfQBJP0AmqIsoiKXWNKW3K/vkrLcPC459CKslruzM8Pl6qY3LTsq9Bps&#10;yaeTnDNlJVTa7kv+63H74YozH4StRAtWlfykPL9Zv3+36lyhZtBAWylkBGJ90bmSNyG4Isu8bJQR&#10;fgJOWTqsAY0I9Iv7rELREbpps1meL7MOsHIIUnlP2c1wyM+I+BZAqGst1QbkwSgbBlRUrQgkyTfa&#10;eb5ObOtayfCjrr0KrC05KQ3pS0Mo3sVvtl6JYo/CNVqeKYi3UHihyQhtaegFaiOCYAfUr6CMlgge&#10;6jCRYLJBSHKEVEzzF948NMKppIWs9u5iuv9/sPL78ScyXdEmzGcfr+fzqylnVhi6+EfVB/YZejaL&#10;LnXOF1T84Kg89JSmjqTYu3uQvz2zcNcIu1e3iNA1SlTEcho7syetA46PILvuG1Q0RhwCJKC+RhMt&#10;JFMYodMNnS43FKlISs7m+XK54EzS0XT+6XqxSBNEMTY79OGLAsNiUHKkBUjg4njvQyQjirEkzrKw&#10;1W2blqC1zxJUGDOJfOQ7MA/9rj+bsYPqRDIQhp2iF0VBA/iHs472qeSWng9n7VdLRsTVGwMcg90Y&#10;CCupseSBsyG8C8OKHhzqfUO4o9W3ZNZWJyHR1YHDmSVtSNJ33ua4gk//U9W/F7z+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LalALSAAAAAwEAAA8AAAAAAAAAAQAgAAAAIgAAAGRycy9kb3ducmV2&#10;LnhtbFBLAQIUABQAAAAIAIdO4kALGGEsAgIAAAkEAAAOAAAAAAAAAAEAIAAAACEBAABkcnMvZTJv&#10;RG9jLnhtbFBLBQYAAAAABgAGAFkBAACVBQAAAAA=&#10;">
              <v:fill on="f" focussize="0,0"/>
              <v:stroke on="f"/>
              <v:imagedata o:title=""/>
              <o:lock v:ext="edit" aspectratio="f"/>
              <v:textbox inset="0mm,0mm,0mm,0mm" style="mso-fit-shape-to-text:t;">
                <w:txbxContent>
                  <w:p w14:paraId="031E4D53">
                    <w:pPr>
                      <w:pStyle w:val="71"/>
                    </w:pPr>
                    <w:r>
                      <w:fldChar w:fldCharType="begin"/>
                    </w:r>
                    <w:r>
                      <w:instrText xml:space="preserve"> PAGE   \* MERGEFORMAT \* MERGEFORMAT </w:instrText>
                    </w:r>
                    <w:r>
                      <w:fldChar w:fldCharType="separate"/>
                    </w:r>
                    <w:r>
                      <w:t>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FD6F1">
    <w:pPr>
      <w:pStyle w:val="72"/>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316230" cy="147955"/>
              <wp:effectExtent l="0" t="3810" r="0" b="635"/>
              <wp:wrapNone/>
              <wp:docPr id="1094888473" name="Text Box 3"/>
              <wp:cNvGraphicFramePr/>
              <a:graphic xmlns:a="http://schemas.openxmlformats.org/drawingml/2006/main">
                <a:graphicData uri="http://schemas.microsoft.com/office/word/2010/wordprocessingShape">
                  <wps:wsp>
                    <wps:cNvSpPr txBox="1">
                      <a:spLocks noChangeArrowheads="1"/>
                    </wps:cNvSpPr>
                    <wps:spPr bwMode="auto">
                      <a:xfrm>
                        <a:off x="0" y="0"/>
                        <a:ext cx="316230" cy="147955"/>
                      </a:xfrm>
                      <a:prstGeom prst="rect">
                        <a:avLst/>
                      </a:prstGeom>
                      <a:noFill/>
                      <a:ln>
                        <a:noFill/>
                      </a:ln>
                    </wps:spPr>
                    <wps:txbx>
                      <w:txbxContent>
                        <w:p w14:paraId="519708D6">
                          <w:pPr>
                            <w:pStyle w:val="72"/>
                          </w:pPr>
                          <w:r>
                            <w:fldChar w:fldCharType="begin"/>
                          </w:r>
                          <w:r>
                            <w:instrText xml:space="preserve">PAGE   \* MERGEFORMAT</w:instrText>
                          </w:r>
                          <w:r>
                            <w:fldChar w:fldCharType="separate"/>
                          </w:r>
                          <w:r>
                            <w:rPr>
                              <w:lang w:val="zh-CN"/>
                            </w:rPr>
                            <w:t>1</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1.65pt;width:24.9pt;mso-position-horizontal:center;mso-position-horizontal-relative:margin;mso-wrap-style:none;z-index:251665408;mso-width-relative:page;mso-height-relative:page;" filled="f" stroked="f" coordsize="21600,21600" o:gfxdata="UEsDBAoAAAAAAIdO4kAAAAAAAAAAAAAAAAAEAAAAZHJzL1BLAwQUAAAACACHTuJASC5tltIAAAAD&#10;AQAADwAAAGRycy9kb3ducmV2LnhtbE2PwU7DMBBE70j8g7VI3KjTFtES4vRQiQu3FlSpNzfexhH2&#10;OrLdNPn7LlzgMtJqVjNvqs3onRgwpi6QgvmsAIHUBNNRq+Dr8/1pDSJlTUa7QKhgwgSb+v6u0qUJ&#10;V9rhsM+t4BBKpVZgc+5LKVNj0es0Cz0Se+cQvc58xlaaqK8c7p1cFMWL9LojbrC6x63F5nt/8QpW&#10;4yFgn3CLx/PQRNtNa/cxKfX4MC/eQGQc898z/OAzOtTMdAoXMkk4BTwk/yp7z6+84qRgsVyCrCv5&#10;n72+AVBLAwQUAAAACACHTuJAGKmkqAICAAAKBAAADgAAAGRycy9lMm9Eb2MueG1srVPLbtswELwX&#10;6D8QvNeSH0kcwXKQxnBRIH0AST+ApiiLqMgllrQl9+u7pCw3TS859CKslruzM8Pl6q43LTsq9Bps&#10;yaeTnDNlJVTa7kv+43n7YcmZD8JWogWrSn5Snt+t379bda5QM2igrRQyArG+6FzJmxBckWVeNsoI&#10;PwGnLB3WgEYE+sV9VqHoCN202SzPr7MOsHIIUnlP2c1wyM+I+BZAqGst1QbkwSgbBlRUrQgkyTfa&#10;eb5ObOtayfCtrr0KrC05KQ3pS0Mo3sVvtl6JYo/CNVqeKYi3UHilyQhtaegFaiOCYAfU/0AZLRE8&#10;1GEiwWSDkOQIqZjmr7x5aoRTSQtZ7d3FdP//YOXX43dkuqJNyG8Xy+VycTPnzApDN/+s+sA+Qs/m&#10;0abO+YKqnxzVh57S1JIke/cI8qdnFh4aYffqHhG6RomKaE5jZ/aidcDxEWTXfYGKxohDgATU12ii&#10;h+QKI3S6otPliiIVScn59Ho2pxNJR9PFze3VVZogirHZoQ+fFBgWg5IjbUACF8dHHyIZUYwlcZaF&#10;rW7btAWt/StBhTGTyEe+A/PQ7/qzGTuoTiQDYVgqelIUNIC/OOtooUpu6f1w1n62ZETcvTHAMdiN&#10;gbCSGkseOBvChzDs6MGh3jeEO1p9T2ZtdRISXR04nFnSiiR953WOO/jyP1X9ecL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gubZbSAAAAAwEAAA8AAAAAAAAAAQAgAAAAIgAAAGRycy9kb3ducmV2&#10;LnhtbFBLAQIUABQAAAAIAIdO4kAYqaSoAgIAAAoEAAAOAAAAAAAAAAEAIAAAACEBAABkcnMvZTJv&#10;RG9jLnhtbFBLBQYAAAAABgAGAFkBAACVBQAAAAA=&#10;">
              <v:fill on="f" focussize="0,0"/>
              <v:stroke on="f"/>
              <v:imagedata o:title=""/>
              <o:lock v:ext="edit" aspectratio="f"/>
              <v:textbox inset="0mm,0mm,0mm,0mm" style="mso-fit-shape-to-text:t;">
                <w:txbxContent>
                  <w:p w14:paraId="519708D6">
                    <w:pPr>
                      <w:pStyle w:val="72"/>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425F0">
    <w:pPr>
      <w:pStyle w:val="71"/>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4735778" name="Text Box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31748E4F">
                          <w:pPr>
                            <w:pStyle w:val="71"/>
                          </w:pPr>
                          <w:r>
                            <w:fldChar w:fldCharType="begin"/>
                          </w:r>
                          <w:r>
                            <w:instrText xml:space="preserve"> PAGE   \* MERGEFORMAT \* MERGEFORMAT </w:instrText>
                          </w:r>
                          <w:r>
                            <w:fldChar w:fldCharType="separate"/>
                          </w:r>
                          <w:r>
                            <w:t>6</w:t>
                          </w:r>
                          <w:r>
                            <w:fldChar w:fldCharType="end"/>
                          </w:r>
                        </w:p>
                      </w:txbxContent>
                    </wps:txbx>
                    <wps:bodyPr rot="0" vert="horz" wrap="none" lIns="0" tIns="0" rIns="0" bIns="0" anchor="t" anchorCtr="0" upright="1">
                      <a:spAutoFit/>
                    </wps:bodyPr>
                  </wps:wsp>
                </a:graphicData>
              </a:graphic>
            </wp:anchor>
          </w:drawing>
        </mc:Choice>
        <mc:Fallback>
          <w:pict>
            <v:shape id="Text Box 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a5Acf0BAAAMBAAADgAAAGRycy9lMm9Eb2MueG1srVPLbtswELwX6D8Q&#10;vNeS3bQ2BMtBGsNFgfQBJPkAiqIsoiKXWNKW3K/vkrKcNL3kkAuxXC5nZ4bL9fVgOnZU6DXYks9n&#10;OWfKSqi13Zf88WH3YcWZD8LWogOrSn5Snl9v3r9b965QC2ihqxUyArG+6F3J2xBckWVetsoIPwOn&#10;LB02gEYE2uI+q1H0hG66bJHnn7MesHYIUnlP2e14yM+I+BpAaBot1RbkwSgbRlRUnQgkybfaeb5J&#10;bJtGyfCzabwKrCs5KQ1ppSYUV3HNNmtR7FG4VsszBfEaCi80GaEtNb1AbUUQ7ID6PyijJYKHJswk&#10;mGwUkhwhFfP8hTf3rXAqaSGrvbuY7t8OVv44/kKma5qERX61/PhpuaT3t8LQyz+oIbAvMLCraFPv&#10;fEHV947qw0BpupIke3cH8rdnFm5bYffqBhH6VomaaM7jzezZ1RHHR5Cq/w41tRGHAAloaNBED8kV&#10;Ruj0RKfLE0UqMrZcLVarnI4knU2b2EMU03WHPnxVYFgMSo40AwleHO98GEunktjNwk53HeVF0dl/&#10;EoQZM4l+ZDxyD0M1UHXUVEF9IiEI41jRp6KgBfzDWU8jVXJLP4iz7pslK+L0TQFOQTUFwkq6WPLA&#10;2RjehnFKDw71viXcyewbsmunk5AnDmeWNCTJivNAxyl8vk9VT5948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OqXm5zwAAAAUBAAAPAAAAAAAAAAEAIAAAACIAAABkcnMvZG93bnJldi54bWxQSwEC&#10;FAAUAAAACACHTuJACa5Acf0BAAAMBAAADgAAAAAAAAABACAAAAAeAQAAZHJzL2Uyb0RvYy54bWxQ&#10;SwUGAAAAAAYABgBZAQAAjQUAAAAA&#10;">
              <v:fill on="f" focussize="0,0"/>
              <v:stroke on="f"/>
              <v:imagedata o:title=""/>
              <o:lock v:ext="edit" aspectratio="f"/>
              <v:textbox inset="0mm,0mm,0mm,0mm" style="mso-fit-shape-to-text:t;">
                <w:txbxContent>
                  <w:p w14:paraId="31748E4F">
                    <w:pPr>
                      <w:pStyle w:val="71"/>
                    </w:pPr>
                    <w:r>
                      <w:fldChar w:fldCharType="begin"/>
                    </w:r>
                    <w:r>
                      <w:instrText xml:space="preserve"> PAGE   \* MERGEFORMAT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2BC96">
    <w:pPr>
      <w:pStyle w:val="72"/>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201930" cy="147955"/>
              <wp:effectExtent l="0" t="3810" r="0" b="635"/>
              <wp:wrapNone/>
              <wp:docPr id="2079726046"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1930" cy="147955"/>
                      </a:xfrm>
                      <a:prstGeom prst="rect">
                        <a:avLst/>
                      </a:prstGeom>
                      <a:noFill/>
                      <a:ln>
                        <a:noFill/>
                      </a:ln>
                    </wps:spPr>
                    <wps:txbx>
                      <w:txbxContent>
                        <w:p w14:paraId="54AAFA18">
                          <w:pPr>
                            <w:pStyle w:val="72"/>
                            <w:jc w:val="center"/>
                          </w:pPr>
                          <w:r>
                            <w:fldChar w:fldCharType="begin"/>
                          </w:r>
                          <w:r>
                            <w:instrText xml:space="preserve">PAGE   \* MERGEFORMAT</w:instrText>
                          </w:r>
                          <w:r>
                            <w:fldChar w:fldCharType="separate"/>
                          </w:r>
                          <w:r>
                            <w:rPr>
                              <w:lang w:val="zh-CN"/>
                            </w:rPr>
                            <w:t>1</w:t>
                          </w:r>
                          <w:r>
                            <w:fldChar w:fldCharType="end"/>
                          </w:r>
                        </w:p>
                      </w:txbxContent>
                    </wps:txbx>
                    <wps:bodyPr rot="0" vert="horz" wrap="none" lIns="0" tIns="0" rIns="0" bIns="0" anchor="t" anchorCtr="0" upright="1">
                      <a:spAutoFit/>
                    </wps:bodyPr>
                  </wps:wsp>
                </a:graphicData>
              </a:graphic>
            </wp:anchor>
          </w:drawing>
        </mc:Choice>
        <mc:Fallback>
          <w:pict>
            <v:shape id="Text Box 5" o:spid="_x0000_s1026" o:spt="202" type="#_x0000_t202" style="position:absolute;left:0pt;margin-top:0pt;height:11.65pt;width:15.9pt;mso-position-horizontal:center;mso-position-horizontal-relative:margin;mso-wrap-style:none;z-index:251669504;mso-width-relative:page;mso-height-relative:page;" filled="f" stroked="f" coordsize="21600,21600" o:gfxdata="UEsDBAoAAAAAAIdO4kAAAAAAAAAAAAAAAAAEAAAAZHJzL1BLAwQUAAAACACHTuJAHc+kadEAAAAD&#10;AQAADwAAAGRycy9kb3ducmV2LnhtbE2PwWrDMBBE74X8g9hCb43sGNrgWM4hkEtvTUuhN8XaWKbS&#10;ykiKY/99t720l4Fllpk3zX72TkwY0xBIQbkuQCB1wQzUK3h/Oz5uQaSsyWgXCBUsmGDfru4aXZtw&#10;o1ecTrkXHEKp1gpszmMtZeosep3WYURi7xKi15nP2EsT9Y3DvZOboniSXg/EDVaPeLDYfZ2uXsHz&#10;/BFwTHjAz8vURTssW/eyKPVwXxY7EBnn/PcMP/iMDi0zncOVTBJOAQ/Jv8peVfKKs4JNVYFsG/mf&#10;vf0GUEsDBBQAAAAIAIdO4kChuPo9AgIAAAoEAAAOAAAAZHJzL2Uyb0RvYy54bWytU8tu2zAQvBfo&#10;PxC815LdxK4Fy0Eaw0WB9AEk+QCaoiyiIpdY0pbcr++Sstw0ueTQi7BaLoczw+HqpjctOyr0GmzJ&#10;p5OcM2UlVNruS/70uP3wiTMfhK1EC1aV/KQ8v1m/f7fqXKFm0EBbKWQEYn3RuZI3Ibgiy7xslBF+&#10;Ak5ZWqwBjQj0i/usQtERummzWZ7Psw6wcghSeU/dzbDIz4j4FkCoay3VBuTBKBsGVFStCCTJN9p5&#10;vk5s61rJ8KOuvQqsLTkpDelLh1C9i99svRLFHoVrtDxTEG+h8EKTEdrSoReojQiCHVC/gjJaInio&#10;w0SCyQYhyRFSMc1fePPQCKeSFrLau4vp/v/Byu/Hn8h0VfJZvlguZvP8as6ZFYZu/lH1gX2Gnl1H&#10;mzrnC5p+cDQfempTeJJk7+5B/vLMwl0j7F7dIkLXKFERzWncmT3bOuD4CLLrvkFFx4hDgATU12ii&#10;h+QKI3S6otPliiIVSU1yafmRViQtTa8Wy+vELRPFuNmhD18UGBaLkiMlIIGL470PkYwoxpF4loWt&#10;btuUgtb+06DB2EnkI9+Beeh3/dmMHVQnkoEwhIqeFBUN4G/OOgpUyS29H87ar5aMiNkbCxyL3VgI&#10;K2ljyQNnQ3kXhoweHOp9Q7ij1bdk1lYnIdHVgcOZJUUk6TvHOWbw+X+a+vuE13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c+kadEAAAADAQAADwAAAAAAAAABACAAAAAiAAAAZHJzL2Rvd25yZXYu&#10;eG1sUEsBAhQAFAAAAAgAh07iQKG4+j0CAgAACgQAAA4AAAAAAAAAAQAgAAAAIAEAAGRycy9lMm9E&#10;b2MueG1sUEsFBgAAAAAGAAYAWQEAAJQFAAAAAA==&#10;">
              <v:fill on="f" focussize="0,0"/>
              <v:stroke on="f"/>
              <v:imagedata o:title=""/>
              <o:lock v:ext="edit" aspectratio="f"/>
              <v:textbox inset="0mm,0mm,0mm,0mm" style="mso-fit-shape-to-text:t;">
                <w:txbxContent>
                  <w:p w14:paraId="54AAFA18">
                    <w:pPr>
                      <w:pStyle w:val="72"/>
                      <w:jc w:val="center"/>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AD37F">
    <w:pPr>
      <w:pStyle w:val="71"/>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289560" cy="142240"/>
              <wp:effectExtent l="0" t="0" r="15240" b="10160"/>
              <wp:wrapNone/>
              <wp:docPr id="123773124" name="Text Box 6"/>
              <wp:cNvGraphicFramePr/>
              <a:graphic xmlns:a="http://schemas.openxmlformats.org/drawingml/2006/main">
                <a:graphicData uri="http://schemas.microsoft.com/office/word/2010/wordprocessingShape">
                  <wps:wsp>
                    <wps:cNvSpPr txBox="1">
                      <a:spLocks noChangeArrowheads="1"/>
                    </wps:cNvSpPr>
                    <wps:spPr bwMode="auto">
                      <a:xfrm>
                        <a:off x="0" y="0"/>
                        <a:ext cx="289560" cy="142240"/>
                      </a:xfrm>
                      <a:prstGeom prst="rect">
                        <a:avLst/>
                      </a:prstGeom>
                      <a:noFill/>
                      <a:ln>
                        <a:noFill/>
                      </a:ln>
                    </wps:spPr>
                    <wps:txbx>
                      <w:txbxContent>
                        <w:p w14:paraId="3CBBA7D0">
                          <w:pPr>
                            <w:pStyle w:val="71"/>
                          </w:pPr>
                          <w:r>
                            <w:fldChar w:fldCharType="begin"/>
                          </w:r>
                          <w:r>
                            <w:instrText xml:space="preserve"> PAGE   \* MERGEFORMAT \* MERGEFORMAT </w:instrText>
                          </w:r>
                          <w:r>
                            <w:fldChar w:fldCharType="separate"/>
                          </w:r>
                          <w:r>
                            <w:t>6</w:t>
                          </w:r>
                          <w:r>
                            <w:fldChar w:fldCharType="end"/>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top:0pt;height:11.2pt;width:22.8pt;mso-position-horizontal:center;mso-position-horizontal-relative:margin;z-index:251670528;mso-width-relative:page;mso-height-relative:page;" filled="f" stroked="f" coordsize="21600,21600" o:gfxdata="UEsDBAoAAAAAAIdO4kAAAAAAAAAAAAAAAAAEAAAAZHJzL1BLAwQUAAAACACHTuJAPmMlHdQAAAAD&#10;AQAADwAAAGRycy9kb3ducmV2LnhtbE2PzU7DMBCE70i8g7VI3KjdqEQQ4lQIwQkJkYYDRyfeJlbj&#10;dYjdH96ehQu9rDSa0cy35frkR3HAObpAGpYLBQKpC9ZRr+Gjebm5AxGTIWvGQKjhGyOsq8uL0hQ2&#10;HKnGwyb1gksoFkbDkNJUSBm7Ab2JizAhsbcNszeJ5dxLO5sjl/tRZkrl0htHvDCYCZ8G7Habvdfw&#10;+En1s/t6a9/rbe2a5l7Ra77T+vpqqR5AJDyl/zD84jM6VMzUhj3ZKEYN/Ej6u+ytbnMQrYYsW4Gs&#10;SnnOXv0AUEsDBBQAAAAIAIdO4kAe4z9jBAIAAAsEAAAOAAAAZHJzL2Uyb0RvYy54bWytU0Fu2zAQ&#10;vBfoHwjea9mK66SC5SCNkaJAmhZI+oA1RVlEJS67pC25r++Sst00veTQi7BaLoczw+Hyeuhasdfk&#10;DdpSziZTKbRVWBm7LeX3p7t3V1L4ALaCFq0u5UF7eb16+2bZu0Ln2GBbaRIMYn3Ru1I2Ibgiy7xq&#10;dAd+gk5bXqyROgj8S9usIugZvWuzfDpdZD1S5QiV9p6763FRHhHpNYBY10bpNapdp20YUUm3EFiS&#10;b4zzcpXY1rVW4Wtdex1EW0pWGtKXD+F6E7/ZagnFlsA1Rh0pwGsovNDUgbF86BlqDQHEjsw/UJ1R&#10;hB7rMFHYZaOQ5AirmE1fePPYgNNJC1vt3dl0//9g1cP+GwlTcRLyi8vLi1k+l8JCxxf/pIcgPuIg&#10;FtGl3vmChx8dj4eB27wjKfbuHtUPLyzeNmC3+oYI+0ZDxSxncWf2bOuI4yPIpv+CFR8Du4AJaKip&#10;ixayKYLR+YYO5xuKVBQ386sP7xe8onhpNs/zebrBDIrTZkc+fNLYiViUkjgACRz29z5EMlCcRuJZ&#10;Fu9M26YQtPavBg/GTiIf+Y7Mw7AZjmZssDqwDMIxU/yiuGiQfknRc55K6X/ugLQU7WfLVsTwnQo6&#10;FZtTAVbx1lIGKcbyNowh3Tky24aRR7Mt3rBdtUlSoq8jiyNPzkhSeMxzDOHz/zT15w2v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YyUd1AAAAAMBAAAPAAAAAAAAAAEAIAAAACIAAABkcnMvZG93&#10;bnJldi54bWxQSwECFAAUAAAACACHTuJAHuM/YwQCAAALBAAADgAAAAAAAAABACAAAAAjAQAAZHJz&#10;L2Uyb0RvYy54bWxQSwUGAAAAAAYABgBZAQAAmQUAAAAA&#10;">
              <v:fill on="f" focussize="0,0"/>
              <v:stroke on="f"/>
              <v:imagedata o:title=""/>
              <o:lock v:ext="edit" aspectratio="f"/>
              <v:textbox inset="0mm,0mm,0mm,0mm">
                <w:txbxContent>
                  <w:p w14:paraId="3CBBA7D0">
                    <w:pPr>
                      <w:pStyle w:val="71"/>
                    </w:pPr>
                    <w:r>
                      <w:fldChar w:fldCharType="begin"/>
                    </w:r>
                    <w:r>
                      <w:instrText xml:space="preserve"> PAGE   \* MERGEFORMAT \* MERGEFORMAT </w:instrText>
                    </w:r>
                    <w:r>
                      <w:fldChar w:fldCharType="separate"/>
                    </w:r>
                    <w:r>
                      <w:t>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35E7F">
    <w:pPr>
      <w:pStyle w:val="72"/>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201930" cy="147955"/>
              <wp:effectExtent l="0" t="0" r="0" b="0"/>
              <wp:wrapNone/>
              <wp:docPr id="1960357127" name="Text Box 7"/>
              <wp:cNvGraphicFramePr/>
              <a:graphic xmlns:a="http://schemas.openxmlformats.org/drawingml/2006/main">
                <a:graphicData uri="http://schemas.microsoft.com/office/word/2010/wordprocessingShape">
                  <wps:wsp>
                    <wps:cNvSpPr txBox="1">
                      <a:spLocks noChangeArrowheads="1"/>
                    </wps:cNvSpPr>
                    <wps:spPr bwMode="auto">
                      <a:xfrm>
                        <a:off x="0" y="0"/>
                        <a:ext cx="201930" cy="147955"/>
                      </a:xfrm>
                      <a:prstGeom prst="rect">
                        <a:avLst/>
                      </a:prstGeom>
                      <a:noFill/>
                      <a:ln>
                        <a:noFill/>
                      </a:ln>
                    </wps:spPr>
                    <wps:txbx>
                      <w:txbxContent>
                        <w:p w14:paraId="526019F4">
                          <w:pPr>
                            <w:pStyle w:val="72"/>
                          </w:pPr>
                          <w:r>
                            <w:fldChar w:fldCharType="begin"/>
                          </w:r>
                          <w:r>
                            <w:instrText xml:space="preserve">PAGE   \* MERGEFORMAT</w:instrText>
                          </w:r>
                          <w:r>
                            <w:fldChar w:fldCharType="separate"/>
                          </w:r>
                          <w:r>
                            <w:rPr>
                              <w:lang w:val="zh-CN"/>
                            </w:rPr>
                            <w:t>7</w:t>
                          </w:r>
                          <w:r>
                            <w:fldChar w:fldCharType="end"/>
                          </w:r>
                        </w:p>
                      </w:txbxContent>
                    </wps:txbx>
                    <wps:bodyPr rot="0" vert="horz" wrap="none" lIns="0" tIns="0" rIns="0" bIns="0" anchor="t" anchorCtr="0" upright="1">
                      <a:spAutoFit/>
                    </wps:bodyPr>
                  </wps:wsp>
                </a:graphicData>
              </a:graphic>
            </wp:anchor>
          </w:drawing>
        </mc:Choice>
        <mc:Fallback>
          <w:pict>
            <v:shape id="Text Box 7" o:spid="_x0000_s1026" o:spt="202" type="#_x0000_t202" style="position:absolute;left:0pt;margin-top:0pt;height:11.65pt;width:15.9pt;mso-position-horizontal:center;mso-position-horizontal-relative:margin;mso-wrap-style:none;z-index:251667456;mso-width-relative:page;mso-height-relative:page;" filled="f" stroked="f" coordsize="21600,21600" o:gfxdata="UEsDBAoAAAAAAIdO4kAAAAAAAAAAAAAAAAAEAAAAZHJzL1BLAwQUAAAACACHTuJAHc+kadEAAAAD&#10;AQAADwAAAGRycy9kb3ducmV2LnhtbE2PwWrDMBBE74X8g9hCb43sGNrgWM4hkEtvTUuhN8XaWKbS&#10;ykiKY/99t720l4Fllpk3zX72TkwY0xBIQbkuQCB1wQzUK3h/Oz5uQaSsyWgXCBUsmGDfru4aXZtw&#10;o1ecTrkXHEKp1gpszmMtZeosep3WYURi7xKi15nP2EsT9Y3DvZOboniSXg/EDVaPeLDYfZ2uXsHz&#10;/BFwTHjAz8vURTssW/eyKPVwXxY7EBnn/PcMP/iMDi0zncOVTBJOAQ/Jv8peVfKKs4JNVYFsG/mf&#10;vf0GUEsDBBQAAAAIAIdO4kAWVZ+3AQIAAAoEAAAOAAAAZHJzL2Uyb0RvYy54bWytU01v2zAMvQ/Y&#10;fxB0X+ykS7MYcYquQYYB3QfQ9gcoshwLs0SBUmJnv36UHGdde+lhF4OmyMf3nqjVTW9adlToNdiS&#10;Tyc5Z8pKqLTdl/zpcfvhE2c+CFuJFqwq+Ul5frN+/27VuULNoIG2UsgIxPqicyVvQnBFlnnZKCP8&#10;BJyydFgDGhHoF/dZhaIjdNNmszy/zjrAyiFI5T1lN8MhPyPiWwChrrVUG5AHo2wYUFG1IpAk32jn&#10;+TqxrWslw4+69iqwtuSkNKQvDaF4F7/ZeiWKPQrXaHmmIN5C4YUmI7SloReojQiCHVC/gjJaInio&#10;w0SCyQYhyRFSMc1fePPQCKeSFrLau4vp/v/Byu/Hn8h0RZuwvM6v5ovpbMGZFYZu/lH1gX2Gni2i&#10;TZ3zBVU/OKoPPaWpJUn27h7kL88s3DXC7tUtInSNEhXRnMbO7FnrgOMjyK77BhWNEYcACaiv0UQP&#10;yRVG6HRFp8sVRSqSkuTS8opOJB1NPy6W83maIIqx2aEPXxQYFoOSI21AAhfHex8iGVGMJXGWha1u&#10;27QFrf0nQYUxk8hHvgPz0O/6sxk7qE4kA2FYKnpSFDSAvznraKFKbun9cNZ+tWRE3L0xwDHYjYGw&#10;khpLHjgbwrsw7OjBod43hDtafUtmbXUSEl0dOJxZ0ookfed1jjv4/D9V/X3C6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dz6Rp0QAAAAMBAAAPAAAAAAAAAAEAIAAAACIAAABkcnMvZG93bnJldi54&#10;bWxQSwECFAAUAAAACACHTuJAFlWftwECAAAKBAAADgAAAAAAAAABACAAAAAgAQAAZHJzL2Uyb0Rv&#10;Yy54bWxQSwUGAAAAAAYABgBZAQAAkwUAAAAA&#10;">
              <v:fill on="f" focussize="0,0"/>
              <v:stroke on="f"/>
              <v:imagedata o:title=""/>
              <o:lock v:ext="edit" aspectratio="f"/>
              <v:textbox inset="0mm,0mm,0mm,0mm" style="mso-fit-shape-to-text:t;">
                <w:txbxContent>
                  <w:p w14:paraId="526019F4">
                    <w:pPr>
                      <w:pStyle w:val="72"/>
                    </w:pPr>
                    <w:r>
                      <w:fldChar w:fldCharType="begin"/>
                    </w:r>
                    <w:r>
                      <w:instrText xml:space="preserve">PAGE   \* MERGEFORMAT</w:instrText>
                    </w:r>
                    <w:r>
                      <w:fldChar w:fldCharType="separate"/>
                    </w:r>
                    <w:r>
                      <w:rPr>
                        <w:lang w:val="zh-CN"/>
                      </w:rPr>
                      <w:t>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F9782">
    <w:pPr>
      <w:pStyle w:val="71"/>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07584598" name="Text Box 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17AF7C39">
                          <w:pPr>
                            <w:pStyle w:val="71"/>
                          </w:pPr>
                          <w:r>
                            <w:fldChar w:fldCharType="begin"/>
                          </w:r>
                          <w:r>
                            <w:instrText xml:space="preserve"> PAGE   \* MERGEFORMAT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8"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cvrv0BAAALBAAADgAAAGRycy9lMm9Eb2MueG1srVPLbtswELwX6D8Q&#10;vNeSjaZRBctBGsNFgfQBJP0AiqIsoiKXWNKW3K/vkrKcNL3k0AuxXC5nZ4bL9c1oenZU6DXYii8X&#10;OWfKSmi03Vf85+PuXcGZD8I2ogerKn5Snt9s3r5ZD65UK+igbxQyArG+HFzFuxBcmWVedsoIvwCn&#10;LB22gEYE2uI+a1AMhG76bJXnH7IBsHEIUnlP2e10yM+I+BpAaFst1RbkwSgbJlRUvQgkyXfaeb5J&#10;bNtWyfC9bb0KrK84KQ1ppSYU13HNNmtR7lG4TsszBfEaCi80GaEtNb1AbUUQ7ID6HyijJYKHNiwk&#10;mGwSkhwhFcv8hTcPnXAqaSGrvbuY7v8frPx2/IFMNxW/zq+vivdXH+n5rTD08I9qDOwTjKyILg3O&#10;l1T84Kg8jJSm2UmKvbsH+cszC3edsHt1iwhDp0RDLJfxZvbs6oTjI0g9fIWG2ohDgAQ0tmiihWQK&#10;I3R6odPlhSIVGVsWq6LI6UjS2byJPUQ5X3fow2cFhsWg4kgjkODF8d6HqXQuid0s7HTfU16Uvf0r&#10;QZgxk+hHxhP3MNYjVUdNNTQnEoIwTRX9KQo6wN+cDTRRFbf0gTjrv1iyIg7fHOAc1HMgrKSLFQ+c&#10;TeFdmIb04FDvO8Kdzb4lu3Y6CXnicGZJM5KsOM9zHMLn+1T19Ic3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OqXm5zwAAAAUBAAAPAAAAAAAAAAEAIAAAACIAAABkcnMvZG93bnJldi54bWxQSwEC&#10;FAAUAAAACACHTuJAbgcvrv0BAAALBAAADgAAAAAAAAABACAAAAAeAQAAZHJzL2Uyb0RvYy54bWxQ&#10;SwUGAAAAAAYABgBZAQAAjQUAAAAA&#10;">
              <v:fill on="f" focussize="0,0"/>
              <v:stroke on="f"/>
              <v:imagedata o:title=""/>
              <o:lock v:ext="edit" aspectratio="f"/>
              <v:textbox inset="0mm,0mm,0mm,0mm" style="mso-fit-shape-to-text:t;">
                <w:txbxContent>
                  <w:p w14:paraId="17AF7C39">
                    <w:pPr>
                      <w:pStyle w:val="71"/>
                    </w:pPr>
                    <w:r>
                      <w:fldChar w:fldCharType="begin"/>
                    </w:r>
                    <w:r>
                      <w:instrText xml:space="preserve"> PAGE   \* MERGEFORMAT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4925A">
    <w:pPr>
      <w:pStyle w:val="25"/>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289BE">
    <w:pPr>
      <w:pStyle w:val="81"/>
      <w:rPr>
        <w:rFonts w:hint="eastAsia"/>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2F6B4">
    <w:pPr>
      <w:pStyle w:val="82"/>
      <w:rPr>
        <w:rFonts w:hint="eastAsia"/>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64410">
    <w:pPr>
      <w:pStyle w:val="81"/>
      <w:rPr>
        <w:rFonts w:hint="eastAsia"/>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CB41">
    <w:pPr>
      <w:pStyle w:val="25"/>
      <w:rPr>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EF210">
    <w:pPr>
      <w:pStyle w:val="25"/>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CC3FE">
    <w:pPr>
      <w:pStyle w:val="81"/>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8AF29">
    <w:pPr>
      <w:pStyle w:val="82"/>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078C">
    <w:pPr>
      <w:pStyle w:val="81"/>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CA254">
    <w:pPr>
      <w:pStyle w:val="82"/>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0DFE7">
    <w:pPr>
      <w:pStyle w:val="81"/>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7501">
    <w:pPr>
      <w:pStyle w:val="82"/>
      <w:rPr>
        <w:rFonts w:hint="eastAsia"/>
      </w:rPr>
    </w:pPr>
    <w:r>
      <w:fldChar w:fldCharType="begin"/>
    </w:r>
    <w:r>
      <w:instrText xml:space="preserve"> STYLEREF  标准文件_文件编号 \* MERGEFORMAT </w:instrText>
    </w:r>
    <w:r>
      <w:fldChar w:fldCharType="separate"/>
    </w:r>
    <w:r>
      <w:t>AQ XXXX—202X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B46EC">
    <w:pPr>
      <w:pStyle w:val="82"/>
      <w:rPr>
        <w:rFonts w:hint="eastAsia"/>
      </w:rPr>
    </w:pPr>
    <w:r>
      <w:fldChar w:fldCharType="begin"/>
    </w:r>
    <w:r>
      <w:instrText xml:space="preserve"> STYLEREF  标准文件_文件编号 \* MERGEFORMAT </w:instrText>
    </w:r>
    <w:r>
      <w:fldChar w:fldCharType="separate"/>
    </w:r>
    <w:r>
      <w:t>AQ XXXX—202X</w:t>
    </w:r>
    <w:r>
      <w:rPr>
        <w:lang w:eastAsia="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02837933"/>
    <w:multiLevelType w:val="multilevel"/>
    <w:tmpl w:val="02837933"/>
    <w:lvl w:ilvl="0" w:tentative="0">
      <w:start w:val="1"/>
      <w:numFmt w:val="decimal"/>
      <w:pStyle w:val="8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9"/>
      <w:suff w:val="nothing"/>
      <w:lvlText w:val="%1%2.%3　"/>
      <w:lvlJc w:val="left"/>
      <w:pPr>
        <w:ind w:left="0" w:firstLine="0"/>
      </w:pPr>
    </w:lvl>
    <w:lvl w:ilvl="3" w:tentative="0">
      <w:start w:val="1"/>
      <w:numFmt w:val="decimal"/>
      <w:pStyle w:val="138"/>
      <w:suff w:val="nothing"/>
      <w:lvlText w:val="%1%2.%3.%4　"/>
      <w:lvlJc w:val="left"/>
      <w:pPr>
        <w:ind w:left="0" w:firstLine="0"/>
      </w:pPr>
    </w:lvl>
    <w:lvl w:ilvl="4" w:tentative="0">
      <w:start w:val="1"/>
      <w:numFmt w:val="decimal"/>
      <w:pStyle w:val="173"/>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pStyle w:val="17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20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9"/>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eastAsia="黑体" w:hAnsiTheme="minorHAnsi"/>
        <w:b w:val="0"/>
        <w:i w:val="0"/>
        <w:sz w:val="21"/>
      </w:rPr>
    </w:lvl>
    <w:lvl w:ilvl="2" w:tentative="0">
      <w:start w:val="1"/>
      <w:numFmt w:val="decimal"/>
      <w:suff w:val="nothing"/>
      <w:lvlText w:val="%10.%2.%3 "/>
      <w:lvlJc w:val="left"/>
      <w:pPr>
        <w:ind w:left="0" w:firstLine="0"/>
      </w:pPr>
      <w:rPr>
        <w:rFonts w:hint="eastAsia" w:ascii="黑体" w:eastAsia="黑体" w:hAnsiTheme="minorHAnsi"/>
        <w:b w:val="0"/>
        <w:i w:val="0"/>
        <w:sz w:val="21"/>
      </w:rPr>
    </w:lvl>
    <w:lvl w:ilvl="3" w:tentative="0">
      <w:start w:val="1"/>
      <w:numFmt w:val="decimal"/>
      <w:suff w:val="nothing"/>
      <w:lvlText w:val="%10.%2.%3.%4 "/>
      <w:lvlJc w:val="left"/>
      <w:pPr>
        <w:ind w:left="0" w:firstLine="0"/>
      </w:pPr>
      <w:rPr>
        <w:rFonts w:hint="eastAsia" w:ascii="黑体" w:eastAsia="黑体" w:hAnsiTheme="minorHAnsi"/>
        <w:b w:val="0"/>
        <w:i w:val="0"/>
        <w:sz w:val="21"/>
      </w:rPr>
    </w:lvl>
    <w:lvl w:ilvl="4" w:tentative="0">
      <w:start w:val="1"/>
      <w:numFmt w:val="decimal"/>
      <w:pStyle w:val="223"/>
      <w:suff w:val="nothing"/>
      <w:lvlText w:val="%10.%2.%3.%4.%5 "/>
      <w:lvlJc w:val="left"/>
      <w:pPr>
        <w:ind w:left="0" w:firstLine="0"/>
      </w:pPr>
      <w:rPr>
        <w:rFonts w:hint="eastAsia" w:ascii="黑体" w:eastAsia="黑体" w:hAnsiTheme="minorHAnsi"/>
        <w:b w:val="0"/>
        <w:i w:val="0"/>
        <w:sz w:val="21"/>
      </w:rPr>
    </w:lvl>
    <w:lvl w:ilvl="5" w:tentative="0">
      <w:start w:val="1"/>
      <w:numFmt w:val="decimal"/>
      <w:pStyle w:val="22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20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8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8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3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10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1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5E877C6"/>
    <w:multiLevelType w:val="multilevel"/>
    <w:tmpl w:val="25E877C6"/>
    <w:lvl w:ilvl="0" w:tentative="0">
      <w:start w:val="1"/>
      <w:numFmt w:val="lowerLetter"/>
      <w:pStyle w:val="337"/>
      <w:suff w:val="nothing"/>
      <w:lvlText w:val="%1)　"/>
      <w:lvlJc w:val="left"/>
      <w:pPr>
        <w:ind w:left="852" w:firstLine="0"/>
      </w:pPr>
      <w:rPr>
        <w:rFonts w:hint="default"/>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2C5917C3"/>
    <w:multiLevelType w:val="multilevel"/>
    <w:tmpl w:val="2C5917C3"/>
    <w:lvl w:ilvl="0" w:tentative="0">
      <w:start w:val="1"/>
      <w:numFmt w:val="none"/>
      <w:pStyle w:val="15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07"/>
      <w:lvlText w:val=""/>
      <w:lvlJc w:val="left"/>
      <w:pPr>
        <w:ind w:left="851" w:hanging="431"/>
      </w:pPr>
      <w:rPr>
        <w:rFonts w:hint="default" w:ascii="Symbol" w:hAnsi="Symbol"/>
        <w:sz w:val="21"/>
      </w:rPr>
    </w:lvl>
    <w:lvl w:ilvl="2" w:tentative="0">
      <w:start w:val="1"/>
      <w:numFmt w:val="bullet"/>
      <w:pStyle w:val="19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2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94"/>
      <w:lvlText w:val="%1)"/>
      <w:lvlJc w:val="left"/>
      <w:pPr>
        <w:tabs>
          <w:tab w:val="left" w:pos="851"/>
        </w:tabs>
        <w:ind w:left="851" w:hanging="426"/>
      </w:pPr>
      <w:rPr>
        <w:rFonts w:hint="default" w:ascii="宋体" w:hAnsi="Times New Roman" w:eastAsia="宋体"/>
        <w:b w:val="0"/>
        <w:bCs/>
        <w:sz w:val="21"/>
      </w:rPr>
    </w:lvl>
    <w:lvl w:ilvl="1" w:tentative="0">
      <w:start w:val="1"/>
      <w:numFmt w:val="decimal"/>
      <w:pStyle w:val="129"/>
      <w:lvlText w:val="%2)"/>
      <w:lvlJc w:val="left"/>
      <w:pPr>
        <w:tabs>
          <w:tab w:val="left" w:pos="1276"/>
        </w:tabs>
        <w:ind w:left="1276" w:hanging="425"/>
      </w:pPr>
      <w:rPr>
        <w:rFonts w:hint="eastAsia" w:ascii="宋体" w:hAnsi="Times New Roman" w:eastAsia="宋体"/>
        <w:sz w:val="21"/>
      </w:rPr>
    </w:lvl>
    <w:lvl w:ilvl="2" w:tentative="0">
      <w:start w:val="1"/>
      <w:numFmt w:val="decimal"/>
      <w:pStyle w:val="13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5E16FCB"/>
    <w:multiLevelType w:val="singleLevel"/>
    <w:tmpl w:val="45E16FCB"/>
    <w:lvl w:ilvl="0" w:tentative="0">
      <w:start w:val="1"/>
      <w:numFmt w:val="decimal"/>
      <w:suff w:val="nothing"/>
      <w:lvlText w:val="（%1）"/>
      <w:lvlJc w:val="left"/>
      <w:pPr>
        <w:tabs>
          <w:tab w:val="left" w:pos="709"/>
        </w:tabs>
      </w:pPr>
      <w:rPr>
        <w:rFonts w:hint="default" w:ascii="宋体" w:hAnsi="宋体" w:eastAsia="宋体" w:cs="宋体"/>
      </w:rPr>
    </w:lvl>
  </w:abstractNum>
  <w:abstractNum w:abstractNumId="16">
    <w:nsid w:val="48802D1C"/>
    <w:multiLevelType w:val="multilevel"/>
    <w:tmpl w:val="48802D1C"/>
    <w:lvl w:ilvl="0" w:tentative="0">
      <w:start w:val="1"/>
      <w:numFmt w:val="upperLetter"/>
      <w:pStyle w:val="218"/>
      <w:lvlText w:val="%1"/>
      <w:lvlJc w:val="left"/>
      <w:pPr>
        <w:ind w:left="420" w:hanging="420"/>
      </w:pPr>
      <w:rPr>
        <w:rFonts w:hint="eastAsia"/>
      </w:rPr>
    </w:lvl>
    <w:lvl w:ilvl="1" w:tentative="0">
      <w:start w:val="1"/>
      <w:numFmt w:val="decimal"/>
      <w:pStyle w:val="10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96E4D7B"/>
    <w:multiLevelType w:val="multilevel"/>
    <w:tmpl w:val="496E4D7B"/>
    <w:lvl w:ilvl="0" w:tentative="0">
      <w:start w:val="1"/>
      <w:numFmt w:val="none"/>
      <w:pStyle w:val="325"/>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A9C0CD8"/>
    <w:multiLevelType w:val="multilevel"/>
    <w:tmpl w:val="4A9C0CD8"/>
    <w:lvl w:ilvl="0" w:tentative="0">
      <w:start w:val="1"/>
      <w:numFmt w:val="decimal"/>
      <w:lvlText w:val="%1"/>
      <w:lvlJc w:val="left"/>
      <w:pPr>
        <w:tabs>
          <w:tab w:val="left" w:pos="420"/>
        </w:tabs>
        <w:ind w:left="0" w:firstLine="0"/>
      </w:pPr>
      <w:rPr>
        <w:rFonts w:hint="default" w:ascii="黑体" w:hAnsi="黑体" w:eastAsia="黑体"/>
        <w:b w:val="0"/>
        <w:bCs w:val="0"/>
        <w:i w:val="0"/>
        <w:caps w:val="0"/>
        <w:strike w:val="0"/>
        <w:dstrike w:val="0"/>
        <w:snapToGrid w:val="0"/>
        <w:vanish w:val="0"/>
        <w:color w:val="000000"/>
        <w:kern w:val="0"/>
        <w:sz w:val="32"/>
        <w:szCs w:val="32"/>
        <w:u w:val="none"/>
        <w:vertAlign w:val="baseline"/>
      </w:rPr>
    </w:lvl>
    <w:lvl w:ilvl="1" w:tentative="0">
      <w:start w:val="1"/>
      <w:numFmt w:val="decimal"/>
      <w:suff w:val="space"/>
      <w:lvlText w:val="%1.%2"/>
      <w:lvlJc w:val="left"/>
      <w:pPr>
        <w:ind w:left="0" w:firstLine="0"/>
      </w:pPr>
      <w:rPr>
        <w:rFonts w:hint="default" w:ascii="黑体" w:hAnsi="黑体" w:eastAsia="黑体"/>
        <w:b w:val="0"/>
        <w:bCs w:val="0"/>
        <w:i w:val="0"/>
        <w:sz w:val="28"/>
        <w:szCs w:val="28"/>
      </w:rPr>
    </w:lvl>
    <w:lvl w:ilvl="2" w:tentative="0">
      <w:start w:val="1"/>
      <w:numFmt w:val="decimal"/>
      <w:suff w:val="space"/>
      <w:lvlText w:val="%1.%2.%3"/>
      <w:lvlJc w:val="left"/>
      <w:pPr>
        <w:ind w:left="0" w:firstLine="0"/>
      </w:pPr>
      <w:rPr>
        <w:rFonts w:hint="default" w:ascii="黑体" w:hAnsi="黑体" w:eastAsia="黑体" w:cs="Times New Roman"/>
        <w:b w:val="0"/>
        <w:bCs w:val="0"/>
        <w:i w:val="0"/>
        <w:iCs w:val="0"/>
        <w:caps w:val="0"/>
        <w:smallCaps w:val="0"/>
        <w:strike w:val="0"/>
        <w:dstrike w:val="0"/>
        <w:vanish w:val="0"/>
        <w:color w:val="000000"/>
        <w:spacing w:val="0"/>
        <w:position w:val="0"/>
        <w:sz w:val="28"/>
        <w:szCs w:val="28"/>
        <w:u w:val="none"/>
        <w:vertAlign w:val="baseline"/>
        <w14:shadow w14:blurRad="0" w14:dist="0" w14:dir="0" w14:sx="0" w14:sy="0" w14:kx="0" w14:ky="0" w14:algn="none">
          <w14:srgbClr w14:val="000000"/>
        </w14:shadow>
      </w:rPr>
    </w:lvl>
    <w:lvl w:ilvl="3" w:tentative="0">
      <w:start w:val="1"/>
      <w:numFmt w:val="decimal"/>
      <w:suff w:val="space"/>
      <w:lvlText w:val="%1.%2.%3.%4"/>
      <w:lvlJc w:val="left"/>
      <w:pPr>
        <w:ind w:left="0" w:firstLine="0"/>
      </w:pPr>
      <w:rPr>
        <w:rFonts w:hint="default" w:ascii="黑体" w:hAnsi="黑体" w:eastAsia="黑体" w:cs="Times New Roman"/>
        <w:b w:val="0"/>
        <w:bCs w:val="0"/>
        <w:i w:val="0"/>
        <w:iCs w:val="0"/>
        <w:caps w:val="0"/>
        <w:smallCaps w:val="0"/>
        <w:strike w:val="0"/>
        <w:dstrike w:val="0"/>
        <w:vanish w:val="0"/>
        <w:color w:val="000000"/>
        <w:spacing w:val="0"/>
        <w:position w:val="0"/>
        <w:sz w:val="28"/>
        <w:szCs w:val="28"/>
        <w:u w:val="none"/>
        <w:vertAlign w:val="baseline"/>
        <w14:shadow w14:blurRad="0" w14:dist="0" w14:dir="0" w14:sx="0" w14:sy="0" w14:kx="0" w14:ky="0" w14:algn="none">
          <w14:srgbClr w14:val="000000"/>
        </w14:shadow>
      </w:rPr>
    </w:lvl>
    <w:lvl w:ilvl="4" w:tentative="0">
      <w:start w:val="1"/>
      <w:numFmt w:val="decimal"/>
      <w:suff w:val="space"/>
      <w:lvlText w:val="%1.%2.%3.%4.%5"/>
      <w:lvlJc w:val="left"/>
      <w:pPr>
        <w:ind w:left="0" w:firstLine="0"/>
      </w:pPr>
      <w:rPr>
        <w:rFonts w:hint="default" w:ascii="黑体" w:hAnsi="黑体" w:eastAsia="黑体"/>
        <w:b w:val="0"/>
        <w:i w:val="0"/>
        <w:caps w:val="0"/>
        <w:strike w:val="0"/>
        <w:dstrike w:val="0"/>
        <w:snapToGrid w:val="0"/>
        <w:vanish w:val="0"/>
        <w:color w:val="000000"/>
        <w:kern w:val="0"/>
        <w:sz w:val="28"/>
        <w:szCs w:val="28"/>
        <w:u w:val="none"/>
        <w:vertAlign w:val="baseline"/>
      </w:rPr>
    </w:lvl>
    <w:lvl w:ilvl="5" w:tentative="0">
      <w:start w:val="1"/>
      <w:numFmt w:val="decimal"/>
      <w:lvlRestart w:val="2"/>
      <w:suff w:val="space"/>
      <w:lvlText w:val="表%1.%2-%6"/>
      <w:lvlJc w:val="left"/>
      <w:pPr>
        <w:ind w:left="0" w:firstLine="0"/>
      </w:pPr>
      <w:rPr>
        <w:rFonts w:hint="default" w:ascii="黑体" w:hAnsi="黑体" w:eastAsia="黑体"/>
        <w:b w:val="0"/>
        <w:i w:val="0"/>
        <w:sz w:val="21"/>
      </w:rPr>
    </w:lvl>
    <w:lvl w:ilvl="6" w:tentative="0">
      <w:start w:val="1"/>
      <w:numFmt w:val="decimal"/>
      <w:lvlRestart w:val="3"/>
      <w:pStyle w:val="324"/>
      <w:suff w:val="space"/>
      <w:lvlText w:val="表%1.%2.%3-%7"/>
      <w:lvlJc w:val="left"/>
      <w:pPr>
        <w:ind w:left="0" w:firstLine="0"/>
      </w:pPr>
      <w:rPr>
        <w:rFonts w:hint="default" w:ascii="黑体" w:hAnsi="黑体" w:eastAsia="黑体"/>
        <w:b w:val="0"/>
        <w:i w:val="0"/>
        <w:sz w:val="21"/>
        <w:lang w:val="en-US"/>
      </w:rPr>
    </w:lvl>
    <w:lvl w:ilvl="7" w:tentative="0">
      <w:start w:val="1"/>
      <w:numFmt w:val="decimal"/>
      <w:lvlRestart w:val="2"/>
      <w:suff w:val="space"/>
      <w:lvlText w:val="图%1.%2-%8"/>
      <w:lvlJc w:val="left"/>
      <w:pPr>
        <w:ind w:left="0" w:firstLine="0"/>
      </w:pPr>
      <w:rPr>
        <w:rFonts w:hint="default" w:ascii="Times New Roman" w:hAnsi="Times New Roman" w:eastAsia="宋体"/>
        <w:b/>
        <w:i w:val="0"/>
        <w:sz w:val="21"/>
      </w:rPr>
    </w:lvl>
    <w:lvl w:ilvl="8" w:tentative="0">
      <w:start w:val="1"/>
      <w:numFmt w:val="decimal"/>
      <w:lvlRestart w:val="3"/>
      <w:suff w:val="space"/>
      <w:lvlText w:val="图%1.%2.%3-%9"/>
      <w:lvlJc w:val="left"/>
      <w:pPr>
        <w:ind w:left="0" w:firstLine="0"/>
      </w:pPr>
      <w:rPr>
        <w:rFonts w:hint="default" w:ascii="黑体" w:hAnsi="黑体" w:eastAsia="黑体" w:cs="Times New Roman"/>
        <w:b w:val="0"/>
        <w:bCs w:val="0"/>
        <w:i w:val="0"/>
        <w:iCs w:val="0"/>
        <w:caps w:val="0"/>
        <w:smallCaps w:val="0"/>
        <w:strike w:val="0"/>
        <w:dstrike w:val="0"/>
        <w:vanish w:val="0"/>
        <w:color w:val="000000"/>
        <w:spacing w:val="0"/>
        <w:position w:val="0"/>
        <w:sz w:val="21"/>
        <w:u w:val="none"/>
        <w:vertAlign w:val="baseline"/>
        <w14:shadow w14:blurRad="0" w14:dist="0" w14:dir="0" w14:sx="0" w14:sy="0" w14:kx="0" w14:ky="0" w14:algn="none">
          <w14:srgbClr w14:val="000000"/>
        </w14:shadow>
      </w:rPr>
    </w:lvl>
  </w:abstractNum>
  <w:abstractNum w:abstractNumId="19">
    <w:nsid w:val="4B733A5F"/>
    <w:multiLevelType w:val="multilevel"/>
    <w:tmpl w:val="4B733A5F"/>
    <w:lvl w:ilvl="0" w:tentative="0">
      <w:start w:val="1"/>
      <w:numFmt w:val="decimal"/>
      <w:pStyle w:val="20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3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11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3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19"/>
      <w:suff w:val="space"/>
      <w:lvlText w:val="%1"/>
      <w:lvlJc w:val="left"/>
      <w:pPr>
        <w:ind w:left="425" w:hanging="425"/>
      </w:pPr>
      <w:rPr>
        <w:rFonts w:hint="eastAsia"/>
      </w:rPr>
    </w:lvl>
    <w:lvl w:ilvl="1" w:tentative="0">
      <w:start w:val="1"/>
      <w:numFmt w:val="decimal"/>
      <w:pStyle w:val="97"/>
      <w:suff w:val="space"/>
      <w:lvlText w:val="表B.%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3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44622F9"/>
    <w:multiLevelType w:val="multilevel"/>
    <w:tmpl w:val="644622F9"/>
    <w:lvl w:ilvl="0" w:tentative="0">
      <w:start w:val="1"/>
      <w:numFmt w:val="upperRoman"/>
      <w:pStyle w:val="18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6">
    <w:nsid w:val="646260FA"/>
    <w:multiLevelType w:val="multilevel"/>
    <w:tmpl w:val="646260FA"/>
    <w:lvl w:ilvl="0" w:tentative="0">
      <w:start w:val="1"/>
      <w:numFmt w:val="decimal"/>
      <w:pStyle w:val="13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4A26C9"/>
    <w:multiLevelType w:val="multilevel"/>
    <w:tmpl w:val="654A26C9"/>
    <w:lvl w:ilvl="0" w:tentative="0">
      <w:start w:val="1"/>
      <w:numFmt w:val="none"/>
      <w:pStyle w:val="20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8">
    <w:nsid w:val="657D3FBC"/>
    <w:multiLevelType w:val="multilevel"/>
    <w:tmpl w:val="657D3FBC"/>
    <w:lvl w:ilvl="0" w:tentative="0">
      <w:start w:val="1"/>
      <w:numFmt w:val="upperLetter"/>
      <w:pStyle w:val="96"/>
      <w:suff w:val="nothing"/>
      <w:lvlText w:val="附录%1"/>
      <w:lvlJc w:val="left"/>
      <w:pPr>
        <w:ind w:left="3402" w:firstLine="0"/>
      </w:pPr>
      <w:rPr>
        <w:rFonts w:hint="eastAsia"/>
        <w:spacing w:val="100"/>
      </w:rPr>
    </w:lvl>
    <w:lvl w:ilvl="1" w:tentative="0">
      <w:start w:val="1"/>
      <w:numFmt w:val="decimal"/>
      <w:pStyle w:val="98"/>
      <w:suff w:val="nothing"/>
      <w:lvlText w:val="%1.%2　"/>
      <w:lvlJc w:val="left"/>
      <w:pPr>
        <w:ind w:left="0" w:firstLine="0"/>
      </w:pPr>
      <w:rPr>
        <w:rFonts w:hint="eastAsia" w:ascii="黑体" w:eastAsia="黑体"/>
        <w:b w:val="0"/>
        <w:i w:val="0"/>
        <w:sz w:val="21"/>
      </w:rPr>
    </w:lvl>
    <w:lvl w:ilvl="2" w:tentative="0">
      <w:start w:val="1"/>
      <w:numFmt w:val="decimal"/>
      <w:pStyle w:val="99"/>
      <w:suff w:val="nothing"/>
      <w:lvlText w:val="%1.%2.%3　"/>
      <w:lvlJc w:val="left"/>
      <w:pPr>
        <w:ind w:left="0" w:firstLine="0"/>
      </w:pPr>
      <w:rPr>
        <w:rFonts w:hint="eastAsia" w:ascii="黑体" w:eastAsia="黑体"/>
        <w:b w:val="0"/>
        <w:i w:val="0"/>
        <w:sz w:val="21"/>
      </w:rPr>
    </w:lvl>
    <w:lvl w:ilvl="3" w:tentative="0">
      <w:start w:val="1"/>
      <w:numFmt w:val="decimal"/>
      <w:pStyle w:val="101"/>
      <w:suff w:val="nothing"/>
      <w:lvlText w:val="%1.%2.%3.%4　"/>
      <w:lvlJc w:val="left"/>
      <w:pPr>
        <w:ind w:left="0" w:firstLine="0"/>
      </w:pPr>
      <w:rPr>
        <w:rFonts w:hint="eastAsia" w:ascii="黑体" w:eastAsia="黑体"/>
        <w:b w:val="0"/>
        <w:i w:val="0"/>
        <w:sz w:val="21"/>
      </w:rPr>
    </w:lvl>
    <w:lvl w:ilvl="4" w:tentative="0">
      <w:start w:val="1"/>
      <w:numFmt w:val="decimal"/>
      <w:pStyle w:val="102"/>
      <w:suff w:val="nothing"/>
      <w:lvlText w:val="%1.%2.%3.%4.%5　"/>
      <w:lvlJc w:val="left"/>
      <w:pPr>
        <w:ind w:left="0" w:firstLine="0"/>
      </w:pPr>
      <w:rPr>
        <w:rFonts w:hint="eastAsia" w:ascii="黑体" w:eastAsia="黑体"/>
        <w:b w:val="0"/>
        <w:i w:val="0"/>
        <w:sz w:val="21"/>
      </w:rPr>
    </w:lvl>
    <w:lvl w:ilvl="5" w:tentative="0">
      <w:start w:val="1"/>
      <w:numFmt w:val="decimal"/>
      <w:pStyle w:val="10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71F11B1"/>
    <w:multiLevelType w:val="singleLevel"/>
    <w:tmpl w:val="671F11B1"/>
    <w:lvl w:ilvl="0" w:tentative="0">
      <w:start w:val="4"/>
      <w:numFmt w:val="chineseCounting"/>
      <w:suff w:val="nothing"/>
      <w:lvlText w:val="%1、"/>
      <w:lvlJc w:val="left"/>
      <w:rPr>
        <w:rFonts w:hint="eastAsia"/>
      </w:rPr>
    </w:lvl>
  </w:abstractNum>
  <w:abstractNum w:abstractNumId="30">
    <w:nsid w:val="69506ABF"/>
    <w:multiLevelType w:val="multilevel"/>
    <w:tmpl w:val="69506ABF"/>
    <w:lvl w:ilvl="0" w:tentative="0">
      <w:start w:val="1"/>
      <w:numFmt w:val="bullet"/>
      <w:pStyle w:val="20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1">
    <w:nsid w:val="6CA41985"/>
    <w:multiLevelType w:val="multilevel"/>
    <w:tmpl w:val="6CA41985"/>
    <w:lvl w:ilvl="0" w:tentative="0">
      <w:start w:val="1"/>
      <w:numFmt w:val="decimal"/>
      <w:pStyle w:val="11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6CE42AC1"/>
    <w:multiLevelType w:val="multilevel"/>
    <w:tmpl w:val="6CE42AC1"/>
    <w:lvl w:ilvl="0" w:tentative="0">
      <w:start w:val="1"/>
      <w:numFmt w:val="lowerLetter"/>
      <w:pStyle w:val="19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CEA2025"/>
    <w:multiLevelType w:val="multilevel"/>
    <w:tmpl w:val="6CEA2025"/>
    <w:lvl w:ilvl="0" w:tentative="0">
      <w:start w:val="1"/>
      <w:numFmt w:val="none"/>
      <w:pStyle w:val="172"/>
      <w:suff w:val="nothing"/>
      <w:lvlText w:val="%1"/>
      <w:lvlJc w:val="left"/>
      <w:pPr>
        <w:ind w:left="0" w:firstLine="0"/>
      </w:pPr>
      <w:rPr>
        <w:rFonts w:hint="eastAsia"/>
      </w:rPr>
    </w:lvl>
    <w:lvl w:ilvl="1" w:tentative="0">
      <w:start w:val="1"/>
      <w:numFmt w:val="decimal"/>
      <w:pStyle w:val="124"/>
      <w:suff w:val="nothing"/>
      <w:lvlText w:val="%1%2　"/>
      <w:lvlJc w:val="left"/>
      <w:pPr>
        <w:ind w:left="0" w:firstLine="0"/>
      </w:pPr>
      <w:rPr>
        <w:rFonts w:hint="eastAsia" w:ascii="黑体" w:eastAsia="黑体"/>
        <w:b w:val="0"/>
        <w:i w:val="0"/>
        <w:strike w:val="0"/>
        <w:sz w:val="21"/>
      </w:rPr>
    </w:lvl>
    <w:lvl w:ilvl="2" w:tentative="0">
      <w:start w:val="1"/>
      <w:numFmt w:val="decimal"/>
      <w:pStyle w:val="12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pStyle w:val="118"/>
      <w:suff w:val="nothing"/>
      <w:lvlText w:val="%1%2.%3.%4.%5.%6　"/>
      <w:lvlJc w:val="left"/>
      <w:pPr>
        <w:ind w:left="0" w:firstLine="0"/>
      </w:pPr>
      <w:rPr>
        <w:rFonts w:hint="eastAsia" w:ascii="黑体" w:eastAsia="黑体"/>
        <w:b w:val="0"/>
        <w:i w:val="0"/>
        <w:sz w:val="21"/>
      </w:rPr>
    </w:lvl>
    <w:lvl w:ilvl="6" w:tentative="0">
      <w:start w:val="1"/>
      <w:numFmt w:val="decimal"/>
      <w:pStyle w:val="12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4">
    <w:nsid w:val="6DBF04F4"/>
    <w:multiLevelType w:val="multilevel"/>
    <w:tmpl w:val="6DBF04F4"/>
    <w:lvl w:ilvl="0" w:tentative="0">
      <w:start w:val="1"/>
      <w:numFmt w:val="none"/>
      <w:pStyle w:val="19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5">
    <w:nsid w:val="6DF35F19"/>
    <w:multiLevelType w:val="multilevel"/>
    <w:tmpl w:val="6DF35F19"/>
    <w:lvl w:ilvl="0" w:tentative="0">
      <w:start w:val="1"/>
      <w:numFmt w:val="decimal"/>
      <w:pStyle w:val="13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6">
    <w:nsid w:val="76933334"/>
    <w:multiLevelType w:val="multilevel"/>
    <w:tmpl w:val="76933334"/>
    <w:lvl w:ilvl="0" w:tentative="0">
      <w:start w:val="1"/>
      <w:numFmt w:val="none"/>
      <w:pStyle w:val="15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3"/>
  </w:num>
  <w:num w:numId="3">
    <w:abstractNumId w:val="6"/>
  </w:num>
  <w:num w:numId="4">
    <w:abstractNumId w:val="28"/>
  </w:num>
  <w:num w:numId="5">
    <w:abstractNumId w:val="23"/>
  </w:num>
  <w:num w:numId="6">
    <w:abstractNumId w:val="16"/>
  </w:num>
  <w:num w:numId="7">
    <w:abstractNumId w:val="9"/>
  </w:num>
  <w:num w:numId="8">
    <w:abstractNumId w:val="4"/>
  </w:num>
  <w:num w:numId="9">
    <w:abstractNumId w:val="10"/>
  </w:num>
  <w:num w:numId="10">
    <w:abstractNumId w:val="21"/>
  </w:num>
  <w:num w:numId="11">
    <w:abstractNumId w:val="31"/>
  </w:num>
  <w:num w:numId="12">
    <w:abstractNumId w:val="13"/>
  </w:num>
  <w:num w:numId="13">
    <w:abstractNumId w:val="14"/>
  </w:num>
  <w:num w:numId="14">
    <w:abstractNumId w:val="8"/>
  </w:num>
  <w:num w:numId="15">
    <w:abstractNumId w:val="24"/>
  </w:num>
  <w:num w:numId="16">
    <w:abstractNumId w:val="26"/>
  </w:num>
  <w:num w:numId="17">
    <w:abstractNumId w:val="22"/>
  </w:num>
  <w:num w:numId="18">
    <w:abstractNumId w:val="35"/>
  </w:num>
  <w:num w:numId="19">
    <w:abstractNumId w:val="20"/>
  </w:num>
  <w:num w:numId="20">
    <w:abstractNumId w:val="2"/>
  </w:num>
  <w:num w:numId="21">
    <w:abstractNumId w:val="12"/>
  </w:num>
  <w:num w:numId="22">
    <w:abstractNumId w:val="36"/>
  </w:num>
  <w:num w:numId="23">
    <w:abstractNumId w:val="25"/>
  </w:num>
  <w:num w:numId="24">
    <w:abstractNumId w:val="7"/>
  </w:num>
  <w:num w:numId="25">
    <w:abstractNumId w:val="32"/>
  </w:num>
  <w:num w:numId="26">
    <w:abstractNumId w:val="34"/>
  </w:num>
  <w:num w:numId="27">
    <w:abstractNumId w:val="3"/>
  </w:num>
  <w:num w:numId="28">
    <w:abstractNumId w:val="5"/>
  </w:num>
  <w:num w:numId="29">
    <w:abstractNumId w:val="19"/>
  </w:num>
  <w:num w:numId="30">
    <w:abstractNumId w:val="30"/>
  </w:num>
  <w:num w:numId="31">
    <w:abstractNumId w:val="27"/>
  </w:num>
  <w:num w:numId="32">
    <w:abstractNumId w:val="18"/>
  </w:num>
  <w:num w:numId="33">
    <w:abstractNumId w:val="17"/>
  </w:num>
  <w:num w:numId="34">
    <w:abstractNumId w:val="11"/>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0"/>
  </w:num>
  <w:num w:numId="81">
    <w:abstractNumId w:val="15"/>
  </w:num>
  <w:num w:numId="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dit="forms" w:enforcement="0"/>
  <w:defaultTabStop w:val="420"/>
  <w:evenAndOddHeaders w:val="1"/>
  <w:drawingGridHorizontalSpacing w:val="105"/>
  <w:drawingGridVerticalSpacing w:val="156"/>
  <w:doNotShadeFormData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D9"/>
    <w:rsid w:val="0000040A"/>
    <w:rsid w:val="00000A94"/>
    <w:rsid w:val="00001972"/>
    <w:rsid w:val="00001D9A"/>
    <w:rsid w:val="00007B3A"/>
    <w:rsid w:val="000107E0"/>
    <w:rsid w:val="00011FDE"/>
    <w:rsid w:val="00012FFD"/>
    <w:rsid w:val="00014162"/>
    <w:rsid w:val="00014340"/>
    <w:rsid w:val="00016A9C"/>
    <w:rsid w:val="000216D3"/>
    <w:rsid w:val="00022184"/>
    <w:rsid w:val="00022762"/>
    <w:rsid w:val="000238E0"/>
    <w:rsid w:val="000249DB"/>
    <w:rsid w:val="0002561E"/>
    <w:rsid w:val="0002595E"/>
    <w:rsid w:val="000303C3"/>
    <w:rsid w:val="000331D3"/>
    <w:rsid w:val="000346A5"/>
    <w:rsid w:val="000359C3"/>
    <w:rsid w:val="00035A7D"/>
    <w:rsid w:val="000410E8"/>
    <w:rsid w:val="0004249A"/>
    <w:rsid w:val="00043282"/>
    <w:rsid w:val="00044286"/>
    <w:rsid w:val="0004571E"/>
    <w:rsid w:val="00047F28"/>
    <w:rsid w:val="00047F8C"/>
    <w:rsid w:val="000503AA"/>
    <w:rsid w:val="000506A1"/>
    <w:rsid w:val="000515DD"/>
    <w:rsid w:val="0005211B"/>
    <w:rsid w:val="0005265A"/>
    <w:rsid w:val="000539DD"/>
    <w:rsid w:val="00053BD3"/>
    <w:rsid w:val="000556ED"/>
    <w:rsid w:val="00055FE2"/>
    <w:rsid w:val="0005616F"/>
    <w:rsid w:val="0005668A"/>
    <w:rsid w:val="00057734"/>
    <w:rsid w:val="00060C2E"/>
    <w:rsid w:val="00061033"/>
    <w:rsid w:val="000619E9"/>
    <w:rsid w:val="000622D4"/>
    <w:rsid w:val="0006357D"/>
    <w:rsid w:val="00067F1E"/>
    <w:rsid w:val="00070F93"/>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533A"/>
    <w:rsid w:val="00096D63"/>
    <w:rsid w:val="000A0B60"/>
    <w:rsid w:val="000A0EB8"/>
    <w:rsid w:val="000A19FC"/>
    <w:rsid w:val="000A296B"/>
    <w:rsid w:val="000A6317"/>
    <w:rsid w:val="000A7311"/>
    <w:rsid w:val="000A749C"/>
    <w:rsid w:val="000A7F9E"/>
    <w:rsid w:val="000B060F"/>
    <w:rsid w:val="000B1592"/>
    <w:rsid w:val="000B1FF2"/>
    <w:rsid w:val="000B3CDA"/>
    <w:rsid w:val="000B6A0B"/>
    <w:rsid w:val="000C0F6C"/>
    <w:rsid w:val="000C11DB"/>
    <w:rsid w:val="000C1492"/>
    <w:rsid w:val="000C2FBD"/>
    <w:rsid w:val="000C3711"/>
    <w:rsid w:val="000C4B41"/>
    <w:rsid w:val="000C57D6"/>
    <w:rsid w:val="000C7666"/>
    <w:rsid w:val="000D0A9C"/>
    <w:rsid w:val="000D1795"/>
    <w:rsid w:val="000D2F41"/>
    <w:rsid w:val="000D329A"/>
    <w:rsid w:val="000D4B9C"/>
    <w:rsid w:val="000D4EB6"/>
    <w:rsid w:val="000D5DF6"/>
    <w:rsid w:val="000D753B"/>
    <w:rsid w:val="000E276D"/>
    <w:rsid w:val="000E4C9E"/>
    <w:rsid w:val="000E5606"/>
    <w:rsid w:val="000E6FD7"/>
    <w:rsid w:val="000E7F24"/>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57F92"/>
    <w:rsid w:val="001642FA"/>
    <w:rsid w:val="001649EB"/>
    <w:rsid w:val="00164BAF"/>
    <w:rsid w:val="00164FA8"/>
    <w:rsid w:val="00165065"/>
    <w:rsid w:val="00165434"/>
    <w:rsid w:val="0016580B"/>
    <w:rsid w:val="00165F49"/>
    <w:rsid w:val="00166B88"/>
    <w:rsid w:val="0016770A"/>
    <w:rsid w:val="00167805"/>
    <w:rsid w:val="00170804"/>
    <w:rsid w:val="001708E9"/>
    <w:rsid w:val="0017340B"/>
    <w:rsid w:val="00173FB1"/>
    <w:rsid w:val="00176DFD"/>
    <w:rsid w:val="001852C9"/>
    <w:rsid w:val="00190087"/>
    <w:rsid w:val="001913C4"/>
    <w:rsid w:val="0019348F"/>
    <w:rsid w:val="00193A07"/>
    <w:rsid w:val="00194C95"/>
    <w:rsid w:val="0019593A"/>
    <w:rsid w:val="00195C34"/>
    <w:rsid w:val="001963DA"/>
    <w:rsid w:val="00196C55"/>
    <w:rsid w:val="001A1A53"/>
    <w:rsid w:val="001A234A"/>
    <w:rsid w:val="001B06E8"/>
    <w:rsid w:val="001B193E"/>
    <w:rsid w:val="001B4F32"/>
    <w:rsid w:val="001B71D0"/>
    <w:rsid w:val="001B71EE"/>
    <w:rsid w:val="001C04A8"/>
    <w:rsid w:val="001C069B"/>
    <w:rsid w:val="001C2C03"/>
    <w:rsid w:val="001C42F7"/>
    <w:rsid w:val="001C49E5"/>
    <w:rsid w:val="001C5978"/>
    <w:rsid w:val="001C680C"/>
    <w:rsid w:val="001C7FEA"/>
    <w:rsid w:val="001D0499"/>
    <w:rsid w:val="001D0BBE"/>
    <w:rsid w:val="001D0ED4"/>
    <w:rsid w:val="001D212F"/>
    <w:rsid w:val="001D29D7"/>
    <w:rsid w:val="001D2DE7"/>
    <w:rsid w:val="001D411C"/>
    <w:rsid w:val="001E07F4"/>
    <w:rsid w:val="001E1B6A"/>
    <w:rsid w:val="001E2484"/>
    <w:rsid w:val="001E3CC4"/>
    <w:rsid w:val="001E4882"/>
    <w:rsid w:val="001E6AC3"/>
    <w:rsid w:val="001E73AB"/>
    <w:rsid w:val="001F092D"/>
    <w:rsid w:val="001F143A"/>
    <w:rsid w:val="001F1605"/>
    <w:rsid w:val="001F2508"/>
    <w:rsid w:val="001F4816"/>
    <w:rsid w:val="001F4F83"/>
    <w:rsid w:val="001F69B4"/>
    <w:rsid w:val="001F77C7"/>
    <w:rsid w:val="00200183"/>
    <w:rsid w:val="0020107D"/>
    <w:rsid w:val="00202AA4"/>
    <w:rsid w:val="002031F7"/>
    <w:rsid w:val="002040E6"/>
    <w:rsid w:val="0020527B"/>
    <w:rsid w:val="002059A4"/>
    <w:rsid w:val="00205F2C"/>
    <w:rsid w:val="00210B15"/>
    <w:rsid w:val="00210D1A"/>
    <w:rsid w:val="002142EA"/>
    <w:rsid w:val="00214D22"/>
    <w:rsid w:val="002204BB"/>
    <w:rsid w:val="00221B79"/>
    <w:rsid w:val="00221C6B"/>
    <w:rsid w:val="00223775"/>
    <w:rsid w:val="00224596"/>
    <w:rsid w:val="002253A1"/>
    <w:rsid w:val="00225CF8"/>
    <w:rsid w:val="0022600D"/>
    <w:rsid w:val="00226EF5"/>
    <w:rsid w:val="0022718D"/>
    <w:rsid w:val="0022794E"/>
    <w:rsid w:val="00227A2D"/>
    <w:rsid w:val="00233D64"/>
    <w:rsid w:val="00234784"/>
    <w:rsid w:val="0023482A"/>
    <w:rsid w:val="002359CB"/>
    <w:rsid w:val="00241228"/>
    <w:rsid w:val="00243540"/>
    <w:rsid w:val="0024497B"/>
    <w:rsid w:val="0024515B"/>
    <w:rsid w:val="00246021"/>
    <w:rsid w:val="0024666E"/>
    <w:rsid w:val="00247F52"/>
    <w:rsid w:val="00250B25"/>
    <w:rsid w:val="00250BBE"/>
    <w:rsid w:val="002515C2"/>
    <w:rsid w:val="0025194F"/>
    <w:rsid w:val="0026148A"/>
    <w:rsid w:val="002621ED"/>
    <w:rsid w:val="00262696"/>
    <w:rsid w:val="002634BC"/>
    <w:rsid w:val="002643C3"/>
    <w:rsid w:val="00264A0C"/>
    <w:rsid w:val="00267EF4"/>
    <w:rsid w:val="00270CB8"/>
    <w:rsid w:val="00271294"/>
    <w:rsid w:val="00272B08"/>
    <w:rsid w:val="00277A4C"/>
    <w:rsid w:val="00281A78"/>
    <w:rsid w:val="00281BB8"/>
    <w:rsid w:val="00281E9E"/>
    <w:rsid w:val="00285170"/>
    <w:rsid w:val="00285361"/>
    <w:rsid w:val="0028707D"/>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23E3"/>
    <w:rsid w:val="002B3BD4"/>
    <w:rsid w:val="002B4508"/>
    <w:rsid w:val="002B538D"/>
    <w:rsid w:val="002B5779"/>
    <w:rsid w:val="002B7332"/>
    <w:rsid w:val="002B7F51"/>
    <w:rsid w:val="002C09E7"/>
    <w:rsid w:val="002C0A3B"/>
    <w:rsid w:val="002C3F07"/>
    <w:rsid w:val="002C5278"/>
    <w:rsid w:val="002C7EBB"/>
    <w:rsid w:val="002D06C1"/>
    <w:rsid w:val="002D42B5"/>
    <w:rsid w:val="002D4F1A"/>
    <w:rsid w:val="002D6DA6"/>
    <w:rsid w:val="002D6EC6"/>
    <w:rsid w:val="002D79AC"/>
    <w:rsid w:val="002E039D"/>
    <w:rsid w:val="002E30F6"/>
    <w:rsid w:val="002E4D5A"/>
    <w:rsid w:val="002E6326"/>
    <w:rsid w:val="002F30E0"/>
    <w:rsid w:val="002F35E4"/>
    <w:rsid w:val="002F3730"/>
    <w:rsid w:val="002F38E1"/>
    <w:rsid w:val="002F7AF6"/>
    <w:rsid w:val="00300E63"/>
    <w:rsid w:val="00302F5F"/>
    <w:rsid w:val="0030441D"/>
    <w:rsid w:val="00305DBF"/>
    <w:rsid w:val="00306063"/>
    <w:rsid w:val="00310211"/>
    <w:rsid w:val="00313B85"/>
    <w:rsid w:val="00317988"/>
    <w:rsid w:val="00317FA0"/>
    <w:rsid w:val="003221B4"/>
    <w:rsid w:val="00322E62"/>
    <w:rsid w:val="00323989"/>
    <w:rsid w:val="00324EDD"/>
    <w:rsid w:val="003331E4"/>
    <w:rsid w:val="0033445B"/>
    <w:rsid w:val="00335A2E"/>
    <w:rsid w:val="00336C64"/>
    <w:rsid w:val="00337162"/>
    <w:rsid w:val="00341573"/>
    <w:rsid w:val="0034194F"/>
    <w:rsid w:val="00342DB8"/>
    <w:rsid w:val="00344605"/>
    <w:rsid w:val="00344AD8"/>
    <w:rsid w:val="003474AA"/>
    <w:rsid w:val="00350D1D"/>
    <w:rsid w:val="0035141A"/>
    <w:rsid w:val="00351901"/>
    <w:rsid w:val="00352C83"/>
    <w:rsid w:val="003615D2"/>
    <w:rsid w:val="0036429C"/>
    <w:rsid w:val="00364A53"/>
    <w:rsid w:val="003654CB"/>
    <w:rsid w:val="00365F86"/>
    <w:rsid w:val="00365F87"/>
    <w:rsid w:val="003679A7"/>
    <w:rsid w:val="003705F4"/>
    <w:rsid w:val="00370D58"/>
    <w:rsid w:val="00371316"/>
    <w:rsid w:val="003730D1"/>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0BD9"/>
    <w:rsid w:val="003B0CF1"/>
    <w:rsid w:val="003B1F18"/>
    <w:rsid w:val="003B5BF0"/>
    <w:rsid w:val="003B60BF"/>
    <w:rsid w:val="003B6BE3"/>
    <w:rsid w:val="003C010C"/>
    <w:rsid w:val="003C0633"/>
    <w:rsid w:val="003C0A6C"/>
    <w:rsid w:val="003C2859"/>
    <w:rsid w:val="003C5A43"/>
    <w:rsid w:val="003D0519"/>
    <w:rsid w:val="003D0FF6"/>
    <w:rsid w:val="003D262C"/>
    <w:rsid w:val="003D3A99"/>
    <w:rsid w:val="003D633F"/>
    <w:rsid w:val="003D6D61"/>
    <w:rsid w:val="003D6F24"/>
    <w:rsid w:val="003E091D"/>
    <w:rsid w:val="003E1C53"/>
    <w:rsid w:val="003E2A69"/>
    <w:rsid w:val="003E2D49"/>
    <w:rsid w:val="003E2FD4"/>
    <w:rsid w:val="003E49F6"/>
    <w:rsid w:val="003F0841"/>
    <w:rsid w:val="003F23D3"/>
    <w:rsid w:val="003F3F08"/>
    <w:rsid w:val="003F49F1"/>
    <w:rsid w:val="003F6272"/>
    <w:rsid w:val="003F72A3"/>
    <w:rsid w:val="00400330"/>
    <w:rsid w:val="00400E72"/>
    <w:rsid w:val="00401400"/>
    <w:rsid w:val="004016A9"/>
    <w:rsid w:val="004031B9"/>
    <w:rsid w:val="00404869"/>
    <w:rsid w:val="00405054"/>
    <w:rsid w:val="00405884"/>
    <w:rsid w:val="00407D39"/>
    <w:rsid w:val="0041477A"/>
    <w:rsid w:val="004167A3"/>
    <w:rsid w:val="00432DAA"/>
    <w:rsid w:val="00434305"/>
    <w:rsid w:val="00435DF7"/>
    <w:rsid w:val="00436E5C"/>
    <w:rsid w:val="0044083F"/>
    <w:rsid w:val="00441AE7"/>
    <w:rsid w:val="00445574"/>
    <w:rsid w:val="004467FB"/>
    <w:rsid w:val="00452D6B"/>
    <w:rsid w:val="00454484"/>
    <w:rsid w:val="0045517B"/>
    <w:rsid w:val="004563CD"/>
    <w:rsid w:val="00460C64"/>
    <w:rsid w:val="0046179C"/>
    <w:rsid w:val="00463B77"/>
    <w:rsid w:val="00463C7B"/>
    <w:rsid w:val="00463F02"/>
    <w:rsid w:val="004644A6"/>
    <w:rsid w:val="004659BD"/>
    <w:rsid w:val="00470006"/>
    <w:rsid w:val="00470775"/>
    <w:rsid w:val="004715BD"/>
    <w:rsid w:val="00472C09"/>
    <w:rsid w:val="004746B1"/>
    <w:rsid w:val="0047583F"/>
    <w:rsid w:val="00484936"/>
    <w:rsid w:val="00485C89"/>
    <w:rsid w:val="00486BE3"/>
    <w:rsid w:val="004905E4"/>
    <w:rsid w:val="00490A89"/>
    <w:rsid w:val="00490AB4"/>
    <w:rsid w:val="004920D8"/>
    <w:rsid w:val="00492F02"/>
    <w:rsid w:val="004939AE"/>
    <w:rsid w:val="0049496C"/>
    <w:rsid w:val="004970BB"/>
    <w:rsid w:val="004A12DF"/>
    <w:rsid w:val="004A1BA8"/>
    <w:rsid w:val="004A4B57"/>
    <w:rsid w:val="004A63FA"/>
    <w:rsid w:val="004B0272"/>
    <w:rsid w:val="004B105B"/>
    <w:rsid w:val="004B2701"/>
    <w:rsid w:val="004B2E1B"/>
    <w:rsid w:val="004B3E93"/>
    <w:rsid w:val="004B4987"/>
    <w:rsid w:val="004B7740"/>
    <w:rsid w:val="004C1FBC"/>
    <w:rsid w:val="004C3F1D"/>
    <w:rsid w:val="004C458D"/>
    <w:rsid w:val="004C7556"/>
    <w:rsid w:val="004C7E9D"/>
    <w:rsid w:val="004C7F67"/>
    <w:rsid w:val="004D076D"/>
    <w:rsid w:val="004D0EF1"/>
    <w:rsid w:val="004D189E"/>
    <w:rsid w:val="004D2253"/>
    <w:rsid w:val="004D4406"/>
    <w:rsid w:val="004D6A57"/>
    <w:rsid w:val="004D7C42"/>
    <w:rsid w:val="004E0465"/>
    <w:rsid w:val="004E127B"/>
    <w:rsid w:val="004E1C0A"/>
    <w:rsid w:val="004E3014"/>
    <w:rsid w:val="004E30C5"/>
    <w:rsid w:val="004E4AA5"/>
    <w:rsid w:val="004E4AEE"/>
    <w:rsid w:val="004E59E3"/>
    <w:rsid w:val="004E67C0"/>
    <w:rsid w:val="004F12B3"/>
    <w:rsid w:val="004F391A"/>
    <w:rsid w:val="004F3CFB"/>
    <w:rsid w:val="004F6456"/>
    <w:rsid w:val="004F696E"/>
    <w:rsid w:val="004F6C71"/>
    <w:rsid w:val="00501139"/>
    <w:rsid w:val="00502991"/>
    <w:rsid w:val="0050363E"/>
    <w:rsid w:val="005039BC"/>
    <w:rsid w:val="005043BB"/>
    <w:rsid w:val="00504A3D"/>
    <w:rsid w:val="00505559"/>
    <w:rsid w:val="00505767"/>
    <w:rsid w:val="005073F0"/>
    <w:rsid w:val="00510A7B"/>
    <w:rsid w:val="00512F6E"/>
    <w:rsid w:val="00513038"/>
    <w:rsid w:val="00514174"/>
    <w:rsid w:val="00516088"/>
    <w:rsid w:val="00516B0B"/>
    <w:rsid w:val="005207F4"/>
    <w:rsid w:val="005220EC"/>
    <w:rsid w:val="00523F95"/>
    <w:rsid w:val="00524AC3"/>
    <w:rsid w:val="00524D65"/>
    <w:rsid w:val="00525B16"/>
    <w:rsid w:val="00526BD4"/>
    <w:rsid w:val="00533D04"/>
    <w:rsid w:val="00534804"/>
    <w:rsid w:val="00534BDF"/>
    <w:rsid w:val="005354EA"/>
    <w:rsid w:val="00535EC4"/>
    <w:rsid w:val="00535ED9"/>
    <w:rsid w:val="0053692B"/>
    <w:rsid w:val="00541132"/>
    <w:rsid w:val="00541257"/>
    <w:rsid w:val="00541853"/>
    <w:rsid w:val="00543BDA"/>
    <w:rsid w:val="005441CC"/>
    <w:rsid w:val="005479DA"/>
    <w:rsid w:val="00547BCC"/>
    <w:rsid w:val="0055013B"/>
    <w:rsid w:val="00551F6F"/>
    <w:rsid w:val="00555044"/>
    <w:rsid w:val="00560F52"/>
    <w:rsid w:val="00561475"/>
    <w:rsid w:val="0056487B"/>
    <w:rsid w:val="00564FB9"/>
    <w:rsid w:val="00566D27"/>
    <w:rsid w:val="00572218"/>
    <w:rsid w:val="00573D9E"/>
    <w:rsid w:val="005801E3"/>
    <w:rsid w:val="00581802"/>
    <w:rsid w:val="005836A8"/>
    <w:rsid w:val="0058409C"/>
    <w:rsid w:val="00584262"/>
    <w:rsid w:val="00586630"/>
    <w:rsid w:val="00587ADD"/>
    <w:rsid w:val="00591BE4"/>
    <w:rsid w:val="00593544"/>
    <w:rsid w:val="00596160"/>
    <w:rsid w:val="005966E2"/>
    <w:rsid w:val="00597007"/>
    <w:rsid w:val="005A0966"/>
    <w:rsid w:val="005A11B7"/>
    <w:rsid w:val="005A260B"/>
    <w:rsid w:val="005A4A1B"/>
    <w:rsid w:val="005A559C"/>
    <w:rsid w:val="005A7830"/>
    <w:rsid w:val="005A7FCE"/>
    <w:rsid w:val="005B0F3F"/>
    <w:rsid w:val="005B4903"/>
    <w:rsid w:val="005B51CE"/>
    <w:rsid w:val="005B5885"/>
    <w:rsid w:val="005B5A20"/>
    <w:rsid w:val="005B5CD7"/>
    <w:rsid w:val="005B6CF6"/>
    <w:rsid w:val="005B7422"/>
    <w:rsid w:val="005C29B8"/>
    <w:rsid w:val="005C5F21"/>
    <w:rsid w:val="005C622C"/>
    <w:rsid w:val="005C7156"/>
    <w:rsid w:val="005D0C75"/>
    <w:rsid w:val="005D1E63"/>
    <w:rsid w:val="005D4171"/>
    <w:rsid w:val="005D6A95"/>
    <w:rsid w:val="005D6B2C"/>
    <w:rsid w:val="005D6D9C"/>
    <w:rsid w:val="005E1324"/>
    <w:rsid w:val="005E2335"/>
    <w:rsid w:val="005E34CA"/>
    <w:rsid w:val="005E3C18"/>
    <w:rsid w:val="005E6318"/>
    <w:rsid w:val="005E6812"/>
    <w:rsid w:val="005E7829"/>
    <w:rsid w:val="005E7881"/>
    <w:rsid w:val="005E78E0"/>
    <w:rsid w:val="005F0D9C"/>
    <w:rsid w:val="005F284E"/>
    <w:rsid w:val="006015CE"/>
    <w:rsid w:val="00604784"/>
    <w:rsid w:val="00606419"/>
    <w:rsid w:val="00607D29"/>
    <w:rsid w:val="00612952"/>
    <w:rsid w:val="00614CC1"/>
    <w:rsid w:val="00615A9D"/>
    <w:rsid w:val="00617387"/>
    <w:rsid w:val="00617817"/>
    <w:rsid w:val="006252D8"/>
    <w:rsid w:val="006259BC"/>
    <w:rsid w:val="0062636B"/>
    <w:rsid w:val="00632182"/>
    <w:rsid w:val="00632AE0"/>
    <w:rsid w:val="00633C17"/>
    <w:rsid w:val="00636E3E"/>
    <w:rsid w:val="006379F7"/>
    <w:rsid w:val="00637E4D"/>
    <w:rsid w:val="00640620"/>
    <w:rsid w:val="00641A1F"/>
    <w:rsid w:val="0064528D"/>
    <w:rsid w:val="00645904"/>
    <w:rsid w:val="00651ACB"/>
    <w:rsid w:val="00651C47"/>
    <w:rsid w:val="00652AB2"/>
    <w:rsid w:val="00654EC0"/>
    <w:rsid w:val="0065525B"/>
    <w:rsid w:val="00655D4F"/>
    <w:rsid w:val="00657A84"/>
    <w:rsid w:val="00660C2B"/>
    <w:rsid w:val="006640E5"/>
    <w:rsid w:val="006646F1"/>
    <w:rsid w:val="00664929"/>
    <w:rsid w:val="00664F62"/>
    <w:rsid w:val="006655E1"/>
    <w:rsid w:val="00670FC6"/>
    <w:rsid w:val="00672060"/>
    <w:rsid w:val="00672BFD"/>
    <w:rsid w:val="006770F4"/>
    <w:rsid w:val="00677A84"/>
    <w:rsid w:val="0068026D"/>
    <w:rsid w:val="00680A27"/>
    <w:rsid w:val="006810F5"/>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B7562"/>
    <w:rsid w:val="006C04D6"/>
    <w:rsid w:val="006C1BBA"/>
    <w:rsid w:val="006C2079"/>
    <w:rsid w:val="006C317D"/>
    <w:rsid w:val="006C477E"/>
    <w:rsid w:val="006C5A62"/>
    <w:rsid w:val="006C5D68"/>
    <w:rsid w:val="006C6976"/>
    <w:rsid w:val="006C6DD0"/>
    <w:rsid w:val="006D015C"/>
    <w:rsid w:val="006D04EA"/>
    <w:rsid w:val="006D16C4"/>
    <w:rsid w:val="006D2D92"/>
    <w:rsid w:val="006D3E96"/>
    <w:rsid w:val="006D4515"/>
    <w:rsid w:val="006D4BB1"/>
    <w:rsid w:val="006D641C"/>
    <w:rsid w:val="006D6593"/>
    <w:rsid w:val="006D686E"/>
    <w:rsid w:val="006D7995"/>
    <w:rsid w:val="006E2168"/>
    <w:rsid w:val="006F03A8"/>
    <w:rsid w:val="006F126C"/>
    <w:rsid w:val="006F1DD9"/>
    <w:rsid w:val="006F24B6"/>
    <w:rsid w:val="006F2ACA"/>
    <w:rsid w:val="006F2ADC"/>
    <w:rsid w:val="006F2BFE"/>
    <w:rsid w:val="006F31E9"/>
    <w:rsid w:val="006F4514"/>
    <w:rsid w:val="006F56E5"/>
    <w:rsid w:val="006F6284"/>
    <w:rsid w:val="006F7206"/>
    <w:rsid w:val="007002C5"/>
    <w:rsid w:val="0070348B"/>
    <w:rsid w:val="00704387"/>
    <w:rsid w:val="00707669"/>
    <w:rsid w:val="00711CBA"/>
    <w:rsid w:val="00711FB5"/>
    <w:rsid w:val="00712A01"/>
    <w:rsid w:val="00714F58"/>
    <w:rsid w:val="00722FBF"/>
    <w:rsid w:val="00722FC2"/>
    <w:rsid w:val="00725949"/>
    <w:rsid w:val="00727FA2"/>
    <w:rsid w:val="007312F1"/>
    <w:rsid w:val="007322D9"/>
    <w:rsid w:val="00732BC0"/>
    <w:rsid w:val="00732F4E"/>
    <w:rsid w:val="00733318"/>
    <w:rsid w:val="0073720F"/>
    <w:rsid w:val="00737796"/>
    <w:rsid w:val="0074165C"/>
    <w:rsid w:val="00742C35"/>
    <w:rsid w:val="007432CA"/>
    <w:rsid w:val="007439EB"/>
    <w:rsid w:val="00743CB4"/>
    <w:rsid w:val="00743F0A"/>
    <w:rsid w:val="007444E8"/>
    <w:rsid w:val="0074548E"/>
    <w:rsid w:val="00745773"/>
    <w:rsid w:val="00746800"/>
    <w:rsid w:val="00747CF0"/>
    <w:rsid w:val="007501A8"/>
    <w:rsid w:val="00750EE1"/>
    <w:rsid w:val="0075163D"/>
    <w:rsid w:val="00752B4D"/>
    <w:rsid w:val="00755402"/>
    <w:rsid w:val="00756B26"/>
    <w:rsid w:val="00756EDF"/>
    <w:rsid w:val="00765C43"/>
    <w:rsid w:val="00765EFB"/>
    <w:rsid w:val="007663F5"/>
    <w:rsid w:val="007671CA"/>
    <w:rsid w:val="0076744F"/>
    <w:rsid w:val="00767C61"/>
    <w:rsid w:val="0077008A"/>
    <w:rsid w:val="0077277A"/>
    <w:rsid w:val="00773C1F"/>
    <w:rsid w:val="00774DA4"/>
    <w:rsid w:val="00776205"/>
    <w:rsid w:val="0077652A"/>
    <w:rsid w:val="00776599"/>
    <w:rsid w:val="0078114B"/>
    <w:rsid w:val="00781DD2"/>
    <w:rsid w:val="00782DE1"/>
    <w:rsid w:val="00783ECF"/>
    <w:rsid w:val="0078413A"/>
    <w:rsid w:val="007959E8"/>
    <w:rsid w:val="00795E9C"/>
    <w:rsid w:val="007A0521"/>
    <w:rsid w:val="007A2E12"/>
    <w:rsid w:val="007A3475"/>
    <w:rsid w:val="007A41C8"/>
    <w:rsid w:val="007A54CE"/>
    <w:rsid w:val="007A6FD9"/>
    <w:rsid w:val="007A7FFA"/>
    <w:rsid w:val="007B04EB"/>
    <w:rsid w:val="007B0D4F"/>
    <w:rsid w:val="007B2CD6"/>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E0D02"/>
    <w:rsid w:val="007E258B"/>
    <w:rsid w:val="007F020B"/>
    <w:rsid w:val="007F0ED8"/>
    <w:rsid w:val="007F0F63"/>
    <w:rsid w:val="007F1CD8"/>
    <w:rsid w:val="007F3748"/>
    <w:rsid w:val="007F75CE"/>
    <w:rsid w:val="008013A4"/>
    <w:rsid w:val="00801B20"/>
    <w:rsid w:val="008027CE"/>
    <w:rsid w:val="00802F42"/>
    <w:rsid w:val="00804383"/>
    <w:rsid w:val="00804BB7"/>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20AF"/>
    <w:rsid w:val="008320D7"/>
    <w:rsid w:val="0083348C"/>
    <w:rsid w:val="008373D3"/>
    <w:rsid w:val="00840617"/>
    <w:rsid w:val="00842A47"/>
    <w:rsid w:val="00843C13"/>
    <w:rsid w:val="008444D7"/>
    <w:rsid w:val="008454F8"/>
    <w:rsid w:val="00850409"/>
    <w:rsid w:val="0085173A"/>
    <w:rsid w:val="00854343"/>
    <w:rsid w:val="008565A2"/>
    <w:rsid w:val="00860297"/>
    <w:rsid w:val="008603CE"/>
    <w:rsid w:val="008616D1"/>
    <w:rsid w:val="008620FC"/>
    <w:rsid w:val="008627A5"/>
    <w:rsid w:val="00863E05"/>
    <w:rsid w:val="0086431E"/>
    <w:rsid w:val="00865ACA"/>
    <w:rsid w:val="00865D28"/>
    <w:rsid w:val="00865F85"/>
    <w:rsid w:val="00867C10"/>
    <w:rsid w:val="00870439"/>
    <w:rsid w:val="00870DA1"/>
    <w:rsid w:val="0087362D"/>
    <w:rsid w:val="00873DE4"/>
    <w:rsid w:val="00881E39"/>
    <w:rsid w:val="00883F93"/>
    <w:rsid w:val="00884DB3"/>
    <w:rsid w:val="00885A9D"/>
    <w:rsid w:val="00886317"/>
    <w:rsid w:val="008864F6"/>
    <w:rsid w:val="0089049D"/>
    <w:rsid w:val="008928C9"/>
    <w:rsid w:val="008938DC"/>
    <w:rsid w:val="00893FD1"/>
    <w:rsid w:val="00894836"/>
    <w:rsid w:val="00895172"/>
    <w:rsid w:val="00895680"/>
    <w:rsid w:val="00896DFF"/>
    <w:rsid w:val="0089762C"/>
    <w:rsid w:val="008A1893"/>
    <w:rsid w:val="008A38C6"/>
    <w:rsid w:val="008A6FA4"/>
    <w:rsid w:val="008A769A"/>
    <w:rsid w:val="008B0C9C"/>
    <w:rsid w:val="008B166D"/>
    <w:rsid w:val="008B17F4"/>
    <w:rsid w:val="008B3615"/>
    <w:rsid w:val="008B4AC4"/>
    <w:rsid w:val="008B50C8"/>
    <w:rsid w:val="008B5281"/>
    <w:rsid w:val="008B5824"/>
    <w:rsid w:val="008B7E05"/>
    <w:rsid w:val="008C1797"/>
    <w:rsid w:val="008C219C"/>
    <w:rsid w:val="008C475E"/>
    <w:rsid w:val="008C4767"/>
    <w:rsid w:val="008C619A"/>
    <w:rsid w:val="008D0CE8"/>
    <w:rsid w:val="008D1C51"/>
    <w:rsid w:val="008D2D1D"/>
    <w:rsid w:val="008D453D"/>
    <w:rsid w:val="008D53AD"/>
    <w:rsid w:val="008D562B"/>
    <w:rsid w:val="008D5733"/>
    <w:rsid w:val="008D622B"/>
    <w:rsid w:val="008D666C"/>
    <w:rsid w:val="008D693C"/>
    <w:rsid w:val="008D7B54"/>
    <w:rsid w:val="008E0C9D"/>
    <w:rsid w:val="008E1648"/>
    <w:rsid w:val="008E1B3E"/>
    <w:rsid w:val="008E2319"/>
    <w:rsid w:val="008E394A"/>
    <w:rsid w:val="008E4BB6"/>
    <w:rsid w:val="008E5518"/>
    <w:rsid w:val="008E6A84"/>
    <w:rsid w:val="008F0B9E"/>
    <w:rsid w:val="008F0CDC"/>
    <w:rsid w:val="008F17A3"/>
    <w:rsid w:val="008F1ED3"/>
    <w:rsid w:val="008F4C29"/>
    <w:rsid w:val="008F58DC"/>
    <w:rsid w:val="008F70BD"/>
    <w:rsid w:val="008F788F"/>
    <w:rsid w:val="008F7EA2"/>
    <w:rsid w:val="00902722"/>
    <w:rsid w:val="009027BC"/>
    <w:rsid w:val="009062E6"/>
    <w:rsid w:val="00911AF6"/>
    <w:rsid w:val="00911BE5"/>
    <w:rsid w:val="00913CA9"/>
    <w:rsid w:val="009145AE"/>
    <w:rsid w:val="009146CE"/>
    <w:rsid w:val="00914CA7"/>
    <w:rsid w:val="00915C3E"/>
    <w:rsid w:val="009161A8"/>
    <w:rsid w:val="00916485"/>
    <w:rsid w:val="0092223F"/>
    <w:rsid w:val="009245F5"/>
    <w:rsid w:val="009249EC"/>
    <w:rsid w:val="0092561F"/>
    <w:rsid w:val="0092653F"/>
    <w:rsid w:val="009273B3"/>
    <w:rsid w:val="009305B5"/>
    <w:rsid w:val="00941138"/>
    <w:rsid w:val="00941FA3"/>
    <w:rsid w:val="009429D5"/>
    <w:rsid w:val="00942BF1"/>
    <w:rsid w:val="00944C31"/>
    <w:rsid w:val="00945180"/>
    <w:rsid w:val="00945428"/>
    <w:rsid w:val="0094607B"/>
    <w:rsid w:val="00953604"/>
    <w:rsid w:val="0095496B"/>
    <w:rsid w:val="009610DC"/>
    <w:rsid w:val="0096148A"/>
    <w:rsid w:val="00961490"/>
    <w:rsid w:val="0096381A"/>
    <w:rsid w:val="00965440"/>
    <w:rsid w:val="00965E04"/>
    <w:rsid w:val="009674AD"/>
    <w:rsid w:val="00970CDC"/>
    <w:rsid w:val="00977010"/>
    <w:rsid w:val="00977D02"/>
    <w:rsid w:val="009809BB"/>
    <w:rsid w:val="0098364B"/>
    <w:rsid w:val="009911AF"/>
    <w:rsid w:val="00991875"/>
    <w:rsid w:val="00991F92"/>
    <w:rsid w:val="00992985"/>
    <w:rsid w:val="00993889"/>
    <w:rsid w:val="00994782"/>
    <w:rsid w:val="0099551B"/>
    <w:rsid w:val="00997BF1"/>
    <w:rsid w:val="009A089C"/>
    <w:rsid w:val="009A118E"/>
    <w:rsid w:val="009A172E"/>
    <w:rsid w:val="009A21CD"/>
    <w:rsid w:val="009A278C"/>
    <w:rsid w:val="009A2BC2"/>
    <w:rsid w:val="009A42C1"/>
    <w:rsid w:val="009A5429"/>
    <w:rsid w:val="009A72AD"/>
    <w:rsid w:val="009B09E0"/>
    <w:rsid w:val="009B0BC5"/>
    <w:rsid w:val="009B1247"/>
    <w:rsid w:val="009B48C5"/>
    <w:rsid w:val="009B6029"/>
    <w:rsid w:val="009B6464"/>
    <w:rsid w:val="009B6971"/>
    <w:rsid w:val="009C27F1"/>
    <w:rsid w:val="009C3152"/>
    <w:rsid w:val="009C4CFA"/>
    <w:rsid w:val="009C5070"/>
    <w:rsid w:val="009D112C"/>
    <w:rsid w:val="009D1651"/>
    <w:rsid w:val="009D47FA"/>
    <w:rsid w:val="009D50D2"/>
    <w:rsid w:val="009D6BCA"/>
    <w:rsid w:val="009D72B9"/>
    <w:rsid w:val="009E0F62"/>
    <w:rsid w:val="009E1848"/>
    <w:rsid w:val="009E4A58"/>
    <w:rsid w:val="009E5A2D"/>
    <w:rsid w:val="009E5AB2"/>
    <w:rsid w:val="009E6219"/>
    <w:rsid w:val="009F03B3"/>
    <w:rsid w:val="00A01757"/>
    <w:rsid w:val="00A028C0"/>
    <w:rsid w:val="00A02BAE"/>
    <w:rsid w:val="00A05AA6"/>
    <w:rsid w:val="00A06A6B"/>
    <w:rsid w:val="00A07654"/>
    <w:rsid w:val="00A07E47"/>
    <w:rsid w:val="00A129D0"/>
    <w:rsid w:val="00A12C33"/>
    <w:rsid w:val="00A138BA"/>
    <w:rsid w:val="00A14C8E"/>
    <w:rsid w:val="00A153D9"/>
    <w:rsid w:val="00A15F09"/>
    <w:rsid w:val="00A15F69"/>
    <w:rsid w:val="00A169B6"/>
    <w:rsid w:val="00A2271D"/>
    <w:rsid w:val="00A237D5"/>
    <w:rsid w:val="00A30312"/>
    <w:rsid w:val="00A30EFC"/>
    <w:rsid w:val="00A31984"/>
    <w:rsid w:val="00A32D73"/>
    <w:rsid w:val="00A3367B"/>
    <w:rsid w:val="00A3597D"/>
    <w:rsid w:val="00A4006C"/>
    <w:rsid w:val="00A40091"/>
    <w:rsid w:val="00A4030F"/>
    <w:rsid w:val="00A41C79"/>
    <w:rsid w:val="00A41CB5"/>
    <w:rsid w:val="00A42CDF"/>
    <w:rsid w:val="00A4307B"/>
    <w:rsid w:val="00A4452E"/>
    <w:rsid w:val="00A4472C"/>
    <w:rsid w:val="00A44E69"/>
    <w:rsid w:val="00A4661E"/>
    <w:rsid w:val="00A47127"/>
    <w:rsid w:val="00A55BD6"/>
    <w:rsid w:val="00A55D50"/>
    <w:rsid w:val="00A57142"/>
    <w:rsid w:val="00A61D48"/>
    <w:rsid w:val="00A648CD"/>
    <w:rsid w:val="00A6537A"/>
    <w:rsid w:val="00A67866"/>
    <w:rsid w:val="00A70B07"/>
    <w:rsid w:val="00A723F8"/>
    <w:rsid w:val="00A77CCB"/>
    <w:rsid w:val="00A80F6F"/>
    <w:rsid w:val="00A827C5"/>
    <w:rsid w:val="00A83D8D"/>
    <w:rsid w:val="00A83E19"/>
    <w:rsid w:val="00A8446B"/>
    <w:rsid w:val="00A8473F"/>
    <w:rsid w:val="00A862D6"/>
    <w:rsid w:val="00A8715E"/>
    <w:rsid w:val="00A87647"/>
    <w:rsid w:val="00A9295B"/>
    <w:rsid w:val="00A93B09"/>
    <w:rsid w:val="00A952D7"/>
    <w:rsid w:val="00A963F7"/>
    <w:rsid w:val="00A965D1"/>
    <w:rsid w:val="00A96AD8"/>
    <w:rsid w:val="00AA052C"/>
    <w:rsid w:val="00AA1E45"/>
    <w:rsid w:val="00AA30E6"/>
    <w:rsid w:val="00AA4286"/>
    <w:rsid w:val="00AA456B"/>
    <w:rsid w:val="00AA57F5"/>
    <w:rsid w:val="00AA6091"/>
    <w:rsid w:val="00AA672E"/>
    <w:rsid w:val="00AA6EC9"/>
    <w:rsid w:val="00AB6309"/>
    <w:rsid w:val="00AB6C5F"/>
    <w:rsid w:val="00AB7129"/>
    <w:rsid w:val="00AC27A6"/>
    <w:rsid w:val="00AC30F7"/>
    <w:rsid w:val="00AC3A5A"/>
    <w:rsid w:val="00AC4D95"/>
    <w:rsid w:val="00AC5DF4"/>
    <w:rsid w:val="00AD002D"/>
    <w:rsid w:val="00AD0AEF"/>
    <w:rsid w:val="00AD11B7"/>
    <w:rsid w:val="00AD1A94"/>
    <w:rsid w:val="00AD1C05"/>
    <w:rsid w:val="00AD4126"/>
    <w:rsid w:val="00AD421C"/>
    <w:rsid w:val="00AD44FA"/>
    <w:rsid w:val="00AD5D89"/>
    <w:rsid w:val="00AE070A"/>
    <w:rsid w:val="00AE101C"/>
    <w:rsid w:val="00AE232F"/>
    <w:rsid w:val="00AE5EB4"/>
    <w:rsid w:val="00AF0C18"/>
    <w:rsid w:val="00AF47C5"/>
    <w:rsid w:val="00AF5398"/>
    <w:rsid w:val="00B01546"/>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0A0D"/>
    <w:rsid w:val="00B4346D"/>
    <w:rsid w:val="00B440F4"/>
    <w:rsid w:val="00B44432"/>
    <w:rsid w:val="00B447A5"/>
    <w:rsid w:val="00B4654C"/>
    <w:rsid w:val="00B47293"/>
    <w:rsid w:val="00B50E50"/>
    <w:rsid w:val="00B52120"/>
    <w:rsid w:val="00B54ABC"/>
    <w:rsid w:val="00B56FBE"/>
    <w:rsid w:val="00B62313"/>
    <w:rsid w:val="00B62B58"/>
    <w:rsid w:val="00B64D02"/>
    <w:rsid w:val="00B65149"/>
    <w:rsid w:val="00B66567"/>
    <w:rsid w:val="00B66F52"/>
    <w:rsid w:val="00B66FE5"/>
    <w:rsid w:val="00B70B77"/>
    <w:rsid w:val="00B72880"/>
    <w:rsid w:val="00B758BF"/>
    <w:rsid w:val="00B81175"/>
    <w:rsid w:val="00B827A6"/>
    <w:rsid w:val="00B82BEE"/>
    <w:rsid w:val="00B831CE"/>
    <w:rsid w:val="00B86677"/>
    <w:rsid w:val="00B87131"/>
    <w:rsid w:val="00B939B1"/>
    <w:rsid w:val="00B96D40"/>
    <w:rsid w:val="00B97386"/>
    <w:rsid w:val="00B978DB"/>
    <w:rsid w:val="00BA2253"/>
    <w:rsid w:val="00BA263B"/>
    <w:rsid w:val="00BA42B2"/>
    <w:rsid w:val="00BA58D4"/>
    <w:rsid w:val="00BA5B9E"/>
    <w:rsid w:val="00BA7C9A"/>
    <w:rsid w:val="00BB52AA"/>
    <w:rsid w:val="00BB5F8F"/>
    <w:rsid w:val="00BB657A"/>
    <w:rsid w:val="00BC1A4E"/>
    <w:rsid w:val="00BC5DC7"/>
    <w:rsid w:val="00BC6B41"/>
    <w:rsid w:val="00BC6B8B"/>
    <w:rsid w:val="00BC73D8"/>
    <w:rsid w:val="00BD10B1"/>
    <w:rsid w:val="00BD52D7"/>
    <w:rsid w:val="00BD5AD2"/>
    <w:rsid w:val="00BE22F3"/>
    <w:rsid w:val="00BE5B52"/>
    <w:rsid w:val="00BE6CCD"/>
    <w:rsid w:val="00BE7B8D"/>
    <w:rsid w:val="00BF0993"/>
    <w:rsid w:val="00BF10A9"/>
    <w:rsid w:val="00BF1703"/>
    <w:rsid w:val="00BF1EF9"/>
    <w:rsid w:val="00BF231C"/>
    <w:rsid w:val="00BF3D31"/>
    <w:rsid w:val="00BF51E5"/>
    <w:rsid w:val="00BF74A6"/>
    <w:rsid w:val="00BF7718"/>
    <w:rsid w:val="00C013AD"/>
    <w:rsid w:val="00C020FB"/>
    <w:rsid w:val="00C04904"/>
    <w:rsid w:val="00C056B3"/>
    <w:rsid w:val="00C103E5"/>
    <w:rsid w:val="00C11334"/>
    <w:rsid w:val="00C13319"/>
    <w:rsid w:val="00C13EE9"/>
    <w:rsid w:val="00C21540"/>
    <w:rsid w:val="00C21906"/>
    <w:rsid w:val="00C21BFA"/>
    <w:rsid w:val="00C24C8D"/>
    <w:rsid w:val="00C25FE2"/>
    <w:rsid w:val="00C260F4"/>
    <w:rsid w:val="00C26B53"/>
    <w:rsid w:val="00C279B2"/>
    <w:rsid w:val="00C30853"/>
    <w:rsid w:val="00C33E50"/>
    <w:rsid w:val="00C34C20"/>
    <w:rsid w:val="00C35A3E"/>
    <w:rsid w:val="00C36DE5"/>
    <w:rsid w:val="00C42130"/>
    <w:rsid w:val="00C423A4"/>
    <w:rsid w:val="00C44BF5"/>
    <w:rsid w:val="00C521D6"/>
    <w:rsid w:val="00C55232"/>
    <w:rsid w:val="00C553A4"/>
    <w:rsid w:val="00C55A06"/>
    <w:rsid w:val="00C55D03"/>
    <w:rsid w:val="00C57507"/>
    <w:rsid w:val="00C601BC"/>
    <w:rsid w:val="00C620A7"/>
    <w:rsid w:val="00C6329F"/>
    <w:rsid w:val="00C63340"/>
    <w:rsid w:val="00C643F9"/>
    <w:rsid w:val="00C64746"/>
    <w:rsid w:val="00C64E95"/>
    <w:rsid w:val="00C71372"/>
    <w:rsid w:val="00C72410"/>
    <w:rsid w:val="00C7287F"/>
    <w:rsid w:val="00C80CB8"/>
    <w:rsid w:val="00C819F8"/>
    <w:rsid w:val="00C8248C"/>
    <w:rsid w:val="00C84553"/>
    <w:rsid w:val="00C84E33"/>
    <w:rsid w:val="00C86D6F"/>
    <w:rsid w:val="00C905FC"/>
    <w:rsid w:val="00C92D03"/>
    <w:rsid w:val="00C9319C"/>
    <w:rsid w:val="00C9435D"/>
    <w:rsid w:val="00C955EB"/>
    <w:rsid w:val="00C96741"/>
    <w:rsid w:val="00CA2D1B"/>
    <w:rsid w:val="00CA37BC"/>
    <w:rsid w:val="00CA662A"/>
    <w:rsid w:val="00CA7AFD"/>
    <w:rsid w:val="00CA7B16"/>
    <w:rsid w:val="00CA7C3C"/>
    <w:rsid w:val="00CB0189"/>
    <w:rsid w:val="00CB0BA2"/>
    <w:rsid w:val="00CB1A42"/>
    <w:rsid w:val="00CB1B0C"/>
    <w:rsid w:val="00CB2002"/>
    <w:rsid w:val="00CB2C0B"/>
    <w:rsid w:val="00CB517D"/>
    <w:rsid w:val="00CC038D"/>
    <w:rsid w:val="00CC39FF"/>
    <w:rsid w:val="00CC3C2F"/>
    <w:rsid w:val="00CC440D"/>
    <w:rsid w:val="00CC4AC8"/>
    <w:rsid w:val="00CC5233"/>
    <w:rsid w:val="00CC5DE6"/>
    <w:rsid w:val="00CC6E4E"/>
    <w:rsid w:val="00CC6FE8"/>
    <w:rsid w:val="00CC7202"/>
    <w:rsid w:val="00CD2808"/>
    <w:rsid w:val="00CD28BF"/>
    <w:rsid w:val="00CD4092"/>
    <w:rsid w:val="00CD4A20"/>
    <w:rsid w:val="00CD50A1"/>
    <w:rsid w:val="00CD519E"/>
    <w:rsid w:val="00CD5EEF"/>
    <w:rsid w:val="00CE0C4F"/>
    <w:rsid w:val="00CE30EA"/>
    <w:rsid w:val="00CF048A"/>
    <w:rsid w:val="00CF155A"/>
    <w:rsid w:val="00CF1985"/>
    <w:rsid w:val="00CF2947"/>
    <w:rsid w:val="00CF4E76"/>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4CB7"/>
    <w:rsid w:val="00D352A2"/>
    <w:rsid w:val="00D4162B"/>
    <w:rsid w:val="00D4514F"/>
    <w:rsid w:val="00D451E2"/>
    <w:rsid w:val="00D45E89"/>
    <w:rsid w:val="00D45E8D"/>
    <w:rsid w:val="00D466AE"/>
    <w:rsid w:val="00D4734F"/>
    <w:rsid w:val="00D51BF3"/>
    <w:rsid w:val="00D54B98"/>
    <w:rsid w:val="00D554C2"/>
    <w:rsid w:val="00D56D85"/>
    <w:rsid w:val="00D620BB"/>
    <w:rsid w:val="00D62F1E"/>
    <w:rsid w:val="00D66846"/>
    <w:rsid w:val="00D67517"/>
    <w:rsid w:val="00D675FB"/>
    <w:rsid w:val="00D7002A"/>
    <w:rsid w:val="00D71F25"/>
    <w:rsid w:val="00D77031"/>
    <w:rsid w:val="00D81136"/>
    <w:rsid w:val="00D827F6"/>
    <w:rsid w:val="00D84941"/>
    <w:rsid w:val="00D84FA1"/>
    <w:rsid w:val="00D851F0"/>
    <w:rsid w:val="00D86DB7"/>
    <w:rsid w:val="00D87D46"/>
    <w:rsid w:val="00D9060C"/>
    <w:rsid w:val="00D90F8C"/>
    <w:rsid w:val="00D926D0"/>
    <w:rsid w:val="00D93030"/>
    <w:rsid w:val="00D950E1"/>
    <w:rsid w:val="00D952A6"/>
    <w:rsid w:val="00D97F99"/>
    <w:rsid w:val="00DA1E08"/>
    <w:rsid w:val="00DA24F8"/>
    <w:rsid w:val="00DA28E8"/>
    <w:rsid w:val="00DA38D3"/>
    <w:rsid w:val="00DA3932"/>
    <w:rsid w:val="00DA3AFC"/>
    <w:rsid w:val="00DA3F28"/>
    <w:rsid w:val="00DA43E0"/>
    <w:rsid w:val="00DA64F8"/>
    <w:rsid w:val="00DA6C15"/>
    <w:rsid w:val="00DB38EE"/>
    <w:rsid w:val="00DB498B"/>
    <w:rsid w:val="00DB6270"/>
    <w:rsid w:val="00DB66CA"/>
    <w:rsid w:val="00DB6BCA"/>
    <w:rsid w:val="00DB7113"/>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53A3"/>
    <w:rsid w:val="00DE699A"/>
    <w:rsid w:val="00DE6E81"/>
    <w:rsid w:val="00DE703F"/>
    <w:rsid w:val="00DE7595"/>
    <w:rsid w:val="00DF1961"/>
    <w:rsid w:val="00DF44DE"/>
    <w:rsid w:val="00DF4A10"/>
    <w:rsid w:val="00DF605F"/>
    <w:rsid w:val="00E01138"/>
    <w:rsid w:val="00E02DFB"/>
    <w:rsid w:val="00E030F9"/>
    <w:rsid w:val="00E0311A"/>
    <w:rsid w:val="00E03138"/>
    <w:rsid w:val="00E05742"/>
    <w:rsid w:val="00E06404"/>
    <w:rsid w:val="00E102A7"/>
    <w:rsid w:val="00E11A85"/>
    <w:rsid w:val="00E12495"/>
    <w:rsid w:val="00E15CCD"/>
    <w:rsid w:val="00E15D9E"/>
    <w:rsid w:val="00E202EF"/>
    <w:rsid w:val="00E210B5"/>
    <w:rsid w:val="00E22018"/>
    <w:rsid w:val="00E2552F"/>
    <w:rsid w:val="00E3137A"/>
    <w:rsid w:val="00E32213"/>
    <w:rsid w:val="00E32CCF"/>
    <w:rsid w:val="00E33542"/>
    <w:rsid w:val="00E3490D"/>
    <w:rsid w:val="00E34A98"/>
    <w:rsid w:val="00E35D1E"/>
    <w:rsid w:val="00E364F9"/>
    <w:rsid w:val="00E365FA"/>
    <w:rsid w:val="00E36789"/>
    <w:rsid w:val="00E44A83"/>
    <w:rsid w:val="00E45458"/>
    <w:rsid w:val="00E4625B"/>
    <w:rsid w:val="00E502C1"/>
    <w:rsid w:val="00E502DD"/>
    <w:rsid w:val="00E50D3A"/>
    <w:rsid w:val="00E51387"/>
    <w:rsid w:val="00E51E68"/>
    <w:rsid w:val="00E52EFD"/>
    <w:rsid w:val="00E5408A"/>
    <w:rsid w:val="00E56800"/>
    <w:rsid w:val="00E572FA"/>
    <w:rsid w:val="00E57D67"/>
    <w:rsid w:val="00E62FF9"/>
    <w:rsid w:val="00E635D6"/>
    <w:rsid w:val="00E639BC"/>
    <w:rsid w:val="00E652D9"/>
    <w:rsid w:val="00E664CC"/>
    <w:rsid w:val="00E70388"/>
    <w:rsid w:val="00E70B15"/>
    <w:rsid w:val="00E70F92"/>
    <w:rsid w:val="00E72867"/>
    <w:rsid w:val="00E73EC4"/>
    <w:rsid w:val="00E74C54"/>
    <w:rsid w:val="00E77A03"/>
    <w:rsid w:val="00E822E8"/>
    <w:rsid w:val="00E82554"/>
    <w:rsid w:val="00E82606"/>
    <w:rsid w:val="00E846C8"/>
    <w:rsid w:val="00E84957"/>
    <w:rsid w:val="00E84A55"/>
    <w:rsid w:val="00E85BFF"/>
    <w:rsid w:val="00E90391"/>
    <w:rsid w:val="00E906C2"/>
    <w:rsid w:val="00E9070B"/>
    <w:rsid w:val="00E9311F"/>
    <w:rsid w:val="00E934D1"/>
    <w:rsid w:val="00E94AF0"/>
    <w:rsid w:val="00E95D13"/>
    <w:rsid w:val="00E95DD3"/>
    <w:rsid w:val="00E969D5"/>
    <w:rsid w:val="00EA58D1"/>
    <w:rsid w:val="00EA61BC"/>
    <w:rsid w:val="00EA681A"/>
    <w:rsid w:val="00EA69EA"/>
    <w:rsid w:val="00EA6D1F"/>
    <w:rsid w:val="00EA735B"/>
    <w:rsid w:val="00EB1E69"/>
    <w:rsid w:val="00EB2086"/>
    <w:rsid w:val="00EB5EDF"/>
    <w:rsid w:val="00EB60FE"/>
    <w:rsid w:val="00EB74DB"/>
    <w:rsid w:val="00EC5359"/>
    <w:rsid w:val="00EC562A"/>
    <w:rsid w:val="00EC6C3B"/>
    <w:rsid w:val="00ED067A"/>
    <w:rsid w:val="00ED0E5C"/>
    <w:rsid w:val="00ED1576"/>
    <w:rsid w:val="00ED2B50"/>
    <w:rsid w:val="00EE0350"/>
    <w:rsid w:val="00EE0719"/>
    <w:rsid w:val="00EE0E80"/>
    <w:rsid w:val="00EE613F"/>
    <w:rsid w:val="00EE7295"/>
    <w:rsid w:val="00EE7869"/>
    <w:rsid w:val="00EF054A"/>
    <w:rsid w:val="00EF3235"/>
    <w:rsid w:val="00EF6781"/>
    <w:rsid w:val="00EF7E72"/>
    <w:rsid w:val="00F01542"/>
    <w:rsid w:val="00F06D37"/>
    <w:rsid w:val="00F07B9D"/>
    <w:rsid w:val="00F10926"/>
    <w:rsid w:val="00F11586"/>
    <w:rsid w:val="00F1183B"/>
    <w:rsid w:val="00F11C9F"/>
    <w:rsid w:val="00F12263"/>
    <w:rsid w:val="00F1409D"/>
    <w:rsid w:val="00F14214"/>
    <w:rsid w:val="00F157A9"/>
    <w:rsid w:val="00F20A32"/>
    <w:rsid w:val="00F24142"/>
    <w:rsid w:val="00F25BB6"/>
    <w:rsid w:val="00F26B7E"/>
    <w:rsid w:val="00F27A3B"/>
    <w:rsid w:val="00F33817"/>
    <w:rsid w:val="00F3447F"/>
    <w:rsid w:val="00F420D5"/>
    <w:rsid w:val="00F451EA"/>
    <w:rsid w:val="00F45447"/>
    <w:rsid w:val="00F456C6"/>
    <w:rsid w:val="00F4577B"/>
    <w:rsid w:val="00F46496"/>
    <w:rsid w:val="00F474D0"/>
    <w:rsid w:val="00F50179"/>
    <w:rsid w:val="00F5081A"/>
    <w:rsid w:val="00F56511"/>
    <w:rsid w:val="00F6194E"/>
    <w:rsid w:val="00F623AC"/>
    <w:rsid w:val="00F63217"/>
    <w:rsid w:val="00F6412A"/>
    <w:rsid w:val="00F65893"/>
    <w:rsid w:val="00F667A5"/>
    <w:rsid w:val="00F66A4A"/>
    <w:rsid w:val="00F71E22"/>
    <w:rsid w:val="00F72142"/>
    <w:rsid w:val="00F72AE7"/>
    <w:rsid w:val="00F77D98"/>
    <w:rsid w:val="00F833BA"/>
    <w:rsid w:val="00F84FD0"/>
    <w:rsid w:val="00F859A8"/>
    <w:rsid w:val="00F9108B"/>
    <w:rsid w:val="00F91349"/>
    <w:rsid w:val="00F9320B"/>
    <w:rsid w:val="00F93A8A"/>
    <w:rsid w:val="00F95248"/>
    <w:rsid w:val="00F956A9"/>
    <w:rsid w:val="00F963ED"/>
    <w:rsid w:val="00F966CF"/>
    <w:rsid w:val="00F96CAE"/>
    <w:rsid w:val="00F97C99"/>
    <w:rsid w:val="00FA662D"/>
    <w:rsid w:val="00FA6730"/>
    <w:rsid w:val="00FA6A6B"/>
    <w:rsid w:val="00FA73B1"/>
    <w:rsid w:val="00FB0CB9"/>
    <w:rsid w:val="00FB2AD2"/>
    <w:rsid w:val="00FB2BD3"/>
    <w:rsid w:val="00FB45F1"/>
    <w:rsid w:val="00FB4A72"/>
    <w:rsid w:val="00FB4DD8"/>
    <w:rsid w:val="00FB54E8"/>
    <w:rsid w:val="00FB7054"/>
    <w:rsid w:val="00FB7CE8"/>
    <w:rsid w:val="00FB7FEB"/>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AC24BA"/>
    <w:rsid w:val="028C5218"/>
    <w:rsid w:val="02AD4810"/>
    <w:rsid w:val="02FA438B"/>
    <w:rsid w:val="04BD0D47"/>
    <w:rsid w:val="04F318EB"/>
    <w:rsid w:val="05576882"/>
    <w:rsid w:val="066A7A79"/>
    <w:rsid w:val="06E17D3B"/>
    <w:rsid w:val="07125927"/>
    <w:rsid w:val="075D5645"/>
    <w:rsid w:val="07927EAE"/>
    <w:rsid w:val="08244968"/>
    <w:rsid w:val="08B0658D"/>
    <w:rsid w:val="092959CA"/>
    <w:rsid w:val="0B2823DD"/>
    <w:rsid w:val="0B49765E"/>
    <w:rsid w:val="0B6D227A"/>
    <w:rsid w:val="0D157D63"/>
    <w:rsid w:val="0E7D24AD"/>
    <w:rsid w:val="0ED45C6E"/>
    <w:rsid w:val="0ED61D65"/>
    <w:rsid w:val="0FAF37CA"/>
    <w:rsid w:val="10721BB6"/>
    <w:rsid w:val="10A7181A"/>
    <w:rsid w:val="12F366E4"/>
    <w:rsid w:val="138D5AC6"/>
    <w:rsid w:val="1496167B"/>
    <w:rsid w:val="15EF054A"/>
    <w:rsid w:val="16F94DD2"/>
    <w:rsid w:val="1739090C"/>
    <w:rsid w:val="174D0942"/>
    <w:rsid w:val="17887D5F"/>
    <w:rsid w:val="1792102D"/>
    <w:rsid w:val="17AC4D67"/>
    <w:rsid w:val="18345F44"/>
    <w:rsid w:val="1C4F3541"/>
    <w:rsid w:val="1FA11974"/>
    <w:rsid w:val="20211E04"/>
    <w:rsid w:val="20315438"/>
    <w:rsid w:val="205B24B5"/>
    <w:rsid w:val="20FD5BFE"/>
    <w:rsid w:val="2117530F"/>
    <w:rsid w:val="2236598D"/>
    <w:rsid w:val="22800520"/>
    <w:rsid w:val="2292080E"/>
    <w:rsid w:val="22946A8C"/>
    <w:rsid w:val="22A30143"/>
    <w:rsid w:val="2320282F"/>
    <w:rsid w:val="237F335E"/>
    <w:rsid w:val="25C25679"/>
    <w:rsid w:val="26197C96"/>
    <w:rsid w:val="2682413A"/>
    <w:rsid w:val="27E06F42"/>
    <w:rsid w:val="288B3B53"/>
    <w:rsid w:val="2BCE6216"/>
    <w:rsid w:val="2C3344BE"/>
    <w:rsid w:val="2C5259F8"/>
    <w:rsid w:val="2CD930DF"/>
    <w:rsid w:val="2D9C65E3"/>
    <w:rsid w:val="2F927575"/>
    <w:rsid w:val="2FB82D46"/>
    <w:rsid w:val="2FFC3071"/>
    <w:rsid w:val="305F43DB"/>
    <w:rsid w:val="31102C0A"/>
    <w:rsid w:val="313C3697"/>
    <w:rsid w:val="31593B09"/>
    <w:rsid w:val="318D26EA"/>
    <w:rsid w:val="3954751B"/>
    <w:rsid w:val="3B4C0BB0"/>
    <w:rsid w:val="3C27075C"/>
    <w:rsid w:val="3DCB2851"/>
    <w:rsid w:val="3DEC0025"/>
    <w:rsid w:val="3E350900"/>
    <w:rsid w:val="3F112120"/>
    <w:rsid w:val="41C51A2C"/>
    <w:rsid w:val="43852524"/>
    <w:rsid w:val="440167FE"/>
    <w:rsid w:val="44185647"/>
    <w:rsid w:val="444B5F4A"/>
    <w:rsid w:val="44B71B00"/>
    <w:rsid w:val="453010B7"/>
    <w:rsid w:val="456D319A"/>
    <w:rsid w:val="456F4189"/>
    <w:rsid w:val="46D6757D"/>
    <w:rsid w:val="470B1C8F"/>
    <w:rsid w:val="47FF6F25"/>
    <w:rsid w:val="488241D3"/>
    <w:rsid w:val="48E626E8"/>
    <w:rsid w:val="4A111AEE"/>
    <w:rsid w:val="4ABA28A7"/>
    <w:rsid w:val="4BF4028E"/>
    <w:rsid w:val="4E16009F"/>
    <w:rsid w:val="500F2A77"/>
    <w:rsid w:val="51167BAE"/>
    <w:rsid w:val="515A41E2"/>
    <w:rsid w:val="51735001"/>
    <w:rsid w:val="51B0516E"/>
    <w:rsid w:val="52F22204"/>
    <w:rsid w:val="541C548D"/>
    <w:rsid w:val="546F1475"/>
    <w:rsid w:val="559D43FA"/>
    <w:rsid w:val="561D19DF"/>
    <w:rsid w:val="564E1B99"/>
    <w:rsid w:val="58241EC3"/>
    <w:rsid w:val="5A62004F"/>
    <w:rsid w:val="5B08233D"/>
    <w:rsid w:val="5B7B3CC8"/>
    <w:rsid w:val="5BF546B8"/>
    <w:rsid w:val="5CF11A01"/>
    <w:rsid w:val="5D9E169F"/>
    <w:rsid w:val="5DE72799"/>
    <w:rsid w:val="5EA26B50"/>
    <w:rsid w:val="5F4D4A7B"/>
    <w:rsid w:val="60BD26C3"/>
    <w:rsid w:val="61C114FD"/>
    <w:rsid w:val="62A5542C"/>
    <w:rsid w:val="637D2246"/>
    <w:rsid w:val="65890E41"/>
    <w:rsid w:val="65F406D1"/>
    <w:rsid w:val="6817628E"/>
    <w:rsid w:val="68A0380C"/>
    <w:rsid w:val="69EF78E6"/>
    <w:rsid w:val="69F44661"/>
    <w:rsid w:val="6B5060B2"/>
    <w:rsid w:val="6B553416"/>
    <w:rsid w:val="6B685053"/>
    <w:rsid w:val="6BEC4CC9"/>
    <w:rsid w:val="6CAC2CED"/>
    <w:rsid w:val="6CB32CE3"/>
    <w:rsid w:val="6D560A21"/>
    <w:rsid w:val="6DDE7634"/>
    <w:rsid w:val="6E563C6F"/>
    <w:rsid w:val="6ED6465E"/>
    <w:rsid w:val="6F202DC3"/>
    <w:rsid w:val="70B632BF"/>
    <w:rsid w:val="716C315B"/>
    <w:rsid w:val="72C819FB"/>
    <w:rsid w:val="738F1BF5"/>
    <w:rsid w:val="751678CE"/>
    <w:rsid w:val="75395885"/>
    <w:rsid w:val="7568109F"/>
    <w:rsid w:val="757415C3"/>
    <w:rsid w:val="779759AB"/>
    <w:rsid w:val="78B74F24"/>
    <w:rsid w:val="79313EF1"/>
    <w:rsid w:val="7A38141D"/>
    <w:rsid w:val="7AB160CE"/>
    <w:rsid w:val="7B6F0435"/>
    <w:rsid w:val="7BA774D1"/>
    <w:rsid w:val="7BFA4777"/>
    <w:rsid w:val="7D502D5B"/>
    <w:rsid w:val="7DAB10A1"/>
    <w:rsid w:val="7FE83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name="Plain Text"/>
    <w:lsdException w:uiPriority="99" w:name="E-mail Signature"/>
    <w:lsdException w:qFormat="1" w:unhideWhenUsed="0" w:uiPriority="0"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4">
    <w:name w:val="heading 1"/>
    <w:basedOn w:val="1"/>
    <w:next w:val="1"/>
    <w:link w:val="54"/>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5"/>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6"/>
    <w:qFormat/>
    <w:uiPriority w:val="0"/>
    <w:pPr>
      <w:keepNext/>
      <w:keepLines/>
      <w:spacing w:before="260" w:after="260" w:line="416" w:lineRule="auto"/>
      <w:outlineLvl w:val="2"/>
    </w:pPr>
    <w:rPr>
      <w:b/>
      <w:bCs/>
      <w:sz w:val="32"/>
      <w:szCs w:val="32"/>
    </w:rPr>
  </w:style>
  <w:style w:type="paragraph" w:styleId="7">
    <w:name w:val="heading 4"/>
    <w:basedOn w:val="1"/>
    <w:next w:val="1"/>
    <w:link w:val="57"/>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58"/>
    <w:qFormat/>
    <w:uiPriority w:val="0"/>
    <w:pPr>
      <w:keepNext/>
      <w:keepLines/>
      <w:adjustRightInd/>
      <w:spacing w:before="280" w:after="290" w:line="376" w:lineRule="auto"/>
      <w:outlineLvl w:val="4"/>
    </w:pPr>
    <w:rPr>
      <w:b/>
      <w:bCs/>
      <w:sz w:val="28"/>
      <w:szCs w:val="28"/>
    </w:rPr>
  </w:style>
  <w:style w:type="paragraph" w:styleId="9">
    <w:name w:val="heading 6"/>
    <w:basedOn w:val="1"/>
    <w:next w:val="1"/>
    <w:link w:val="59"/>
    <w:qFormat/>
    <w:uiPriority w:val="0"/>
    <w:pPr>
      <w:keepNext/>
      <w:keepLines/>
      <w:adjustRightInd/>
      <w:spacing w:before="240" w:after="64" w:line="320" w:lineRule="auto"/>
      <w:outlineLvl w:val="5"/>
    </w:pPr>
    <w:rPr>
      <w:rFonts w:ascii="Arial" w:hAnsi="Arial" w:eastAsia="黑体"/>
      <w:b/>
      <w:bCs/>
      <w:sz w:val="24"/>
      <w:szCs w:val="24"/>
    </w:rPr>
  </w:style>
  <w:style w:type="paragraph" w:styleId="10">
    <w:name w:val="heading 7"/>
    <w:basedOn w:val="1"/>
    <w:next w:val="1"/>
    <w:link w:val="60"/>
    <w:qFormat/>
    <w:uiPriority w:val="0"/>
    <w:pPr>
      <w:keepNext/>
      <w:keepLines/>
      <w:adjustRightInd/>
      <w:spacing w:before="240" w:after="64" w:line="320" w:lineRule="auto"/>
      <w:outlineLvl w:val="6"/>
    </w:pPr>
    <w:rPr>
      <w:b/>
      <w:bCs/>
      <w:sz w:val="24"/>
      <w:szCs w:val="24"/>
    </w:rPr>
  </w:style>
  <w:style w:type="paragraph" w:styleId="11">
    <w:name w:val="heading 8"/>
    <w:basedOn w:val="1"/>
    <w:next w:val="1"/>
    <w:link w:val="61"/>
    <w:qFormat/>
    <w:uiPriority w:val="0"/>
    <w:pPr>
      <w:keepNext/>
      <w:keepLines/>
      <w:adjustRightInd/>
      <w:spacing w:before="240" w:after="64" w:line="320" w:lineRule="auto"/>
      <w:outlineLvl w:val="7"/>
    </w:pPr>
    <w:rPr>
      <w:rFonts w:ascii="Arial" w:hAnsi="Arial" w:eastAsia="黑体"/>
      <w:sz w:val="24"/>
      <w:szCs w:val="24"/>
    </w:rPr>
  </w:style>
  <w:style w:type="paragraph" w:styleId="12">
    <w:name w:val="heading 9"/>
    <w:basedOn w:val="1"/>
    <w:next w:val="1"/>
    <w:link w:val="62"/>
    <w:qFormat/>
    <w:uiPriority w:val="0"/>
    <w:pPr>
      <w:keepNext/>
      <w:keepLines/>
      <w:adjustRightInd/>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adjustRightInd/>
      <w:spacing w:line="240" w:lineRule="auto"/>
      <w:ind w:firstLine="420" w:firstLineChars="100"/>
    </w:pPr>
    <w:rPr>
      <w:szCs w:val="22"/>
    </w:rPr>
  </w:style>
  <w:style w:type="paragraph" w:styleId="3">
    <w:name w:val="Body Text"/>
    <w:basedOn w:val="1"/>
    <w:link w:val="106"/>
    <w:qFormat/>
    <w:uiPriority w:val="99"/>
    <w:pPr>
      <w:spacing w:after="120"/>
    </w:pPr>
  </w:style>
  <w:style w:type="paragraph" w:styleId="13">
    <w:name w:val="toc 7"/>
    <w:basedOn w:val="1"/>
    <w:next w:val="1"/>
    <w:unhideWhenUsed/>
    <w:qFormat/>
    <w:uiPriority w:val="39"/>
    <w:pPr>
      <w:tabs>
        <w:tab w:val="right" w:leader="dot" w:pos="9344"/>
      </w:tabs>
      <w:spacing w:line="300" w:lineRule="exact"/>
      <w:ind w:left="1259"/>
    </w:pPr>
    <w:rPr>
      <w:rFonts w:ascii="宋体"/>
    </w:rPr>
  </w:style>
  <w:style w:type="paragraph" w:styleId="14">
    <w:name w:val="Normal Indent"/>
    <w:basedOn w:val="1"/>
    <w:qFormat/>
    <w:uiPriority w:val="99"/>
    <w:pPr>
      <w:ind w:firstLine="420"/>
    </w:pPr>
  </w:style>
  <w:style w:type="paragraph" w:styleId="15">
    <w:name w:val="Document Map"/>
    <w:basedOn w:val="1"/>
    <w:link w:val="250"/>
    <w:semiHidden/>
    <w:unhideWhenUsed/>
    <w:qFormat/>
    <w:uiPriority w:val="99"/>
    <w:rPr>
      <w:rFonts w:ascii="宋体"/>
      <w:sz w:val="18"/>
      <w:szCs w:val="18"/>
    </w:rPr>
  </w:style>
  <w:style w:type="paragraph" w:styleId="16">
    <w:name w:val="annotation text"/>
    <w:basedOn w:val="1"/>
    <w:link w:val="260"/>
    <w:unhideWhenUsed/>
    <w:qFormat/>
    <w:uiPriority w:val="0"/>
    <w:pPr>
      <w:jc w:val="left"/>
    </w:pPr>
  </w:style>
  <w:style w:type="paragraph" w:styleId="17">
    <w:name w:val="HTML Address"/>
    <w:basedOn w:val="1"/>
    <w:link w:val="256"/>
    <w:semiHidden/>
    <w:qFormat/>
    <w:uiPriority w:val="0"/>
    <w:pPr>
      <w:adjustRightInd/>
      <w:spacing w:line="240" w:lineRule="auto"/>
    </w:pPr>
    <w:rPr>
      <w:i/>
      <w:iCs/>
      <w:szCs w:val="24"/>
    </w:rPr>
  </w:style>
  <w:style w:type="paragraph" w:styleId="18">
    <w:name w:val="toc 5"/>
    <w:basedOn w:val="1"/>
    <w:next w:val="1"/>
    <w:unhideWhenUsed/>
    <w:qFormat/>
    <w:uiPriority w:val="39"/>
    <w:pPr>
      <w:ind w:left="839"/>
    </w:pPr>
    <w:rPr>
      <w:rFonts w:ascii="宋体"/>
    </w:rPr>
  </w:style>
  <w:style w:type="paragraph" w:styleId="19">
    <w:name w:val="toc 3"/>
    <w:basedOn w:val="1"/>
    <w:next w:val="1"/>
    <w:unhideWhenUsed/>
    <w:qFormat/>
    <w:uiPriority w:val="39"/>
    <w:pPr>
      <w:spacing w:line="300" w:lineRule="exact"/>
      <w:ind w:left="420"/>
    </w:pPr>
    <w:rPr>
      <w:rFonts w:ascii="宋体"/>
    </w:rPr>
  </w:style>
  <w:style w:type="paragraph" w:styleId="20">
    <w:name w:val="Plain Text"/>
    <w:basedOn w:val="1"/>
    <w:link w:val="257"/>
    <w:semiHidden/>
    <w:qFormat/>
    <w:uiPriority w:val="0"/>
    <w:pPr>
      <w:adjustRightInd/>
      <w:spacing w:line="240" w:lineRule="auto"/>
    </w:pPr>
    <w:rPr>
      <w:rFonts w:ascii="宋体" w:hAnsi="Courier New"/>
      <w:color w:val="000000"/>
    </w:rPr>
  </w:style>
  <w:style w:type="paragraph" w:styleId="21">
    <w:name w:val="toc 8"/>
    <w:basedOn w:val="1"/>
    <w:next w:val="1"/>
    <w:unhideWhenUsed/>
    <w:qFormat/>
    <w:uiPriority w:val="39"/>
    <w:pPr>
      <w:adjustRightInd/>
      <w:spacing w:after="160" w:line="278" w:lineRule="auto"/>
      <w:ind w:left="2940" w:leftChars="1400"/>
      <w:jc w:val="left"/>
    </w:pPr>
    <w:rPr>
      <w:rFonts w:asciiTheme="minorHAnsi" w:hAnsiTheme="minorHAnsi" w:eastAsiaTheme="minorEastAsia" w:cstheme="minorBidi"/>
      <w:sz w:val="22"/>
      <w:szCs w:val="24"/>
      <w14:ligatures w14:val="standardContextual"/>
    </w:rPr>
  </w:style>
  <w:style w:type="paragraph" w:styleId="22">
    <w:name w:val="Date"/>
    <w:basedOn w:val="1"/>
    <w:next w:val="1"/>
    <w:link w:val="258"/>
    <w:unhideWhenUsed/>
    <w:qFormat/>
    <w:uiPriority w:val="99"/>
    <w:pPr>
      <w:adjustRightInd/>
      <w:spacing w:line="240" w:lineRule="auto"/>
      <w:ind w:left="100" w:leftChars="2500"/>
    </w:pPr>
    <w:rPr>
      <w:szCs w:val="24"/>
    </w:rPr>
  </w:style>
  <w:style w:type="paragraph" w:styleId="23">
    <w:name w:val="Balloon Text"/>
    <w:basedOn w:val="1"/>
    <w:link w:val="65"/>
    <w:unhideWhenUsed/>
    <w:qFormat/>
    <w:uiPriority w:val="0"/>
    <w:rPr>
      <w:sz w:val="18"/>
      <w:szCs w:val="18"/>
    </w:rPr>
  </w:style>
  <w:style w:type="paragraph" w:styleId="24">
    <w:name w:val="footer"/>
    <w:basedOn w:val="1"/>
    <w:link w:val="64"/>
    <w:qFormat/>
    <w:uiPriority w:val="99"/>
    <w:pPr>
      <w:tabs>
        <w:tab w:val="center" w:pos="4153"/>
        <w:tab w:val="right" w:pos="8306"/>
      </w:tabs>
      <w:adjustRightInd/>
      <w:snapToGrid w:val="0"/>
      <w:spacing w:line="240" w:lineRule="auto"/>
      <w:jc w:val="right"/>
    </w:pPr>
    <w:rPr>
      <w:rFonts w:ascii="宋体"/>
      <w:sz w:val="18"/>
      <w:szCs w:val="18"/>
    </w:rPr>
  </w:style>
  <w:style w:type="paragraph" w:styleId="25">
    <w:name w:val="header"/>
    <w:basedOn w:val="1"/>
    <w:link w:val="63"/>
    <w:qFormat/>
    <w:uiPriority w:val="0"/>
    <w:pPr>
      <w:tabs>
        <w:tab w:val="center" w:pos="4153"/>
        <w:tab w:val="right" w:pos="8306"/>
      </w:tabs>
      <w:adjustRightInd/>
      <w:snapToGrid w:val="0"/>
      <w:jc w:val="center"/>
    </w:pPr>
    <w:rPr>
      <w:sz w:val="18"/>
      <w:szCs w:val="18"/>
    </w:rPr>
  </w:style>
  <w:style w:type="paragraph" w:styleId="26">
    <w:name w:val="toc 1"/>
    <w:basedOn w:val="1"/>
    <w:next w:val="1"/>
    <w:unhideWhenUsed/>
    <w:qFormat/>
    <w:uiPriority w:val="39"/>
    <w:rPr>
      <w:rFonts w:ascii="宋体"/>
    </w:rPr>
  </w:style>
  <w:style w:type="paragraph" w:styleId="27">
    <w:name w:val="toc 4"/>
    <w:basedOn w:val="1"/>
    <w:next w:val="1"/>
    <w:unhideWhenUsed/>
    <w:qFormat/>
    <w:uiPriority w:val="39"/>
    <w:pPr>
      <w:tabs>
        <w:tab w:val="right" w:leader="dot" w:pos="9344"/>
      </w:tabs>
      <w:spacing w:line="300" w:lineRule="exact"/>
      <w:ind w:left="629"/>
    </w:pPr>
    <w:rPr>
      <w:rFonts w:ascii="宋体"/>
    </w:rPr>
  </w:style>
  <w:style w:type="paragraph" w:styleId="28">
    <w:name w:val="footnote text"/>
    <w:basedOn w:val="1"/>
    <w:next w:val="1"/>
    <w:link w:val="11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9">
    <w:name w:val="toc 6"/>
    <w:basedOn w:val="1"/>
    <w:next w:val="1"/>
    <w:unhideWhenUsed/>
    <w:qFormat/>
    <w:uiPriority w:val="39"/>
    <w:pPr>
      <w:spacing w:line="300" w:lineRule="exact"/>
      <w:ind w:left="1049"/>
    </w:pPr>
    <w:rPr>
      <w:rFonts w:ascii="宋体"/>
    </w:rPr>
  </w:style>
  <w:style w:type="paragraph" w:styleId="30">
    <w:name w:val="table of figures"/>
    <w:basedOn w:val="1"/>
    <w:next w:val="1"/>
    <w:semiHidden/>
    <w:qFormat/>
    <w:uiPriority w:val="0"/>
    <w:pPr>
      <w:adjustRightInd/>
      <w:spacing w:line="240" w:lineRule="auto"/>
      <w:jc w:val="left"/>
    </w:pPr>
    <w:rPr>
      <w:szCs w:val="24"/>
    </w:rPr>
  </w:style>
  <w:style w:type="paragraph" w:styleId="31">
    <w:name w:val="toc 2"/>
    <w:basedOn w:val="1"/>
    <w:next w:val="1"/>
    <w:unhideWhenUsed/>
    <w:qFormat/>
    <w:uiPriority w:val="39"/>
    <w:pPr>
      <w:tabs>
        <w:tab w:val="right" w:leader="dot" w:pos="9344"/>
      </w:tabs>
      <w:spacing w:line="300" w:lineRule="exact"/>
      <w:ind w:left="210"/>
    </w:pPr>
    <w:rPr>
      <w:rFonts w:ascii="宋体"/>
    </w:rPr>
  </w:style>
  <w:style w:type="paragraph" w:styleId="32">
    <w:name w:val="toc 9"/>
    <w:basedOn w:val="1"/>
    <w:next w:val="1"/>
    <w:unhideWhenUsed/>
    <w:qFormat/>
    <w:uiPriority w:val="39"/>
    <w:pPr>
      <w:adjustRightInd/>
      <w:spacing w:after="160" w:line="278" w:lineRule="auto"/>
      <w:ind w:left="3360" w:leftChars="1600"/>
      <w:jc w:val="left"/>
    </w:pPr>
    <w:rPr>
      <w:rFonts w:asciiTheme="minorHAnsi" w:hAnsiTheme="minorHAnsi" w:eastAsiaTheme="minorEastAsia" w:cstheme="minorBidi"/>
      <w:sz w:val="22"/>
      <w:szCs w:val="24"/>
      <w14:ligatures w14:val="standardContextual"/>
    </w:rPr>
  </w:style>
  <w:style w:type="paragraph" w:styleId="33">
    <w:name w:val="HTML Preformatted"/>
    <w:basedOn w:val="1"/>
    <w:link w:val="259"/>
    <w:semiHidden/>
    <w:qFormat/>
    <w:uiPriority w:val="0"/>
    <w:pPr>
      <w:adjustRightInd/>
      <w:spacing w:line="240" w:lineRule="auto"/>
    </w:pPr>
    <w:rPr>
      <w:rFonts w:ascii="Courier New" w:hAnsi="Courier New" w:cs="Courier New"/>
      <w:sz w:val="20"/>
      <w:szCs w:val="20"/>
    </w:rPr>
  </w:style>
  <w:style w:type="paragraph" w:styleId="34">
    <w:name w:val="Normal (Web)"/>
    <w:basedOn w:val="1"/>
    <w:qFormat/>
    <w:uiPriority w:val="0"/>
    <w:pPr>
      <w:widowControl/>
      <w:adjustRightInd/>
      <w:spacing w:before="100" w:beforeAutospacing="1" w:after="100" w:afterAutospacing="1" w:line="240" w:lineRule="auto"/>
      <w:jc w:val="left"/>
    </w:pPr>
    <w:rPr>
      <w:rFonts w:ascii="宋体" w:hAnsi="宋体"/>
      <w:kern w:val="0"/>
      <w:sz w:val="24"/>
      <w:szCs w:val="24"/>
    </w:rPr>
  </w:style>
  <w:style w:type="paragraph" w:styleId="35">
    <w:name w:val="Title"/>
    <w:basedOn w:val="1"/>
    <w:link w:val="68"/>
    <w:qFormat/>
    <w:uiPriority w:val="0"/>
    <w:pPr>
      <w:spacing w:before="240" w:after="60"/>
      <w:jc w:val="center"/>
      <w:outlineLvl w:val="0"/>
    </w:pPr>
    <w:rPr>
      <w:rFonts w:ascii="Arial" w:hAnsi="Arial" w:cs="Arial"/>
      <w:b/>
      <w:bCs/>
      <w:sz w:val="32"/>
      <w:szCs w:val="32"/>
    </w:rPr>
  </w:style>
  <w:style w:type="paragraph" w:styleId="36">
    <w:name w:val="annotation subject"/>
    <w:basedOn w:val="16"/>
    <w:next w:val="16"/>
    <w:link w:val="261"/>
    <w:qFormat/>
    <w:uiPriority w:val="0"/>
    <w:pPr>
      <w:adjustRightInd/>
      <w:spacing w:line="240" w:lineRule="auto"/>
    </w:pPr>
    <w:rPr>
      <w:b/>
      <w:bCs/>
      <w:szCs w:val="24"/>
    </w:rPr>
  </w:style>
  <w:style w:type="table" w:styleId="38">
    <w:name w:val="Table Grid"/>
    <w:basedOn w:val="3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22"/>
    <w:rPr>
      <w:b/>
      <w:bCs/>
    </w:rPr>
  </w:style>
  <w:style w:type="character" w:styleId="41">
    <w:name w:val="page number"/>
    <w:qFormat/>
    <w:uiPriority w:val="0"/>
    <w:rPr>
      <w:rFonts w:ascii="宋体" w:hAnsi="Times New Roman" w:eastAsia="宋体"/>
      <w:sz w:val="18"/>
    </w:rPr>
  </w:style>
  <w:style w:type="character" w:styleId="42">
    <w:name w:val="Emphasis"/>
    <w:qFormat/>
    <w:uiPriority w:val="20"/>
    <w:rPr>
      <w:i/>
      <w:iCs/>
    </w:rPr>
  </w:style>
  <w:style w:type="character" w:styleId="43">
    <w:name w:val="HTML Definition"/>
    <w:semiHidden/>
    <w:qFormat/>
    <w:uiPriority w:val="0"/>
    <w:rPr>
      <w:i/>
      <w:iCs/>
    </w:rPr>
  </w:style>
  <w:style w:type="character" w:styleId="44">
    <w:name w:val="HTML Typewriter"/>
    <w:semiHidden/>
    <w:qFormat/>
    <w:uiPriority w:val="0"/>
    <w:rPr>
      <w:rFonts w:ascii="Courier New" w:hAnsi="Courier New"/>
      <w:sz w:val="20"/>
      <w:szCs w:val="20"/>
    </w:rPr>
  </w:style>
  <w:style w:type="character" w:styleId="45">
    <w:name w:val="HTML Acronym"/>
    <w:semiHidden/>
    <w:qFormat/>
    <w:uiPriority w:val="0"/>
  </w:style>
  <w:style w:type="character" w:styleId="46">
    <w:name w:val="HTML Variable"/>
    <w:semiHidden/>
    <w:qFormat/>
    <w:uiPriority w:val="0"/>
    <w:rPr>
      <w:i/>
      <w:iCs/>
    </w:rPr>
  </w:style>
  <w:style w:type="character" w:styleId="47">
    <w:name w:val="Hyperlink"/>
    <w:qFormat/>
    <w:uiPriority w:val="99"/>
    <w:rPr>
      <w:rFonts w:ascii="宋体" w:hAnsi="Times New Roman" w:eastAsia="宋体"/>
      <w:color w:val="auto"/>
      <w:spacing w:val="0"/>
      <w:w w:val="100"/>
      <w:position w:val="0"/>
      <w:sz w:val="21"/>
      <w:u w:val="none"/>
      <w:vertAlign w:val="baseline"/>
    </w:rPr>
  </w:style>
  <w:style w:type="character" w:styleId="48">
    <w:name w:val="HTML Code"/>
    <w:semiHidden/>
    <w:qFormat/>
    <w:uiPriority w:val="0"/>
    <w:rPr>
      <w:rFonts w:ascii="Courier New" w:hAnsi="Courier New"/>
      <w:sz w:val="20"/>
      <w:szCs w:val="20"/>
    </w:rPr>
  </w:style>
  <w:style w:type="character" w:styleId="49">
    <w:name w:val="annotation reference"/>
    <w:unhideWhenUsed/>
    <w:qFormat/>
    <w:uiPriority w:val="99"/>
    <w:rPr>
      <w:sz w:val="21"/>
      <w:szCs w:val="21"/>
    </w:rPr>
  </w:style>
  <w:style w:type="character" w:styleId="50">
    <w:name w:val="HTML Cite"/>
    <w:semiHidden/>
    <w:qFormat/>
    <w:uiPriority w:val="0"/>
    <w:rPr>
      <w:i/>
      <w:iCs/>
    </w:rPr>
  </w:style>
  <w:style w:type="character" w:styleId="51">
    <w:name w:val="footnote reference"/>
    <w:semiHidden/>
    <w:qFormat/>
    <w:uiPriority w:val="0"/>
    <w:rPr>
      <w:rFonts w:ascii="宋体" w:hAnsi="宋体" w:eastAsia="宋体" w:cs="Times New Roman"/>
      <w:spacing w:val="0"/>
      <w:sz w:val="18"/>
      <w:vertAlign w:val="superscript"/>
    </w:rPr>
  </w:style>
  <w:style w:type="character" w:styleId="52">
    <w:name w:val="HTML Keyboard"/>
    <w:semiHidden/>
    <w:qFormat/>
    <w:uiPriority w:val="0"/>
    <w:rPr>
      <w:rFonts w:ascii="Courier New" w:hAnsi="Courier New"/>
      <w:sz w:val="20"/>
      <w:szCs w:val="20"/>
    </w:rPr>
  </w:style>
  <w:style w:type="character" w:styleId="53">
    <w:name w:val="HTML Sample"/>
    <w:semiHidden/>
    <w:qFormat/>
    <w:uiPriority w:val="0"/>
    <w:rPr>
      <w:rFonts w:ascii="Courier New" w:hAnsi="Courier New"/>
    </w:rPr>
  </w:style>
  <w:style w:type="character" w:customStyle="1" w:styleId="54">
    <w:name w:val="标题 1 字符"/>
    <w:link w:val="4"/>
    <w:qFormat/>
    <w:uiPriority w:val="0"/>
    <w:rPr>
      <w:b/>
      <w:bCs/>
      <w:kern w:val="44"/>
      <w:sz w:val="44"/>
      <w:szCs w:val="44"/>
    </w:rPr>
  </w:style>
  <w:style w:type="character" w:customStyle="1" w:styleId="55">
    <w:name w:val="标题 2 字符"/>
    <w:link w:val="5"/>
    <w:qFormat/>
    <w:uiPriority w:val="0"/>
    <w:rPr>
      <w:rFonts w:ascii="Arial" w:hAnsi="Arial" w:eastAsia="黑体"/>
      <w:b/>
      <w:bCs/>
      <w:kern w:val="2"/>
      <w:sz w:val="32"/>
      <w:szCs w:val="32"/>
    </w:rPr>
  </w:style>
  <w:style w:type="character" w:customStyle="1" w:styleId="56">
    <w:name w:val="标题 3 字符"/>
    <w:link w:val="6"/>
    <w:qFormat/>
    <w:uiPriority w:val="0"/>
    <w:rPr>
      <w:b/>
      <w:bCs/>
      <w:kern w:val="2"/>
      <w:sz w:val="32"/>
      <w:szCs w:val="32"/>
    </w:rPr>
  </w:style>
  <w:style w:type="character" w:customStyle="1" w:styleId="57">
    <w:name w:val="标题 4 字符"/>
    <w:link w:val="7"/>
    <w:qFormat/>
    <w:uiPriority w:val="0"/>
    <w:rPr>
      <w:rFonts w:ascii="Arial" w:hAnsi="Arial" w:eastAsia="黑体"/>
      <w:b/>
      <w:bCs/>
      <w:kern w:val="2"/>
      <w:sz w:val="28"/>
      <w:szCs w:val="28"/>
    </w:rPr>
  </w:style>
  <w:style w:type="character" w:customStyle="1" w:styleId="58">
    <w:name w:val="标题 5 字符"/>
    <w:link w:val="8"/>
    <w:qFormat/>
    <w:uiPriority w:val="0"/>
    <w:rPr>
      <w:b/>
      <w:bCs/>
      <w:kern w:val="2"/>
      <w:sz w:val="28"/>
      <w:szCs w:val="28"/>
    </w:rPr>
  </w:style>
  <w:style w:type="character" w:customStyle="1" w:styleId="59">
    <w:name w:val="标题 6 字符"/>
    <w:link w:val="9"/>
    <w:qFormat/>
    <w:uiPriority w:val="0"/>
    <w:rPr>
      <w:rFonts w:ascii="Arial" w:hAnsi="Arial" w:eastAsia="黑体"/>
      <w:b/>
      <w:bCs/>
      <w:kern w:val="2"/>
      <w:sz w:val="24"/>
      <w:szCs w:val="24"/>
    </w:rPr>
  </w:style>
  <w:style w:type="character" w:customStyle="1" w:styleId="60">
    <w:name w:val="标题 7 字符"/>
    <w:link w:val="10"/>
    <w:qFormat/>
    <w:uiPriority w:val="0"/>
    <w:rPr>
      <w:b/>
      <w:bCs/>
      <w:kern w:val="2"/>
      <w:sz w:val="24"/>
      <w:szCs w:val="24"/>
    </w:rPr>
  </w:style>
  <w:style w:type="character" w:customStyle="1" w:styleId="61">
    <w:name w:val="标题 8 字符"/>
    <w:link w:val="11"/>
    <w:qFormat/>
    <w:uiPriority w:val="0"/>
    <w:rPr>
      <w:rFonts w:ascii="Arial" w:hAnsi="Arial" w:eastAsia="黑体"/>
      <w:kern w:val="2"/>
      <w:sz w:val="24"/>
      <w:szCs w:val="24"/>
    </w:rPr>
  </w:style>
  <w:style w:type="character" w:customStyle="1" w:styleId="62">
    <w:name w:val="标题 9 字符"/>
    <w:link w:val="12"/>
    <w:qFormat/>
    <w:uiPriority w:val="0"/>
    <w:rPr>
      <w:rFonts w:ascii="Arial" w:hAnsi="Arial" w:eastAsia="黑体"/>
      <w:kern w:val="2"/>
      <w:sz w:val="21"/>
      <w:szCs w:val="21"/>
    </w:rPr>
  </w:style>
  <w:style w:type="character" w:customStyle="1" w:styleId="63">
    <w:name w:val="页眉 字符"/>
    <w:link w:val="25"/>
    <w:qFormat/>
    <w:uiPriority w:val="99"/>
    <w:rPr>
      <w:kern w:val="2"/>
      <w:sz w:val="18"/>
      <w:szCs w:val="18"/>
    </w:rPr>
  </w:style>
  <w:style w:type="character" w:customStyle="1" w:styleId="64">
    <w:name w:val="页脚 字符"/>
    <w:link w:val="24"/>
    <w:qFormat/>
    <w:uiPriority w:val="99"/>
    <w:rPr>
      <w:rFonts w:ascii="宋体"/>
      <w:kern w:val="2"/>
      <w:sz w:val="18"/>
      <w:szCs w:val="18"/>
    </w:rPr>
  </w:style>
  <w:style w:type="character" w:customStyle="1" w:styleId="65">
    <w:name w:val="批注框文本 字符"/>
    <w:link w:val="23"/>
    <w:semiHidden/>
    <w:qFormat/>
    <w:uiPriority w:val="99"/>
    <w:rPr>
      <w:kern w:val="2"/>
      <w:sz w:val="18"/>
      <w:szCs w:val="18"/>
    </w:rPr>
  </w:style>
  <w:style w:type="paragraph" w:styleId="66">
    <w:name w:val="Quote"/>
    <w:basedOn w:val="1"/>
    <w:next w:val="1"/>
    <w:link w:val="67"/>
    <w:qFormat/>
    <w:uiPriority w:val="29"/>
    <w:rPr>
      <w:i/>
      <w:iCs/>
      <w:color w:val="000000"/>
    </w:rPr>
  </w:style>
  <w:style w:type="character" w:customStyle="1" w:styleId="67">
    <w:name w:val="引用 字符"/>
    <w:link w:val="66"/>
    <w:qFormat/>
    <w:uiPriority w:val="29"/>
    <w:rPr>
      <w:i/>
      <w:iCs/>
      <w:color w:val="000000"/>
      <w:kern w:val="2"/>
      <w:sz w:val="21"/>
      <w:szCs w:val="21"/>
    </w:rPr>
  </w:style>
  <w:style w:type="character" w:customStyle="1" w:styleId="68">
    <w:name w:val="标题 字符"/>
    <w:link w:val="35"/>
    <w:qFormat/>
    <w:uiPriority w:val="0"/>
    <w:rPr>
      <w:rFonts w:ascii="Arial" w:hAnsi="Arial" w:cs="Arial"/>
      <w:b/>
      <w:bCs/>
      <w:kern w:val="2"/>
      <w:sz w:val="32"/>
      <w:szCs w:val="32"/>
    </w:rPr>
  </w:style>
  <w:style w:type="paragraph" w:customStyle="1" w:styleId="6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7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7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73">
    <w:name w:val="标准书眉一"/>
    <w:qFormat/>
    <w:uiPriority w:val="0"/>
    <w:pPr>
      <w:jc w:val="both"/>
    </w:pPr>
    <w:rPr>
      <w:rFonts w:ascii="Times New Roman" w:hAnsi="Times New Roman" w:eastAsia="宋体" w:cs="Times New Roman"/>
      <w:lang w:val="en-US" w:eastAsia="zh-CN" w:bidi="ar-SA"/>
    </w:rPr>
  </w:style>
  <w:style w:type="paragraph" w:customStyle="1" w:styleId="74">
    <w:name w:val="标准文件_ICS"/>
    <w:basedOn w:val="1"/>
    <w:qFormat/>
    <w:uiPriority w:val="0"/>
    <w:pPr>
      <w:spacing w:line="0" w:lineRule="atLeast"/>
    </w:pPr>
    <w:rPr>
      <w:rFonts w:ascii="黑体" w:hAnsi="宋体" w:eastAsia="黑体"/>
    </w:rPr>
  </w:style>
  <w:style w:type="paragraph" w:customStyle="1" w:styleId="75">
    <w:name w:val="标准文件_标准正文"/>
    <w:basedOn w:val="1"/>
    <w:next w:val="76"/>
    <w:qFormat/>
    <w:uiPriority w:val="0"/>
    <w:pPr>
      <w:snapToGrid w:val="0"/>
      <w:ind w:firstLine="200" w:firstLineChars="200"/>
    </w:pPr>
    <w:rPr>
      <w:kern w:val="0"/>
    </w:rPr>
  </w:style>
  <w:style w:type="paragraph" w:customStyle="1" w:styleId="76">
    <w:name w:val="标准文件_段"/>
    <w:link w:val="20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7">
    <w:name w:val="标准文件_版本"/>
    <w:basedOn w:val="75"/>
    <w:qFormat/>
    <w:uiPriority w:val="0"/>
    <w:pPr>
      <w:adjustRightInd/>
      <w:snapToGrid/>
      <w:ind w:firstLine="0" w:firstLineChars="0"/>
    </w:pPr>
    <w:rPr>
      <w:rFonts w:ascii="宋体" w:hAnsi="宋体"/>
      <w:kern w:val="2"/>
    </w:rPr>
  </w:style>
  <w:style w:type="paragraph" w:customStyle="1" w:styleId="78">
    <w:name w:val="标准文件_标准部门"/>
    <w:basedOn w:val="1"/>
    <w:qFormat/>
    <w:uiPriority w:val="0"/>
    <w:pPr>
      <w:jc w:val="center"/>
    </w:pPr>
    <w:rPr>
      <w:rFonts w:ascii="黑体" w:eastAsia="黑体"/>
      <w:kern w:val="0"/>
      <w:sz w:val="44"/>
    </w:rPr>
  </w:style>
  <w:style w:type="paragraph" w:customStyle="1" w:styleId="79">
    <w:name w:val="标准文件_标准代替"/>
    <w:basedOn w:val="1"/>
    <w:next w:val="1"/>
    <w:qFormat/>
    <w:uiPriority w:val="0"/>
    <w:pPr>
      <w:spacing w:line="310" w:lineRule="exact"/>
      <w:jc w:val="right"/>
    </w:pPr>
    <w:rPr>
      <w:rFonts w:ascii="宋体" w:hAnsi="宋体"/>
      <w:kern w:val="0"/>
    </w:rPr>
  </w:style>
  <w:style w:type="paragraph" w:customStyle="1" w:styleId="8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8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82">
    <w:name w:val="标准文件_页眉偶数页"/>
    <w:basedOn w:val="81"/>
    <w:next w:val="1"/>
    <w:qFormat/>
    <w:uiPriority w:val="0"/>
    <w:pPr>
      <w:jc w:val="left"/>
    </w:pPr>
  </w:style>
  <w:style w:type="paragraph" w:customStyle="1" w:styleId="83">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8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85">
    <w:name w:val="标准文件_二级条标题"/>
    <w:next w:val="76"/>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86">
    <w:name w:val="标准文件_发布"/>
    <w:qFormat/>
    <w:uiPriority w:val="0"/>
    <w:rPr>
      <w:rFonts w:ascii="黑体" w:eastAsia="黑体"/>
      <w:spacing w:val="0"/>
      <w:w w:val="100"/>
      <w:position w:val="3"/>
      <w:sz w:val="28"/>
    </w:rPr>
  </w:style>
  <w:style w:type="paragraph" w:customStyle="1" w:styleId="87">
    <w:name w:val="标准文件_方框数字列项"/>
    <w:basedOn w:val="76"/>
    <w:qFormat/>
    <w:uiPriority w:val="0"/>
    <w:pPr>
      <w:numPr>
        <w:ilvl w:val="0"/>
        <w:numId w:val="3"/>
      </w:numPr>
      <w:ind w:firstLine="0" w:firstLineChars="0"/>
    </w:pPr>
  </w:style>
  <w:style w:type="paragraph" w:customStyle="1" w:styleId="88">
    <w:name w:val="标准文件_封面标准编号"/>
    <w:basedOn w:val="1"/>
    <w:next w:val="79"/>
    <w:qFormat/>
    <w:uiPriority w:val="0"/>
    <w:pPr>
      <w:spacing w:line="310" w:lineRule="exact"/>
      <w:jc w:val="right"/>
    </w:pPr>
    <w:rPr>
      <w:rFonts w:ascii="黑体" w:eastAsia="黑体"/>
      <w:kern w:val="0"/>
      <w:sz w:val="28"/>
    </w:rPr>
  </w:style>
  <w:style w:type="paragraph" w:customStyle="1" w:styleId="89">
    <w:name w:val="标准文件_封面标准分类号"/>
    <w:basedOn w:val="1"/>
    <w:qFormat/>
    <w:uiPriority w:val="0"/>
    <w:rPr>
      <w:rFonts w:ascii="黑体" w:eastAsia="黑体"/>
      <w:b/>
      <w:kern w:val="0"/>
      <w:sz w:val="28"/>
    </w:rPr>
  </w:style>
  <w:style w:type="paragraph" w:customStyle="1" w:styleId="90">
    <w:name w:val="标准文件_封面标准名称"/>
    <w:basedOn w:val="1"/>
    <w:qFormat/>
    <w:uiPriority w:val="0"/>
    <w:pPr>
      <w:spacing w:line="240" w:lineRule="auto"/>
      <w:jc w:val="center"/>
    </w:pPr>
    <w:rPr>
      <w:rFonts w:ascii="黑体" w:eastAsia="黑体"/>
      <w:kern w:val="0"/>
      <w:sz w:val="52"/>
    </w:rPr>
  </w:style>
  <w:style w:type="paragraph" w:customStyle="1" w:styleId="91">
    <w:name w:val="标准文件_封面标准英文名称"/>
    <w:basedOn w:val="1"/>
    <w:qFormat/>
    <w:uiPriority w:val="0"/>
    <w:pPr>
      <w:spacing w:line="240" w:lineRule="auto"/>
      <w:jc w:val="center"/>
    </w:pPr>
    <w:rPr>
      <w:rFonts w:ascii="黑体" w:eastAsia="黑体"/>
      <w:b/>
      <w:sz w:val="28"/>
    </w:rPr>
  </w:style>
  <w:style w:type="paragraph" w:customStyle="1" w:styleId="92">
    <w:name w:val="标准文件_封面发布日期"/>
    <w:basedOn w:val="1"/>
    <w:qFormat/>
    <w:uiPriority w:val="0"/>
    <w:pPr>
      <w:spacing w:line="310" w:lineRule="exact"/>
    </w:pPr>
    <w:rPr>
      <w:rFonts w:ascii="黑体" w:eastAsia="黑体"/>
      <w:kern w:val="0"/>
      <w:sz w:val="28"/>
    </w:rPr>
  </w:style>
  <w:style w:type="paragraph" w:customStyle="1" w:styleId="93">
    <w:name w:val="标准文件_封面密级"/>
    <w:basedOn w:val="1"/>
    <w:qFormat/>
    <w:uiPriority w:val="0"/>
    <w:rPr>
      <w:rFonts w:eastAsia="黑体"/>
      <w:sz w:val="32"/>
    </w:rPr>
  </w:style>
  <w:style w:type="paragraph" w:customStyle="1" w:styleId="94">
    <w:name w:val="标准文件_封面实施日期"/>
    <w:basedOn w:val="1"/>
    <w:qFormat/>
    <w:uiPriority w:val="0"/>
    <w:pPr>
      <w:spacing w:line="310" w:lineRule="exact"/>
      <w:jc w:val="right"/>
    </w:pPr>
    <w:rPr>
      <w:rFonts w:ascii="黑体" w:eastAsia="黑体"/>
      <w:sz w:val="28"/>
    </w:rPr>
  </w:style>
  <w:style w:type="paragraph" w:customStyle="1" w:styleId="95">
    <w:name w:val="标准文件_封面抬头"/>
    <w:basedOn w:val="76"/>
    <w:qFormat/>
    <w:uiPriority w:val="0"/>
    <w:pPr>
      <w:adjustRightInd w:val="0"/>
      <w:spacing w:line="800" w:lineRule="exact"/>
      <w:ind w:firstLine="0" w:firstLineChars="0"/>
      <w:jc w:val="distribute"/>
    </w:pPr>
    <w:rPr>
      <w:rFonts w:ascii="黑体" w:eastAsia="黑体"/>
      <w:b/>
      <w:sz w:val="64"/>
    </w:rPr>
  </w:style>
  <w:style w:type="paragraph" w:customStyle="1" w:styleId="96">
    <w:name w:val="标准文件_附录标识"/>
    <w:next w:val="76"/>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97">
    <w:name w:val="标准文件_附录表标题"/>
    <w:next w:val="76"/>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98">
    <w:name w:val="标准文件_附录一级条标题"/>
    <w:next w:val="76"/>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9">
    <w:name w:val="标准文件_附录二级条标题"/>
    <w:basedOn w:val="98"/>
    <w:next w:val="76"/>
    <w:qFormat/>
    <w:uiPriority w:val="0"/>
    <w:pPr>
      <w:widowControl/>
      <w:numPr>
        <w:ilvl w:val="2"/>
      </w:numPr>
      <w:wordWrap w:val="0"/>
      <w:overflowPunct w:val="0"/>
      <w:autoSpaceDE w:val="0"/>
      <w:autoSpaceDN w:val="0"/>
      <w:textAlignment w:val="baseline"/>
      <w:outlineLvl w:val="3"/>
    </w:pPr>
  </w:style>
  <w:style w:type="paragraph" w:customStyle="1" w:styleId="100">
    <w:name w:val="标准文件_附录公式"/>
    <w:basedOn w:val="75"/>
    <w:next w:val="7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101">
    <w:name w:val="标准文件_附录三级条标题"/>
    <w:next w:val="76"/>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102">
    <w:name w:val="标准文件_附录四级条标题"/>
    <w:next w:val="76"/>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103">
    <w:name w:val="标准文件_附录图标题"/>
    <w:next w:val="76"/>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104">
    <w:name w:val="标准文件_附录五级条标题"/>
    <w:next w:val="76"/>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105">
    <w:name w:val="标准文件_附录英文标识"/>
    <w:next w:val="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106">
    <w:name w:val="正文文本 字符"/>
    <w:link w:val="3"/>
    <w:qFormat/>
    <w:uiPriority w:val="99"/>
    <w:rPr>
      <w:kern w:val="2"/>
      <w:sz w:val="21"/>
      <w:szCs w:val="21"/>
    </w:rPr>
  </w:style>
  <w:style w:type="paragraph" w:customStyle="1" w:styleId="107">
    <w:name w:val="标准文件_附录章标题"/>
    <w:next w:val="7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8">
    <w:name w:val="标准文件_公式后的破折号"/>
    <w:basedOn w:val="76"/>
    <w:next w:val="76"/>
    <w:qFormat/>
    <w:uiPriority w:val="0"/>
    <w:pPr>
      <w:ind w:left="488" w:leftChars="200" w:hanging="289" w:hangingChars="290"/>
    </w:pPr>
  </w:style>
  <w:style w:type="paragraph" w:customStyle="1" w:styleId="109">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110">
    <w:name w:val="标准文件_目次、标准名称标题"/>
    <w:basedOn w:val="109"/>
    <w:next w:val="76"/>
    <w:qFormat/>
    <w:uiPriority w:val="0"/>
    <w:pPr>
      <w:spacing w:line="460" w:lineRule="exact"/>
      <w:ind w:left="0" w:firstLine="0"/>
    </w:pPr>
  </w:style>
  <w:style w:type="paragraph" w:customStyle="1" w:styleId="111">
    <w:name w:val="标准文件_目录标题"/>
    <w:basedOn w:val="1"/>
    <w:qFormat/>
    <w:uiPriority w:val="0"/>
    <w:pPr>
      <w:spacing w:before="480" w:afterLines="150" w:line="240" w:lineRule="auto"/>
      <w:jc w:val="center"/>
    </w:pPr>
    <w:rPr>
      <w:rFonts w:ascii="黑体" w:eastAsia="黑体"/>
      <w:sz w:val="32"/>
    </w:rPr>
  </w:style>
  <w:style w:type="paragraph" w:customStyle="1" w:styleId="11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13">
    <w:name w:val="标准文件_破折号列项（二级）"/>
    <w:basedOn w:val="112"/>
    <w:qFormat/>
    <w:uiPriority w:val="0"/>
    <w:pPr>
      <w:numPr>
        <w:numId w:val="10"/>
      </w:numPr>
    </w:pPr>
  </w:style>
  <w:style w:type="paragraph" w:customStyle="1" w:styleId="114">
    <w:name w:val="标准文件_三级条标题"/>
    <w:basedOn w:val="85"/>
    <w:next w:val="76"/>
    <w:qFormat/>
    <w:uiPriority w:val="0"/>
    <w:pPr>
      <w:widowControl/>
      <w:numPr>
        <w:ilvl w:val="0"/>
        <w:numId w:val="0"/>
      </w:numPr>
      <w:outlineLvl w:val="3"/>
    </w:pPr>
  </w:style>
  <w:style w:type="character" w:customStyle="1" w:styleId="115">
    <w:name w:val="不明显参考1"/>
    <w:qFormat/>
    <w:uiPriority w:val="31"/>
    <w:rPr>
      <w:smallCaps/>
      <w:color w:val="C0504D"/>
      <w:u w:val="single"/>
    </w:rPr>
  </w:style>
  <w:style w:type="paragraph" w:customStyle="1" w:styleId="116">
    <w:name w:val="标准文件_示例后续"/>
    <w:basedOn w:val="1"/>
    <w:qFormat/>
    <w:uiPriority w:val="0"/>
    <w:pPr>
      <w:adjustRightInd/>
      <w:spacing w:line="240" w:lineRule="auto"/>
      <w:ind w:firstLine="200" w:firstLineChars="200"/>
    </w:pPr>
    <w:rPr>
      <w:sz w:val="18"/>
      <w:szCs w:val="24"/>
    </w:rPr>
  </w:style>
  <w:style w:type="paragraph" w:customStyle="1" w:styleId="11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18">
    <w:name w:val="标准文件_四级条标题"/>
    <w:next w:val="76"/>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19">
    <w:name w:val="脚注文本 字符"/>
    <w:link w:val="28"/>
    <w:semiHidden/>
    <w:qFormat/>
    <w:uiPriority w:val="0"/>
    <w:rPr>
      <w:rFonts w:ascii="宋体"/>
      <w:kern w:val="2"/>
      <w:sz w:val="18"/>
      <w:szCs w:val="18"/>
    </w:rPr>
  </w:style>
  <w:style w:type="paragraph" w:customStyle="1" w:styleId="120">
    <w:name w:val="标准文件_条文脚注"/>
    <w:basedOn w:val="28"/>
    <w:qFormat/>
    <w:uiPriority w:val="0"/>
    <w:pPr>
      <w:adjustRightInd w:val="0"/>
      <w:spacing w:line="240" w:lineRule="auto"/>
      <w:ind w:left="0" w:leftChars="0" w:firstLine="200" w:firstLineChars="200"/>
      <w:jc w:val="both"/>
    </w:pPr>
    <w:rPr>
      <w:rFonts w:hAnsi="宋体"/>
    </w:rPr>
  </w:style>
  <w:style w:type="paragraph" w:customStyle="1" w:styleId="121">
    <w:name w:val="标准文件_图表脚注"/>
    <w:basedOn w:val="1"/>
    <w:next w:val="76"/>
    <w:qFormat/>
    <w:uiPriority w:val="0"/>
    <w:pPr>
      <w:numPr>
        <w:ilvl w:val="0"/>
        <w:numId w:val="12"/>
      </w:numPr>
      <w:spacing w:line="240" w:lineRule="auto"/>
      <w:jc w:val="left"/>
    </w:pPr>
    <w:rPr>
      <w:rFonts w:ascii="宋体" w:hAnsi="宋体"/>
      <w:sz w:val="18"/>
    </w:rPr>
  </w:style>
  <w:style w:type="character" w:customStyle="1" w:styleId="122">
    <w:name w:val="标准文件_图表脚注内容"/>
    <w:qFormat/>
    <w:uiPriority w:val="0"/>
    <w:rPr>
      <w:rFonts w:ascii="宋体" w:hAnsi="宋体" w:eastAsia="宋体" w:cs="Times New Roman"/>
      <w:spacing w:val="0"/>
      <w:sz w:val="18"/>
      <w:vertAlign w:val="superscript"/>
    </w:rPr>
  </w:style>
  <w:style w:type="paragraph" w:customStyle="1" w:styleId="123">
    <w:name w:val="标准文件_五级条标题"/>
    <w:next w:val="76"/>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24">
    <w:name w:val="标准文件_章标题"/>
    <w:next w:val="76"/>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25">
    <w:name w:val="标准文件_一级条标题"/>
    <w:basedOn w:val="124"/>
    <w:next w:val="76"/>
    <w:qFormat/>
    <w:uiPriority w:val="0"/>
    <w:pPr>
      <w:numPr>
        <w:ilvl w:val="2"/>
      </w:numPr>
      <w:spacing w:beforeLines="50" w:afterLines="50"/>
      <w:outlineLvl w:val="1"/>
    </w:pPr>
  </w:style>
  <w:style w:type="paragraph" w:customStyle="1" w:styleId="126">
    <w:name w:val="标准文件_一致程度"/>
    <w:basedOn w:val="1"/>
    <w:qFormat/>
    <w:uiPriority w:val="0"/>
    <w:pPr>
      <w:spacing w:line="440" w:lineRule="exact"/>
      <w:jc w:val="center"/>
    </w:pPr>
    <w:rPr>
      <w:sz w:val="28"/>
    </w:rPr>
  </w:style>
  <w:style w:type="paragraph" w:customStyle="1" w:styleId="12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8">
    <w:name w:val="标准文件_英文图表脚注"/>
    <w:basedOn w:val="75"/>
    <w:qFormat/>
    <w:uiPriority w:val="0"/>
    <w:pPr>
      <w:widowControl/>
      <w:adjustRightInd/>
      <w:snapToGrid/>
      <w:spacing w:line="240" w:lineRule="auto"/>
      <w:ind w:left="79" w:hanging="79" w:hangingChars="80"/>
    </w:pPr>
    <w:rPr>
      <w:rFonts w:ascii="宋体" w:hAnsi="宋体"/>
    </w:rPr>
  </w:style>
  <w:style w:type="paragraph" w:customStyle="1" w:styleId="12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30">
    <w:name w:val="标准文件_英文注："/>
    <w:basedOn w:val="1"/>
    <w:next w:val="7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3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32">
    <w:name w:val="标准文件_正文表标题"/>
    <w:next w:val="76"/>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33">
    <w:name w:val="标准文件_正文公式"/>
    <w:basedOn w:val="1"/>
    <w:next w:val="75"/>
    <w:qFormat/>
    <w:uiPriority w:val="0"/>
    <w:pPr>
      <w:tabs>
        <w:tab w:val="center" w:pos="4678"/>
        <w:tab w:val="right" w:leader="middleDot" w:pos="9356"/>
      </w:tabs>
      <w:spacing w:line="240" w:lineRule="auto"/>
    </w:pPr>
    <w:rPr>
      <w:rFonts w:ascii="宋体" w:hAnsi="宋体"/>
    </w:rPr>
  </w:style>
  <w:style w:type="paragraph" w:customStyle="1" w:styleId="134">
    <w:name w:val="标准文件_正文图标题"/>
    <w:next w:val="76"/>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35">
    <w:name w:val="标准文件_正文英文表标题"/>
    <w:next w:val="7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36">
    <w:name w:val="标准文件_正文英文图标题"/>
    <w:next w:val="7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3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3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39">
    <w:name w:val="发布部门"/>
    <w:next w:val="7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4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4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4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4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4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4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4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47">
    <w:name w:val="封面正文"/>
    <w:qFormat/>
    <w:uiPriority w:val="0"/>
    <w:pPr>
      <w:jc w:val="both"/>
    </w:pPr>
    <w:rPr>
      <w:rFonts w:ascii="Times New Roman" w:hAnsi="Times New Roman" w:eastAsia="宋体" w:cs="Times New Roman"/>
      <w:lang w:val="en-US" w:eastAsia="zh-CN" w:bidi="ar-SA"/>
    </w:rPr>
  </w:style>
  <w:style w:type="paragraph" w:customStyle="1" w:styleId="148">
    <w:name w:val="附录二级无标题条"/>
    <w:basedOn w:val="1"/>
    <w:next w:val="7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49">
    <w:name w:val="附录三级无标题条"/>
    <w:basedOn w:val="148"/>
    <w:next w:val="76"/>
    <w:qFormat/>
    <w:uiPriority w:val="0"/>
    <w:pPr>
      <w:outlineLvl w:val="4"/>
    </w:pPr>
  </w:style>
  <w:style w:type="paragraph" w:customStyle="1" w:styleId="150">
    <w:name w:val="附录四级无标题条"/>
    <w:basedOn w:val="149"/>
    <w:next w:val="76"/>
    <w:qFormat/>
    <w:uiPriority w:val="0"/>
    <w:pPr>
      <w:outlineLvl w:val="5"/>
    </w:pPr>
  </w:style>
  <w:style w:type="paragraph" w:customStyle="1" w:styleId="151">
    <w:name w:val="附录图"/>
    <w:next w:val="76"/>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5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53">
    <w:name w:val="附录五级无标题条"/>
    <w:basedOn w:val="150"/>
    <w:next w:val="76"/>
    <w:qFormat/>
    <w:uiPriority w:val="0"/>
    <w:pPr>
      <w:outlineLvl w:val="6"/>
    </w:pPr>
  </w:style>
  <w:style w:type="paragraph" w:customStyle="1" w:styleId="154">
    <w:name w:val="附录性质"/>
    <w:basedOn w:val="1"/>
    <w:qFormat/>
    <w:uiPriority w:val="0"/>
    <w:pPr>
      <w:widowControl/>
      <w:adjustRightInd/>
      <w:jc w:val="center"/>
    </w:pPr>
    <w:rPr>
      <w:rFonts w:ascii="黑体" w:eastAsia="黑体"/>
    </w:rPr>
  </w:style>
  <w:style w:type="paragraph" w:customStyle="1" w:styleId="155">
    <w:name w:val="附录一级无标题条"/>
    <w:basedOn w:val="107"/>
    <w:next w:val="76"/>
    <w:qFormat/>
    <w:uiPriority w:val="0"/>
    <w:pPr>
      <w:autoSpaceDN w:val="0"/>
      <w:outlineLvl w:val="2"/>
    </w:pPr>
    <w:rPr>
      <w:rFonts w:ascii="宋体" w:hAnsi="宋体" w:eastAsia="宋体"/>
    </w:rPr>
  </w:style>
  <w:style w:type="character" w:customStyle="1" w:styleId="156">
    <w:name w:val="个人答复风格"/>
    <w:qFormat/>
    <w:uiPriority w:val="0"/>
    <w:rPr>
      <w:rFonts w:ascii="Arial" w:hAnsi="Arial" w:eastAsia="宋体" w:cs="Arial"/>
      <w:color w:val="auto"/>
      <w:spacing w:val="0"/>
      <w:sz w:val="20"/>
    </w:rPr>
  </w:style>
  <w:style w:type="character" w:customStyle="1" w:styleId="157">
    <w:name w:val="个人撰写风格"/>
    <w:qFormat/>
    <w:uiPriority w:val="0"/>
    <w:rPr>
      <w:rFonts w:ascii="Arial" w:hAnsi="Arial" w:eastAsia="宋体" w:cs="Arial"/>
      <w:color w:val="auto"/>
      <w:spacing w:val="0"/>
      <w:sz w:val="20"/>
    </w:rPr>
  </w:style>
  <w:style w:type="paragraph" w:customStyle="1" w:styleId="15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5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60">
    <w:name w:val="列项·"/>
    <w:basedOn w:val="76"/>
    <w:qFormat/>
    <w:uiPriority w:val="0"/>
    <w:pPr>
      <w:tabs>
        <w:tab w:val="left" w:pos="840"/>
      </w:tabs>
    </w:pPr>
  </w:style>
  <w:style w:type="paragraph" w:customStyle="1" w:styleId="16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62">
    <w:name w:val="目录 21"/>
    <w:basedOn w:val="1"/>
    <w:next w:val="1"/>
    <w:qFormat/>
    <w:uiPriority w:val="39"/>
    <w:pPr>
      <w:adjustRightInd/>
      <w:spacing w:line="240" w:lineRule="auto"/>
      <w:jc w:val="left"/>
    </w:pPr>
    <w:rPr>
      <w:bCs/>
      <w:iCs/>
    </w:rPr>
  </w:style>
  <w:style w:type="paragraph" w:customStyle="1" w:styleId="163">
    <w:name w:val="目录 31"/>
    <w:basedOn w:val="1"/>
    <w:next w:val="1"/>
    <w:qFormat/>
    <w:uiPriority w:val="39"/>
    <w:pPr>
      <w:spacing w:line="240" w:lineRule="auto"/>
    </w:pPr>
    <w:rPr>
      <w:rFonts w:ascii="宋体" w:hAnsi="宋体"/>
      <w:iCs/>
    </w:rPr>
  </w:style>
  <w:style w:type="paragraph" w:customStyle="1" w:styleId="164">
    <w:name w:val="目录 41"/>
    <w:basedOn w:val="1"/>
    <w:next w:val="1"/>
    <w:qFormat/>
    <w:uiPriority w:val="39"/>
    <w:pPr>
      <w:adjustRightInd/>
      <w:spacing w:line="240" w:lineRule="auto"/>
      <w:jc w:val="left"/>
    </w:pPr>
  </w:style>
  <w:style w:type="paragraph" w:customStyle="1" w:styleId="165">
    <w:name w:val="目录 51"/>
    <w:basedOn w:val="1"/>
    <w:next w:val="1"/>
    <w:qFormat/>
    <w:uiPriority w:val="39"/>
    <w:pPr>
      <w:spacing w:line="240" w:lineRule="auto"/>
    </w:pPr>
    <w:rPr>
      <w:rFonts w:ascii="宋体" w:hAnsi="宋体"/>
    </w:rPr>
  </w:style>
  <w:style w:type="paragraph" w:customStyle="1" w:styleId="166">
    <w:name w:val="目录 61"/>
    <w:basedOn w:val="1"/>
    <w:next w:val="1"/>
    <w:qFormat/>
    <w:uiPriority w:val="39"/>
    <w:pPr>
      <w:adjustRightInd/>
      <w:spacing w:line="240" w:lineRule="auto"/>
      <w:jc w:val="left"/>
    </w:pPr>
  </w:style>
  <w:style w:type="paragraph" w:customStyle="1" w:styleId="167">
    <w:name w:val="目录 71"/>
    <w:basedOn w:val="166"/>
    <w:qFormat/>
    <w:uiPriority w:val="39"/>
    <w:pPr>
      <w:ind w:left="1260"/>
    </w:pPr>
  </w:style>
  <w:style w:type="paragraph" w:customStyle="1" w:styleId="168">
    <w:name w:val="目录 81"/>
    <w:basedOn w:val="167"/>
    <w:qFormat/>
    <w:uiPriority w:val="39"/>
    <w:pPr>
      <w:ind w:left="1470"/>
    </w:pPr>
  </w:style>
  <w:style w:type="paragraph" w:customStyle="1" w:styleId="169">
    <w:name w:val="目录 91"/>
    <w:basedOn w:val="168"/>
    <w:qFormat/>
    <w:uiPriority w:val="39"/>
    <w:pPr>
      <w:ind w:left="1680"/>
    </w:pPr>
  </w:style>
  <w:style w:type="paragraph" w:customStyle="1" w:styleId="17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71">
    <w:name w:val="其他发布部门"/>
    <w:basedOn w:val="139"/>
    <w:qFormat/>
    <w:uiPriority w:val="0"/>
    <w:pPr>
      <w:framePr w:wrap="around"/>
      <w:spacing w:line="0" w:lineRule="atLeast"/>
    </w:pPr>
    <w:rPr>
      <w:rFonts w:ascii="黑体" w:eastAsia="黑体"/>
      <w:b w:val="0"/>
    </w:rPr>
  </w:style>
  <w:style w:type="paragraph" w:customStyle="1" w:styleId="17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7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74">
    <w:name w:val="实施日期"/>
    <w:basedOn w:val="140"/>
    <w:qFormat/>
    <w:uiPriority w:val="0"/>
    <w:pPr>
      <w:framePr w:hSpace="0" w:wrap="around" w:xAlign="right"/>
      <w:jc w:val="right"/>
    </w:pPr>
  </w:style>
  <w:style w:type="paragraph" w:customStyle="1" w:styleId="175">
    <w:name w:val="四级无标题条"/>
    <w:basedOn w:val="1"/>
    <w:qFormat/>
    <w:uiPriority w:val="0"/>
    <w:pPr>
      <w:adjustRightInd/>
      <w:spacing w:line="240" w:lineRule="auto"/>
    </w:pPr>
    <w:rPr>
      <w:rFonts w:ascii="宋体" w:hAnsi="宋体"/>
      <w:szCs w:val="24"/>
    </w:rPr>
  </w:style>
  <w:style w:type="paragraph" w:customStyle="1" w:styleId="17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7">
    <w:name w:val="无标题条"/>
    <w:next w:val="76"/>
    <w:qFormat/>
    <w:uiPriority w:val="0"/>
    <w:pPr>
      <w:jc w:val="both"/>
    </w:pPr>
    <w:rPr>
      <w:rFonts w:ascii="宋体" w:hAnsi="宋体" w:eastAsia="宋体" w:cs="Times New Roman"/>
      <w:sz w:val="21"/>
      <w:lang w:val="en-US" w:eastAsia="zh-CN" w:bidi="ar-SA"/>
    </w:rPr>
  </w:style>
  <w:style w:type="paragraph" w:customStyle="1" w:styleId="178">
    <w:name w:val="五级无标题条"/>
    <w:basedOn w:val="1"/>
    <w:qFormat/>
    <w:uiPriority w:val="0"/>
    <w:pPr>
      <w:numPr>
        <w:ilvl w:val="6"/>
        <w:numId w:val="20"/>
      </w:numPr>
      <w:adjustRightInd/>
    </w:pPr>
    <w:rPr>
      <w:szCs w:val="24"/>
    </w:rPr>
  </w:style>
  <w:style w:type="paragraph" w:customStyle="1" w:styleId="17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8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81">
    <w:name w:val="注×:后续"/>
    <w:basedOn w:val="180"/>
    <w:qFormat/>
    <w:uiPriority w:val="0"/>
    <w:pPr>
      <w:ind w:left="1406" w:leftChars="0" w:hanging="499" w:firstLineChars="0"/>
    </w:pPr>
  </w:style>
  <w:style w:type="paragraph" w:customStyle="1" w:styleId="182">
    <w:name w:val="标准文件_一级无标题"/>
    <w:basedOn w:val="125"/>
    <w:qFormat/>
    <w:uiPriority w:val="0"/>
    <w:pPr>
      <w:spacing w:beforeLines="0" w:afterLines="0"/>
      <w:outlineLvl w:val="9"/>
    </w:pPr>
    <w:rPr>
      <w:rFonts w:ascii="宋体" w:eastAsia="宋体"/>
    </w:rPr>
  </w:style>
  <w:style w:type="paragraph" w:customStyle="1" w:styleId="183">
    <w:name w:val="标准文件_五级无标题"/>
    <w:basedOn w:val="123"/>
    <w:qFormat/>
    <w:uiPriority w:val="0"/>
    <w:pPr>
      <w:spacing w:beforeLines="0" w:afterLines="0"/>
      <w:outlineLvl w:val="9"/>
    </w:pPr>
    <w:rPr>
      <w:rFonts w:ascii="宋体" w:eastAsia="宋体"/>
    </w:rPr>
  </w:style>
  <w:style w:type="paragraph" w:customStyle="1" w:styleId="184">
    <w:name w:val="标准文件_三级无标题"/>
    <w:basedOn w:val="114"/>
    <w:qFormat/>
    <w:uiPriority w:val="0"/>
    <w:pPr>
      <w:spacing w:beforeLines="0" w:afterLines="0"/>
      <w:outlineLvl w:val="9"/>
    </w:pPr>
    <w:rPr>
      <w:rFonts w:ascii="宋体" w:eastAsia="宋体"/>
    </w:rPr>
  </w:style>
  <w:style w:type="paragraph" w:customStyle="1" w:styleId="185">
    <w:name w:val="标准文件_二级无标题"/>
    <w:basedOn w:val="85"/>
    <w:qFormat/>
    <w:uiPriority w:val="0"/>
    <w:pPr>
      <w:spacing w:beforeLines="0" w:afterLines="0"/>
      <w:outlineLvl w:val="9"/>
    </w:pPr>
    <w:rPr>
      <w:rFonts w:ascii="宋体" w:eastAsia="宋体"/>
    </w:rPr>
  </w:style>
  <w:style w:type="paragraph" w:customStyle="1" w:styleId="186">
    <w:name w:val="标准_四级无标题"/>
    <w:basedOn w:val="118"/>
    <w:next w:val="76"/>
    <w:qFormat/>
    <w:uiPriority w:val="0"/>
    <w:rPr>
      <w:rFonts w:eastAsia="宋体"/>
    </w:rPr>
  </w:style>
  <w:style w:type="paragraph" w:customStyle="1" w:styleId="187">
    <w:name w:val="标准文件_四级无标题"/>
    <w:basedOn w:val="118"/>
    <w:qFormat/>
    <w:uiPriority w:val="0"/>
    <w:pPr>
      <w:spacing w:beforeLines="0" w:afterLines="0"/>
      <w:outlineLvl w:val="9"/>
    </w:pPr>
    <w:rPr>
      <w:rFonts w:ascii="宋体" w:hAnsi="黑体" w:eastAsia="宋体"/>
      <w:szCs w:val="52"/>
    </w:rPr>
  </w:style>
  <w:style w:type="paragraph" w:customStyle="1" w:styleId="188">
    <w:name w:val="标准文件_大写罗马数字编号列项"/>
    <w:basedOn w:val="76"/>
    <w:qFormat/>
    <w:uiPriority w:val="0"/>
    <w:pPr>
      <w:numPr>
        <w:ilvl w:val="0"/>
        <w:numId w:val="23"/>
      </w:numPr>
      <w:ind w:firstLine="0" w:firstLineChars="0"/>
    </w:pPr>
    <w:rPr>
      <w:rFonts w:ascii="Times New Roman" w:cs="Arial"/>
      <w:szCs w:val="28"/>
    </w:rPr>
  </w:style>
  <w:style w:type="paragraph" w:customStyle="1" w:styleId="189">
    <w:name w:val="标准文件_小写罗马数字编号列项"/>
    <w:basedOn w:val="76"/>
    <w:qFormat/>
    <w:uiPriority w:val="0"/>
    <w:pPr>
      <w:numPr>
        <w:ilvl w:val="0"/>
        <w:numId w:val="24"/>
      </w:numPr>
      <w:ind w:firstLine="0" w:firstLineChars="0"/>
    </w:pPr>
    <w:rPr>
      <w:rFonts w:cs="Arial"/>
      <w:szCs w:val="28"/>
    </w:rPr>
  </w:style>
  <w:style w:type="paragraph" w:customStyle="1" w:styleId="190">
    <w:name w:val="标准文件_附录标题"/>
    <w:basedOn w:val="96"/>
    <w:qFormat/>
    <w:uiPriority w:val="0"/>
    <w:pPr>
      <w:numPr>
        <w:numId w:val="0"/>
      </w:numPr>
      <w:spacing w:after="280"/>
      <w:outlineLvl w:val="9"/>
    </w:pPr>
  </w:style>
  <w:style w:type="paragraph" w:customStyle="1" w:styleId="191">
    <w:name w:val="标准文件_二级项"/>
    <w:qFormat/>
    <w:uiPriority w:val="0"/>
    <w:rPr>
      <w:rFonts w:ascii="宋体" w:hAnsi="Times New Roman" w:eastAsia="宋体" w:cs="Times New Roman"/>
      <w:sz w:val="21"/>
      <w:lang w:val="en-US" w:eastAsia="zh-CN" w:bidi="ar-SA"/>
    </w:rPr>
  </w:style>
  <w:style w:type="paragraph" w:customStyle="1" w:styleId="192">
    <w:name w:val="标准文件_三级项"/>
    <w:basedOn w:val="1"/>
    <w:qFormat/>
    <w:uiPriority w:val="0"/>
    <w:pPr>
      <w:numPr>
        <w:ilvl w:val="2"/>
        <w:numId w:val="21"/>
      </w:numPr>
      <w:spacing w:line="536870612" w:lineRule="auto"/>
    </w:pPr>
    <w:rPr>
      <w:rFonts w:ascii="Times New Roman" w:hAnsi="Times New Roman"/>
    </w:rPr>
  </w:style>
  <w:style w:type="paragraph" w:customStyle="1" w:styleId="193">
    <w:name w:val="图表脚注说明"/>
    <w:basedOn w:val="1"/>
    <w:next w:val="76"/>
    <w:qFormat/>
    <w:uiPriority w:val="0"/>
    <w:pPr>
      <w:numPr>
        <w:ilvl w:val="0"/>
        <w:numId w:val="25"/>
      </w:numPr>
      <w:adjustRightInd/>
      <w:spacing w:line="240" w:lineRule="auto"/>
    </w:pPr>
    <w:rPr>
      <w:rFonts w:ascii="宋体" w:hAnsi="Times New Roman"/>
      <w:sz w:val="18"/>
      <w:szCs w:val="18"/>
    </w:rPr>
  </w:style>
  <w:style w:type="paragraph" w:customStyle="1" w:styleId="19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95">
    <w:name w:val="标准文件_索引字母"/>
    <w:next w:val="76"/>
    <w:qFormat/>
    <w:uiPriority w:val="0"/>
    <w:pPr>
      <w:jc w:val="center"/>
    </w:pPr>
    <w:rPr>
      <w:rFonts w:ascii="宋体" w:hAnsi="宋体" w:eastAsia="Times New Roman" w:cs="Times New Roman"/>
      <w:b/>
      <w:kern w:val="2"/>
      <w:sz w:val="21"/>
      <w:lang w:val="en-US" w:eastAsia="zh-CN" w:bidi="ar-SA"/>
    </w:rPr>
  </w:style>
  <w:style w:type="paragraph" w:customStyle="1" w:styleId="196">
    <w:name w:val="标准文件_附录前"/>
    <w:next w:val="7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9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98">
    <w:name w:val="标准文件_表格"/>
    <w:basedOn w:val="76"/>
    <w:qFormat/>
    <w:uiPriority w:val="0"/>
    <w:pPr>
      <w:ind w:firstLine="0" w:firstLineChars="0"/>
      <w:jc w:val="center"/>
    </w:pPr>
    <w:rPr>
      <w:sz w:val="18"/>
    </w:rPr>
  </w:style>
  <w:style w:type="paragraph" w:customStyle="1" w:styleId="199">
    <w:name w:val="标准文件_注："/>
    <w:next w:val="7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20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201">
    <w:name w:val="标准文件_示例："/>
    <w:next w:val="20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202">
    <w:name w:val="标准文件_示例内容"/>
    <w:basedOn w:val="76"/>
    <w:qFormat/>
    <w:uiPriority w:val="0"/>
    <w:pPr>
      <w:ind w:firstLine="420"/>
    </w:pPr>
    <w:rPr>
      <w:sz w:val="18"/>
    </w:rPr>
  </w:style>
  <w:style w:type="paragraph" w:customStyle="1" w:styleId="203">
    <w:name w:val="标准文件_示例×："/>
    <w:basedOn w:val="1"/>
    <w:next w:val="20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204">
    <w:name w:val="标准文件_段 Char"/>
    <w:link w:val="76"/>
    <w:qFormat/>
    <w:uiPriority w:val="0"/>
    <w:rPr>
      <w:rFonts w:ascii="宋体" w:hAnsi="Times New Roman"/>
      <w:sz w:val="21"/>
    </w:rPr>
  </w:style>
  <w:style w:type="paragraph" w:customStyle="1" w:styleId="205">
    <w:name w:val="标准文件_表格续"/>
    <w:basedOn w:val="76"/>
    <w:next w:val="76"/>
    <w:qFormat/>
    <w:uiPriority w:val="0"/>
    <w:pPr>
      <w:jc w:val="center"/>
    </w:pPr>
    <w:rPr>
      <w:rFonts w:ascii="黑体" w:hAnsi="黑体" w:eastAsia="黑体"/>
    </w:rPr>
  </w:style>
  <w:style w:type="character" w:styleId="206">
    <w:name w:val="Placeholder Text"/>
    <w:basedOn w:val="39"/>
    <w:semiHidden/>
    <w:qFormat/>
    <w:uiPriority w:val="99"/>
    <w:rPr>
      <w:color w:val="808080"/>
    </w:rPr>
  </w:style>
  <w:style w:type="paragraph" w:customStyle="1" w:styleId="207">
    <w:name w:val="标准文件_二级项2"/>
    <w:basedOn w:val="76"/>
    <w:qFormat/>
    <w:uiPriority w:val="0"/>
    <w:pPr>
      <w:numPr>
        <w:ilvl w:val="1"/>
        <w:numId w:val="21"/>
      </w:numPr>
      <w:ind w:firstLine="0" w:firstLineChars="0"/>
    </w:pPr>
  </w:style>
  <w:style w:type="paragraph" w:customStyle="1" w:styleId="208">
    <w:name w:val="标准文件_三级项2"/>
    <w:basedOn w:val="76"/>
    <w:qFormat/>
    <w:uiPriority w:val="0"/>
    <w:pPr>
      <w:numPr>
        <w:ilvl w:val="0"/>
        <w:numId w:val="30"/>
      </w:numPr>
      <w:spacing w:line="300" w:lineRule="exact"/>
      <w:ind w:firstLineChars="0"/>
    </w:pPr>
    <w:rPr>
      <w:rFonts w:ascii="Times New Roman"/>
    </w:rPr>
  </w:style>
  <w:style w:type="paragraph" w:customStyle="1" w:styleId="209">
    <w:name w:val="标准文件_一级项2"/>
    <w:basedOn w:val="76"/>
    <w:qFormat/>
    <w:uiPriority w:val="0"/>
    <w:pPr>
      <w:numPr>
        <w:ilvl w:val="0"/>
        <w:numId w:val="31"/>
      </w:numPr>
      <w:spacing w:line="300" w:lineRule="exact"/>
      <w:ind w:firstLineChars="0"/>
    </w:pPr>
    <w:rPr>
      <w:rFonts w:ascii="Times New Roman"/>
    </w:rPr>
  </w:style>
  <w:style w:type="paragraph" w:customStyle="1" w:styleId="210">
    <w:name w:val="标准文件_提示"/>
    <w:basedOn w:val="76"/>
    <w:next w:val="76"/>
    <w:qFormat/>
    <w:uiPriority w:val="0"/>
    <w:pPr>
      <w:ind w:firstLine="420"/>
    </w:pPr>
    <w:rPr>
      <w:rFonts w:ascii="黑体" w:eastAsia="黑体"/>
    </w:rPr>
  </w:style>
  <w:style w:type="character" w:customStyle="1" w:styleId="211">
    <w:name w:val="标准文件_来源"/>
    <w:basedOn w:val="39"/>
    <w:qFormat/>
    <w:uiPriority w:val="1"/>
    <w:rPr>
      <w:rFonts w:eastAsia="宋体"/>
      <w:sz w:val="21"/>
    </w:rPr>
  </w:style>
  <w:style w:type="paragraph" w:customStyle="1" w:styleId="21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13">
    <w:name w:val="其他发布日期"/>
    <w:basedOn w:val="140"/>
    <w:qFormat/>
    <w:uiPriority w:val="0"/>
    <w:pPr>
      <w:framePr w:w="3997" w:h="471" w:hRule="exact" w:hSpace="0" w:vSpace="181" w:wrap="around" w:vAnchor="page" w:hAnchor="page" w:x="1419" w:y="14097"/>
    </w:pPr>
  </w:style>
  <w:style w:type="paragraph" w:customStyle="1" w:styleId="214">
    <w:name w:val="其他实施日期"/>
    <w:basedOn w:val="174"/>
    <w:qFormat/>
    <w:uiPriority w:val="0"/>
    <w:pPr>
      <w:framePr w:w="3997" w:h="471" w:hRule="exact" w:vSpace="181" w:wrap="around" w:vAnchor="page" w:hAnchor="page" w:x="7089" w:y="14097"/>
    </w:pPr>
  </w:style>
  <w:style w:type="paragraph" w:customStyle="1" w:styleId="215">
    <w:name w:val="标准文件_文件编号"/>
    <w:basedOn w:val="7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16">
    <w:name w:val="标准文件_替换文件编号"/>
    <w:basedOn w:val="215"/>
    <w:qFormat/>
    <w:uiPriority w:val="0"/>
    <w:pPr>
      <w:spacing w:before="57"/>
    </w:pPr>
    <w:rPr>
      <w:sz w:val="21"/>
    </w:rPr>
  </w:style>
  <w:style w:type="paragraph" w:customStyle="1" w:styleId="217">
    <w:name w:val="标准文件_文件名称"/>
    <w:basedOn w:val="76"/>
    <w:next w:val="7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18">
    <w:name w:val="标准文件_附录图标号"/>
    <w:basedOn w:val="76"/>
    <w:next w:val="7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19">
    <w:name w:val="标准文件_附录表标号"/>
    <w:basedOn w:val="76"/>
    <w:next w:val="76"/>
    <w:qFormat/>
    <w:uiPriority w:val="0"/>
    <w:pPr>
      <w:numPr>
        <w:ilvl w:val="0"/>
        <w:numId w:val="5"/>
      </w:numPr>
      <w:spacing w:line="14" w:lineRule="exact"/>
      <w:ind w:firstLine="0" w:firstLineChars="0"/>
      <w:jc w:val="center"/>
    </w:pPr>
    <w:rPr>
      <w:rFonts w:eastAsia="黑体"/>
      <w:vanish/>
      <w:sz w:val="2"/>
    </w:rPr>
  </w:style>
  <w:style w:type="paragraph" w:customStyle="1" w:styleId="220">
    <w:name w:val="标准文件_引言一级条标题"/>
    <w:basedOn w:val="76"/>
    <w:next w:val="76"/>
    <w:qFormat/>
    <w:uiPriority w:val="0"/>
    <w:pPr>
      <w:spacing w:beforeLines="50" w:afterLines="50"/>
      <w:ind w:firstLine="0" w:firstLineChars="0"/>
    </w:pPr>
    <w:rPr>
      <w:rFonts w:ascii="黑体" w:eastAsia="黑体"/>
    </w:rPr>
  </w:style>
  <w:style w:type="paragraph" w:customStyle="1" w:styleId="221">
    <w:name w:val="标准文件_引言二级条标题"/>
    <w:basedOn w:val="76"/>
    <w:next w:val="76"/>
    <w:qFormat/>
    <w:uiPriority w:val="0"/>
    <w:pPr>
      <w:spacing w:beforeLines="50" w:afterLines="50"/>
      <w:ind w:firstLine="0" w:firstLineChars="0"/>
    </w:pPr>
    <w:rPr>
      <w:rFonts w:ascii="黑体" w:eastAsia="黑体"/>
    </w:rPr>
  </w:style>
  <w:style w:type="paragraph" w:customStyle="1" w:styleId="222">
    <w:name w:val="标准文件_引言三级条标题"/>
    <w:basedOn w:val="76"/>
    <w:next w:val="76"/>
    <w:qFormat/>
    <w:uiPriority w:val="0"/>
    <w:pPr>
      <w:spacing w:beforeLines="50" w:afterLines="50"/>
      <w:ind w:firstLine="0" w:firstLineChars="0"/>
    </w:pPr>
    <w:rPr>
      <w:rFonts w:ascii="黑体" w:eastAsia="黑体"/>
    </w:rPr>
  </w:style>
  <w:style w:type="paragraph" w:customStyle="1" w:styleId="223">
    <w:name w:val="标准文件_引言四级条标题"/>
    <w:basedOn w:val="76"/>
    <w:next w:val="76"/>
    <w:qFormat/>
    <w:uiPriority w:val="0"/>
    <w:pPr>
      <w:numPr>
        <w:ilvl w:val="4"/>
        <w:numId w:val="8"/>
      </w:numPr>
      <w:spacing w:beforeLines="50" w:afterLines="50"/>
      <w:ind w:firstLineChars="0"/>
    </w:pPr>
    <w:rPr>
      <w:rFonts w:ascii="黑体" w:eastAsia="黑体"/>
    </w:rPr>
  </w:style>
  <w:style w:type="paragraph" w:customStyle="1" w:styleId="224">
    <w:name w:val="标准文件_引言五级条标题"/>
    <w:basedOn w:val="76"/>
    <w:next w:val="76"/>
    <w:qFormat/>
    <w:uiPriority w:val="0"/>
    <w:pPr>
      <w:numPr>
        <w:ilvl w:val="5"/>
        <w:numId w:val="8"/>
      </w:numPr>
      <w:spacing w:beforeLines="50" w:afterLines="50"/>
      <w:ind w:firstLineChars="0"/>
    </w:pPr>
    <w:rPr>
      <w:rFonts w:ascii="黑体" w:eastAsia="黑体"/>
    </w:rPr>
  </w:style>
  <w:style w:type="paragraph" w:customStyle="1" w:styleId="225">
    <w:name w:val="标准文件_注后"/>
    <w:basedOn w:val="76"/>
    <w:qFormat/>
    <w:uiPriority w:val="0"/>
    <w:pPr>
      <w:ind w:left="811" w:firstLine="0" w:firstLineChars="0"/>
    </w:pPr>
    <w:rPr>
      <w:sz w:val="18"/>
    </w:rPr>
  </w:style>
  <w:style w:type="paragraph" w:customStyle="1" w:styleId="226">
    <w:name w:val="标准文件_注X后"/>
    <w:basedOn w:val="76"/>
    <w:qFormat/>
    <w:uiPriority w:val="0"/>
    <w:pPr>
      <w:ind w:left="811" w:firstLine="0" w:firstLineChars="0"/>
    </w:pPr>
    <w:rPr>
      <w:sz w:val="18"/>
    </w:rPr>
  </w:style>
  <w:style w:type="paragraph" w:customStyle="1" w:styleId="227">
    <w:name w:val="标准文件_示例后"/>
    <w:basedOn w:val="76"/>
    <w:qFormat/>
    <w:uiPriority w:val="0"/>
    <w:pPr>
      <w:ind w:left="964" w:firstLine="0" w:firstLineChars="0"/>
    </w:pPr>
    <w:rPr>
      <w:sz w:val="18"/>
    </w:rPr>
  </w:style>
  <w:style w:type="paragraph" w:customStyle="1" w:styleId="228">
    <w:name w:val="标准文件_示例X后"/>
    <w:basedOn w:val="76"/>
    <w:link w:val="229"/>
    <w:qFormat/>
    <w:uiPriority w:val="0"/>
    <w:pPr>
      <w:ind w:left="1049" w:firstLine="0" w:firstLineChars="0"/>
    </w:pPr>
    <w:rPr>
      <w:sz w:val="18"/>
    </w:rPr>
  </w:style>
  <w:style w:type="character" w:customStyle="1" w:styleId="229">
    <w:name w:val="标准文件_示例X后 字符"/>
    <w:basedOn w:val="204"/>
    <w:link w:val="228"/>
    <w:qFormat/>
    <w:uiPriority w:val="0"/>
    <w:rPr>
      <w:rFonts w:ascii="宋体" w:hAnsi="Times New Roman"/>
      <w:sz w:val="18"/>
    </w:rPr>
  </w:style>
  <w:style w:type="paragraph" w:customStyle="1" w:styleId="230">
    <w:name w:val="标准文件_索引项"/>
    <w:basedOn w:val="76"/>
    <w:next w:val="76"/>
    <w:qFormat/>
    <w:uiPriority w:val="0"/>
    <w:pPr>
      <w:tabs>
        <w:tab w:val="right" w:leader="dot" w:pos="9356"/>
      </w:tabs>
      <w:ind w:left="210" w:hanging="210" w:firstLineChars="0"/>
      <w:jc w:val="left"/>
    </w:pPr>
  </w:style>
  <w:style w:type="paragraph" w:customStyle="1" w:styleId="231">
    <w:name w:val="标准文件_附录一级无标题"/>
    <w:basedOn w:val="98"/>
    <w:qFormat/>
    <w:uiPriority w:val="0"/>
    <w:pPr>
      <w:spacing w:beforeLines="0" w:afterLines="0" w:line="276" w:lineRule="auto"/>
      <w:outlineLvl w:val="9"/>
    </w:pPr>
    <w:rPr>
      <w:rFonts w:ascii="宋体" w:eastAsia="宋体"/>
    </w:rPr>
  </w:style>
  <w:style w:type="paragraph" w:customStyle="1" w:styleId="232">
    <w:name w:val="标准文件_附录二级无标题"/>
    <w:basedOn w:val="99"/>
    <w:qFormat/>
    <w:uiPriority w:val="0"/>
    <w:pPr>
      <w:spacing w:beforeLines="0" w:afterLines="0" w:line="276" w:lineRule="auto"/>
      <w:outlineLvl w:val="9"/>
    </w:pPr>
    <w:rPr>
      <w:rFonts w:ascii="宋体" w:eastAsia="宋体"/>
    </w:rPr>
  </w:style>
  <w:style w:type="paragraph" w:customStyle="1" w:styleId="233">
    <w:name w:val="标准文件_附录三级无标题"/>
    <w:basedOn w:val="101"/>
    <w:qFormat/>
    <w:uiPriority w:val="0"/>
    <w:pPr>
      <w:spacing w:beforeLines="0" w:afterLines="0" w:line="276" w:lineRule="auto"/>
      <w:outlineLvl w:val="9"/>
    </w:pPr>
    <w:rPr>
      <w:rFonts w:ascii="宋体" w:eastAsia="宋体"/>
    </w:rPr>
  </w:style>
  <w:style w:type="paragraph" w:customStyle="1" w:styleId="234">
    <w:name w:val="标准文件_附录四级无标题"/>
    <w:basedOn w:val="102"/>
    <w:qFormat/>
    <w:uiPriority w:val="0"/>
    <w:pPr>
      <w:spacing w:beforeLines="0" w:afterLines="0" w:line="276" w:lineRule="auto"/>
      <w:outlineLvl w:val="9"/>
    </w:pPr>
    <w:rPr>
      <w:rFonts w:ascii="宋体" w:eastAsia="宋体"/>
    </w:rPr>
  </w:style>
  <w:style w:type="paragraph" w:customStyle="1" w:styleId="235">
    <w:name w:val="标准文件_附录五级无标题"/>
    <w:basedOn w:val="104"/>
    <w:qFormat/>
    <w:uiPriority w:val="0"/>
    <w:pPr>
      <w:spacing w:beforeLines="0" w:afterLines="0" w:line="276" w:lineRule="auto"/>
      <w:outlineLvl w:val="9"/>
    </w:pPr>
    <w:rPr>
      <w:rFonts w:ascii="宋体" w:eastAsia="宋体"/>
    </w:rPr>
  </w:style>
  <w:style w:type="paragraph" w:customStyle="1" w:styleId="236">
    <w:name w:val="标准文件_引言一级无标题"/>
    <w:basedOn w:val="220"/>
    <w:next w:val="76"/>
    <w:qFormat/>
    <w:uiPriority w:val="0"/>
    <w:pPr>
      <w:spacing w:beforeLines="0" w:afterLines="0" w:line="276" w:lineRule="auto"/>
    </w:pPr>
    <w:rPr>
      <w:rFonts w:ascii="宋体" w:eastAsia="宋体"/>
    </w:rPr>
  </w:style>
  <w:style w:type="paragraph" w:customStyle="1" w:styleId="237">
    <w:name w:val="标准文件_引言二级无标题"/>
    <w:basedOn w:val="221"/>
    <w:next w:val="76"/>
    <w:qFormat/>
    <w:uiPriority w:val="0"/>
    <w:pPr>
      <w:spacing w:beforeLines="0" w:afterLines="0" w:line="276" w:lineRule="auto"/>
    </w:pPr>
    <w:rPr>
      <w:rFonts w:ascii="宋体" w:eastAsia="宋体"/>
    </w:rPr>
  </w:style>
  <w:style w:type="paragraph" w:customStyle="1" w:styleId="238">
    <w:name w:val="标准文件_引言三级无标题"/>
    <w:basedOn w:val="222"/>
    <w:qFormat/>
    <w:uiPriority w:val="0"/>
    <w:pPr>
      <w:spacing w:beforeLines="0" w:afterLines="0" w:line="276" w:lineRule="auto"/>
    </w:pPr>
    <w:rPr>
      <w:rFonts w:ascii="宋体" w:eastAsia="宋体"/>
    </w:rPr>
  </w:style>
  <w:style w:type="paragraph" w:customStyle="1" w:styleId="239">
    <w:name w:val="标准文件_引言四级无标题"/>
    <w:basedOn w:val="223"/>
    <w:next w:val="76"/>
    <w:qFormat/>
    <w:uiPriority w:val="0"/>
    <w:pPr>
      <w:spacing w:beforeLines="0" w:afterLines="0" w:line="276" w:lineRule="auto"/>
    </w:pPr>
    <w:rPr>
      <w:rFonts w:ascii="宋体" w:eastAsia="宋体"/>
    </w:rPr>
  </w:style>
  <w:style w:type="paragraph" w:customStyle="1" w:styleId="240">
    <w:name w:val="标准文件_引言五级无标题"/>
    <w:basedOn w:val="224"/>
    <w:next w:val="76"/>
    <w:qFormat/>
    <w:uiPriority w:val="0"/>
    <w:pPr>
      <w:spacing w:beforeLines="0" w:afterLines="0" w:line="276" w:lineRule="auto"/>
    </w:pPr>
    <w:rPr>
      <w:rFonts w:ascii="宋体" w:eastAsia="宋体"/>
    </w:rPr>
  </w:style>
  <w:style w:type="paragraph" w:customStyle="1" w:styleId="241">
    <w:name w:val="标准文件_索引标题"/>
    <w:basedOn w:val="83"/>
    <w:next w:val="76"/>
    <w:qFormat/>
    <w:uiPriority w:val="0"/>
    <w:rPr>
      <w:rFonts w:hAnsi="黑体"/>
    </w:rPr>
  </w:style>
  <w:style w:type="paragraph" w:customStyle="1" w:styleId="242">
    <w:name w:val="标准文件_脚注内容"/>
    <w:basedOn w:val="76"/>
    <w:qFormat/>
    <w:uiPriority w:val="0"/>
    <w:pPr>
      <w:ind w:left="400" w:leftChars="200" w:hanging="200" w:hangingChars="200"/>
    </w:pPr>
    <w:rPr>
      <w:sz w:val="15"/>
    </w:rPr>
  </w:style>
  <w:style w:type="paragraph" w:customStyle="1" w:styleId="243">
    <w:name w:val="标准文件_术语条一"/>
    <w:basedOn w:val="182"/>
    <w:next w:val="76"/>
    <w:qFormat/>
    <w:uiPriority w:val="0"/>
  </w:style>
  <w:style w:type="paragraph" w:customStyle="1" w:styleId="244">
    <w:name w:val="标准文件_术语条二"/>
    <w:basedOn w:val="185"/>
    <w:next w:val="76"/>
    <w:qFormat/>
    <w:uiPriority w:val="0"/>
  </w:style>
  <w:style w:type="paragraph" w:customStyle="1" w:styleId="245">
    <w:name w:val="标准文件_术语条三"/>
    <w:basedOn w:val="184"/>
    <w:next w:val="76"/>
    <w:qFormat/>
    <w:uiPriority w:val="0"/>
  </w:style>
  <w:style w:type="paragraph" w:customStyle="1" w:styleId="246">
    <w:name w:val="标准文件_术语条四"/>
    <w:basedOn w:val="187"/>
    <w:next w:val="76"/>
    <w:qFormat/>
    <w:uiPriority w:val="0"/>
  </w:style>
  <w:style w:type="paragraph" w:customStyle="1" w:styleId="247">
    <w:name w:val="标准文件_术语条五"/>
    <w:basedOn w:val="183"/>
    <w:next w:val="76"/>
    <w:qFormat/>
    <w:uiPriority w:val="0"/>
  </w:style>
  <w:style w:type="paragraph" w:customStyle="1" w:styleId="24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9">
    <w:name w:val="发布"/>
    <w:basedOn w:val="39"/>
    <w:qFormat/>
    <w:uiPriority w:val="0"/>
    <w:rPr>
      <w:rFonts w:ascii="黑体" w:eastAsia="黑体"/>
      <w:spacing w:val="85"/>
      <w:w w:val="100"/>
      <w:position w:val="3"/>
      <w:sz w:val="28"/>
      <w:szCs w:val="28"/>
    </w:rPr>
  </w:style>
  <w:style w:type="character" w:customStyle="1" w:styleId="250">
    <w:name w:val="文档结构图 字符"/>
    <w:basedOn w:val="39"/>
    <w:link w:val="15"/>
    <w:semiHidden/>
    <w:qFormat/>
    <w:uiPriority w:val="99"/>
    <w:rPr>
      <w:rFonts w:ascii="宋体"/>
      <w:kern w:val="2"/>
      <w:sz w:val="18"/>
      <w:szCs w:val="18"/>
    </w:rPr>
  </w:style>
  <w:style w:type="paragraph" w:customStyle="1" w:styleId="251">
    <w:name w:val="段"/>
    <w:basedOn w:val="1"/>
    <w:link w:val="253"/>
    <w:qFormat/>
    <w:uiPriority w:val="0"/>
    <w:pPr>
      <w:widowControl/>
      <w:autoSpaceDE w:val="0"/>
      <w:autoSpaceDN w:val="0"/>
      <w:adjustRightInd/>
      <w:spacing w:line="240" w:lineRule="auto"/>
      <w:ind w:firstLine="420" w:firstLineChars="200"/>
    </w:pPr>
    <w:rPr>
      <w:rFonts w:ascii="宋体" w:hAnsi="Times New Roman"/>
      <w:kern w:val="0"/>
    </w:rPr>
  </w:style>
  <w:style w:type="paragraph" w:customStyle="1" w:styleId="252">
    <w:name w:val="样式1"/>
    <w:basedOn w:val="2"/>
    <w:link w:val="281"/>
    <w:qFormat/>
    <w:uiPriority w:val="0"/>
    <w:pPr>
      <w:spacing w:after="0"/>
      <w:ind w:firstLine="424" w:firstLineChars="202"/>
    </w:pPr>
    <w:rPr>
      <w:rFonts w:ascii="宋体" w:hAnsi="Times New Roman"/>
      <w:kern w:val="0"/>
      <w:szCs w:val="20"/>
    </w:rPr>
  </w:style>
  <w:style w:type="character" w:customStyle="1" w:styleId="253">
    <w:name w:val="段 Char"/>
    <w:link w:val="251"/>
    <w:qFormat/>
    <w:uiPriority w:val="0"/>
    <w:rPr>
      <w:rFonts w:ascii="宋体"/>
      <w:sz w:val="21"/>
      <w:szCs w:val="21"/>
    </w:rPr>
  </w:style>
  <w:style w:type="paragraph" w:customStyle="1" w:styleId="254">
    <w:name w:val="一级条标题"/>
    <w:basedOn w:val="1"/>
    <w:next w:val="251"/>
    <w:qFormat/>
    <w:uiPriority w:val="0"/>
    <w:pPr>
      <w:widowControl/>
      <w:adjustRightInd/>
      <w:spacing w:line="240" w:lineRule="auto"/>
      <w:outlineLvl w:val="2"/>
    </w:pPr>
    <w:rPr>
      <w:rFonts w:ascii="黑体" w:eastAsia="黑体"/>
      <w:kern w:val="0"/>
      <w:szCs w:val="20"/>
    </w:rPr>
  </w:style>
  <w:style w:type="paragraph" w:customStyle="1" w:styleId="255">
    <w:name w:val="章标题"/>
    <w:next w:val="251"/>
    <w:qFormat/>
    <w:uiPriority w:val="0"/>
    <w:pPr>
      <w:spacing w:before="50" w:beforeLines="50" w:after="50" w:afterLines="50"/>
      <w:jc w:val="both"/>
      <w:outlineLvl w:val="1"/>
    </w:pPr>
    <w:rPr>
      <w:rFonts w:ascii="黑体" w:hAnsi="Calibri" w:eastAsia="黑体" w:cs="Times New Roman"/>
      <w:sz w:val="21"/>
      <w:lang w:val="en-US" w:eastAsia="zh-CN" w:bidi="ar-SA"/>
    </w:rPr>
  </w:style>
  <w:style w:type="character" w:customStyle="1" w:styleId="256">
    <w:name w:val="HTML 地址 字符"/>
    <w:basedOn w:val="39"/>
    <w:link w:val="17"/>
    <w:semiHidden/>
    <w:qFormat/>
    <w:uiPriority w:val="0"/>
    <w:rPr>
      <w:rFonts w:ascii="Calibri" w:hAnsi="Calibri"/>
      <w:i/>
      <w:iCs/>
      <w:kern w:val="2"/>
      <w:sz w:val="21"/>
      <w:szCs w:val="24"/>
    </w:rPr>
  </w:style>
  <w:style w:type="character" w:customStyle="1" w:styleId="257">
    <w:name w:val="纯文本 字符"/>
    <w:basedOn w:val="39"/>
    <w:link w:val="20"/>
    <w:semiHidden/>
    <w:qFormat/>
    <w:uiPriority w:val="0"/>
    <w:rPr>
      <w:rFonts w:ascii="宋体" w:hAnsi="Courier New"/>
      <w:color w:val="000000"/>
      <w:kern w:val="2"/>
      <w:sz w:val="21"/>
      <w:szCs w:val="21"/>
    </w:rPr>
  </w:style>
  <w:style w:type="character" w:customStyle="1" w:styleId="258">
    <w:name w:val="日期 字符"/>
    <w:basedOn w:val="39"/>
    <w:link w:val="22"/>
    <w:qFormat/>
    <w:uiPriority w:val="99"/>
    <w:rPr>
      <w:rFonts w:ascii="Calibri" w:hAnsi="Calibri"/>
      <w:kern w:val="2"/>
      <w:sz w:val="21"/>
      <w:szCs w:val="24"/>
    </w:rPr>
  </w:style>
  <w:style w:type="character" w:customStyle="1" w:styleId="259">
    <w:name w:val="HTML 预设格式 字符"/>
    <w:basedOn w:val="39"/>
    <w:link w:val="33"/>
    <w:semiHidden/>
    <w:qFormat/>
    <w:uiPriority w:val="0"/>
    <w:rPr>
      <w:rFonts w:ascii="Courier New" w:hAnsi="Courier New" w:cs="Courier New"/>
      <w:kern w:val="2"/>
    </w:rPr>
  </w:style>
  <w:style w:type="character" w:customStyle="1" w:styleId="260">
    <w:name w:val="批注文字 字符"/>
    <w:basedOn w:val="39"/>
    <w:link w:val="16"/>
    <w:qFormat/>
    <w:uiPriority w:val="0"/>
    <w:rPr>
      <w:rFonts w:ascii="Calibri" w:hAnsi="Calibri"/>
      <w:kern w:val="2"/>
      <w:sz w:val="21"/>
      <w:szCs w:val="21"/>
    </w:rPr>
  </w:style>
  <w:style w:type="character" w:customStyle="1" w:styleId="261">
    <w:name w:val="批注主题 字符"/>
    <w:basedOn w:val="260"/>
    <w:link w:val="36"/>
    <w:qFormat/>
    <w:uiPriority w:val="0"/>
    <w:rPr>
      <w:rFonts w:ascii="Calibri" w:hAnsi="Calibri"/>
      <w:b/>
      <w:bCs/>
      <w:kern w:val="2"/>
      <w:sz w:val="21"/>
      <w:szCs w:val="24"/>
    </w:rPr>
  </w:style>
  <w:style w:type="paragraph" w:customStyle="1" w:styleId="262">
    <w:name w:val="目录 11"/>
    <w:basedOn w:val="1"/>
    <w:qFormat/>
    <w:uiPriority w:val="39"/>
    <w:pPr>
      <w:adjustRightInd/>
      <w:spacing w:before="120" w:after="120" w:line="240" w:lineRule="auto"/>
      <w:jc w:val="left"/>
    </w:pPr>
    <w:rPr>
      <w:rFonts w:ascii="等线" w:eastAsia="等线"/>
      <w:b/>
      <w:bCs/>
      <w:caps/>
      <w:sz w:val="20"/>
      <w:szCs w:val="20"/>
    </w:rPr>
  </w:style>
  <w:style w:type="character" w:customStyle="1" w:styleId="263">
    <w:name w:val="正文文本 字符1"/>
    <w:semiHidden/>
    <w:qFormat/>
    <w:uiPriority w:val="0"/>
    <w:rPr>
      <w:rFonts w:ascii="Arial" w:hAnsi="Arial" w:eastAsia="Arial" w:cs="Arial"/>
      <w:snapToGrid/>
      <w:color w:val="000000"/>
      <w:sz w:val="26"/>
      <w:szCs w:val="26"/>
      <w:lang w:val="en-US" w:eastAsia="en-US"/>
    </w:rPr>
  </w:style>
  <w:style w:type="paragraph" w:customStyle="1" w:styleId="264">
    <w:name w:val="正文首行缩进1"/>
    <w:basedOn w:val="3"/>
    <w:link w:val="265"/>
    <w:qFormat/>
    <w:uiPriority w:val="99"/>
    <w:pPr>
      <w:widowControl/>
      <w:kinsoku w:val="0"/>
      <w:autoSpaceDE w:val="0"/>
      <w:autoSpaceDN w:val="0"/>
      <w:snapToGrid w:val="0"/>
      <w:spacing w:after="0" w:line="357" w:lineRule="atLeast"/>
      <w:ind w:firstLine="420" w:firstLineChars="100"/>
      <w:jc w:val="left"/>
      <w:textAlignment w:val="baseline"/>
    </w:pPr>
    <w:rPr>
      <w:rFonts w:ascii="Times New Roman" w:hAnsi="Times New Roman"/>
      <w:color w:val="000000"/>
      <w:kern w:val="0"/>
      <w:sz w:val="20"/>
      <w:szCs w:val="20"/>
      <w:lang w:val="zh-CN"/>
    </w:rPr>
  </w:style>
  <w:style w:type="character" w:customStyle="1" w:styleId="265">
    <w:name w:val="正文首行缩进 Char"/>
    <w:link w:val="264"/>
    <w:qFormat/>
    <w:uiPriority w:val="99"/>
    <w:rPr>
      <w:color w:val="000000"/>
      <w:lang w:val="zh-CN"/>
    </w:rPr>
  </w:style>
  <w:style w:type="character" w:customStyle="1" w:styleId="266">
    <w:name w:val="纯文本 Char"/>
    <w:qFormat/>
    <w:uiPriority w:val="0"/>
    <w:rPr>
      <w:rFonts w:ascii="宋体" w:hAnsi="Courier New" w:eastAsia="宋体" w:cs="宋体"/>
      <w:color w:val="000000"/>
      <w:kern w:val="2"/>
      <w:sz w:val="21"/>
      <w:szCs w:val="21"/>
      <w:lang w:val="en-US" w:eastAsia="zh-CN" w:bidi="ar-SA"/>
    </w:rPr>
  </w:style>
  <w:style w:type="character" w:customStyle="1" w:styleId="267">
    <w:name w:val="批注主题 Char"/>
    <w:qFormat/>
    <w:uiPriority w:val="0"/>
    <w:rPr>
      <w:b/>
      <w:bCs/>
      <w:kern w:val="2"/>
      <w:sz w:val="21"/>
      <w:szCs w:val="24"/>
    </w:rPr>
  </w:style>
  <w:style w:type="character" w:customStyle="1" w:styleId="268">
    <w:name w:val="批注文字 Char1"/>
    <w:qFormat/>
    <w:uiPriority w:val="0"/>
    <w:rPr>
      <w:kern w:val="2"/>
      <w:sz w:val="21"/>
      <w:szCs w:val="24"/>
    </w:rPr>
  </w:style>
  <w:style w:type="character" w:customStyle="1" w:styleId="269">
    <w:name w:val="highlight"/>
    <w:qFormat/>
    <w:uiPriority w:val="0"/>
  </w:style>
  <w:style w:type="character" w:customStyle="1" w:styleId="270">
    <w:name w:val="标题 2 Char"/>
    <w:qFormat/>
    <w:uiPriority w:val="0"/>
    <w:rPr>
      <w:rFonts w:ascii="Arial" w:hAnsi="Arial" w:eastAsia="黑体"/>
      <w:b/>
      <w:bCs/>
      <w:kern w:val="2"/>
      <w:sz w:val="32"/>
      <w:szCs w:val="32"/>
      <w:lang w:val="en-US" w:eastAsia="zh-CN" w:bidi="ar-SA"/>
    </w:rPr>
  </w:style>
  <w:style w:type="character" w:customStyle="1" w:styleId="271">
    <w:name w:val="批注文字 Char"/>
    <w:qFormat/>
    <w:uiPriority w:val="0"/>
    <w:rPr>
      <w:kern w:val="2"/>
      <w:sz w:val="21"/>
      <w:szCs w:val="24"/>
    </w:rPr>
  </w:style>
  <w:style w:type="character" w:customStyle="1" w:styleId="272">
    <w:name w:val="HTML 预设格式 Char"/>
    <w:qFormat/>
    <w:uiPriority w:val="0"/>
    <w:rPr>
      <w:rFonts w:ascii="宋体" w:hAnsi="宋体" w:cs="宋体"/>
      <w:sz w:val="24"/>
      <w:szCs w:val="24"/>
    </w:rPr>
  </w:style>
  <w:style w:type="character" w:customStyle="1" w:styleId="273">
    <w:name w:val="批注框文本 Char"/>
    <w:qFormat/>
    <w:uiPriority w:val="0"/>
    <w:rPr>
      <w:kern w:val="2"/>
      <w:sz w:val="18"/>
      <w:szCs w:val="18"/>
    </w:rPr>
  </w:style>
  <w:style w:type="character" w:customStyle="1" w:styleId="274">
    <w:name w:val="访问过的超链接1"/>
    <w:qFormat/>
    <w:uiPriority w:val="0"/>
    <w:rPr>
      <w:color w:val="800080"/>
      <w:u w:val="single"/>
    </w:rPr>
  </w:style>
  <w:style w:type="character" w:customStyle="1" w:styleId="275">
    <w:name w:val="Char Char"/>
    <w:qFormat/>
    <w:locked/>
    <w:uiPriority w:val="0"/>
    <w:rPr>
      <w:rFonts w:ascii="宋体" w:hAnsi="宋体" w:eastAsia="宋体"/>
      <w:kern w:val="2"/>
      <w:sz w:val="18"/>
      <w:szCs w:val="18"/>
      <w:lang w:val="en-US" w:eastAsia="zh-CN" w:bidi="ar-SA"/>
    </w:rPr>
  </w:style>
  <w:style w:type="character" w:customStyle="1" w:styleId="276">
    <w:name w:val="普通(网站) Char"/>
    <w:qFormat/>
    <w:uiPriority w:val="0"/>
    <w:rPr>
      <w:rFonts w:ascii="宋体" w:hAnsi="宋体" w:eastAsia="宋体"/>
      <w:sz w:val="24"/>
      <w:szCs w:val="24"/>
      <w:lang w:val="en-US" w:eastAsia="zh-CN" w:bidi="ar-SA"/>
    </w:rPr>
  </w:style>
  <w:style w:type="character" w:customStyle="1" w:styleId="277">
    <w:name w:val="apple-converted-space"/>
    <w:qFormat/>
    <w:uiPriority w:val="0"/>
  </w:style>
  <w:style w:type="character" w:customStyle="1" w:styleId="278">
    <w:name w:val="标题 1 Char"/>
    <w:qFormat/>
    <w:uiPriority w:val="0"/>
    <w:rPr>
      <w:rFonts w:ascii="黑体" w:hAnsi="黑体" w:eastAsia="黑体" w:cs="宋体"/>
      <w:b/>
      <w:bCs/>
      <w:color w:val="000000"/>
      <w:kern w:val="32"/>
      <w:sz w:val="21"/>
      <w:szCs w:val="21"/>
      <w:lang w:val="en-US" w:eastAsia="zh-CN" w:bidi="ar-SA"/>
    </w:rPr>
  </w:style>
  <w:style w:type="character" w:customStyle="1" w:styleId="279">
    <w:name w:val="apple-style-span"/>
    <w:qFormat/>
    <w:uiPriority w:val="0"/>
  </w:style>
  <w:style w:type="character" w:customStyle="1" w:styleId="280">
    <w:name w:val="fontstyle01"/>
    <w:qFormat/>
    <w:uiPriority w:val="0"/>
    <w:rPr>
      <w:rFonts w:hint="default" w:ascii="TimesNewRomanPSMT" w:hAnsi="TimesNewRomanPSMT"/>
      <w:color w:val="000000"/>
      <w:sz w:val="24"/>
      <w:szCs w:val="24"/>
    </w:rPr>
  </w:style>
  <w:style w:type="character" w:customStyle="1" w:styleId="281">
    <w:name w:val="样式1 Char"/>
    <w:link w:val="252"/>
    <w:qFormat/>
    <w:uiPriority w:val="0"/>
    <w:rPr>
      <w:rFonts w:ascii="宋体"/>
      <w:sz w:val="21"/>
    </w:rPr>
  </w:style>
  <w:style w:type="paragraph" w:customStyle="1" w:styleId="282">
    <w:name w:val="前言、引言标题"/>
    <w:next w:val="1"/>
    <w:qFormat/>
    <w:uiPriority w:val="0"/>
    <w:pPr>
      <w:shd w:val="clear" w:color="FFFFFF" w:fill="FFFFFF"/>
      <w:spacing w:before="640" w:after="560"/>
      <w:jc w:val="center"/>
      <w:outlineLvl w:val="0"/>
    </w:pPr>
    <w:rPr>
      <w:rFonts w:ascii="黑体" w:hAnsi="Calibri" w:eastAsia="黑体" w:cs="Times New Roman"/>
      <w:sz w:val="32"/>
      <w:lang w:val="en-US" w:eastAsia="zh-CN" w:bidi="ar-SA"/>
    </w:rPr>
  </w:style>
  <w:style w:type="paragraph" w:customStyle="1" w:styleId="283">
    <w:name w:val="表格五号"/>
    <w:qFormat/>
    <w:uiPriority w:val="0"/>
    <w:pPr>
      <w:adjustRightInd w:val="0"/>
      <w:snapToGrid w:val="0"/>
      <w:jc w:val="center"/>
    </w:pPr>
    <w:rPr>
      <w:rFonts w:ascii="Times New Roman" w:hAnsi="Times New Roman" w:eastAsia="宋体" w:cs="Times New Roman"/>
      <w:kern w:val="2"/>
      <w:sz w:val="21"/>
      <w:szCs w:val="21"/>
      <w:lang w:val="en-US" w:eastAsia="zh-CN" w:bidi="ar-SA"/>
    </w:rPr>
  </w:style>
  <w:style w:type="paragraph" w:customStyle="1" w:styleId="284">
    <w:name w:val="示例"/>
    <w:next w:val="251"/>
    <w:qFormat/>
    <w:uiPriority w:val="0"/>
    <w:pPr>
      <w:tabs>
        <w:tab w:val="left" w:pos="816"/>
      </w:tabs>
      <w:ind w:firstLine="419" w:firstLineChars="233"/>
      <w:jc w:val="both"/>
    </w:pPr>
    <w:rPr>
      <w:rFonts w:ascii="宋体" w:hAnsi="Calibri" w:eastAsia="宋体" w:cs="Times New Roman"/>
      <w:sz w:val="18"/>
      <w:lang w:val="en-US" w:eastAsia="zh-CN" w:bidi="ar-SA"/>
    </w:rPr>
  </w:style>
  <w:style w:type="paragraph" w:customStyle="1" w:styleId="285">
    <w:name w:val="样式 样式 首行缩进:  2 字符 + 字符缩放: 100%"/>
    <w:basedOn w:val="1"/>
    <w:qFormat/>
    <w:uiPriority w:val="0"/>
    <w:pPr>
      <w:adjustRightInd/>
      <w:spacing w:line="360" w:lineRule="auto"/>
      <w:ind w:right="210" w:rightChars="100" w:firstLine="540" w:firstLineChars="225"/>
    </w:pPr>
    <w:rPr>
      <w:color w:val="000000"/>
      <w:kern w:val="24"/>
      <w:sz w:val="24"/>
      <w:szCs w:val="24"/>
    </w:rPr>
  </w:style>
  <w:style w:type="paragraph" w:customStyle="1" w:styleId="286">
    <w:name w:val="封面标准号1"/>
    <w:qFormat/>
    <w:uiPriority w:val="0"/>
    <w:pPr>
      <w:widowControl w:val="0"/>
      <w:kinsoku w:val="0"/>
      <w:overflowPunct w:val="0"/>
      <w:autoSpaceDE w:val="0"/>
      <w:autoSpaceDN w:val="0"/>
      <w:spacing w:before="308"/>
      <w:jc w:val="right"/>
      <w:textAlignment w:val="center"/>
    </w:pPr>
    <w:rPr>
      <w:rFonts w:ascii="Calibri" w:hAnsi="Calibri" w:eastAsia="宋体" w:cs="Times New Roman"/>
      <w:sz w:val="28"/>
      <w:lang w:val="en-US" w:eastAsia="zh-CN" w:bidi="ar-SA"/>
    </w:rPr>
  </w:style>
  <w:style w:type="paragraph" w:customStyle="1" w:styleId="287">
    <w:name w:val="附录表标题"/>
    <w:next w:val="251"/>
    <w:qFormat/>
    <w:uiPriority w:val="0"/>
    <w:pPr>
      <w:jc w:val="center"/>
      <w:textAlignment w:val="baseline"/>
    </w:pPr>
    <w:rPr>
      <w:rFonts w:ascii="黑体" w:hAnsi="Calibri" w:eastAsia="黑体" w:cs="Times New Roman"/>
      <w:kern w:val="21"/>
      <w:sz w:val="21"/>
      <w:lang w:val="en-US" w:eastAsia="zh-CN" w:bidi="ar-SA"/>
    </w:rPr>
  </w:style>
  <w:style w:type="paragraph" w:customStyle="1" w:styleId="288">
    <w:name w:val="二级无"/>
    <w:basedOn w:val="289"/>
    <w:qFormat/>
    <w:uiPriority w:val="0"/>
    <w:pPr>
      <w:jc w:val="left"/>
    </w:pPr>
    <w:rPr>
      <w:rFonts w:ascii="宋体" w:eastAsia="宋体"/>
      <w:szCs w:val="21"/>
    </w:rPr>
  </w:style>
  <w:style w:type="paragraph" w:customStyle="1" w:styleId="289">
    <w:name w:val="二级条标题"/>
    <w:basedOn w:val="254"/>
    <w:next w:val="251"/>
    <w:qFormat/>
    <w:uiPriority w:val="0"/>
    <w:pPr>
      <w:outlineLvl w:val="3"/>
    </w:pPr>
  </w:style>
  <w:style w:type="paragraph" w:customStyle="1" w:styleId="290">
    <w:name w:val="附录一级条标题"/>
    <w:basedOn w:val="291"/>
    <w:next w:val="251"/>
    <w:qFormat/>
    <w:uiPriority w:val="0"/>
    <w:pPr>
      <w:autoSpaceDN w:val="0"/>
      <w:spacing w:before="0" w:beforeLines="0" w:after="0" w:afterLines="0"/>
      <w:outlineLvl w:val="2"/>
    </w:pPr>
  </w:style>
  <w:style w:type="paragraph" w:customStyle="1" w:styleId="291">
    <w:name w:val="附录章标题"/>
    <w:next w:val="251"/>
    <w:qFormat/>
    <w:uiPriority w:val="0"/>
    <w:pPr>
      <w:wordWrap w:val="0"/>
      <w:overflowPunct w:val="0"/>
      <w:autoSpaceDE w:val="0"/>
      <w:spacing w:before="50" w:beforeLines="50" w:after="50" w:afterLines="50"/>
      <w:jc w:val="both"/>
      <w:textAlignment w:val="baseline"/>
      <w:outlineLvl w:val="1"/>
    </w:pPr>
    <w:rPr>
      <w:rFonts w:ascii="黑体" w:hAnsi="Calibri" w:eastAsia="黑体" w:cs="Times New Roman"/>
      <w:kern w:val="21"/>
      <w:sz w:val="21"/>
      <w:lang w:val="en-US" w:eastAsia="zh-CN" w:bidi="ar-SA"/>
    </w:rPr>
  </w:style>
  <w:style w:type="paragraph" w:customStyle="1" w:styleId="292">
    <w:name w:val="A表-表内一般字"/>
    <w:qFormat/>
    <w:uiPriority w:val="0"/>
    <w:pPr>
      <w:widowControl w:val="0"/>
      <w:jc w:val="center"/>
    </w:pPr>
    <w:rPr>
      <w:rFonts w:ascii="Times New Roman" w:hAnsi="Times New Roman" w:eastAsia="宋体" w:cs="Times New Roman"/>
      <w:kern w:val="2"/>
      <w:sz w:val="21"/>
      <w:szCs w:val="24"/>
      <w:lang w:val="en-US" w:eastAsia="zh-CN" w:bidi="ar-SA"/>
    </w:rPr>
  </w:style>
  <w:style w:type="paragraph" w:customStyle="1" w:styleId="293">
    <w:name w:val="样式7"/>
    <w:basedOn w:val="1"/>
    <w:qFormat/>
    <w:uiPriority w:val="0"/>
    <w:pPr>
      <w:keepNext/>
      <w:keepLines/>
      <w:tabs>
        <w:tab w:val="left" w:pos="3960"/>
      </w:tabs>
      <w:adjustRightInd/>
      <w:spacing w:line="480" w:lineRule="exact"/>
      <w:outlineLvl w:val="1"/>
    </w:pPr>
    <w:rPr>
      <w:bCs/>
      <w:color w:val="000000"/>
      <w:kern w:val="24"/>
      <w:sz w:val="28"/>
      <w:szCs w:val="28"/>
    </w:rPr>
  </w:style>
  <w:style w:type="paragraph" w:customStyle="1" w:styleId="294">
    <w:name w:val="四级条标题"/>
    <w:basedOn w:val="295"/>
    <w:next w:val="251"/>
    <w:qFormat/>
    <w:uiPriority w:val="0"/>
    <w:pPr>
      <w:outlineLvl w:val="5"/>
    </w:pPr>
  </w:style>
  <w:style w:type="paragraph" w:customStyle="1" w:styleId="295">
    <w:name w:val="三级条标题"/>
    <w:basedOn w:val="289"/>
    <w:next w:val="251"/>
    <w:qFormat/>
    <w:uiPriority w:val="0"/>
    <w:pPr>
      <w:outlineLvl w:val="4"/>
    </w:pPr>
  </w:style>
  <w:style w:type="paragraph" w:customStyle="1" w:styleId="296">
    <w:name w:val="条文脚注"/>
    <w:basedOn w:val="28"/>
    <w:qFormat/>
    <w:uiPriority w:val="0"/>
    <w:pPr>
      <w:spacing w:line="240" w:lineRule="auto"/>
      <w:ind w:left="780" w:hanging="360"/>
      <w:jc w:val="both"/>
    </w:pPr>
  </w:style>
  <w:style w:type="paragraph" w:customStyle="1" w:styleId="297">
    <w:name w:val="附录四级条标题"/>
    <w:basedOn w:val="298"/>
    <w:next w:val="251"/>
    <w:qFormat/>
    <w:uiPriority w:val="0"/>
    <w:pPr>
      <w:outlineLvl w:val="5"/>
    </w:pPr>
  </w:style>
  <w:style w:type="paragraph" w:customStyle="1" w:styleId="298">
    <w:name w:val="附录三级条标题"/>
    <w:basedOn w:val="299"/>
    <w:next w:val="251"/>
    <w:qFormat/>
    <w:uiPriority w:val="0"/>
    <w:pPr>
      <w:outlineLvl w:val="4"/>
    </w:pPr>
  </w:style>
  <w:style w:type="paragraph" w:customStyle="1" w:styleId="299">
    <w:name w:val="附录二级条标题"/>
    <w:basedOn w:val="290"/>
    <w:next w:val="251"/>
    <w:qFormat/>
    <w:uiPriority w:val="0"/>
    <w:pPr>
      <w:outlineLvl w:val="3"/>
    </w:pPr>
  </w:style>
  <w:style w:type="paragraph" w:customStyle="1" w:styleId="300">
    <w:name w:val="附录图标题"/>
    <w:next w:val="251"/>
    <w:qFormat/>
    <w:uiPriority w:val="0"/>
    <w:pPr>
      <w:jc w:val="center"/>
    </w:pPr>
    <w:rPr>
      <w:rFonts w:ascii="黑体" w:hAnsi="Calibri" w:eastAsia="黑体" w:cs="Times New Roman"/>
      <w:sz w:val="21"/>
      <w:lang w:val="en-US" w:eastAsia="zh-CN" w:bidi="ar-SA"/>
    </w:rPr>
  </w:style>
  <w:style w:type="paragraph" w:customStyle="1" w:styleId="301">
    <w:name w:val="WPSOffice手动目录 1"/>
    <w:qFormat/>
    <w:uiPriority w:val="0"/>
    <w:rPr>
      <w:rFonts w:ascii="Times New Roman" w:hAnsi="Times New Roman" w:eastAsia="宋体" w:cs="Times New Roman"/>
      <w:lang w:val="en-US" w:eastAsia="zh-CN" w:bidi="ar-SA"/>
    </w:rPr>
  </w:style>
  <w:style w:type="paragraph" w:customStyle="1" w:styleId="302">
    <w:name w:val="参考文献、索引标题"/>
    <w:basedOn w:val="282"/>
    <w:next w:val="1"/>
    <w:qFormat/>
    <w:uiPriority w:val="0"/>
    <w:pPr>
      <w:spacing w:after="200"/>
    </w:pPr>
    <w:rPr>
      <w:sz w:val="21"/>
    </w:rPr>
  </w:style>
  <w:style w:type="paragraph" w:customStyle="1" w:styleId="303">
    <w:name w:val="标准书眉_偶数页"/>
    <w:basedOn w:val="304"/>
    <w:next w:val="1"/>
    <w:qFormat/>
    <w:uiPriority w:val="0"/>
    <w:pPr>
      <w:tabs>
        <w:tab w:val="center" w:pos="4154"/>
        <w:tab w:val="right" w:pos="8306"/>
      </w:tabs>
      <w:jc w:val="left"/>
    </w:pPr>
  </w:style>
  <w:style w:type="paragraph" w:customStyle="1" w:styleId="304">
    <w:name w:val="标准书眉_奇数页"/>
    <w:next w:val="1"/>
    <w:qFormat/>
    <w:uiPriority w:val="0"/>
    <w:pPr>
      <w:tabs>
        <w:tab w:val="center" w:pos="4154"/>
        <w:tab w:val="right" w:pos="8306"/>
      </w:tabs>
      <w:spacing w:after="120"/>
      <w:jc w:val="right"/>
    </w:pPr>
    <w:rPr>
      <w:rFonts w:ascii="Calibri" w:hAnsi="Calibri" w:eastAsia="宋体" w:cs="Times New Roman"/>
      <w:sz w:val="21"/>
      <w:lang w:val="en-US" w:eastAsia="zh-CN" w:bidi="ar-SA"/>
    </w:rPr>
  </w:style>
  <w:style w:type="paragraph" w:customStyle="1" w:styleId="305">
    <w:name w:val="0609 条款首行(带编号)"/>
    <w:basedOn w:val="1"/>
    <w:qFormat/>
    <w:uiPriority w:val="0"/>
    <w:pPr>
      <w:adjustRightInd/>
      <w:spacing w:line="240" w:lineRule="auto"/>
    </w:pPr>
    <w:rPr>
      <w:szCs w:val="24"/>
    </w:rPr>
  </w:style>
  <w:style w:type="paragraph" w:customStyle="1" w:styleId="306">
    <w:name w:val="默认段落字体 Para Char Char Char Char"/>
    <w:basedOn w:val="1"/>
    <w:qFormat/>
    <w:uiPriority w:val="0"/>
    <w:pPr>
      <w:adjustRightInd/>
      <w:spacing w:line="240" w:lineRule="auto"/>
    </w:pPr>
    <w:rPr>
      <w:szCs w:val="24"/>
    </w:rPr>
  </w:style>
  <w:style w:type="paragraph" w:customStyle="1" w:styleId="307">
    <w:name w:val="数字编号列项（二级）"/>
    <w:qFormat/>
    <w:uiPriority w:val="0"/>
    <w:pPr>
      <w:ind w:left="1260" w:leftChars="400" w:hanging="420" w:hangingChars="200"/>
      <w:jc w:val="both"/>
    </w:pPr>
    <w:rPr>
      <w:rFonts w:ascii="宋体" w:hAnsi="Calibri" w:eastAsia="宋体" w:cs="Times New Roman"/>
      <w:sz w:val="21"/>
      <w:lang w:val="en-US" w:eastAsia="zh-CN" w:bidi="ar-SA"/>
    </w:rPr>
  </w:style>
  <w:style w:type="paragraph" w:customStyle="1" w:styleId="308">
    <w:name w:val="附录标识"/>
    <w:basedOn w:val="282"/>
    <w:qFormat/>
    <w:uiPriority w:val="0"/>
    <w:pPr>
      <w:tabs>
        <w:tab w:val="left" w:pos="6405"/>
      </w:tabs>
      <w:spacing w:after="200"/>
    </w:pPr>
    <w:rPr>
      <w:sz w:val="21"/>
    </w:rPr>
  </w:style>
  <w:style w:type="paragraph" w:customStyle="1" w:styleId="309">
    <w:name w:val="封面标准号2"/>
    <w:basedOn w:val="286"/>
    <w:qFormat/>
    <w:uiPriority w:val="0"/>
    <w:pPr>
      <w:framePr w:w="9138" w:h="1244" w:hRule="exact" w:wrap="around" w:vAnchor="page" w:hAnchor="margin" w:y="2908"/>
      <w:adjustRightInd w:val="0"/>
      <w:spacing w:before="357" w:line="280" w:lineRule="exact"/>
    </w:pPr>
  </w:style>
  <w:style w:type="paragraph" w:customStyle="1" w:styleId="310">
    <w:name w:val="五级条标题"/>
    <w:basedOn w:val="294"/>
    <w:next w:val="251"/>
    <w:qFormat/>
    <w:uiPriority w:val="0"/>
    <w:pPr>
      <w:outlineLvl w:val="6"/>
    </w:pPr>
  </w:style>
  <w:style w:type="paragraph" w:customStyle="1" w:styleId="311">
    <w:name w:val="Table Text"/>
    <w:basedOn w:val="1"/>
    <w:semiHidden/>
    <w:qFormat/>
    <w:uiPriority w:val="0"/>
    <w:pPr>
      <w:adjustRightInd/>
      <w:spacing w:line="240" w:lineRule="auto"/>
      <w:ind w:firstLine="562" w:firstLineChars="200"/>
    </w:pPr>
    <w:rPr>
      <w:rFonts w:ascii="宋体" w:hAnsi="宋体" w:cs="宋体"/>
    </w:rPr>
  </w:style>
  <w:style w:type="paragraph" w:customStyle="1" w:styleId="312">
    <w:name w:val="表头"/>
    <w:basedOn w:val="1"/>
    <w:next w:val="1"/>
    <w:qFormat/>
    <w:uiPriority w:val="0"/>
    <w:pPr>
      <w:adjustRightInd/>
      <w:spacing w:line="360" w:lineRule="auto"/>
      <w:jc w:val="center"/>
    </w:pPr>
    <w:rPr>
      <w:rFonts w:hAnsi="宋体"/>
      <w:b/>
      <w:szCs w:val="24"/>
    </w:rPr>
  </w:style>
  <w:style w:type="paragraph" w:customStyle="1" w:styleId="313">
    <w:name w:val="标准书脚_奇数页"/>
    <w:qFormat/>
    <w:uiPriority w:val="0"/>
    <w:pPr>
      <w:spacing w:before="120"/>
      <w:jc w:val="right"/>
    </w:pPr>
    <w:rPr>
      <w:rFonts w:ascii="Calibri" w:hAnsi="Calibri" w:eastAsia="宋体" w:cs="Times New Roman"/>
      <w:sz w:val="18"/>
      <w:lang w:val="en-US" w:eastAsia="zh-CN" w:bidi="ar-SA"/>
    </w:rPr>
  </w:style>
  <w:style w:type="paragraph" w:customStyle="1" w:styleId="314">
    <w:name w:val="目次、标准名称标题"/>
    <w:basedOn w:val="282"/>
    <w:next w:val="251"/>
    <w:qFormat/>
    <w:uiPriority w:val="0"/>
    <w:pPr>
      <w:spacing w:line="460" w:lineRule="exact"/>
    </w:pPr>
  </w:style>
  <w:style w:type="paragraph" w:customStyle="1" w:styleId="315">
    <w:name w:val="Char"/>
    <w:basedOn w:val="1"/>
    <w:next w:val="7"/>
    <w:qFormat/>
    <w:uiPriority w:val="0"/>
    <w:pPr>
      <w:widowControl/>
      <w:adjustRightInd/>
      <w:spacing w:after="160" w:line="240" w:lineRule="exact"/>
      <w:jc w:val="left"/>
    </w:pPr>
    <w:rPr>
      <w:rFonts w:ascii="Verdana" w:hAnsi="Verdana" w:eastAsia="仿宋_GB2312"/>
      <w:b/>
      <w:kern w:val="0"/>
      <w:sz w:val="28"/>
      <w:szCs w:val="30"/>
      <w:lang w:eastAsia="en-US"/>
    </w:rPr>
  </w:style>
  <w:style w:type="paragraph" w:customStyle="1" w:styleId="316">
    <w:name w:val="标准书脚_偶数页"/>
    <w:qFormat/>
    <w:uiPriority w:val="0"/>
    <w:pPr>
      <w:spacing w:before="120"/>
    </w:pPr>
    <w:rPr>
      <w:rFonts w:ascii="Calibri" w:hAnsi="Calibri" w:eastAsia="宋体" w:cs="Times New Roman"/>
      <w:sz w:val="18"/>
      <w:lang w:val="en-US" w:eastAsia="zh-CN" w:bidi="ar-SA"/>
    </w:rPr>
  </w:style>
  <w:style w:type="paragraph" w:customStyle="1" w:styleId="31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8">
    <w:name w:val="一级无"/>
    <w:basedOn w:val="254"/>
    <w:qFormat/>
    <w:uiPriority w:val="0"/>
    <w:pPr>
      <w:jc w:val="left"/>
    </w:pPr>
    <w:rPr>
      <w:rFonts w:ascii="宋体" w:eastAsia="宋体"/>
      <w:szCs w:val="21"/>
    </w:rPr>
  </w:style>
  <w:style w:type="paragraph" w:customStyle="1" w:styleId="319">
    <w:name w:val="Char Char Char Char"/>
    <w:basedOn w:val="1"/>
    <w:qFormat/>
    <w:uiPriority w:val="0"/>
    <w:pPr>
      <w:widowControl/>
      <w:adjustRightInd/>
      <w:spacing w:after="160" w:line="240" w:lineRule="exact"/>
      <w:jc w:val="left"/>
    </w:pPr>
    <w:rPr>
      <w:rFonts w:ascii="Verdana" w:hAnsi="Verdana" w:eastAsia="仿宋_GB2312"/>
      <w:kern w:val="0"/>
      <w:sz w:val="24"/>
      <w:szCs w:val="20"/>
      <w:lang w:eastAsia="en-US"/>
    </w:rPr>
  </w:style>
  <w:style w:type="paragraph" w:customStyle="1" w:styleId="320">
    <w:name w:val="图表脚注"/>
    <w:next w:val="251"/>
    <w:qFormat/>
    <w:uiPriority w:val="0"/>
    <w:pPr>
      <w:ind w:left="300" w:leftChars="200" w:hanging="100" w:hangingChars="100"/>
      <w:jc w:val="both"/>
    </w:pPr>
    <w:rPr>
      <w:rFonts w:ascii="宋体" w:hAnsi="Calibri" w:eastAsia="宋体" w:cs="Times New Roman"/>
      <w:sz w:val="18"/>
      <w:lang w:val="en-US" w:eastAsia="zh-CN" w:bidi="ar-SA"/>
    </w:rPr>
  </w:style>
  <w:style w:type="paragraph" w:customStyle="1" w:styleId="321">
    <w:name w:val="MY 表格文字"/>
    <w:next w:val="1"/>
    <w:qFormat/>
    <w:uiPriority w:val="0"/>
    <w:pPr>
      <w:adjustRightInd w:val="0"/>
      <w:snapToGrid w:val="0"/>
      <w:jc w:val="center"/>
    </w:pPr>
    <w:rPr>
      <w:rFonts w:ascii="宋体" w:hAnsi="Times New Roman" w:eastAsia="宋体" w:cs="Times New Roman"/>
      <w:kern w:val="2"/>
      <w:sz w:val="21"/>
      <w:szCs w:val="21"/>
      <w:lang w:val="en-US" w:eastAsia="zh-CN" w:bidi="ar-SA"/>
    </w:rPr>
  </w:style>
  <w:style w:type="paragraph" w:customStyle="1" w:styleId="322">
    <w:name w:val="正文表标题"/>
    <w:next w:val="251"/>
    <w:qFormat/>
    <w:uiPriority w:val="0"/>
    <w:pPr>
      <w:jc w:val="center"/>
    </w:pPr>
    <w:rPr>
      <w:rFonts w:ascii="黑体" w:hAnsi="Calibri" w:eastAsia="黑体" w:cs="Times New Roman"/>
      <w:sz w:val="21"/>
      <w:lang w:val="en-US" w:eastAsia="zh-CN" w:bidi="ar-SA"/>
    </w:rPr>
  </w:style>
  <w:style w:type="paragraph" w:customStyle="1" w:styleId="323">
    <w:name w:val="表格文字"/>
    <w:basedOn w:val="1"/>
    <w:qFormat/>
    <w:uiPriority w:val="0"/>
    <w:pPr>
      <w:snapToGrid w:val="0"/>
      <w:spacing w:line="240" w:lineRule="auto"/>
      <w:ind w:left="-106" w:leftChars="-38" w:right="-92" w:rightChars="-33"/>
      <w:jc w:val="center"/>
    </w:pPr>
    <w:rPr>
      <w:sz w:val="24"/>
      <w:szCs w:val="20"/>
    </w:rPr>
  </w:style>
  <w:style w:type="paragraph" w:customStyle="1" w:styleId="324">
    <w:name w:val="表 三级"/>
    <w:next w:val="283"/>
    <w:qFormat/>
    <w:uiPriority w:val="0"/>
    <w:pPr>
      <w:widowControl w:val="0"/>
      <w:numPr>
        <w:ilvl w:val="6"/>
        <w:numId w:val="32"/>
      </w:numPr>
      <w:spacing w:before="50" w:beforeLines="50" w:after="50" w:afterLines="50"/>
      <w:jc w:val="center"/>
      <w:outlineLvl w:val="6"/>
    </w:pPr>
    <w:rPr>
      <w:rFonts w:ascii="黑体" w:hAnsi="黑体" w:eastAsia="黑体" w:cs="Times New Roman"/>
      <w:kern w:val="2"/>
      <w:sz w:val="21"/>
      <w:szCs w:val="24"/>
      <w:lang w:val="en-US" w:eastAsia="zh-CN" w:bidi="ar-SA"/>
    </w:rPr>
  </w:style>
  <w:style w:type="paragraph" w:customStyle="1" w:styleId="325">
    <w:name w:val="注×："/>
    <w:qFormat/>
    <w:uiPriority w:val="0"/>
    <w:pPr>
      <w:widowControl w:val="0"/>
      <w:numPr>
        <w:ilvl w:val="0"/>
        <w:numId w:val="33"/>
      </w:numPr>
      <w:tabs>
        <w:tab w:val="left" w:pos="630"/>
        <w:tab w:val="clear" w:pos="900"/>
      </w:tabs>
      <w:autoSpaceDE w:val="0"/>
      <w:autoSpaceDN w:val="0"/>
      <w:jc w:val="both"/>
    </w:pPr>
    <w:rPr>
      <w:rFonts w:ascii="宋体" w:hAnsi="Calibri" w:eastAsia="宋体" w:cs="Times New Roman"/>
      <w:sz w:val="18"/>
      <w:lang w:val="en-US" w:eastAsia="zh-CN" w:bidi="ar-SA"/>
    </w:rPr>
  </w:style>
  <w:style w:type="paragraph" w:customStyle="1" w:styleId="326">
    <w:name w:val="字母编号列项（一级）"/>
    <w:qFormat/>
    <w:uiPriority w:val="0"/>
    <w:pPr>
      <w:ind w:left="840" w:leftChars="200" w:hanging="420" w:hangingChars="200"/>
      <w:jc w:val="both"/>
    </w:pPr>
    <w:rPr>
      <w:rFonts w:ascii="宋体" w:hAnsi="Calibri" w:eastAsia="宋体" w:cs="Times New Roman"/>
      <w:sz w:val="21"/>
      <w:lang w:val="en-US" w:eastAsia="zh-CN" w:bidi="ar-SA"/>
    </w:rPr>
  </w:style>
  <w:style w:type="paragraph" w:customStyle="1" w:styleId="327">
    <w:name w:val="TOC 标题1"/>
    <w:basedOn w:val="4"/>
    <w:next w:val="1"/>
    <w:qFormat/>
    <w:uiPriority w:val="39"/>
    <w:pPr>
      <w:widowControl/>
      <w:adjustRightInd/>
      <w:spacing w:before="240" w:after="0" w:line="259" w:lineRule="auto"/>
      <w:jc w:val="left"/>
      <w:outlineLvl w:val="9"/>
    </w:pPr>
    <w:rPr>
      <w:rFonts w:ascii="等线 Light" w:hAnsi="等线 Light" w:eastAsia="等线 Light"/>
      <w:b w:val="0"/>
      <w:bCs w:val="0"/>
      <w:color w:val="2F5496"/>
      <w:kern w:val="0"/>
      <w:sz w:val="32"/>
      <w:szCs w:val="32"/>
      <w:lang w:val="zh-CN"/>
    </w:rPr>
  </w:style>
  <w:style w:type="paragraph" w:customStyle="1" w:styleId="328">
    <w:name w:val="注："/>
    <w:next w:val="251"/>
    <w:qFormat/>
    <w:uiPriority w:val="0"/>
    <w:pPr>
      <w:widowControl w:val="0"/>
      <w:autoSpaceDE w:val="0"/>
      <w:autoSpaceDN w:val="0"/>
      <w:ind w:left="840" w:hanging="420"/>
      <w:jc w:val="both"/>
    </w:pPr>
    <w:rPr>
      <w:rFonts w:ascii="宋体" w:hAnsi="Calibri" w:eastAsia="宋体" w:cs="Times New Roman"/>
      <w:sz w:val="18"/>
      <w:lang w:val="en-US" w:eastAsia="zh-CN" w:bidi="ar-SA"/>
    </w:rPr>
  </w:style>
  <w:style w:type="paragraph" w:customStyle="1" w:styleId="329">
    <w:name w:val="附录五级条标题"/>
    <w:basedOn w:val="297"/>
    <w:next w:val="251"/>
    <w:qFormat/>
    <w:uiPriority w:val="0"/>
    <w:pPr>
      <w:outlineLvl w:val="6"/>
    </w:pPr>
  </w:style>
  <w:style w:type="paragraph" w:customStyle="1" w:styleId="330">
    <w:name w:val="正文图标题"/>
    <w:next w:val="251"/>
    <w:qFormat/>
    <w:uiPriority w:val="0"/>
    <w:pPr>
      <w:jc w:val="center"/>
    </w:pPr>
    <w:rPr>
      <w:rFonts w:ascii="黑体" w:hAnsi="Calibri" w:eastAsia="黑体" w:cs="Times New Roman"/>
      <w:sz w:val="21"/>
      <w:lang w:val="en-US" w:eastAsia="zh-CN" w:bidi="ar-SA"/>
    </w:rPr>
  </w:style>
  <w:style w:type="paragraph" w:customStyle="1" w:styleId="331">
    <w:name w:val="列出段落"/>
    <w:basedOn w:val="1"/>
    <w:link w:val="339"/>
    <w:qFormat/>
    <w:uiPriority w:val="34"/>
    <w:pPr>
      <w:adjustRightInd/>
      <w:spacing w:line="240" w:lineRule="auto"/>
      <w:ind w:firstLine="420" w:firstLineChars="200"/>
    </w:pPr>
    <w:rPr>
      <w:szCs w:val="24"/>
    </w:rPr>
  </w:style>
  <w:style w:type="paragraph" w:customStyle="1" w:styleId="332">
    <w:name w:val="1列表段落"/>
    <w:basedOn w:val="1"/>
    <w:qFormat/>
    <w:uiPriority w:val="0"/>
    <w:pPr>
      <w:adjustRightInd/>
      <w:spacing w:line="300" w:lineRule="auto"/>
      <w:ind w:left="600" w:leftChars="400" w:hanging="200" w:hangingChars="200"/>
    </w:pPr>
    <w:rPr>
      <w:szCs w:val="22"/>
    </w:rPr>
  </w:style>
  <w:style w:type="paragraph" w:customStyle="1" w:styleId="333">
    <w:name w:val="报告书正文"/>
    <w:basedOn w:val="1"/>
    <w:qFormat/>
    <w:uiPriority w:val="0"/>
    <w:pPr>
      <w:snapToGrid w:val="0"/>
      <w:spacing w:line="360" w:lineRule="auto"/>
      <w:ind w:firstLine="425"/>
      <w:textAlignment w:val="baseline"/>
    </w:pPr>
    <w:rPr>
      <w:rFonts w:ascii="Arial" w:hAnsi="Arial"/>
      <w:kern w:val="0"/>
      <w:sz w:val="24"/>
      <w:szCs w:val="24"/>
    </w:rPr>
  </w:style>
  <w:style w:type="table" w:customStyle="1" w:styleId="334">
    <w:name w:val="Table Normal"/>
    <w:basedOn w:val="37"/>
    <w:qFormat/>
    <w:uiPriority w:val="0"/>
    <w:rPr>
      <w:rFonts w:eastAsia="Times New Roman"/>
    </w:rPr>
    <w:tblPr>
      <w:tblCellMar>
        <w:left w:w="0" w:type="dxa"/>
        <w:right w:w="0" w:type="dxa"/>
      </w:tblCellMar>
    </w:tblPr>
  </w:style>
  <w:style w:type="character" w:customStyle="1" w:styleId="335">
    <w:name w:val="NormalCharacter"/>
    <w:semiHidden/>
    <w:qFormat/>
    <w:uiPriority w:val="0"/>
  </w:style>
  <w:style w:type="character" w:customStyle="1" w:styleId="336">
    <w:name w:val="未处理的提及1"/>
    <w:semiHidden/>
    <w:unhideWhenUsed/>
    <w:qFormat/>
    <w:uiPriority w:val="99"/>
    <w:rPr>
      <w:color w:val="605E5C"/>
      <w:shd w:val="clear" w:color="auto" w:fill="E1DFDD"/>
    </w:rPr>
  </w:style>
  <w:style w:type="paragraph" w:customStyle="1" w:styleId="337">
    <w:name w:val="附录字母编号列项（一级）"/>
    <w:basedOn w:val="1"/>
    <w:qFormat/>
    <w:uiPriority w:val="0"/>
    <w:pPr>
      <w:numPr>
        <w:ilvl w:val="0"/>
        <w:numId w:val="34"/>
      </w:numPr>
      <w:tabs>
        <w:tab w:val="left" w:pos="709"/>
      </w:tabs>
      <w:wordWrap w:val="0"/>
      <w:adjustRightInd/>
      <w:spacing w:line="240" w:lineRule="auto"/>
    </w:pPr>
    <w:rPr>
      <w:rFonts w:ascii="宋体" w:hAnsi="宋体"/>
      <w:color w:val="000000"/>
      <w:kern w:val="0"/>
      <w:lang w:val="de-DE"/>
    </w:rPr>
  </w:style>
  <w:style w:type="character" w:customStyle="1" w:styleId="338">
    <w:name w:val="正文文本首行缩进 字符"/>
    <w:semiHidden/>
    <w:qFormat/>
    <w:uiPriority w:val="99"/>
  </w:style>
  <w:style w:type="character" w:customStyle="1" w:styleId="339">
    <w:name w:val="列表段落 字符"/>
    <w:link w:val="331"/>
    <w:qFormat/>
    <w:uiPriority w:val="34"/>
    <w:rPr>
      <w:rFonts w:ascii="Calibri" w:hAnsi="Calibri"/>
      <w:kern w:val="2"/>
      <w:sz w:val="21"/>
      <w:szCs w:val="24"/>
    </w:rPr>
  </w:style>
  <w:style w:type="character" w:customStyle="1" w:styleId="340">
    <w:name w:val="0正文 Char Char Char"/>
    <w:link w:val="341"/>
    <w:qFormat/>
    <w:uiPriority w:val="0"/>
    <w:rPr>
      <w:kern w:val="2"/>
      <w:sz w:val="24"/>
    </w:rPr>
  </w:style>
  <w:style w:type="paragraph" w:customStyle="1" w:styleId="341">
    <w:name w:val="0正文"/>
    <w:basedOn w:val="264"/>
    <w:link w:val="340"/>
    <w:qFormat/>
    <w:uiPriority w:val="0"/>
    <w:pPr>
      <w:kinsoku/>
      <w:overflowPunct w:val="0"/>
      <w:autoSpaceDE/>
      <w:autoSpaceDN/>
      <w:spacing w:before="156" w:beforeLines="50" w:line="360" w:lineRule="auto"/>
      <w:ind w:firstLine="480" w:firstLineChars="200"/>
      <w:textAlignment w:val="auto"/>
    </w:pPr>
    <w:rPr>
      <w:color w:val="auto"/>
      <w:kern w:val="2"/>
      <w:sz w:val="24"/>
      <w:lang w:val="en-US"/>
    </w:rPr>
  </w:style>
  <w:style w:type="paragraph" w:customStyle="1" w:styleId="342">
    <w:name w:val="_二级条标题"/>
    <w:basedOn w:val="124"/>
    <w:next w:val="1"/>
    <w:qFormat/>
    <w:uiPriority w:val="0"/>
    <w:pPr>
      <w:numPr>
        <w:ilvl w:val="0"/>
        <w:numId w:val="0"/>
      </w:numPr>
      <w:spacing w:before="50" w:beforeLines="50" w:after="50" w:afterLines="50"/>
      <w:outlineLvl w:val="1"/>
    </w:pPr>
    <w:rPr>
      <w:rFonts w:hAnsi="黑体"/>
    </w:rPr>
  </w:style>
  <w:style w:type="paragraph" w:customStyle="1" w:styleId="343">
    <w:name w:val="正文1"/>
    <w:basedOn w:val="1"/>
    <w:next w:val="14"/>
    <w:qFormat/>
    <w:uiPriority w:val="0"/>
    <w:pPr>
      <w:adjustRightInd/>
      <w:spacing w:line="240" w:lineRule="auto"/>
      <w:jc w:val="center"/>
    </w:pPr>
    <w:rPr>
      <w:rFonts w:ascii="Times New Roman" w:hAnsi="Times New Roman"/>
      <w:szCs w:val="20"/>
    </w:rPr>
  </w:style>
  <w:style w:type="paragraph" w:customStyle="1" w:styleId="344">
    <w:name w:val="表格内部"/>
    <w:basedOn w:val="1"/>
    <w:semiHidden/>
    <w:qFormat/>
    <w:uiPriority w:val="0"/>
    <w:pPr>
      <w:snapToGrid w:val="0"/>
      <w:spacing w:line="240" w:lineRule="atLeast"/>
      <w:ind w:firstLine="200" w:firstLineChars="200"/>
      <w:jc w:val="center"/>
      <w:textAlignment w:val="baseline"/>
    </w:pPr>
    <w:rPr>
      <w:rFonts w:ascii="Arial" w:hAnsi="Arial" w:cs="Arial"/>
      <w:kern w:val="0"/>
      <w:sz w:val="28"/>
      <w:szCs w:val="20"/>
    </w:rPr>
  </w:style>
  <w:style w:type="paragraph" w:customStyle="1" w:styleId="345">
    <w:name w:val="修订1"/>
    <w:unhideWhenUsed/>
    <w:qFormat/>
    <w:uiPriority w:val="99"/>
    <w:rPr>
      <w:rFonts w:ascii="Calibri" w:hAnsi="Calibri" w:eastAsia="宋体" w:cs="Times New Roman"/>
      <w:kern w:val="2"/>
      <w:sz w:val="21"/>
      <w:szCs w:val="24"/>
      <w:lang w:val="en-US" w:eastAsia="zh-CN" w:bidi="ar-SA"/>
    </w:rPr>
  </w:style>
  <w:style w:type="paragraph" w:customStyle="1" w:styleId="346">
    <w:name w:val="表格文字居中"/>
    <w:basedOn w:val="1"/>
    <w:qFormat/>
    <w:uiPriority w:val="0"/>
    <w:pPr>
      <w:adjustRightInd/>
      <w:spacing w:line="240" w:lineRule="auto"/>
      <w:jc w:val="center"/>
    </w:pPr>
    <w:rPr>
      <w:rFonts w:ascii="ˎ̥" w:hAnsi="Times New Roman" w:eastAsia="Courier New"/>
      <w:snapToGrid w:val="0"/>
      <w:spacing w:val="-20"/>
    </w:rPr>
  </w:style>
  <w:style w:type="paragraph" w:customStyle="1" w:styleId="347">
    <w:name w:val="修订2"/>
    <w:hidden/>
    <w:unhideWhenUsed/>
    <w:qFormat/>
    <w:uiPriority w:val="99"/>
    <w:rPr>
      <w:rFonts w:ascii="Calibri" w:hAnsi="Calibri" w:eastAsia="宋体" w:cs="Times New Roman"/>
      <w:kern w:val="2"/>
      <w:sz w:val="21"/>
      <w:szCs w:val="24"/>
      <w:lang w:val="en-US" w:eastAsia="zh-CN" w:bidi="ar-SA"/>
    </w:rPr>
  </w:style>
  <w:style w:type="character" w:customStyle="1" w:styleId="348">
    <w:name w:val="未处理的提及2"/>
    <w:basedOn w:val="39"/>
    <w:semiHidden/>
    <w:unhideWhenUsed/>
    <w:qFormat/>
    <w:uiPriority w:val="99"/>
    <w:rPr>
      <w:color w:val="605E5C"/>
      <w:shd w:val="clear" w:color="auto" w:fill="E1DFDD"/>
    </w:rPr>
  </w:style>
  <w:style w:type="character" w:customStyle="1" w:styleId="349">
    <w:name w:val="未处理的提及3"/>
    <w:basedOn w:val="39"/>
    <w:semiHidden/>
    <w:unhideWhenUsed/>
    <w:qFormat/>
    <w:uiPriority w:val="99"/>
    <w:rPr>
      <w:color w:val="605E5C"/>
      <w:shd w:val="clear" w:color="auto" w:fill="E1DFDD"/>
    </w:rPr>
  </w:style>
  <w:style w:type="paragraph" w:customStyle="1" w:styleId="350">
    <w:name w:val="修订3"/>
    <w:hidden/>
    <w:unhideWhenUsed/>
    <w:qFormat/>
    <w:uiPriority w:val="99"/>
    <w:rPr>
      <w:rFonts w:ascii="Calibri" w:hAnsi="Calibri" w:eastAsia="宋体" w:cs="Times New Roman"/>
      <w:kern w:val="2"/>
      <w:sz w:val="21"/>
      <w:szCs w:val="21"/>
      <w:lang w:val="en-US" w:eastAsia="zh-CN" w:bidi="ar-SA"/>
    </w:rPr>
  </w:style>
  <w:style w:type="paragraph" w:customStyle="1" w:styleId="351">
    <w:name w:val="Revision"/>
    <w:hidden/>
    <w:unhideWhenUsed/>
    <w:qFormat/>
    <w:uiPriority w:val="99"/>
    <w:rPr>
      <w:rFonts w:ascii="Calibri" w:hAnsi="Calibri" w:eastAsia="宋体" w:cs="Times New Roman"/>
      <w:kern w:val="2"/>
      <w:sz w:val="21"/>
      <w:szCs w:val="21"/>
      <w:lang w:val="en-US" w:eastAsia="zh-CN" w:bidi="ar-SA"/>
    </w:rPr>
  </w:style>
  <w:style w:type="paragraph" w:styleId="35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0" Type="http://schemas.openxmlformats.org/officeDocument/2006/relationships/glossaryDocument" Target="glossary/document.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customXml" Target="../customXml/item2.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jpeg"/><Relationship Id="rId34" Type="http://schemas.openxmlformats.org/officeDocument/2006/relationships/theme" Target="theme/theme1.xml"/><Relationship Id="rId33" Type="http://schemas.openxmlformats.org/officeDocument/2006/relationships/footer" Target="footer16.xml"/><Relationship Id="rId32" Type="http://schemas.openxmlformats.org/officeDocument/2006/relationships/footer" Target="footer15.xml"/><Relationship Id="rId31" Type="http://schemas.openxmlformats.org/officeDocument/2006/relationships/header" Target="header13.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60D349DF74442B18583560B16BCC588"/>
        <w:style w:val=""/>
        <w:category>
          <w:name w:val="常规"/>
          <w:gallery w:val="placeholder"/>
        </w:category>
        <w:types>
          <w:type w:val="bbPlcHdr"/>
        </w:types>
        <w:behaviors>
          <w:behavior w:val="content"/>
        </w:behaviors>
        <w:description w:val=""/>
        <w:guid w:val="{DDBE8EC4-FDBF-4362-9451-A88FA5245F4D}"/>
      </w:docPartPr>
      <w:docPartBody>
        <w:p w14:paraId="361D9A3E">
          <w:pPr>
            <w:pStyle w:val="5"/>
            <w:rPr>
              <w:rFonts w:hint="eastAsia"/>
            </w:rPr>
          </w:pPr>
          <w:r>
            <w:rPr>
              <w:rStyle w:val="4"/>
              <w:rFonts w:hint="eastAsia"/>
            </w:rPr>
            <w:t>单击或点击此处输入文字。</w:t>
          </w:r>
        </w:p>
      </w:docPartBody>
    </w:docPart>
    <w:docPart>
      <w:docPartPr>
        <w:name w:val="516340E3109541F48E7FEDD9B266CF0D"/>
        <w:style w:val=""/>
        <w:category>
          <w:name w:val="常规"/>
          <w:gallery w:val="placeholder"/>
        </w:category>
        <w:types>
          <w:type w:val="bbPlcHdr"/>
        </w:types>
        <w:behaviors>
          <w:behavior w:val="content"/>
        </w:behaviors>
        <w:description w:val=""/>
        <w:guid w:val="{5C7FD7C0-9585-40E0-A52D-80F623E4C09A}"/>
      </w:docPartPr>
      <w:docPartBody>
        <w:p w14:paraId="0966FE80">
          <w:pPr>
            <w:pStyle w:val="6"/>
            <w:rPr>
              <w:rFonts w:hint="eastAsia"/>
            </w:rPr>
          </w:pPr>
          <w:r>
            <w:rPr>
              <w:rStyle w:val="4"/>
              <w:rFonts w:hint="eastAsia"/>
            </w:rPr>
            <w:t>选择一项。</w:t>
          </w:r>
        </w:p>
      </w:docPartBody>
    </w:docPart>
    <w:docPart>
      <w:docPartPr>
        <w:name w:val="B40EBE6BF10E4F089A0FA803A73CD0E0"/>
        <w:style w:val=""/>
        <w:category>
          <w:name w:val="常规"/>
          <w:gallery w:val="placeholder"/>
        </w:category>
        <w:types>
          <w:type w:val="bbPlcHdr"/>
        </w:types>
        <w:behaviors>
          <w:behavior w:val="content"/>
        </w:behaviors>
        <w:description w:val=""/>
        <w:guid w:val="{B7460595-03B8-444E-A937-3A628BAC255D}"/>
      </w:docPartPr>
      <w:docPartBody>
        <w:p w14:paraId="36CB7850">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686"/>
    <w:rsid w:val="000D5DF6"/>
    <w:rsid w:val="00154C61"/>
    <w:rsid w:val="00196C55"/>
    <w:rsid w:val="00230FC5"/>
    <w:rsid w:val="00340535"/>
    <w:rsid w:val="003D633F"/>
    <w:rsid w:val="00436E5C"/>
    <w:rsid w:val="004E33D3"/>
    <w:rsid w:val="00554E1C"/>
    <w:rsid w:val="005D241F"/>
    <w:rsid w:val="00642AB0"/>
    <w:rsid w:val="006F29F9"/>
    <w:rsid w:val="00784C91"/>
    <w:rsid w:val="007D0BBD"/>
    <w:rsid w:val="0083047A"/>
    <w:rsid w:val="00883290"/>
    <w:rsid w:val="008B53A1"/>
    <w:rsid w:val="0096519C"/>
    <w:rsid w:val="00A17686"/>
    <w:rsid w:val="00A8609A"/>
    <w:rsid w:val="00B01546"/>
    <w:rsid w:val="00B947A6"/>
    <w:rsid w:val="00BC206B"/>
    <w:rsid w:val="00CF2F05"/>
    <w:rsid w:val="00D76D0A"/>
    <w:rsid w:val="00D87D46"/>
    <w:rsid w:val="00DF3C16"/>
    <w:rsid w:val="00E320C4"/>
    <w:rsid w:val="00E63AA9"/>
    <w:rsid w:val="00F72B30"/>
    <w:rsid w:val="00FB4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60D349DF74442B18583560B16BCC58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16340E3109541F48E7FEDD9B266CF0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B40EBE6BF10E4F089A0FA803A73CD0E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F10DBA-AB29-4DA7-83DE-6D5970A5C5ED}">
  <ds:schemaRefs/>
</ds:datastoreItem>
</file>

<file path=docProps/app.xml><?xml version="1.0" encoding="utf-8"?>
<Properties xmlns="http://schemas.openxmlformats.org/officeDocument/2006/extended-properties" xmlns:vt="http://schemas.openxmlformats.org/officeDocument/2006/docPropsVTypes">
  <Template>行业标准</Template>
  <Company>PCMI</Company>
  <Pages>50</Pages>
  <Words>11824</Words>
  <Characters>13600</Characters>
  <Lines>249</Lines>
  <Paragraphs>70</Paragraphs>
  <TotalTime>0</TotalTime>
  <ScaleCrop>false</ScaleCrop>
  <LinksUpToDate>false</LinksUpToDate>
  <CharactersWithSpaces>14177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2025-04-27T06:16:00Z</dcterms:created>
  <dc:creator>lrx</dc:creator>
  <dc:description>&lt;config cover="true" show_menu="true" version="1.0.0" doctype="SDKXY"&gt;_x000d_
&lt;/config&gt;</dc:description>
  <cp:lastModifiedBy>一开心月</cp:lastModifiedBy>
  <cp:lastPrinted>2025-04-27T07:07:00Z</cp:lastPrinted>
  <dcterms:modified xsi:type="dcterms:W3CDTF">2025-04-28T02:41:46Z</dcterms:modified>
  <dc:title>行业标准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2052-12.1.0.20784</vt:lpwstr>
  </property>
  <property fmtid="{D5CDD505-2E9C-101B-9397-08002B2CF9AE}" pid="15" name="ICV">
    <vt:lpwstr>0D663736E7CA4D06ABA9F020C0D42964</vt:lpwstr>
  </property>
  <property fmtid="{D5CDD505-2E9C-101B-9397-08002B2CF9AE}" pid="16" name="KSOTemplateDocerSaveRecord">
    <vt:lpwstr>eyJoZGlkIjoiMjQ4NDg2MmY5ZTMwMzJiYTFmODk5NDNiMWJkNzIyNzkiLCJ1c2VySWQiOiIxMDYyMjU4NjU1In0=</vt:lpwstr>
  </property>
</Properties>
</file>