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05A45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35D041D">
            <w:pPr>
              <w:pStyle w:val="21"/>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588B88D">
            <w:pPr>
              <w:pStyle w:val="21"/>
              <w:framePr w:wrap="notBeside" w:vAnchor="page" w:hAnchor="page" w:x="1372" w:y="568"/>
              <w:tabs>
                <w:tab w:val="clear" w:pos="4153"/>
                <w:tab w:val="clear" w:pos="8306"/>
              </w:tabs>
              <w:spacing w:line="240" w:lineRule="auto"/>
              <w:ind w:left="3"/>
              <w:jc w:val="both"/>
              <w:rPr>
                <w:rFonts w:ascii="黑体" w:hAnsi="黑体" w:eastAsia="黑体"/>
                <w:sz w:val="21"/>
                <w:szCs w:val="21"/>
              </w:rPr>
            </w:pPr>
            <w:bookmarkStart w:id="0" w:name="ICS"/>
            <w:r>
              <w:rPr>
                <w:rFonts w:ascii="黑体" w:hAnsi="黑体" w:eastAsia="黑体" w:cs="Times New Roman"/>
                <w:kern w:val="2"/>
                <w:sz w:val="21"/>
                <w:szCs w:val="21"/>
                <w:lang w:val="en-US" w:eastAsia="zh-CN" w:bidi="ar-SA"/>
              </w:rPr>
              <w:fldChar w:fldCharType="begin">
                <w:ffData>
                  <w:name w:val="ICS"/>
                  <w:enabled/>
                  <w:calcOnExit w:val="0"/>
                  <w:textInput>
                    <w:default w:val="75.100"/>
                  </w:textInput>
                </w:ffData>
              </w:fldChar>
            </w:r>
            <w:r>
              <w:rPr>
                <w:rFonts w:ascii="黑体" w:hAnsi="黑体" w:eastAsia="黑体" w:cs="Times New Roman"/>
                <w:kern w:val="2"/>
                <w:sz w:val="21"/>
                <w:szCs w:val="21"/>
                <w:lang w:val="en-US" w:eastAsia="zh-CN" w:bidi="ar-SA"/>
              </w:rPr>
              <w:instrText xml:space="preserve">FORMTEXT</w:instrText>
            </w:r>
            <w:r>
              <w:rPr>
                <w:rFonts w:ascii="黑体" w:hAnsi="黑体" w:eastAsia="黑体" w:cs="Times New Roman"/>
                <w:kern w:val="2"/>
                <w:sz w:val="21"/>
                <w:szCs w:val="21"/>
                <w:lang w:val="en-US" w:eastAsia="zh-CN" w:bidi="ar-SA"/>
              </w:rPr>
              <w:fldChar w:fldCharType="separate"/>
            </w:r>
            <w:r>
              <w:rPr>
                <w:rFonts w:ascii="黑体" w:hAnsi="黑体" w:eastAsia="黑体" w:cs="Times New Roman"/>
                <w:kern w:val="2"/>
                <w:sz w:val="21"/>
                <w:szCs w:val="21"/>
                <w:lang w:val="en-US" w:eastAsia="zh-CN" w:bidi="ar-SA"/>
              </w:rPr>
              <w:t>75.100</w:t>
            </w:r>
            <w:r>
              <w:rPr>
                <w:rFonts w:ascii="黑体" w:hAnsi="黑体" w:eastAsia="黑体" w:cs="Times New Roman"/>
                <w:kern w:val="2"/>
                <w:sz w:val="21"/>
                <w:szCs w:val="21"/>
                <w:lang w:val="en-US" w:eastAsia="zh-CN" w:bidi="ar-SA"/>
              </w:rPr>
              <w:fldChar w:fldCharType="end"/>
            </w:r>
            <w:bookmarkEnd w:id="0"/>
          </w:p>
        </w:tc>
      </w:tr>
      <w:tr w14:paraId="141A2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5A97483">
            <w:pPr>
              <w:pStyle w:val="21"/>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6069A34B">
            <w:pPr>
              <w:pStyle w:val="21"/>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E</w:t>
            </w:r>
            <w:r>
              <w:rPr>
                <w:rFonts w:ascii="黑体" w:hAnsi="黑体" w:eastAsia="黑体"/>
                <w:sz w:val="21"/>
                <w:szCs w:val="21"/>
              </w:rPr>
              <w:t>09</w:t>
            </w:r>
            <w:r>
              <w:rPr>
                <w:rFonts w:ascii="黑体" w:hAnsi="黑体" w:eastAsia="黑体"/>
                <w:sz w:val="21"/>
                <w:szCs w:val="21"/>
              </w:rPr>
              <w:fldChar w:fldCharType="end"/>
            </w:r>
            <w:bookmarkEnd w:id="1"/>
          </w:p>
        </w:tc>
      </w:tr>
    </w:tbl>
    <w:tbl>
      <w:tblPr>
        <w:tblStyle w:val="30"/>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4550D97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3507EB35">
            <w:pPr>
              <w:pStyle w:val="52"/>
              <w:framePr w:w="0" w:hRule="auto" w:wrap="auto" w:vAnchor="margin" w:hAnchor="text" w:xAlign="left" w:yAlign="inline"/>
              <w:ind w:firstLine="420"/>
            </w:pPr>
            <w:bookmarkStart w:id="2" w:name="_Hlk26473981"/>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AQ</w:t>
            </w:r>
            <w:r>
              <w:fldChar w:fldCharType="end"/>
            </w:r>
            <w:bookmarkEnd w:id="3"/>
          </w:p>
        </w:tc>
      </w:tr>
    </w:tbl>
    <w:p w14:paraId="15550F17">
      <w:pPr>
        <w:pStyle w:val="53"/>
        <w:framePr w:w="9639" w:h="624" w:hRule="exact" w:hSpace="181" w:vSpace="181" w:wrap="around" w:hAnchor="page" w:x="1305" w:y="2269"/>
        <w:rPr>
          <w:rFonts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hint="eastAsia" w:ascii="黑体" w:hAnsi="黑体" w:eastAsia="黑体"/>
          <w:b w:val="0"/>
          <w:bCs w:val="0"/>
          <w:w w:val="100"/>
          <w:sz w:val="48"/>
          <w:szCs w:val="48"/>
          <w:shd w:val="clear"/>
        </w:rPr>
        <w:fldChar w:fldCharType="begin">
          <w:ffData>
            <w:name w:val="c2"/>
            <w:enabled/>
            <w:calcOnExit w:val="0"/>
            <w:textInput/>
          </w:ffData>
        </w:fldChar>
      </w:r>
      <w:bookmarkStart w:id="4" w:name="c2"/>
      <w:r>
        <w:rPr>
          <w:rFonts w:hint="eastAsia" w:ascii="黑体" w:hAnsi="黑体" w:eastAsia="黑体"/>
          <w:b w:val="0"/>
          <w:bCs w:val="0"/>
          <w:w w:val="100"/>
          <w:sz w:val="48"/>
          <w:szCs w:val="48"/>
          <w:shd w:val="clear"/>
        </w:rPr>
        <w:instrText xml:space="preserve"> FORMTEXT </w:instrText>
      </w:r>
      <w:r>
        <w:rPr>
          <w:rFonts w:hint="eastAsia" w:ascii="黑体" w:hAnsi="黑体" w:eastAsia="黑体"/>
          <w:b w:val="0"/>
          <w:bCs w:val="0"/>
          <w:w w:val="100"/>
          <w:sz w:val="48"/>
          <w:szCs w:val="48"/>
          <w:shd w:val="clear"/>
        </w:rPr>
        <w:fldChar w:fldCharType="separate"/>
      </w:r>
      <w:r>
        <w:rPr>
          <w:rFonts w:hint="eastAsia" w:ascii="黑体" w:hAnsi="黑体" w:eastAsia="黑体"/>
          <w:b w:val="0"/>
          <w:bCs w:val="0"/>
          <w:w w:val="100"/>
          <w:sz w:val="48"/>
          <w:szCs w:val="48"/>
          <w:shd w:val="clear"/>
        </w:rPr>
        <w:t>安全生产</w:t>
      </w:r>
      <w:r>
        <w:rPr>
          <w:rFonts w:hint="eastAsia" w:ascii="黑体" w:hAnsi="黑体" w:eastAsia="黑体"/>
          <w:b w:val="0"/>
          <w:bCs w:val="0"/>
          <w:w w:val="100"/>
          <w:sz w:val="48"/>
          <w:szCs w:val="48"/>
          <w:shd w:val="clear"/>
        </w:rPr>
        <w:fldChar w:fldCharType="end"/>
      </w:r>
      <w:bookmarkEnd w:id="4"/>
      <w:r>
        <w:rPr>
          <w:rFonts w:hint="eastAsia" w:ascii="黑体" w:hAnsi="黑体" w:eastAsia="黑体"/>
          <w:b w:val="0"/>
          <w:bCs w:val="0"/>
          <w:w w:val="100"/>
          <w:sz w:val="48"/>
          <w:szCs w:val="48"/>
        </w:rPr>
        <w:t>行业标准</w:t>
      </w:r>
    </w:p>
    <w:bookmarkEnd w:id="2"/>
    <w:p w14:paraId="0FFFF570">
      <w:pPr>
        <w:pStyle w:val="198"/>
        <w:rPr>
          <w:lang w:val="fr-FR"/>
        </w:rPr>
      </w:pPr>
      <w:r>
        <w:rPr>
          <w:rFonts w:hint="eastAsia"/>
          <w:lang w:val="en-US" w:eastAsia="zh-CN"/>
        </w:rPr>
        <w:t>AQ</w:t>
      </w:r>
      <w:r>
        <w:rPr>
          <w:lang w:val="fr-FR"/>
        </w:rPr>
        <w:t xml:space="preserve"> </w:t>
      </w:r>
      <w:r>
        <w:fldChar w:fldCharType="begin">
          <w:ffData>
            <w:name w:val="NSTD_CODE_F"/>
            <w:enabled/>
            <w:calcOnExit w:val="0"/>
            <w:textInput>
              <w:default w:val="XXXXX"/>
            </w:textInput>
          </w:ffData>
        </w:fldChar>
      </w:r>
      <w:bookmarkStart w:id="5" w:name="NSTD_CODE_F"/>
      <w:r>
        <w:rPr>
          <w:lang w:val="fr-FR"/>
        </w:rPr>
        <w:instrText xml:space="preserve"> FORMTEXT </w:instrText>
      </w:r>
      <w:r>
        <w:fldChar w:fldCharType="separate"/>
      </w:r>
      <w:r>
        <w:rPr>
          <w:lang w:val="fr-FR"/>
        </w:rPr>
        <w:t>XXXX</w:t>
      </w:r>
      <w:r>
        <w:fldChar w:fldCharType="end"/>
      </w:r>
      <w:bookmarkEnd w:id="5"/>
      <w:r>
        <w:rPr>
          <w:rFonts w:hAnsi="黑体"/>
          <w:lang w:val="fr-FR"/>
        </w:rPr>
        <w:t>—</w:t>
      </w:r>
      <w:bookmarkStart w:id="6" w:name="NSTD_CODE_B"/>
      <w:r>
        <w:rPr>
          <w:rFonts w:ascii="黑体" w:hAnsi="Times New Roman" w:eastAsia="黑体" w:cs="Times New Roman"/>
          <w:bCs/>
          <w:sz w:val="28"/>
          <w:szCs w:val="28"/>
          <w:lang w:val="fr-FR" w:eastAsia="zh-CN" w:bidi="ar-SA"/>
        </w:rPr>
        <w:fldChar w:fldCharType="begin">
          <w:ffData>
            <w:name w:val="NSTD_CODE_B"/>
            <w:enabled/>
            <w:calcOnExit w:val="0"/>
            <w:textInput>
              <w:default w:val="XXXX"/>
            </w:textInput>
          </w:ffData>
        </w:fldChar>
      </w:r>
      <w:r>
        <w:rPr>
          <w:rFonts w:ascii="黑体" w:hAnsi="Times New Roman" w:eastAsia="黑体" w:cs="Times New Roman"/>
          <w:bCs/>
          <w:sz w:val="28"/>
          <w:szCs w:val="28"/>
          <w:lang w:val="fr-FR" w:eastAsia="zh-CN" w:bidi="ar-SA"/>
        </w:rPr>
        <w:instrText xml:space="preserve">FORMTEXT</w:instrText>
      </w:r>
      <w:r>
        <w:rPr>
          <w:rFonts w:ascii="黑体" w:hAnsi="Times New Roman" w:eastAsia="黑体" w:cs="Times New Roman"/>
          <w:bCs/>
          <w:sz w:val="28"/>
          <w:szCs w:val="28"/>
          <w:lang w:val="fr-FR" w:eastAsia="zh-CN" w:bidi="ar-SA"/>
        </w:rPr>
        <w:fldChar w:fldCharType="separate"/>
      </w:r>
      <w:r>
        <w:rPr>
          <w:rFonts w:ascii="黑体" w:hAnsi="Times New Roman" w:eastAsia="黑体" w:cs="Times New Roman"/>
          <w:bCs/>
          <w:sz w:val="28"/>
          <w:szCs w:val="28"/>
          <w:lang w:val="fr-FR" w:eastAsia="zh-CN" w:bidi="ar-SA"/>
        </w:rPr>
        <w:t>XXXX</w:t>
      </w:r>
      <w:r>
        <w:rPr>
          <w:rFonts w:ascii="黑体" w:hAnsi="Times New Roman" w:eastAsia="黑体" w:cs="Times New Roman"/>
          <w:bCs/>
          <w:sz w:val="28"/>
          <w:szCs w:val="28"/>
          <w:lang w:val="fr-FR" w:eastAsia="zh-CN" w:bidi="ar-SA"/>
        </w:rPr>
        <w:fldChar w:fldCharType="end"/>
      </w:r>
      <w:bookmarkEnd w:id="6"/>
    </w:p>
    <w:p w14:paraId="57029FF9">
      <w:pPr>
        <w:pStyle w:val="199"/>
        <w:rPr>
          <w:rFonts w:hAnsi="黑体"/>
          <w:lang w:val="fr-FR"/>
        </w:rPr>
      </w:pPr>
      <w:r>
        <w:rPr>
          <w:rFonts w:hAnsi="黑体"/>
        </w:rPr>
        <w:fldChar w:fldCharType="begin">
          <w:ffData>
            <w:name w:val="OSTD_CODE"/>
            <w:enabled/>
            <w:calcOnExit w:val="0"/>
            <w:textInput/>
          </w:ffData>
        </w:fldChar>
      </w:r>
      <w:bookmarkStart w:id="7" w:name="OSTD_CODE"/>
      <w:r>
        <w:rPr>
          <w:rFonts w:hAnsi="黑体"/>
          <w:lang w:val="fr-FR"/>
        </w:rPr>
        <w:instrText xml:space="preserve"> FORMTEXT </w:instrText>
      </w:r>
      <w:r>
        <w:rPr>
          <w:rFonts w:hAnsi="黑体"/>
        </w:rPr>
        <w:fldChar w:fldCharType="separate"/>
      </w:r>
      <w:r>
        <w:rPr>
          <w:rFonts w:hAnsi="黑体"/>
        </w:rPr>
        <w:t>     </w:t>
      </w:r>
      <w:r>
        <w:rPr>
          <w:rFonts w:hAnsi="黑体"/>
        </w:rPr>
        <w:fldChar w:fldCharType="end"/>
      </w:r>
      <w:bookmarkEnd w:id="7"/>
    </w:p>
    <w:p w14:paraId="0782A1DC">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3CA5A99B">
      <w:pPr>
        <w:pStyle w:val="53"/>
        <w:framePr w:w="9639" w:h="6976" w:hRule="exact" w:hSpace="0" w:vSpace="0" w:wrap="around" w:hAnchor="page" w:y="6408"/>
        <w:jc w:val="center"/>
        <w:rPr>
          <w:rFonts w:ascii="黑体" w:hAnsi="黑体" w:eastAsia="黑体"/>
          <w:b w:val="0"/>
          <w:bCs w:val="0"/>
          <w:w w:val="100"/>
          <w:lang w:val="fr-FR"/>
        </w:rPr>
      </w:pPr>
    </w:p>
    <w:p w14:paraId="43B80149">
      <w:pPr>
        <w:pStyle w:val="200"/>
        <w:framePr w:h="6974" w:hRule="exact" w:wrap="around" w:x="1419" w:anchorLock="1"/>
        <w:shd w:val="clear"/>
        <w:rPr>
          <w:color w:val="auto"/>
        </w:rPr>
      </w:pPr>
      <w:r>
        <w:rPr>
          <w:color w:val="auto"/>
        </w:rPr>
        <w:fldChar w:fldCharType="begin">
          <w:ffData>
            <w:name w:val="CSTD_NAME"/>
            <w:enabled/>
            <w:calcOnExit w:val="0"/>
            <w:textInput>
              <w:default w:val="点击此处添加标准名称"/>
            </w:textInput>
          </w:ffData>
        </w:fldChar>
      </w:r>
      <w:bookmarkStart w:id="8" w:name="CSTD_NAME"/>
      <w:r>
        <w:rPr>
          <w:color w:val="auto"/>
        </w:rPr>
        <w:instrText xml:space="preserve"> FORMTEXT </w:instrText>
      </w:r>
      <w:r>
        <w:rPr>
          <w:color w:val="auto"/>
        </w:rPr>
        <w:fldChar w:fldCharType="separate"/>
      </w:r>
      <w:r>
        <w:rPr>
          <w:rFonts w:hint="eastAsia"/>
          <w:color w:val="auto"/>
        </w:rPr>
        <w:t>海洋石油天然气开采建设项目</w:t>
      </w:r>
    </w:p>
    <w:p w14:paraId="55CBB48D">
      <w:pPr>
        <w:pStyle w:val="200"/>
        <w:framePr w:h="6974" w:hRule="exact" w:wrap="around" w:x="1419" w:anchorLock="1"/>
        <w:shd w:val="clear"/>
        <w:rPr>
          <w:color w:val="auto"/>
        </w:rPr>
      </w:pPr>
      <w:r>
        <w:rPr>
          <w:rFonts w:hint="eastAsia"/>
          <w:color w:val="auto"/>
        </w:rPr>
        <w:t>安全预评价导则</w:t>
      </w:r>
      <w:r>
        <w:rPr>
          <w:color w:val="auto"/>
        </w:rPr>
        <w:fldChar w:fldCharType="end"/>
      </w:r>
      <w:bookmarkEnd w:id="8"/>
    </w:p>
    <w:p w14:paraId="00891E06">
      <w:pPr>
        <w:framePr w:w="9639" w:h="6974" w:hRule="exact" w:wrap="around" w:vAnchor="page" w:hAnchor="page" w:x="1419" w:y="6408" w:anchorLock="1"/>
        <w:ind w:left="-1418"/>
      </w:pPr>
    </w:p>
    <w:p w14:paraId="010ABE46">
      <w:pPr>
        <w:pStyle w:val="128"/>
        <w:framePr w:w="9639" w:h="6974" w:hRule="exact" w:wrap="around" w:vAnchor="page" w:hAnchor="page" w:x="1419" w:y="6408" w:anchorLock="1"/>
        <w:textAlignment w:val="bottom"/>
        <w:rPr>
          <w:rFonts w:hint="default" w:ascii="Times New Roman" w:hAnsi="Times New Roman" w:eastAsia="黑体" w:cs="Times New Roman"/>
          <w:sz w:val="28"/>
          <w:szCs w:val="28"/>
          <w:lang w:val="en-US" w:eastAsia="zh-CN" w:bidi="ar-SA"/>
        </w:rPr>
      </w:pPr>
      <w:bookmarkStart w:id="9" w:name="ESTD_NAME"/>
      <w:r>
        <w:rPr>
          <w:rFonts w:hint="default" w:ascii="Times New Roman" w:hAnsi="Times New Roman" w:eastAsia="黑体" w:cs="Times New Roman"/>
          <w:sz w:val="28"/>
          <w:szCs w:val="28"/>
          <w:lang w:val="en-US" w:eastAsia="zh-CN" w:bidi="ar-SA"/>
        </w:rPr>
        <w:fldChar w:fldCharType="begin">
          <w:ffData>
            <w:name w:val="ESTD_NAME"/>
            <w:enabled/>
            <w:calcOnExit w:val="0"/>
            <w:textInput>
              <w:default w:val="Directives for safety pre-evaluation of offshore oil and gas exploitation construction projects"/>
            </w:textInput>
          </w:ffData>
        </w:fldChar>
      </w:r>
      <w:r>
        <w:rPr>
          <w:rFonts w:hint="default" w:ascii="Times New Roman" w:hAnsi="Times New Roman" w:eastAsia="黑体" w:cs="Times New Roman"/>
          <w:sz w:val="28"/>
          <w:szCs w:val="28"/>
          <w:lang w:val="en-US" w:eastAsia="zh-CN" w:bidi="ar-SA"/>
        </w:rPr>
        <w:instrText xml:space="preserve">FORMTEXT</w:instrText>
      </w:r>
      <w:r>
        <w:rPr>
          <w:rFonts w:hint="default" w:ascii="Times New Roman" w:hAnsi="Times New Roman" w:eastAsia="黑体" w:cs="Times New Roman"/>
          <w:sz w:val="28"/>
          <w:szCs w:val="28"/>
          <w:lang w:val="en-US" w:eastAsia="zh-CN" w:bidi="ar-SA"/>
        </w:rPr>
        <w:fldChar w:fldCharType="separate"/>
      </w:r>
      <w:r>
        <w:rPr>
          <w:rFonts w:hint="default" w:ascii="Times New Roman" w:hAnsi="Times New Roman" w:eastAsia="黑体" w:cs="Times New Roman"/>
          <w:sz w:val="28"/>
          <w:szCs w:val="28"/>
          <w:lang w:val="en-US" w:eastAsia="zh-CN" w:bidi="ar-SA"/>
        </w:rPr>
        <w:t>Directives for safety pre-evaluation of offshore oil and gas</w:t>
      </w:r>
    </w:p>
    <w:p w14:paraId="560EF475">
      <w:pPr>
        <w:pStyle w:val="128"/>
        <w:framePr w:w="9639" w:h="6974" w:hRule="exact" w:wrap="around" w:vAnchor="page" w:hAnchor="page" w:x="1419" w:y="6408" w:anchorLock="1"/>
        <w:textAlignment w:val="bottom"/>
        <w:rPr>
          <w:rFonts w:hint="default" w:eastAsia="黑体"/>
          <w:szCs w:val="28"/>
          <w:lang w:val="en-US" w:eastAsia="zh-CN"/>
        </w:rPr>
      </w:pPr>
      <w:r>
        <w:rPr>
          <w:rFonts w:hint="default" w:ascii="Times New Roman" w:hAnsi="Times New Roman" w:eastAsia="黑体" w:cs="Times New Roman"/>
          <w:sz w:val="28"/>
          <w:szCs w:val="28"/>
          <w:lang w:val="en-US" w:eastAsia="zh-CN" w:bidi="ar-SA"/>
        </w:rPr>
        <w:t xml:space="preserve"> exploitation construction projects</w:t>
      </w:r>
      <w:r>
        <w:rPr>
          <w:rFonts w:hint="default" w:ascii="Times New Roman" w:hAnsi="Times New Roman" w:eastAsia="黑体" w:cs="Times New Roman"/>
          <w:sz w:val="28"/>
          <w:szCs w:val="28"/>
          <w:lang w:val="en-US" w:eastAsia="zh-CN" w:bidi="ar-SA"/>
        </w:rPr>
        <w:fldChar w:fldCharType="end"/>
      </w:r>
      <w:bookmarkEnd w:id="9"/>
    </w:p>
    <w:p w14:paraId="2F03FBF2">
      <w:pPr>
        <w:pStyle w:val="128"/>
        <w:framePr w:w="9639" w:h="6974" w:hRule="exact" w:wrap="around" w:vAnchor="page" w:hAnchor="page" w:x="1419" w:y="6408" w:anchorLock="1"/>
        <w:jc w:val="both"/>
        <w:textAlignment w:val="bottom"/>
        <w:rPr>
          <w:rFonts w:eastAsia="黑体"/>
          <w:szCs w:val="28"/>
        </w:rPr>
      </w:pPr>
    </w:p>
    <w:p w14:paraId="0785FE7B">
      <w:pPr>
        <w:pStyle w:val="12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7BE71881">
      <w:pPr>
        <w:pStyle w:val="128"/>
        <w:framePr w:w="9639" w:h="6974" w:hRule="exact" w:wrap="around" w:vAnchor="page" w:hAnchor="page" w:x="1419" w:y="6408" w:anchorLock="1"/>
        <w:spacing w:before="180" w:line="240" w:lineRule="atLeast"/>
        <w:textAlignment w:val="bottom"/>
        <w:rPr>
          <w:sz w:val="21"/>
          <w:szCs w:val="28"/>
        </w:rPr>
      </w:pPr>
    </w:p>
    <w:p w14:paraId="22A703AA">
      <w:pPr>
        <w:pStyle w:val="128"/>
        <w:framePr w:w="9639" w:h="6974" w:hRule="exact" w:wrap="around" w:vAnchor="page" w:hAnchor="page" w:x="1419" w:y="6408" w:anchorLock="1"/>
        <w:spacing w:beforeLines="300" w:afterLines="30" w:line="240" w:lineRule="auto"/>
        <w:textAlignment w:val="bottom"/>
        <w:rPr>
          <w:b/>
          <w:sz w:val="21"/>
          <w:szCs w:val="28"/>
        </w:rPr>
      </w:pPr>
      <w:bookmarkStart w:id="11" w:name="下拉2"/>
      <w:r>
        <w:rPr>
          <w:rFonts w:ascii="Times New Roman" w:hAnsi="Times New Roman" w:eastAsia="宋体" w:cs="Times New Roman"/>
          <w:b/>
          <w:sz w:val="21"/>
          <w:szCs w:val="28"/>
          <w:lang w:val="en-US" w:eastAsia="zh-CN" w:bidi="ar-SA"/>
        </w:rPr>
        <w:fldChar w:fldCharType="begin">
          <w:ffData>
            <w:name w:val="下拉2"/>
            <w:enabled/>
            <w:calcOnExit w:val="0"/>
            <w:ddList>
              <w:listEntry w:val=" "/>
            </w:ddList>
          </w:ffData>
        </w:fldChar>
      </w:r>
      <w:r>
        <w:rPr>
          <w:rFonts w:ascii="Times New Roman" w:hAnsi="Times New Roman" w:eastAsia="宋体" w:cs="Times New Roman"/>
          <w:b/>
          <w:sz w:val="21"/>
          <w:szCs w:val="28"/>
          <w:lang w:val="en-US" w:eastAsia="zh-CN" w:bidi="ar-SA"/>
        </w:rPr>
        <w:instrText xml:space="preserve">FORMDROPDOWN</w:instrText>
      </w:r>
      <w:r>
        <w:rPr>
          <w:rFonts w:ascii="Times New Roman" w:hAnsi="Times New Roman" w:eastAsia="宋体" w:cs="Times New Roman"/>
          <w:b/>
          <w:sz w:val="21"/>
          <w:szCs w:val="28"/>
          <w:lang w:val="en-US" w:eastAsia="zh-CN" w:bidi="ar-SA"/>
        </w:rPr>
        <w:fldChar w:fldCharType="separate"/>
      </w:r>
      <w:r>
        <w:rPr>
          <w:rFonts w:ascii="Times New Roman" w:hAnsi="Times New Roman" w:eastAsia="宋体" w:cs="Times New Roman"/>
          <w:b/>
          <w:sz w:val="21"/>
          <w:szCs w:val="28"/>
          <w:lang w:val="en-US" w:eastAsia="zh-CN" w:bidi="ar-SA"/>
        </w:rPr>
        <w:fldChar w:fldCharType="end"/>
      </w:r>
      <w:bookmarkEnd w:id="11"/>
    </w:p>
    <w:p w14:paraId="19BAC199">
      <w:pPr>
        <w:pStyle w:val="196"/>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p>
    <w:p w14:paraId="616272B6">
      <w:pPr>
        <w:pStyle w:val="197"/>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14:paraId="7DDF80CD">
      <w:pPr>
        <w:pStyle w:val="154"/>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中华人民共和国应急管理部</w:t>
      </w:r>
      <w:r>
        <w:rPr>
          <w:rFonts w:hAnsi="黑体"/>
          <w:w w:val="100"/>
          <w:sz w:val="28"/>
        </w:rPr>
        <w:fldChar w:fldCharType="end"/>
      </w:r>
      <w:bookmarkEnd w:id="18"/>
      <w:r>
        <w:rPr>
          <w:rFonts w:ascii="Times New Roman"/>
          <w:w w:val="100"/>
          <w:sz w:val="28"/>
          <w:szCs w:val="28"/>
        </w:rPr>
        <w:t>  </w:t>
      </w:r>
      <w:r>
        <w:rPr>
          <w:rStyle w:val="232"/>
          <w:rFonts w:hint="eastAsia" w:hAnsi="黑体"/>
          <w:position w:val="0"/>
        </w:rPr>
        <w:t>发</w:t>
      </w:r>
      <w:r>
        <w:rPr>
          <w:rStyle w:val="232"/>
          <w:rFonts w:hint="eastAsia" w:hAnsi="黑体"/>
          <w:spacing w:val="0"/>
          <w:position w:val="0"/>
        </w:rPr>
        <w:t>布</w:t>
      </w:r>
    </w:p>
    <w:p w14:paraId="5DA0EE9B">
      <w:pPr>
        <w:rPr>
          <w:rFonts w:ascii="宋体" w:hAnsi="宋体"/>
          <w:sz w:val="28"/>
          <w:szCs w:val="28"/>
        </w:rPr>
      </w:pPr>
      <w:r>
        <w:rPr>
          <w:rFonts w:ascii="宋体" w:hAnsi="宋体"/>
          <w:sz w:val="28"/>
          <w:szCs w:val="28"/>
        </w:rPr>
        <mc:AlternateContent>
          <mc:Choice Requires="wps">
            <w:drawing>
              <wp:anchor distT="0" distB="0" distL="114300" distR="114300" simplePos="0" relativeHeight="251662336"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2336;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1E5A21BC">
      <w:pPr>
        <w:bidi w:val="0"/>
        <w:rPr>
          <w:rFonts w:ascii="Calibri" w:hAnsi="Calibri" w:eastAsia="宋体" w:cs="Times New Roman"/>
          <w:kern w:val="2"/>
          <w:sz w:val="21"/>
          <w:szCs w:val="21"/>
          <w:lang w:val="en-US" w:eastAsia="zh-CN" w:bidi="ar-SA"/>
        </w:rPr>
      </w:pPr>
    </w:p>
    <w:p w14:paraId="062F0DBD">
      <w:pPr>
        <w:bidi w:val="0"/>
        <w:rPr>
          <w:lang w:val="en-US" w:eastAsia="zh-CN"/>
        </w:rPr>
      </w:pPr>
    </w:p>
    <w:p w14:paraId="5EA00848">
      <w:pPr>
        <w:bidi w:val="0"/>
        <w:rPr>
          <w:lang w:val="en-US" w:eastAsia="zh-CN"/>
        </w:rPr>
      </w:pPr>
    </w:p>
    <w:p w14:paraId="775549F3">
      <w:pPr>
        <w:tabs>
          <w:tab w:val="left" w:pos="8171"/>
        </w:tabs>
        <w:bidi w:val="0"/>
        <w:jc w:val="left"/>
        <w:rPr>
          <w:lang w:val="en-US" w:eastAsia="zh-CN"/>
        </w:rPr>
        <w:sectPr>
          <w:headerReference r:id="rId6" w:type="first"/>
          <w:footerReference r:id="rId7" w:type="first"/>
          <w:headerReference r:id="rId5" w:type="default"/>
          <w:type w:val="evenPage"/>
          <w:pgSz w:w="11906" w:h="16838"/>
          <w:pgMar w:top="567" w:right="1134" w:bottom="1020" w:left="1134" w:header="1418" w:footer="1134" w:gutter="283"/>
          <w:pgNumType w:fmt="upperRoman"/>
          <w:cols w:space="0" w:num="1"/>
          <w:titlePg/>
          <w:rtlGutter w:val="0"/>
          <w:docGrid w:linePitch="312" w:charSpace="0"/>
        </w:sectPr>
      </w:pPr>
      <w:r>
        <w:rPr>
          <w:rFonts w:hint="eastAsia"/>
          <w:lang w:val="en-US" w:eastAsia="zh-CN"/>
        </w:rPr>
        <w:tab/>
      </w:r>
    </w:p>
    <w:p w14:paraId="189C348A">
      <w:pPr>
        <w:pStyle w:val="94"/>
        <w:spacing w:after="360"/>
        <w:rPr>
          <w:highlight w:val="none"/>
        </w:rPr>
      </w:pPr>
      <w:bookmarkStart w:id="19" w:name="BookMark1"/>
      <w:r>
        <w:rPr>
          <w:spacing w:val="320"/>
          <w:highlight w:val="none"/>
        </w:rPr>
        <w:t>目</w:t>
      </w:r>
      <w:r>
        <w:rPr>
          <w:highlight w:val="none"/>
        </w:rPr>
        <w:t>次</w:t>
      </w:r>
    </w:p>
    <w:p w14:paraId="627E9D6A">
      <w:pPr>
        <w:pStyle w:val="22"/>
        <w:tabs>
          <w:tab w:val="right" w:leader="dot" w:pos="9354"/>
        </w:tabs>
        <w:rPr>
          <w:rFonts w:hint="eastAsia" w:ascii="宋体" w:hAnsi="宋体" w:eastAsia="宋体" w:cs="宋体"/>
        </w:rPr>
      </w:pPr>
      <w:r>
        <w:rPr>
          <w:rFonts w:ascii="宋体" w:hAnsi="宋体" w:eastAsia="宋体"/>
          <w:sz w:val="21"/>
        </w:rPr>
        <w:fldChar w:fldCharType="begin"/>
      </w:r>
      <w:r>
        <w:rPr>
          <w:rFonts w:ascii="宋体" w:hAnsi="宋体" w:eastAsia="宋体"/>
          <w:sz w:val="21"/>
        </w:rPr>
        <w:instrText xml:space="preserve"> TOC \o "1-1" \h \t "标准文件_一级条标题,2,标准文件_附录一级条标题,2," </w:instrText>
      </w:r>
      <w:r>
        <w:rPr>
          <w:rFonts w:ascii="宋体" w:hAnsi="宋体" w:eastAsia="宋体"/>
          <w:sz w:val="21"/>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_Toc16550 </w:instrText>
      </w:r>
      <w:r>
        <w:rPr>
          <w:rFonts w:hint="eastAsia" w:ascii="宋体" w:hAnsi="宋体" w:eastAsia="宋体" w:cs="宋体"/>
        </w:rPr>
        <w:fldChar w:fldCharType="separate"/>
      </w:r>
      <w:r>
        <w:rPr>
          <w:rFonts w:hint="eastAsia" w:ascii="宋体" w:hAnsi="宋体" w:eastAsia="宋体" w:cs="宋体"/>
        </w:rPr>
        <w:t>前言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_Toc16550 \h </w:instrText>
      </w:r>
      <w:r>
        <w:rPr>
          <w:rFonts w:hint="eastAsia" w:ascii="宋体" w:hAnsi="宋体" w:eastAsia="宋体" w:cs="宋体"/>
        </w:rPr>
        <w:fldChar w:fldCharType="separate"/>
      </w:r>
      <w:r>
        <w:rPr>
          <w:rFonts w:hint="eastAsia" w:ascii="宋体" w:hAnsi="宋体" w:eastAsia="宋体" w:cs="宋体"/>
        </w:rPr>
        <w:t>III</w:t>
      </w:r>
      <w:r>
        <w:rPr>
          <w:rFonts w:hint="eastAsia" w:ascii="宋体" w:hAnsi="宋体" w:eastAsia="宋体" w:cs="宋体"/>
        </w:rPr>
        <w:fldChar w:fldCharType="end"/>
      </w:r>
      <w:r>
        <w:rPr>
          <w:rFonts w:hint="eastAsia" w:ascii="宋体" w:hAnsi="宋体" w:eastAsia="宋体" w:cs="宋体"/>
        </w:rPr>
        <w:fldChar w:fldCharType="end"/>
      </w:r>
    </w:p>
    <w:p w14:paraId="72A5C227">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_Toc7774 </w:instrText>
      </w:r>
      <w:r>
        <w:rPr>
          <w:rFonts w:hint="eastAsia" w:ascii="宋体" w:hAnsi="宋体" w:eastAsia="宋体" w:cs="宋体"/>
        </w:rPr>
        <w:fldChar w:fldCharType="separate"/>
      </w:r>
      <w:r>
        <w:rPr>
          <w:rFonts w:hint="eastAsia" w:ascii="宋体" w:hAnsi="宋体" w:eastAsia="宋体" w:cs="宋体"/>
          <w:i w:val="0"/>
          <w:strike w:val="0"/>
        </w:rPr>
        <w:t xml:space="preserve">1 </w:t>
      </w:r>
      <w:r>
        <w:rPr>
          <w:rFonts w:hint="eastAsia" w:ascii="宋体" w:hAnsi="宋体" w:eastAsia="宋体" w:cs="宋体"/>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_Toc7774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2C53175E">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_Toc7828 </w:instrText>
      </w:r>
      <w:r>
        <w:rPr>
          <w:rFonts w:hint="eastAsia" w:ascii="宋体" w:hAnsi="宋体" w:eastAsia="宋体" w:cs="宋体"/>
        </w:rPr>
        <w:fldChar w:fldCharType="separate"/>
      </w:r>
      <w:r>
        <w:rPr>
          <w:rFonts w:hint="eastAsia" w:ascii="宋体" w:hAnsi="宋体" w:eastAsia="宋体" w:cs="宋体"/>
          <w:i w:val="0"/>
          <w:strike w:val="0"/>
        </w:rPr>
        <w:t xml:space="preserve">2 </w:t>
      </w:r>
      <w:r>
        <w:rPr>
          <w:rFonts w:hint="eastAsia" w:ascii="宋体" w:hAnsi="宋体" w:eastAsia="宋体" w:cs="宋体"/>
        </w:rPr>
        <w:t>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_Toc7828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7F6C4C39">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_Toc3526 </w:instrText>
      </w:r>
      <w:r>
        <w:rPr>
          <w:rFonts w:hint="eastAsia" w:ascii="宋体" w:hAnsi="宋体" w:eastAsia="宋体" w:cs="宋体"/>
        </w:rPr>
        <w:fldChar w:fldCharType="separate"/>
      </w:r>
      <w:r>
        <w:rPr>
          <w:rFonts w:hint="eastAsia" w:ascii="宋体" w:hAnsi="宋体" w:eastAsia="宋体" w:cs="宋体"/>
          <w:i w:val="0"/>
          <w:strike w:val="0"/>
        </w:rPr>
        <w:t xml:space="preserve">3 </w:t>
      </w:r>
      <w:r>
        <w:rPr>
          <w:rFonts w:hint="eastAsia" w:ascii="宋体" w:hAnsi="宋体" w:eastAsia="宋体" w:cs="宋体"/>
          <w:szCs w:val="21"/>
        </w:rPr>
        <w:t>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_Toc3526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4836AB45">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_Toc31968 </w:instrText>
      </w:r>
      <w:r>
        <w:rPr>
          <w:rFonts w:hint="eastAsia" w:ascii="宋体" w:hAnsi="宋体" w:eastAsia="宋体" w:cs="宋体"/>
        </w:rPr>
        <w:fldChar w:fldCharType="separate"/>
      </w:r>
      <w:r>
        <w:rPr>
          <w:rFonts w:hint="eastAsia" w:ascii="宋体" w:hAnsi="宋体" w:eastAsia="宋体" w:cs="宋体"/>
          <w:i w:val="0"/>
          <w:strike w:val="0"/>
          <w:lang w:val="en-US" w:eastAsia="zh-CN"/>
        </w:rPr>
        <w:t xml:space="preserve">4 </w:t>
      </w:r>
      <w:r>
        <w:rPr>
          <w:rFonts w:hint="eastAsia" w:ascii="宋体" w:hAnsi="宋体" w:eastAsia="宋体" w:cs="宋体"/>
          <w:highlight w:val="none"/>
          <w:lang w:val="en-US" w:eastAsia="zh-CN"/>
        </w:rPr>
        <w:t>总体要求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_Toc31968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1BBBE58B">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_Toc5360 </w:instrText>
      </w:r>
      <w:r>
        <w:rPr>
          <w:rFonts w:hint="eastAsia" w:ascii="宋体" w:hAnsi="宋体" w:eastAsia="宋体" w:cs="宋体"/>
        </w:rPr>
        <w:fldChar w:fldCharType="separate"/>
      </w:r>
      <w:r>
        <w:rPr>
          <w:rFonts w:hint="eastAsia" w:ascii="宋体" w:hAnsi="宋体" w:eastAsia="宋体" w:cs="宋体"/>
          <w:i w:val="0"/>
          <w:strike w:val="0"/>
        </w:rPr>
        <w:t xml:space="preserve">5 </w:t>
      </w:r>
      <w:r>
        <w:rPr>
          <w:rFonts w:hint="eastAsia" w:ascii="宋体" w:hAnsi="宋体" w:eastAsia="宋体" w:cs="宋体"/>
          <w:highlight w:val="none"/>
          <w:lang w:val="en-US" w:eastAsia="zh-CN"/>
        </w:rPr>
        <w:t>评价</w:t>
      </w:r>
      <w:r>
        <w:rPr>
          <w:rFonts w:hint="eastAsia" w:ascii="宋体" w:hAnsi="宋体" w:eastAsia="宋体" w:cs="宋体"/>
          <w:highlight w:val="none"/>
        </w:rPr>
        <w:t>概述</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_Toc5360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32926C2C">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_Toc2642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5.1 </w:t>
      </w:r>
      <w:r>
        <w:rPr>
          <w:rFonts w:hint="eastAsia" w:ascii="宋体" w:hAnsi="宋体" w:eastAsia="宋体" w:cs="宋体"/>
          <w:highlight w:val="none"/>
        </w:rPr>
        <w:t>评价目的</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_Toc2642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28EBB3D9">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_Toc26730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5.2 </w:t>
      </w:r>
      <w:r>
        <w:rPr>
          <w:rFonts w:hint="eastAsia" w:ascii="宋体" w:hAnsi="宋体" w:eastAsia="宋体" w:cs="宋体"/>
          <w:highlight w:val="none"/>
        </w:rPr>
        <w:t>评价范围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_Toc26730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A01EF13">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_Toc28313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5.3 </w:t>
      </w:r>
      <w:r>
        <w:rPr>
          <w:rFonts w:hint="eastAsia" w:ascii="宋体" w:hAnsi="宋体" w:eastAsia="宋体" w:cs="宋体"/>
          <w:highlight w:val="none"/>
        </w:rPr>
        <w:t>评价依据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_Toc28313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4AB93F5">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_Toc10514 </w:instrText>
      </w:r>
      <w:r>
        <w:rPr>
          <w:rFonts w:hint="eastAsia" w:ascii="宋体" w:hAnsi="宋体" w:eastAsia="宋体" w:cs="宋体"/>
        </w:rPr>
        <w:fldChar w:fldCharType="separate"/>
      </w:r>
      <w:r>
        <w:rPr>
          <w:rFonts w:hint="eastAsia" w:ascii="宋体" w:hAnsi="宋体" w:eastAsia="宋体" w:cs="宋体"/>
          <w:i w:val="0"/>
          <w:strike w:val="0"/>
        </w:rPr>
        <w:t xml:space="preserve">6 </w:t>
      </w:r>
      <w:r>
        <w:rPr>
          <w:rFonts w:hint="eastAsia" w:ascii="宋体" w:hAnsi="宋体" w:eastAsia="宋体" w:cs="宋体"/>
        </w:rPr>
        <w:t>建设项目概况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_Toc10514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1FF0CFAC">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_Toc18247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6.1 </w:t>
      </w:r>
      <w:r>
        <w:rPr>
          <w:rFonts w:hint="eastAsia" w:ascii="宋体" w:hAnsi="宋体" w:eastAsia="宋体" w:cs="宋体"/>
        </w:rPr>
        <w:t>建设项目基本信息</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_Toc18247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02250AFD">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_Toc9658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6.2 </w:t>
      </w:r>
      <w:r>
        <w:rPr>
          <w:rFonts w:hint="eastAsia" w:ascii="宋体" w:hAnsi="宋体" w:eastAsia="宋体" w:cs="宋体"/>
        </w:rPr>
        <w:t>建设及生产管理单位</w:t>
      </w:r>
      <w:r>
        <w:rPr>
          <w:rFonts w:hint="eastAsia" w:ascii="宋体" w:hAnsi="宋体" w:eastAsia="宋体" w:cs="宋体"/>
          <w:lang w:val="en-US" w:eastAsia="zh-CN"/>
        </w:rPr>
        <w:t>介绍</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_Toc9658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2A574428">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_Toc14686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6.3 </w:t>
      </w:r>
      <w:r>
        <w:rPr>
          <w:rFonts w:hint="eastAsia" w:ascii="宋体" w:hAnsi="宋体" w:eastAsia="宋体" w:cs="宋体"/>
        </w:rPr>
        <w:t>海域自然及海洋环境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_Toc14686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3B4EE036">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_Toc8936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6.4 </w:t>
      </w:r>
      <w:r>
        <w:rPr>
          <w:rFonts w:hint="eastAsia" w:ascii="宋体" w:hAnsi="宋体" w:eastAsia="宋体" w:cs="宋体"/>
        </w:rPr>
        <w:t>可行性研究报告/开发方案</w:t>
      </w:r>
      <w:r>
        <w:rPr>
          <w:rFonts w:hint="eastAsia" w:ascii="宋体" w:hAnsi="宋体" w:eastAsia="宋体" w:cs="宋体"/>
          <w:lang w:val="en-US" w:eastAsia="zh-CN"/>
        </w:rPr>
        <w:t>主要技术指标</w:t>
      </w:r>
      <w:r>
        <w:rPr>
          <w:rFonts w:hint="eastAsia" w:ascii="宋体" w:hAnsi="宋体" w:eastAsia="宋体" w:cs="宋体"/>
        </w:rPr>
        <w:t>及油（气）藏工程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_Toc8936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3FF5780B">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_Toc9365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6.5 </w:t>
      </w:r>
      <w:r>
        <w:rPr>
          <w:rFonts w:hint="eastAsia" w:ascii="宋体" w:hAnsi="宋体" w:eastAsia="宋体" w:cs="宋体"/>
        </w:rPr>
        <w:t>钻井工程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_Toc9365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5338E291">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_Toc8606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6.6 </w:t>
      </w:r>
      <w:r>
        <w:rPr>
          <w:rFonts w:hint="eastAsia" w:ascii="宋体" w:hAnsi="宋体" w:eastAsia="宋体" w:cs="宋体"/>
        </w:rPr>
        <w:t>采油（气）工程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_Toc8606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6756421D">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_Toc11651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6.7 </w:t>
      </w:r>
      <w:r>
        <w:rPr>
          <w:rFonts w:hint="eastAsia" w:ascii="宋体" w:hAnsi="宋体" w:eastAsia="宋体" w:cs="宋体"/>
        </w:rPr>
        <w:t>海上开发工程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_Toc11651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031B3ABC">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_Toc9546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6.8 </w:t>
      </w:r>
      <w:r>
        <w:rPr>
          <w:rFonts w:hint="eastAsia" w:ascii="宋体" w:hAnsi="宋体" w:eastAsia="宋体" w:cs="宋体"/>
        </w:rPr>
        <w:t>组织机构及定员</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_Toc9546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742632E4">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_Toc15942 </w:instrText>
      </w:r>
      <w:r>
        <w:rPr>
          <w:rFonts w:hint="eastAsia" w:ascii="宋体" w:hAnsi="宋体" w:eastAsia="宋体" w:cs="宋体"/>
        </w:rPr>
        <w:fldChar w:fldCharType="separate"/>
      </w:r>
      <w:r>
        <w:rPr>
          <w:rFonts w:hint="eastAsia" w:ascii="宋体" w:hAnsi="宋体" w:eastAsia="宋体" w:cs="宋体"/>
          <w:i w:val="0"/>
          <w:strike w:val="0"/>
        </w:rPr>
        <w:t xml:space="preserve">7 </w:t>
      </w:r>
      <w:r>
        <w:rPr>
          <w:rFonts w:hint="eastAsia" w:ascii="宋体" w:hAnsi="宋体" w:eastAsia="宋体" w:cs="宋体"/>
        </w:rPr>
        <w:t>评价单元</w:t>
      </w:r>
      <w:r>
        <w:rPr>
          <w:rFonts w:hint="eastAsia" w:ascii="宋体" w:hAnsi="宋体" w:eastAsia="宋体" w:cs="宋体"/>
          <w:highlight w:val="none"/>
        </w:rPr>
        <w:t>划分与评价方法选择</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_Toc15942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1CFA6E00">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_Toc14926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7.1 </w:t>
      </w:r>
      <w:r>
        <w:rPr>
          <w:rFonts w:hint="eastAsia" w:ascii="宋体" w:hAnsi="宋体" w:eastAsia="宋体" w:cs="宋体"/>
          <w:highlight w:val="none"/>
        </w:rPr>
        <w:t>评价单元划分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_Toc14926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01320D2B">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_Toc22897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7.2 </w:t>
      </w:r>
      <w:r>
        <w:rPr>
          <w:rFonts w:hint="eastAsia" w:ascii="宋体" w:hAnsi="宋体" w:eastAsia="宋体" w:cs="宋体"/>
          <w:highlight w:val="none"/>
        </w:rPr>
        <w:t>评价方法选择</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_Toc22897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5E39796B">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_Toc18886 </w:instrText>
      </w:r>
      <w:r>
        <w:rPr>
          <w:rFonts w:hint="eastAsia" w:ascii="宋体" w:hAnsi="宋体" w:eastAsia="宋体" w:cs="宋体"/>
        </w:rPr>
        <w:fldChar w:fldCharType="separate"/>
      </w:r>
      <w:r>
        <w:rPr>
          <w:rFonts w:hint="eastAsia" w:ascii="宋体" w:hAnsi="宋体" w:eastAsia="宋体" w:cs="宋体"/>
          <w:i w:val="0"/>
          <w:strike w:val="0"/>
        </w:rPr>
        <w:t xml:space="preserve">8 </w:t>
      </w:r>
      <w:r>
        <w:rPr>
          <w:rFonts w:hint="eastAsia" w:ascii="宋体" w:hAnsi="宋体" w:eastAsia="宋体" w:cs="宋体"/>
          <w:highlight w:val="none"/>
        </w:rPr>
        <w:t>危险有害因素辨识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_Toc18886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487DC68B">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_Toc14650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8.1 </w:t>
      </w:r>
      <w:r>
        <w:rPr>
          <w:rFonts w:hint="eastAsia" w:ascii="宋体" w:hAnsi="宋体" w:eastAsia="宋体" w:cs="宋体"/>
          <w:highlight w:val="none"/>
        </w:rPr>
        <w:t>危险有害物质</w:t>
      </w:r>
      <w:r>
        <w:rPr>
          <w:rFonts w:hint="eastAsia" w:ascii="宋体" w:hAnsi="宋体" w:eastAsia="宋体" w:cs="宋体"/>
          <w:highlight w:val="none"/>
          <w:lang w:val="en-US" w:eastAsia="zh-CN"/>
        </w:rPr>
        <w:t>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_Toc14650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1F19B3A0">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_Toc27761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8.2 </w:t>
      </w:r>
      <w:r>
        <w:rPr>
          <w:rFonts w:hint="eastAsia" w:ascii="宋体" w:hAnsi="宋体" w:eastAsia="宋体" w:cs="宋体"/>
          <w:highlight w:val="none"/>
          <w:lang w:val="en-US" w:eastAsia="zh-CN"/>
        </w:rPr>
        <w:t>评价单元危险有害因素辨识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_Toc27761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61FD70C7">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_Toc15848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8.3 </w:t>
      </w:r>
      <w:r>
        <w:rPr>
          <w:rFonts w:hint="eastAsia" w:ascii="宋体" w:hAnsi="宋体" w:eastAsia="宋体" w:cs="宋体"/>
          <w:highlight w:val="none"/>
        </w:rPr>
        <w:t>自然和社会环境</w:t>
      </w:r>
      <w:r>
        <w:rPr>
          <w:rFonts w:hint="eastAsia" w:ascii="宋体" w:hAnsi="宋体" w:eastAsia="宋体" w:cs="宋体"/>
          <w:highlight w:val="none"/>
          <w:lang w:val="en-US" w:eastAsia="zh-CN"/>
        </w:rPr>
        <w:t>危险有害因素辨识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_Toc15848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2D500538">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_Toc31588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8.4 </w:t>
      </w:r>
      <w:r>
        <w:rPr>
          <w:rFonts w:hint="eastAsia" w:ascii="宋体" w:hAnsi="宋体" w:eastAsia="宋体" w:cs="宋体"/>
          <w:highlight w:val="none"/>
        </w:rPr>
        <w:t>主要危险作业</w:t>
      </w:r>
      <w:r>
        <w:rPr>
          <w:rFonts w:hint="eastAsia" w:ascii="宋体" w:hAnsi="宋体" w:eastAsia="宋体" w:cs="宋体"/>
          <w:highlight w:val="none"/>
          <w:lang w:val="en-US" w:eastAsia="zh-CN"/>
        </w:rPr>
        <w:t>分析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_Toc31588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4EA2119E">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_Toc31367 </w:instrText>
      </w:r>
      <w:r>
        <w:rPr>
          <w:rFonts w:hint="eastAsia" w:ascii="宋体" w:hAnsi="宋体" w:eastAsia="宋体" w:cs="宋体"/>
        </w:rPr>
        <w:fldChar w:fldCharType="separate"/>
      </w:r>
      <w:r>
        <w:rPr>
          <w:rFonts w:hint="eastAsia" w:ascii="宋体" w:hAnsi="宋体" w:eastAsia="宋体" w:cs="宋体"/>
          <w:i w:val="0"/>
          <w:strike w:val="0"/>
        </w:rPr>
        <w:t xml:space="preserve">9 </w:t>
      </w:r>
      <w:r>
        <w:rPr>
          <w:rFonts w:hint="eastAsia" w:ascii="宋体" w:hAnsi="宋体" w:eastAsia="宋体" w:cs="宋体"/>
        </w:rPr>
        <w:t>单元安全评价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_Toc31367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463DB423">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_Toc3209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9.1 </w:t>
      </w:r>
      <w:r>
        <w:rPr>
          <w:rFonts w:hint="eastAsia" w:ascii="宋体" w:hAnsi="宋体" w:eastAsia="宋体" w:cs="宋体"/>
          <w:highlight w:val="none"/>
          <w:lang w:val="en-US" w:eastAsia="zh-CN"/>
        </w:rPr>
        <w:t>通用</w:t>
      </w:r>
      <w:r>
        <w:rPr>
          <w:rFonts w:hint="eastAsia" w:ascii="宋体" w:hAnsi="宋体" w:eastAsia="宋体" w:cs="宋体"/>
          <w:highlight w:val="none"/>
        </w:rPr>
        <w:t>要</w:t>
      </w:r>
      <w:r>
        <w:rPr>
          <w:rFonts w:hint="eastAsia" w:ascii="宋体" w:hAnsi="宋体" w:eastAsia="宋体" w:cs="宋体"/>
        </w:rPr>
        <w:t>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_Toc3209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57C86276">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_Toc17848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9.2 </w:t>
      </w:r>
      <w:r>
        <w:rPr>
          <w:rFonts w:hint="eastAsia" w:ascii="宋体" w:hAnsi="宋体" w:eastAsia="宋体" w:cs="宋体"/>
        </w:rPr>
        <w:t>钻井工程单元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_Toc17848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74942514">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_Toc13367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9.3 </w:t>
      </w:r>
      <w:r>
        <w:rPr>
          <w:rFonts w:hint="eastAsia" w:ascii="宋体" w:hAnsi="宋体" w:eastAsia="宋体" w:cs="宋体"/>
        </w:rPr>
        <w:t>采油（气）工程单元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_Toc13367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7A4C75F5">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_Toc9092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9.4 </w:t>
      </w:r>
      <w:r>
        <w:rPr>
          <w:rFonts w:hint="eastAsia" w:ascii="宋体" w:hAnsi="宋体" w:eastAsia="宋体" w:cs="宋体"/>
          <w:highlight w:val="none"/>
        </w:rPr>
        <w:t>总图布置及结构单元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_Toc9092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3F1C18DA">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_Toc19061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9.5 </w:t>
      </w:r>
      <w:r>
        <w:rPr>
          <w:rFonts w:hint="eastAsia" w:ascii="宋体" w:hAnsi="宋体" w:eastAsia="宋体" w:cs="宋体"/>
          <w:highlight w:val="none"/>
        </w:rPr>
        <w:t>工艺及设备设施单元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_Toc19061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70026547">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_Toc18309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9.6 </w:t>
      </w:r>
      <w:r>
        <w:rPr>
          <w:rFonts w:hint="eastAsia" w:ascii="宋体" w:hAnsi="宋体" w:eastAsia="宋体" w:cs="宋体"/>
          <w:highlight w:val="none"/>
        </w:rPr>
        <w:t>海底管道/海底电缆单元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_Toc18309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45C8838F">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_Toc18778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9.7 </w:t>
      </w:r>
      <w:r>
        <w:rPr>
          <w:rFonts w:hint="eastAsia" w:ascii="宋体" w:hAnsi="宋体" w:eastAsia="宋体" w:cs="宋体"/>
        </w:rPr>
        <w:t>依托设施单元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_Toc18778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3418D742">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_Toc11453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9.8 </w:t>
      </w:r>
      <w:r>
        <w:rPr>
          <w:rFonts w:hint="eastAsia" w:ascii="宋体" w:hAnsi="宋体" w:eastAsia="宋体" w:cs="宋体"/>
        </w:rPr>
        <w:t>安全管理单元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_Toc11453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2E964BA2">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_Toc3098 </w:instrText>
      </w:r>
      <w:r>
        <w:rPr>
          <w:rFonts w:hint="eastAsia" w:ascii="宋体" w:hAnsi="宋体" w:eastAsia="宋体" w:cs="宋体"/>
        </w:rPr>
        <w:fldChar w:fldCharType="separate"/>
      </w:r>
      <w:r>
        <w:rPr>
          <w:rFonts w:hint="eastAsia" w:ascii="宋体" w:hAnsi="宋体" w:eastAsia="宋体" w:cs="宋体"/>
          <w:i w:val="0"/>
          <w:strike w:val="0"/>
        </w:rPr>
        <w:t xml:space="preserve">10 </w:t>
      </w:r>
      <w:r>
        <w:rPr>
          <w:rFonts w:hint="eastAsia" w:ascii="宋体" w:hAnsi="宋体" w:eastAsia="宋体" w:cs="宋体"/>
        </w:rPr>
        <w:t>安全对策措施及建议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_Toc3098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4334EF52">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_Toc17633 </w:instrText>
      </w:r>
      <w:r>
        <w:rPr>
          <w:rFonts w:hint="eastAsia" w:ascii="宋体" w:hAnsi="宋体" w:eastAsia="宋体" w:cs="宋体"/>
        </w:rPr>
        <w:fldChar w:fldCharType="separate"/>
      </w:r>
      <w:r>
        <w:rPr>
          <w:rFonts w:hint="eastAsia" w:ascii="宋体" w:hAnsi="宋体" w:eastAsia="宋体" w:cs="宋体"/>
          <w:i w:val="0"/>
          <w:strike w:val="0"/>
        </w:rPr>
        <w:t xml:space="preserve">11 </w:t>
      </w:r>
      <w:r>
        <w:rPr>
          <w:rFonts w:hint="eastAsia" w:ascii="宋体" w:hAnsi="宋体" w:eastAsia="宋体" w:cs="宋体"/>
        </w:rPr>
        <w:t>评价结果综述</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_Toc17633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6C386FA4">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_Toc31651 </w:instrText>
      </w:r>
      <w:r>
        <w:rPr>
          <w:rFonts w:hint="eastAsia" w:ascii="宋体" w:hAnsi="宋体" w:eastAsia="宋体" w:cs="宋体"/>
        </w:rPr>
        <w:fldChar w:fldCharType="separate"/>
      </w:r>
      <w:r>
        <w:rPr>
          <w:rFonts w:hint="eastAsia" w:ascii="宋体" w:hAnsi="宋体" w:eastAsia="宋体" w:cs="宋体"/>
          <w:i w:val="0"/>
          <w:strike w:val="0"/>
        </w:rPr>
        <w:t xml:space="preserve">12 </w:t>
      </w:r>
      <w:r>
        <w:rPr>
          <w:rFonts w:hint="eastAsia" w:ascii="宋体" w:hAnsi="宋体" w:eastAsia="宋体" w:cs="宋体"/>
        </w:rPr>
        <w:t>报告</w:t>
      </w:r>
      <w:r>
        <w:rPr>
          <w:rFonts w:hint="eastAsia" w:ascii="宋体" w:hAnsi="宋体" w:eastAsia="宋体" w:cs="宋体"/>
          <w:lang w:val="en-US" w:eastAsia="zh-CN"/>
        </w:rPr>
        <w:t>格式</w:t>
      </w:r>
      <w:r>
        <w:rPr>
          <w:rFonts w:hint="eastAsia" w:ascii="宋体" w:hAnsi="宋体" w:eastAsia="宋体" w:cs="宋体"/>
          <w:highlight w:val="none"/>
        </w:rPr>
        <w:t>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_Toc31651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21C9A7A4">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_Toc17160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12.1 </w:t>
      </w:r>
      <w:r>
        <w:rPr>
          <w:rFonts w:hint="eastAsia" w:ascii="宋体" w:hAnsi="宋体" w:eastAsia="宋体" w:cs="宋体"/>
          <w:highlight w:val="none"/>
        </w:rPr>
        <w:t>报告格式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_Toc17160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731BAA9F">
      <w:pPr>
        <w:pStyle w:val="27"/>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_Toc15624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12.2 </w:t>
      </w:r>
      <w:r>
        <w:rPr>
          <w:rFonts w:hint="eastAsia" w:ascii="宋体" w:hAnsi="宋体" w:eastAsia="宋体" w:cs="宋体"/>
          <w:highlight w:val="none"/>
        </w:rPr>
        <w:t>附件与附图</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_Toc15624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1C350931">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_Toc25837 </w:instrText>
      </w:r>
      <w:r>
        <w:rPr>
          <w:rFonts w:hint="eastAsia" w:ascii="宋体" w:hAnsi="宋体" w:eastAsia="宋体" w:cs="宋体"/>
        </w:rPr>
        <w:fldChar w:fldCharType="separate"/>
      </w:r>
      <w:r>
        <w:rPr>
          <w:rFonts w:hint="eastAsia" w:ascii="宋体" w:hAnsi="宋体" w:eastAsia="宋体" w:cs="宋体"/>
        </w:rPr>
        <w:t>附录A（资料性） 常用的安全预评价方法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_Toc25837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411EF468">
      <w:pPr>
        <w:pStyle w:val="22"/>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_Toc22595 </w:instrText>
      </w:r>
      <w:r>
        <w:rPr>
          <w:rFonts w:hint="eastAsia" w:ascii="宋体" w:hAnsi="宋体" w:eastAsia="宋体" w:cs="宋体"/>
        </w:rPr>
        <w:fldChar w:fldCharType="separate"/>
      </w:r>
      <w:r>
        <w:rPr>
          <w:rFonts w:hint="eastAsia" w:ascii="宋体" w:hAnsi="宋体" w:eastAsia="宋体" w:cs="宋体"/>
        </w:rPr>
        <w:t>附录B（规范性） 海洋石油天然气开采建设项目安全预评价报告格式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_Toc22595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66B03FD2">
      <w:pPr>
        <w:pStyle w:val="22"/>
        <w:tabs>
          <w:tab w:val="right" w:leader="dot" w:pos="9354"/>
        </w:tabs>
      </w:pPr>
      <w:r>
        <w:rPr>
          <w:rFonts w:hint="eastAsia" w:ascii="宋体" w:hAnsi="宋体" w:eastAsia="宋体" w:cs="宋体"/>
        </w:rPr>
        <w:fldChar w:fldCharType="begin"/>
      </w:r>
      <w:r>
        <w:rPr>
          <w:rFonts w:hint="eastAsia" w:ascii="宋体" w:hAnsi="宋体" w:eastAsia="宋体" w:cs="宋体"/>
        </w:rPr>
        <w:instrText xml:space="preserve"> HYPERLINK \l _Toc19006 </w:instrText>
      </w:r>
      <w:r>
        <w:rPr>
          <w:rFonts w:hint="eastAsia" w:ascii="宋体" w:hAnsi="宋体" w:eastAsia="宋体" w:cs="宋体"/>
        </w:rPr>
        <w:fldChar w:fldCharType="separate"/>
      </w:r>
      <w:r>
        <w:rPr>
          <w:rFonts w:hint="eastAsia" w:ascii="宋体" w:hAnsi="宋体" w:eastAsia="宋体" w:cs="宋体"/>
        </w:rPr>
        <w:t>参考文献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_Toc19006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rPr>
        <w:fldChar w:fldCharType="end"/>
      </w:r>
    </w:p>
    <w:p w14:paraId="4DE0A7D2">
      <w:pPr>
        <w:pStyle w:val="94"/>
        <w:spacing w:after="360"/>
        <w:sectPr>
          <w:headerReference r:id="rId8" w:type="default"/>
          <w:footerReference r:id="rId10" w:type="default"/>
          <w:headerReference r:id="rId9" w:type="even"/>
          <w:footerReference r:id="rId11" w:type="even"/>
          <w:pgSz w:w="11906" w:h="16838"/>
          <w:pgMar w:top="1928" w:right="1134" w:bottom="1134" w:left="1134" w:header="1418" w:footer="1134" w:gutter="284"/>
          <w:pgNumType w:fmt="upperRoman" w:start="1"/>
          <w:cols w:space="425" w:num="1"/>
          <w:formProt w:val="0"/>
          <w:docGrid w:linePitch="312" w:charSpace="0"/>
        </w:sectPr>
      </w:pPr>
      <w:r>
        <w:rPr>
          <w:rFonts w:ascii="宋体" w:hAnsi="宋体" w:eastAsia="宋体"/>
        </w:rPr>
        <w:fldChar w:fldCharType="end"/>
      </w:r>
    </w:p>
    <w:bookmarkEnd w:id="19"/>
    <w:p w14:paraId="710EF1B6">
      <w:pPr>
        <w:pStyle w:val="92"/>
        <w:spacing w:before="560" w:after="360"/>
      </w:pPr>
      <w:bookmarkStart w:id="20" w:name="_Toc16550"/>
      <w:bookmarkStart w:id="21" w:name="BookMark2"/>
      <w:r>
        <w:rPr>
          <w:spacing w:val="320"/>
        </w:rPr>
        <w:t>前</w:t>
      </w:r>
      <w:r>
        <w:t>言</w:t>
      </w:r>
      <w:bookmarkEnd w:id="20"/>
    </w:p>
    <w:p w14:paraId="60F84410">
      <w:pPr>
        <w:pStyle w:val="59"/>
        <w:ind w:firstLine="420"/>
        <w:rPr>
          <w:rFonts w:hint="eastAsia" w:ascii="黑体" w:hAnsi="黑体" w:eastAsia="黑体" w:cs="黑体"/>
          <w:b w:val="0"/>
          <w:bCs w:val="0"/>
          <w:lang w:val="en-US" w:eastAsia="zh-CN"/>
        </w:rPr>
      </w:pPr>
      <w:bookmarkStart w:id="22" w:name="OLE_LINK1"/>
      <w:r>
        <w:rPr>
          <w:rFonts w:hint="eastAsia" w:ascii="黑体" w:hAnsi="黑体" w:eastAsia="黑体" w:cs="黑体"/>
          <w:b w:val="0"/>
          <w:bCs w:val="0"/>
          <w:lang w:val="en-US" w:eastAsia="zh-CN"/>
        </w:rPr>
        <w:t>本文件的全部技术内容为强制性。</w:t>
      </w:r>
    </w:p>
    <w:p w14:paraId="3F606AC9">
      <w:pPr>
        <w:pStyle w:val="59"/>
        <w:ind w:firstLine="420"/>
        <w:rPr>
          <w:rFonts w:hint="eastAsia"/>
        </w:rPr>
      </w:pPr>
      <w:r>
        <w:rPr>
          <w:rFonts w:hint="eastAsia"/>
        </w:rPr>
        <w:t>本文件按照GB/T 1.1—2020《标准化工作导则  第1部分：标准化文件的结构和起草规则》的规定起草。</w:t>
      </w:r>
    </w:p>
    <w:p w14:paraId="52EE4218">
      <w:pPr>
        <w:pStyle w:val="59"/>
        <w:ind w:firstLine="420"/>
      </w:pPr>
      <w:r>
        <w:rPr>
          <w:rFonts w:hint="eastAsia"/>
        </w:rPr>
        <w:t>请注意本文件的某些内容可能涉及专利。本文件的发布机构不承担识别这些专利的责任。</w:t>
      </w:r>
    </w:p>
    <w:p w14:paraId="365EA942">
      <w:pPr>
        <w:pStyle w:val="59"/>
        <w:ind w:firstLine="420"/>
        <w:rPr>
          <w:rFonts w:hint="eastAsia"/>
          <w:lang w:val="en-US" w:eastAsia="zh-CN"/>
        </w:rPr>
      </w:pPr>
      <w:r>
        <w:rPr>
          <w:rFonts w:hint="eastAsia"/>
          <w:lang w:val="en-US" w:eastAsia="zh-CN"/>
        </w:rPr>
        <w:t>本文件由中华人民共和国应急管理部提出,危险化学品安全监督管理二司业务管理、政策法规司统筹管理。</w:t>
      </w:r>
    </w:p>
    <w:p w14:paraId="75BFECE1">
      <w:pPr>
        <w:pStyle w:val="59"/>
        <w:ind w:firstLine="420"/>
        <w:rPr>
          <w:rFonts w:hint="default"/>
          <w:lang w:val="en-US" w:eastAsia="zh-CN"/>
        </w:rPr>
      </w:pPr>
      <w:r>
        <w:rPr>
          <w:rFonts w:hint="eastAsia"/>
          <w:lang w:val="en-US" w:eastAsia="zh-CN"/>
        </w:rPr>
        <w:t>本文件由全国安全生产标准化技术委员会石油天然气开采安全分技术委员会(SAC/TC 288/SC 10)技术归口及咨询。</w:t>
      </w:r>
    </w:p>
    <w:p w14:paraId="73E1F020">
      <w:pPr>
        <w:pStyle w:val="234"/>
        <w:rPr>
          <w:rFonts w:hint="default" w:eastAsia="宋体"/>
          <w:lang w:val="en-US" w:eastAsia="zh-CN"/>
        </w:rPr>
      </w:pPr>
      <w:r>
        <w:rPr>
          <w:rFonts w:hint="eastAsia"/>
        </w:rPr>
        <w:t>本文件起草单位：</w:t>
      </w:r>
      <w:r>
        <w:rPr>
          <w:rFonts w:hint="eastAsia"/>
          <w:lang w:val="en-US" w:eastAsia="zh-CN"/>
        </w:rPr>
        <w:t>XXX</w:t>
      </w:r>
    </w:p>
    <w:p w14:paraId="7D70CDBE">
      <w:pPr>
        <w:pStyle w:val="234"/>
        <w:rPr>
          <w:rFonts w:hint="eastAsia"/>
          <w:lang w:val="en-US" w:eastAsia="zh-CN"/>
        </w:rPr>
      </w:pPr>
      <w:r>
        <w:rPr>
          <w:rFonts w:hint="eastAsia"/>
        </w:rPr>
        <w:t>本文件主要起草人：</w:t>
      </w:r>
      <w:r>
        <w:rPr>
          <w:rFonts w:hint="eastAsia"/>
          <w:lang w:val="en-US" w:eastAsia="zh-CN"/>
        </w:rPr>
        <w:t>XXX</w:t>
      </w:r>
    </w:p>
    <w:p w14:paraId="7237F28E">
      <w:pPr>
        <w:pStyle w:val="234"/>
        <w:rPr>
          <w:rFonts w:hint="eastAsia"/>
          <w:lang w:val="en-US" w:eastAsia="zh-CN"/>
        </w:rPr>
      </w:pPr>
      <w:r>
        <w:rPr>
          <w:rFonts w:hint="eastAsia"/>
          <w:lang w:val="en-US" w:eastAsia="zh-CN"/>
        </w:rPr>
        <w:t>本文件为首次发布</w:t>
      </w:r>
      <w:bookmarkEnd w:id="22"/>
      <w:r>
        <w:rPr>
          <w:rFonts w:hint="eastAsia"/>
          <w:lang w:val="en-US" w:eastAsia="zh-CN"/>
        </w:rPr>
        <w:t>。</w:t>
      </w:r>
      <w:bookmarkEnd w:id="21"/>
      <w:bookmarkStart w:id="23" w:name="BookMark4"/>
      <w:bookmarkStart w:id="311" w:name="_GoBack"/>
      <w:bookmarkEnd w:id="311"/>
    </w:p>
    <w:p w14:paraId="6545F747">
      <w:pPr>
        <w:rPr>
          <w:rFonts w:hint="eastAsia"/>
          <w:lang w:val="en-US" w:eastAsia="zh-CN"/>
        </w:rPr>
      </w:pPr>
      <w:r>
        <w:rPr>
          <w:rFonts w:hint="eastAsia"/>
          <w:lang w:val="en-US" w:eastAsia="zh-CN"/>
        </w:rPr>
        <w:br w:type="page"/>
      </w:r>
    </w:p>
    <w:p w14:paraId="7D7001EB">
      <w:pPr>
        <w:pStyle w:val="234"/>
        <w:rPr>
          <w:rFonts w:hint="eastAsia"/>
          <w:lang w:val="en-US" w:eastAsia="zh-CN"/>
        </w:rPr>
        <w:sectPr>
          <w:headerReference r:id="rId12" w:type="default"/>
          <w:footerReference r:id="rId14" w:type="default"/>
          <w:headerReference r:id="rId13" w:type="even"/>
          <w:footerReference r:id="rId15" w:type="even"/>
          <w:pgSz w:w="11906" w:h="16838"/>
          <w:pgMar w:top="1928" w:right="1134" w:bottom="1134" w:left="1134" w:header="1418" w:footer="1134" w:gutter="284"/>
          <w:pgNumType w:fmt="upperRoman"/>
          <w:cols w:space="425" w:num="1"/>
          <w:formProt w:val="0"/>
          <w:docGrid w:linePitch="312" w:charSpace="0"/>
        </w:sectPr>
      </w:pPr>
    </w:p>
    <w:p w14:paraId="0AC20051">
      <w:pPr>
        <w:spacing w:line="20" w:lineRule="exact"/>
        <w:jc w:val="center"/>
        <w:rPr>
          <w:rFonts w:ascii="黑体" w:hAnsi="黑体" w:eastAsia="黑体"/>
          <w:sz w:val="32"/>
          <w:szCs w:val="32"/>
        </w:rPr>
      </w:pPr>
    </w:p>
    <w:sdt>
      <w:sdtPr>
        <w:tag w:val="NEW_STAND_NAME"/>
        <w:id w:val="595910757"/>
        <w:lock w:val="sdtLocked"/>
        <w:placeholder>
          <w:docPart w:val="B60D349DF74442B18583560B16BCC588"/>
        </w:placeholder>
      </w:sdtPr>
      <w:sdtContent>
        <w:p w14:paraId="1089E336">
          <w:pPr>
            <w:pStyle w:val="180"/>
            <w:spacing w:beforeLines="100" w:afterLines="1"/>
          </w:pPr>
          <w:bookmarkStart w:id="24" w:name="NEW_STAND_NAME"/>
          <w:r>
            <w:rPr>
              <w:rFonts w:hint="eastAsia"/>
            </w:rPr>
            <w:t>海洋石油天然气开采建设项目</w:t>
          </w:r>
        </w:p>
        <w:p w14:paraId="39A9572A">
          <w:pPr>
            <w:pStyle w:val="180"/>
            <w:spacing w:beforeLines="1" w:after="680"/>
          </w:pPr>
          <w:r>
            <w:rPr>
              <w:rFonts w:hint="eastAsia"/>
            </w:rPr>
            <w:t>安全预评价导则</w:t>
          </w:r>
        </w:p>
      </w:sdtContent>
    </w:sdt>
    <w:bookmarkEnd w:id="24"/>
    <w:p w14:paraId="08ED3A30">
      <w:pPr>
        <w:pStyle w:val="107"/>
        <w:spacing w:before="240" w:after="240"/>
      </w:pPr>
      <w:bookmarkStart w:id="25" w:name="_Toc26648465"/>
      <w:bookmarkStart w:id="26" w:name="_Toc26986771"/>
      <w:bookmarkStart w:id="27" w:name="_Toc26986530"/>
      <w:bookmarkStart w:id="28" w:name="_Toc26718930"/>
      <w:bookmarkStart w:id="29" w:name="_Toc24884211"/>
      <w:bookmarkStart w:id="30" w:name="_Toc7774"/>
      <w:bookmarkStart w:id="31" w:name="_Toc17233325"/>
      <w:bookmarkStart w:id="32" w:name="_Toc24884218"/>
      <w:bookmarkStart w:id="33" w:name="_Toc97195091"/>
      <w:bookmarkStart w:id="34" w:name="_Toc17233333"/>
      <w:r>
        <w:rPr>
          <w:rFonts w:hint="eastAsia"/>
        </w:rPr>
        <w:t>范围</w:t>
      </w:r>
      <w:bookmarkEnd w:id="25"/>
      <w:bookmarkEnd w:id="26"/>
      <w:bookmarkEnd w:id="27"/>
      <w:bookmarkEnd w:id="28"/>
      <w:bookmarkEnd w:id="29"/>
      <w:bookmarkEnd w:id="30"/>
      <w:bookmarkEnd w:id="31"/>
      <w:bookmarkEnd w:id="32"/>
      <w:bookmarkEnd w:id="33"/>
      <w:bookmarkEnd w:id="34"/>
    </w:p>
    <w:p w14:paraId="2713D0C3">
      <w:pPr>
        <w:pStyle w:val="59"/>
        <w:ind w:firstLine="420"/>
      </w:pPr>
      <w:bookmarkStart w:id="35" w:name="_Toc17233326"/>
      <w:bookmarkStart w:id="36" w:name="_Toc24884219"/>
      <w:bookmarkStart w:id="37" w:name="_Toc17233334"/>
      <w:bookmarkStart w:id="38" w:name="_Toc24884212"/>
      <w:bookmarkStart w:id="39" w:name="_Toc26648466"/>
      <w:r>
        <w:rPr>
          <w:rFonts w:hint="eastAsia"/>
        </w:rPr>
        <w:t>本文件规定了海洋石油天然气开采建设项目安全预评价内容和报告编制的要求。</w:t>
      </w:r>
    </w:p>
    <w:p w14:paraId="2359E45A">
      <w:pPr>
        <w:pStyle w:val="59"/>
        <w:ind w:firstLine="420"/>
      </w:pPr>
      <w:r>
        <w:rPr>
          <w:rFonts w:hint="eastAsia"/>
        </w:rPr>
        <w:t>本文件适用于海洋石油天然气开采新建、改建、扩建项目</w:t>
      </w:r>
      <w:r>
        <w:rPr>
          <w:rFonts w:hint="eastAsia"/>
          <w:highlight w:val="none"/>
        </w:rPr>
        <w:t>（以下</w:t>
      </w:r>
      <w:r>
        <w:rPr>
          <w:rFonts w:hint="eastAsia"/>
          <w:highlight w:val="none"/>
          <w:lang w:val="en-US" w:eastAsia="zh-CN"/>
        </w:rPr>
        <w:t>简称</w:t>
      </w:r>
      <w:r>
        <w:rPr>
          <w:rFonts w:hint="eastAsia"/>
          <w:highlight w:val="none"/>
        </w:rPr>
        <w:t>“建设项目”）</w:t>
      </w:r>
      <w:r>
        <w:rPr>
          <w:rFonts w:hint="eastAsia"/>
        </w:rPr>
        <w:t>的安全预评价。</w:t>
      </w:r>
    </w:p>
    <w:p w14:paraId="5A11C64A">
      <w:pPr>
        <w:pStyle w:val="107"/>
        <w:spacing w:before="240" w:after="240"/>
      </w:pPr>
      <w:bookmarkStart w:id="40" w:name="_Toc26986531"/>
      <w:bookmarkStart w:id="41" w:name="_Toc26718931"/>
      <w:bookmarkStart w:id="42" w:name="_Toc7828"/>
      <w:bookmarkStart w:id="43" w:name="_Toc26986772"/>
      <w:bookmarkStart w:id="44" w:name="_Toc97195092"/>
      <w:r>
        <w:rPr>
          <w:rFonts w:hint="eastAsia"/>
        </w:rPr>
        <w:t>规范性引用文件</w:t>
      </w:r>
      <w:bookmarkEnd w:id="35"/>
      <w:bookmarkEnd w:id="36"/>
      <w:bookmarkEnd w:id="37"/>
      <w:bookmarkEnd w:id="38"/>
      <w:bookmarkEnd w:id="39"/>
      <w:bookmarkEnd w:id="40"/>
      <w:bookmarkEnd w:id="41"/>
      <w:bookmarkEnd w:id="42"/>
      <w:bookmarkEnd w:id="43"/>
      <w:bookmarkEnd w:id="44"/>
    </w:p>
    <w:sdt>
      <w:sdtPr>
        <w:rPr>
          <w:rFonts w:hint="eastAsia"/>
        </w:rPr>
        <w:id w:val="715848253"/>
        <w:placeholder>
          <w:docPart w:val="516340E3109541F48E7FEDD9B266CF0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6EE9A5C6">
          <w:pPr>
            <w:pStyle w:val="59"/>
            <w:ind w:firstLine="420"/>
          </w:pPr>
          <w:r>
            <w:rPr>
              <w:rFonts w:hint="eastAsia" w:ascii="宋体" w:hAnsi="Times New Roman" w:eastAsia="宋体" w:cs="Times New Roman"/>
              <w:sz w:val="21"/>
              <w:lang w:val="en-US" w:eastAsia="zh-CN" w:bidi="ar-S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AEE1EE2">
      <w:pPr>
        <w:autoSpaceDE w:val="0"/>
        <w:autoSpaceDN w:val="0"/>
        <w:adjustRightInd/>
        <w:spacing w:line="240" w:lineRule="auto"/>
        <w:ind w:firstLine="420" w:firstLineChars="200"/>
        <w:jc w:val="both"/>
        <w:rPr>
          <w:rFonts w:hint="eastAsia" w:ascii="宋体" w:hAnsi="宋体" w:eastAsia="宋体" w:cs="宋体"/>
          <w:sz w:val="21"/>
          <w:szCs w:val="24"/>
          <w:lang w:val="en-US" w:eastAsia="zh-CN" w:bidi="ar-SA"/>
        </w:rPr>
      </w:pPr>
      <w:bookmarkStart w:id="45" w:name="_Toc97195093"/>
      <w:r>
        <w:rPr>
          <w:rFonts w:hint="eastAsia" w:ascii="宋体" w:hAnsi="宋体" w:eastAsia="宋体" w:cs="宋体"/>
          <w:sz w:val="21"/>
          <w:szCs w:val="24"/>
          <w:lang w:val="en-US" w:eastAsia="zh-CN" w:bidi="ar-SA"/>
        </w:rPr>
        <w:t>GB/T 23694 风险管理 术语</w:t>
      </w:r>
    </w:p>
    <w:p w14:paraId="6E4FA020">
      <w:pPr>
        <w:autoSpaceDE w:val="0"/>
        <w:autoSpaceDN w:val="0"/>
        <w:adjustRightInd/>
        <w:spacing w:line="240" w:lineRule="auto"/>
        <w:ind w:firstLine="420" w:firstLineChars="200"/>
        <w:jc w:val="both"/>
        <w:rPr>
          <w:rFonts w:hint="eastAsia" w:ascii="宋体" w:hAnsi="宋体" w:eastAsia="宋体" w:cs="宋体"/>
          <w:sz w:val="21"/>
          <w:szCs w:val="24"/>
          <w:lang w:val="en-US" w:eastAsia="zh-CN" w:bidi="ar-SA"/>
        </w:rPr>
      </w:pPr>
      <w:r>
        <w:rPr>
          <w:rFonts w:hint="eastAsia" w:ascii="宋体" w:hAnsi="宋体" w:eastAsia="宋体" w:cs="宋体"/>
          <w:sz w:val="21"/>
          <w:szCs w:val="24"/>
          <w:lang w:val="en-US" w:eastAsia="zh-CN" w:bidi="ar-SA"/>
        </w:rPr>
        <w:t>GB 40554.1 海洋石油天然气开采安全规程 第1部分：总则</w:t>
      </w:r>
    </w:p>
    <w:p w14:paraId="45887686">
      <w:pPr>
        <w:autoSpaceDE w:val="0"/>
        <w:autoSpaceDN w:val="0"/>
        <w:adjustRightInd/>
        <w:spacing w:line="240" w:lineRule="auto"/>
        <w:ind w:firstLine="420" w:firstLineChars="200"/>
        <w:jc w:val="both"/>
        <w:rPr>
          <w:rFonts w:hint="eastAsia" w:ascii="宋体" w:hAnsi="宋体" w:eastAsia="宋体" w:cs="宋体"/>
          <w:sz w:val="21"/>
          <w:szCs w:val="24"/>
          <w:lang w:val="en-US" w:eastAsia="zh-CN" w:bidi="ar-SA"/>
        </w:rPr>
      </w:pPr>
      <w:r>
        <w:rPr>
          <w:rFonts w:hint="eastAsia" w:ascii="宋体" w:hAnsi="宋体" w:eastAsia="宋体" w:cs="宋体"/>
          <w:sz w:val="21"/>
          <w:szCs w:val="24"/>
          <w:lang w:val="en-US" w:eastAsia="zh-CN" w:bidi="ar-SA"/>
        </w:rPr>
        <w:t>AQ 8001 安全评价通则</w:t>
      </w:r>
    </w:p>
    <w:p w14:paraId="661B0C82">
      <w:pPr>
        <w:pStyle w:val="107"/>
        <w:spacing w:before="240" w:after="240"/>
      </w:pPr>
      <w:bookmarkStart w:id="46" w:name="_Toc3526"/>
      <w:r>
        <w:rPr>
          <w:rFonts w:hint="eastAsia"/>
          <w:szCs w:val="21"/>
        </w:rPr>
        <w:t>术语和定义</w:t>
      </w:r>
      <w:bookmarkEnd w:id="45"/>
      <w:bookmarkEnd w:id="46"/>
    </w:p>
    <w:sdt>
      <w:sdtPr>
        <w:id w:val="-1909835108"/>
        <w:placeholder>
          <w:docPart w:val="B40EBE6BF10E4F089A0FA803A73CD0E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1BBE037">
          <w:pPr>
            <w:pStyle w:val="59"/>
            <w:ind w:firstLine="420"/>
          </w:pPr>
          <w:bookmarkStart w:id="47" w:name="_Toc26986532"/>
          <w:bookmarkEnd w:id="47"/>
          <w:bookmarkStart w:id="48" w:name="OLE_LINK68"/>
          <w:bookmarkStart w:id="49" w:name="OLE_LINK67"/>
          <w:bookmarkStart w:id="50" w:name="OLE_LINK70"/>
          <w:bookmarkStart w:id="51" w:name="OLE_LINK69"/>
          <w:r>
            <w:t>GB/T 23694</w:t>
          </w:r>
          <w:r>
            <w:rPr>
              <w:rFonts w:hint="eastAsia"/>
            </w:rPr>
            <w:t>、GB 40554.1、</w:t>
          </w:r>
          <w:bookmarkEnd w:id="48"/>
          <w:bookmarkEnd w:id="49"/>
          <w:r>
            <w:t>AQ 8001</w:t>
          </w:r>
          <w:bookmarkEnd w:id="50"/>
          <w:bookmarkEnd w:id="51"/>
          <w:r>
            <w:t>界定的以及下列术语和定义适用于本文件。</w:t>
          </w:r>
        </w:p>
      </w:sdtContent>
    </w:sdt>
    <w:p w14:paraId="4618808A">
      <w:pPr>
        <w:pStyle w:val="226"/>
        <w:numPr>
          <w:ilvl w:val="2"/>
          <w:numId w:val="0"/>
        </w:numPr>
        <w:ind w:leftChars="0"/>
        <w:rPr>
          <w:rFonts w:hint="eastAsia" w:ascii="黑体" w:hAnsi="黑体" w:eastAsia="黑体"/>
        </w:rPr>
      </w:pPr>
    </w:p>
    <w:p w14:paraId="40896BC1">
      <w:pPr>
        <w:pStyle w:val="226"/>
        <w:ind w:left="0" w:leftChars="0" w:firstLine="0" w:firstLineChars="0"/>
      </w:pPr>
      <w:r>
        <w:rPr>
          <w:rFonts w:hint="eastAsia" w:ascii="黑体" w:hAnsi="黑体" w:eastAsia="黑体"/>
        </w:rPr>
        <w:t xml:space="preserve"> </w:t>
      </w:r>
      <w:r>
        <w:rPr>
          <w:rFonts w:ascii="黑体" w:hAnsi="黑体" w:eastAsia="黑体"/>
        </w:rPr>
        <w:t xml:space="preserve">  </w:t>
      </w:r>
    </w:p>
    <w:p w14:paraId="437616CB">
      <w:pPr>
        <w:pStyle w:val="226"/>
        <w:numPr>
          <w:ilvl w:val="2"/>
          <w:numId w:val="0"/>
        </w:numPr>
        <w:ind w:leftChars="0"/>
        <w:rPr>
          <w:rFonts w:ascii="黑体" w:hAnsi="黑体" w:eastAsia="黑体"/>
        </w:rPr>
      </w:pPr>
      <w:r>
        <w:rPr>
          <w:rFonts w:hint="eastAsia" w:ascii="黑体" w:hAnsi="黑体" w:eastAsia="黑体"/>
        </w:rPr>
        <w:t xml:space="preserve"> </w:t>
      </w:r>
      <w:r>
        <w:rPr>
          <w:rFonts w:ascii="黑体" w:hAnsi="黑体" w:eastAsia="黑体"/>
        </w:rPr>
        <w:t xml:space="preserve">   </w:t>
      </w:r>
      <w:r>
        <w:rPr>
          <w:rFonts w:hint="eastAsia" w:ascii="黑体" w:hAnsi="黑体" w:eastAsia="黑体"/>
        </w:rPr>
        <w:t>依托设施  associated  facilities</w:t>
      </w:r>
    </w:p>
    <w:p w14:paraId="45584A69">
      <w:pPr>
        <w:pStyle w:val="59"/>
        <w:ind w:firstLine="420"/>
        <w:rPr>
          <w:rFonts w:hint="eastAsia"/>
          <w:highlight w:val="none"/>
          <w:lang w:eastAsia="zh-CN"/>
        </w:rPr>
      </w:pPr>
      <w:r>
        <w:rPr>
          <w:rFonts w:hint="eastAsia"/>
          <w:highlight w:val="none"/>
          <w:lang w:val="en-US" w:eastAsia="zh-CN"/>
        </w:rPr>
        <w:t>为建设项目提供工艺处理、物流输送</w:t>
      </w:r>
      <w:r>
        <w:rPr>
          <w:rFonts w:hint="eastAsia"/>
          <w:highlight w:val="none"/>
        </w:rPr>
        <w:t>、</w:t>
      </w:r>
      <w:r>
        <w:rPr>
          <w:rFonts w:hint="eastAsia"/>
          <w:highlight w:val="none"/>
          <w:lang w:val="en-US" w:eastAsia="zh-CN"/>
        </w:rPr>
        <w:t>供电及通信等功能的海洋石油</w:t>
      </w:r>
      <w:r>
        <w:rPr>
          <w:rFonts w:hint="eastAsia"/>
          <w:highlight w:val="none"/>
        </w:rPr>
        <w:t>已建设施或</w:t>
      </w:r>
      <w:r>
        <w:rPr>
          <w:rFonts w:hint="eastAsia"/>
          <w:highlight w:val="none"/>
          <w:lang w:val="en-US" w:eastAsia="zh-CN"/>
        </w:rPr>
        <w:t>早于建设项目投产时间的待建</w:t>
      </w:r>
      <w:r>
        <w:rPr>
          <w:rFonts w:hint="eastAsia"/>
          <w:highlight w:val="none"/>
        </w:rPr>
        <w:t>设施。</w:t>
      </w:r>
    </w:p>
    <w:p w14:paraId="3E86A89F">
      <w:pPr>
        <w:pStyle w:val="107"/>
        <w:spacing w:before="240" w:after="240"/>
        <w:rPr>
          <w:rFonts w:hint="eastAsia" w:hAnsi="Times New Roman" w:cs="Times New Roman"/>
          <w:highlight w:val="none"/>
          <w:lang w:val="en-US" w:eastAsia="zh-CN"/>
        </w:rPr>
      </w:pPr>
      <w:bookmarkStart w:id="52" w:name="_Toc31968"/>
      <w:r>
        <w:rPr>
          <w:rFonts w:hint="eastAsia" w:hAnsi="Times New Roman" w:cs="Times New Roman"/>
          <w:highlight w:val="none"/>
          <w:lang w:val="en-US" w:eastAsia="zh-CN"/>
        </w:rPr>
        <w:t>总体要求</w:t>
      </w:r>
      <w:bookmarkEnd w:id="52"/>
    </w:p>
    <w:p w14:paraId="0FECC8ED">
      <w:pPr>
        <w:keepNext w:val="0"/>
        <w:keepLines w:val="0"/>
        <w:pageBreakBefore w:val="0"/>
        <w:widowControl w:val="0"/>
        <w:numPr>
          <w:ilvl w:val="2"/>
          <w:numId w:val="2"/>
        </w:numPr>
        <w:kinsoku/>
        <w:wordWrap/>
        <w:overflowPunct/>
        <w:topLinePunct w:val="0"/>
        <w:autoSpaceDE/>
        <w:autoSpaceDN/>
        <w:bidi w:val="0"/>
        <w:adjustRightInd/>
        <w:snapToGrid/>
        <w:spacing w:beforeLines="0" w:afterLines="0" w:line="240" w:lineRule="auto"/>
        <w:ind w:left="0"/>
        <w:jc w:val="both"/>
        <w:textAlignment w:val="auto"/>
        <w:outlineLvl w:val="9"/>
        <w:rPr>
          <w:rFonts w:ascii="Times New Roman" w:hAnsi="Times New Roman" w:eastAsia="宋体"/>
          <w:highlight w:val="none"/>
        </w:rPr>
      </w:pPr>
      <w:bookmarkStart w:id="53" w:name="_Toc28629"/>
      <w:bookmarkStart w:id="54" w:name="_Toc5029"/>
      <w:bookmarkStart w:id="55" w:name="_Toc3393"/>
      <w:bookmarkStart w:id="56" w:name="_Toc9804"/>
      <w:bookmarkStart w:id="57" w:name="_Toc164090054"/>
      <w:bookmarkStart w:id="58" w:name="_Toc3128"/>
      <w:bookmarkStart w:id="59" w:name="_Toc3527"/>
      <w:bookmarkStart w:id="60" w:name="_Toc9765"/>
      <w:bookmarkStart w:id="61" w:name="_Toc26658"/>
      <w:bookmarkStart w:id="62" w:name="_Toc16666"/>
      <w:bookmarkStart w:id="63" w:name="_Toc22240"/>
      <w:bookmarkStart w:id="64" w:name="_Toc6281"/>
      <w:bookmarkStart w:id="65" w:name="_Toc10642"/>
      <w:bookmarkStart w:id="66" w:name="_Toc164158306"/>
      <w:bookmarkStart w:id="67" w:name="_Toc11038"/>
      <w:bookmarkStart w:id="68" w:name="_Toc164158638"/>
      <w:bookmarkStart w:id="69" w:name="_Toc23156"/>
      <w:bookmarkStart w:id="70" w:name="_Toc8287"/>
      <w:r>
        <w:rPr>
          <w:rFonts w:hint="eastAsia" w:ascii="Times New Roman" w:hAnsi="Times New Roman" w:eastAsia="宋体"/>
          <w:highlight w:val="none"/>
        </w:rPr>
        <w:t>应委托具有</w:t>
      </w:r>
      <w:r>
        <w:rPr>
          <w:rFonts w:hint="eastAsia" w:ascii="Times New Roman" w:hAnsi="Times New Roman"/>
          <w:highlight w:val="none"/>
          <w:lang w:eastAsia="zh-CN"/>
        </w:rPr>
        <w:t>“</w:t>
      </w:r>
      <w:r>
        <w:rPr>
          <w:rFonts w:hint="eastAsia"/>
          <w:highlight w:val="none"/>
        </w:rPr>
        <w:t>海洋石油天然气开采</w:t>
      </w:r>
      <w:r>
        <w:rPr>
          <w:rFonts w:hint="eastAsia" w:ascii="Times New Roman" w:hAnsi="Times New Roman"/>
          <w:highlight w:val="none"/>
          <w:lang w:eastAsia="zh-CN"/>
        </w:rPr>
        <w:t>”</w:t>
      </w:r>
      <w:r>
        <w:rPr>
          <w:rFonts w:hint="eastAsia" w:ascii="Times New Roman" w:hAnsi="Times New Roman"/>
          <w:highlight w:val="none"/>
          <w:lang w:val="en-US" w:eastAsia="zh-CN"/>
        </w:rPr>
        <w:t>业务范围评价</w:t>
      </w:r>
      <w:r>
        <w:rPr>
          <w:rFonts w:hint="eastAsia" w:ascii="Times New Roman" w:hAnsi="Times New Roman" w:eastAsia="宋体"/>
          <w:highlight w:val="none"/>
        </w:rPr>
        <w:t>资质的</w:t>
      </w:r>
      <w:r>
        <w:rPr>
          <w:rFonts w:hint="eastAsia" w:ascii="Times New Roman" w:hAnsi="Times New Roman"/>
          <w:highlight w:val="none"/>
          <w:lang w:val="en-US" w:eastAsia="zh-CN"/>
        </w:rPr>
        <w:t>安全评价机构</w:t>
      </w:r>
      <w:r>
        <w:rPr>
          <w:rFonts w:hint="eastAsia" w:ascii="Times New Roman" w:hAnsi="Times New Roman" w:eastAsia="宋体"/>
          <w:highlight w:val="none"/>
        </w:rPr>
        <w:t>进行安全</w:t>
      </w:r>
      <w:r>
        <w:rPr>
          <w:rFonts w:hint="eastAsia" w:ascii="Times New Roman" w:hAnsi="Times New Roman"/>
          <w:highlight w:val="none"/>
          <w:lang w:val="en-US" w:eastAsia="zh-CN"/>
        </w:rPr>
        <w:t>预评价</w:t>
      </w:r>
      <w:r>
        <w:rPr>
          <w:rFonts w:hint="eastAsia" w:ascii="Times New Roman" w:hAnsi="Times New Roman" w:eastAsia="宋体"/>
          <w:highlight w:val="none"/>
        </w:rPr>
        <w:t>，并编制</w:t>
      </w:r>
      <w:r>
        <w:rPr>
          <w:rFonts w:hint="eastAsia" w:ascii="Times New Roman" w:hAnsi="Times New Roman"/>
          <w:highlight w:val="none"/>
          <w:lang w:val="en-US" w:eastAsia="zh-CN"/>
        </w:rPr>
        <w:t>安全预评价报告</w:t>
      </w:r>
      <w:r>
        <w:rPr>
          <w:rFonts w:hint="eastAsia" w:ascii="Times New Roman" w:hAnsi="Times New Roman" w:eastAsia="宋体"/>
          <w:highlight w:val="none"/>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Fonts w:hint="eastAsia" w:ascii="Times New Roman" w:hAnsi="Times New Roman" w:eastAsia="宋体"/>
          <w:highlight w:val="none"/>
        </w:rPr>
        <w:t xml:space="preserve"> </w:t>
      </w:r>
    </w:p>
    <w:p w14:paraId="0D52B750">
      <w:pPr>
        <w:keepNext w:val="0"/>
        <w:keepLines w:val="0"/>
        <w:pageBreakBefore w:val="0"/>
        <w:widowControl w:val="0"/>
        <w:numPr>
          <w:ilvl w:val="2"/>
          <w:numId w:val="2"/>
        </w:numPr>
        <w:kinsoku/>
        <w:wordWrap/>
        <w:overflowPunct/>
        <w:topLinePunct w:val="0"/>
        <w:autoSpaceDE/>
        <w:autoSpaceDN/>
        <w:bidi w:val="0"/>
        <w:adjustRightInd/>
        <w:snapToGrid/>
        <w:spacing w:beforeLines="0" w:afterLines="0" w:line="240" w:lineRule="auto"/>
        <w:ind w:left="0"/>
        <w:jc w:val="both"/>
        <w:textAlignment w:val="auto"/>
        <w:outlineLvl w:val="9"/>
        <w:rPr>
          <w:rFonts w:hint="eastAsia" w:ascii="Times New Roman" w:hAnsi="Times New Roman" w:eastAsia="宋体"/>
          <w:highlight w:val="none"/>
        </w:rPr>
      </w:pPr>
      <w:r>
        <w:rPr>
          <w:rFonts w:hint="eastAsia" w:ascii="Times New Roman" w:hAnsi="Times New Roman"/>
          <w:highlight w:val="none"/>
          <w:lang w:val="en-US" w:eastAsia="zh-CN"/>
        </w:rPr>
        <w:t>应</w:t>
      </w:r>
      <w:r>
        <w:rPr>
          <w:rFonts w:hint="eastAsia"/>
          <w:highlight w:val="none"/>
        </w:rPr>
        <w:t>根据建设项目特点，选择相应专业的专职安全评价人员组成评价项目组</w:t>
      </w:r>
      <w:r>
        <w:rPr>
          <w:rFonts w:hint="eastAsia"/>
          <w:highlight w:val="none"/>
          <w:lang w:eastAsia="zh-CN"/>
        </w:rPr>
        <w:t>。</w:t>
      </w:r>
    </w:p>
    <w:p w14:paraId="2BDBEBF0">
      <w:pPr>
        <w:keepNext w:val="0"/>
        <w:keepLines w:val="0"/>
        <w:pageBreakBefore w:val="0"/>
        <w:widowControl w:val="0"/>
        <w:numPr>
          <w:ilvl w:val="2"/>
          <w:numId w:val="2"/>
        </w:numPr>
        <w:kinsoku/>
        <w:wordWrap/>
        <w:overflowPunct/>
        <w:topLinePunct w:val="0"/>
        <w:autoSpaceDE/>
        <w:autoSpaceDN/>
        <w:bidi w:val="0"/>
        <w:adjustRightInd/>
        <w:snapToGrid/>
        <w:spacing w:beforeLines="0" w:afterLines="0" w:line="240" w:lineRule="auto"/>
        <w:ind w:left="0"/>
        <w:jc w:val="both"/>
        <w:textAlignment w:val="auto"/>
        <w:outlineLvl w:val="9"/>
        <w:rPr>
          <w:rFonts w:hint="eastAsia"/>
          <w:lang w:val="en-US" w:eastAsia="zh-CN"/>
        </w:rPr>
      </w:pPr>
      <w:bookmarkStart w:id="71" w:name="_Toc28655"/>
      <w:r>
        <w:rPr>
          <w:rFonts w:hint="eastAsia" w:ascii="Times New Roman" w:hAnsi="Times New Roman" w:eastAsia="宋体"/>
          <w:highlight w:val="none"/>
          <w:lang w:val="en-US" w:eastAsia="zh-CN"/>
        </w:rPr>
        <w:t>安全预评价程序</w:t>
      </w:r>
      <w:bookmarkEnd w:id="71"/>
      <w:r>
        <w:rPr>
          <w:rFonts w:hint="eastAsia" w:ascii="Times New Roman" w:hAnsi="Times New Roman" w:eastAsia="宋体"/>
          <w:highlight w:val="none"/>
          <w:lang w:val="en-US" w:eastAsia="zh-CN"/>
        </w:rPr>
        <w:t>应包括</w:t>
      </w:r>
      <w:r>
        <w:rPr>
          <w:rFonts w:hint="eastAsia"/>
          <w:highlight w:val="none"/>
        </w:rPr>
        <w:t>前期准备、评价单元划分及评价方法的选择、危险有害因素辨识、单元安全评价、</w:t>
      </w:r>
      <w:r>
        <w:rPr>
          <w:rFonts w:hint="eastAsia"/>
          <w:highlight w:val="none"/>
          <w:lang w:val="en-US" w:eastAsia="zh-CN"/>
        </w:rPr>
        <w:t>提出</w:t>
      </w:r>
      <w:r>
        <w:rPr>
          <w:rFonts w:hint="eastAsia"/>
          <w:highlight w:val="none"/>
        </w:rPr>
        <w:t>安全对策措施及建议、</w:t>
      </w:r>
      <w:r>
        <w:rPr>
          <w:rFonts w:hint="eastAsia"/>
          <w:highlight w:val="none"/>
          <w:lang w:val="en-US" w:eastAsia="zh-CN"/>
        </w:rPr>
        <w:t>给出</w:t>
      </w:r>
      <w:r>
        <w:rPr>
          <w:rFonts w:hint="eastAsia"/>
          <w:highlight w:val="none"/>
        </w:rPr>
        <w:t>评价结果、编制</w:t>
      </w:r>
      <w:r>
        <w:rPr>
          <w:rFonts w:hint="eastAsia"/>
          <w:highlight w:val="none"/>
          <w:lang w:val="en-US" w:eastAsia="zh-CN"/>
        </w:rPr>
        <w:t>安全预评价</w:t>
      </w:r>
      <w:r>
        <w:rPr>
          <w:rFonts w:hint="eastAsia"/>
          <w:highlight w:val="none"/>
        </w:rPr>
        <w:t>报告。</w:t>
      </w:r>
    </w:p>
    <w:p w14:paraId="5303C3BC">
      <w:pPr>
        <w:keepNext w:val="0"/>
        <w:keepLines w:val="0"/>
        <w:pageBreakBefore w:val="0"/>
        <w:widowControl w:val="0"/>
        <w:numPr>
          <w:ilvl w:val="2"/>
          <w:numId w:val="2"/>
        </w:numPr>
        <w:kinsoku/>
        <w:wordWrap/>
        <w:overflowPunct/>
        <w:topLinePunct w:val="0"/>
        <w:autoSpaceDE/>
        <w:autoSpaceDN/>
        <w:bidi w:val="0"/>
        <w:adjustRightInd/>
        <w:snapToGrid/>
        <w:spacing w:beforeLines="0" w:afterLines="0" w:line="240" w:lineRule="auto"/>
        <w:ind w:left="0"/>
        <w:jc w:val="both"/>
        <w:textAlignment w:val="auto"/>
        <w:outlineLvl w:val="9"/>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安全预评价报告章节应包括：</w:t>
      </w:r>
    </w:p>
    <w:p w14:paraId="6E1F9420">
      <w:pPr>
        <w:pStyle w:val="177"/>
        <w:keepNext w:val="0"/>
        <w:keepLines w:val="0"/>
        <w:pageBreakBefore w:val="0"/>
        <w:kinsoku/>
        <w:wordWrap/>
        <w:overflowPunct/>
        <w:topLinePunct w:val="0"/>
        <w:autoSpaceDE/>
        <w:autoSpaceDN/>
        <w:bidi w:val="0"/>
        <w:adjustRightInd/>
        <w:snapToGrid/>
        <w:spacing w:line="240" w:lineRule="auto"/>
        <w:textAlignment w:val="auto"/>
        <w:rPr>
          <w:rFonts w:hint="eastAsia" w:ascii="宋体" w:eastAsia="宋体"/>
          <w:lang w:val="en-US" w:eastAsia="zh-CN"/>
        </w:rPr>
      </w:pPr>
      <w:r>
        <w:rPr>
          <w:rFonts w:hint="eastAsia" w:ascii="宋体" w:eastAsia="宋体"/>
          <w:lang w:val="en-US" w:eastAsia="zh-CN"/>
        </w:rPr>
        <w:t>评价概述；</w:t>
      </w:r>
    </w:p>
    <w:p w14:paraId="323C29C4">
      <w:pPr>
        <w:pStyle w:val="177"/>
        <w:keepNext w:val="0"/>
        <w:keepLines w:val="0"/>
        <w:pageBreakBefore w:val="0"/>
        <w:kinsoku/>
        <w:wordWrap/>
        <w:overflowPunct/>
        <w:topLinePunct w:val="0"/>
        <w:autoSpaceDE/>
        <w:autoSpaceDN/>
        <w:bidi w:val="0"/>
        <w:adjustRightInd/>
        <w:snapToGrid/>
        <w:spacing w:line="240" w:lineRule="auto"/>
        <w:textAlignment w:val="auto"/>
        <w:rPr>
          <w:rFonts w:hint="eastAsia" w:ascii="宋体" w:eastAsia="宋体"/>
          <w:lang w:val="en-US" w:eastAsia="zh-CN"/>
        </w:rPr>
      </w:pPr>
      <w:r>
        <w:rPr>
          <w:rFonts w:hint="eastAsia" w:ascii="宋体" w:eastAsia="宋体"/>
          <w:lang w:val="en-US" w:eastAsia="zh-CN"/>
        </w:rPr>
        <w:t>建设项目概况；</w:t>
      </w:r>
    </w:p>
    <w:p w14:paraId="0E538BAD">
      <w:pPr>
        <w:pStyle w:val="177"/>
        <w:keepNext w:val="0"/>
        <w:keepLines w:val="0"/>
        <w:pageBreakBefore w:val="0"/>
        <w:kinsoku/>
        <w:wordWrap/>
        <w:overflowPunct/>
        <w:topLinePunct w:val="0"/>
        <w:autoSpaceDE/>
        <w:autoSpaceDN/>
        <w:bidi w:val="0"/>
        <w:adjustRightInd/>
        <w:snapToGrid/>
        <w:spacing w:line="240" w:lineRule="auto"/>
        <w:textAlignment w:val="auto"/>
        <w:rPr>
          <w:rFonts w:hint="eastAsia" w:ascii="宋体" w:eastAsia="宋体"/>
          <w:lang w:val="en-US" w:eastAsia="zh-CN"/>
        </w:rPr>
      </w:pPr>
      <w:r>
        <w:rPr>
          <w:rFonts w:hint="eastAsia" w:ascii="宋体" w:eastAsia="宋体"/>
          <w:lang w:val="en-US" w:eastAsia="zh-CN"/>
        </w:rPr>
        <w:t>评价单元</w:t>
      </w:r>
      <w:r>
        <w:rPr>
          <w:rFonts w:hint="eastAsia"/>
          <w:lang w:val="en-US" w:eastAsia="zh-CN"/>
        </w:rPr>
        <w:t>划分</w:t>
      </w:r>
      <w:r>
        <w:rPr>
          <w:rFonts w:hint="eastAsia" w:ascii="宋体" w:eastAsia="宋体"/>
          <w:lang w:val="en-US" w:eastAsia="zh-CN"/>
        </w:rPr>
        <w:t>与评价方法</w:t>
      </w:r>
      <w:r>
        <w:rPr>
          <w:rFonts w:hint="eastAsia"/>
          <w:lang w:val="en-US" w:eastAsia="zh-CN"/>
        </w:rPr>
        <w:t>选择</w:t>
      </w:r>
      <w:r>
        <w:rPr>
          <w:rFonts w:hint="eastAsia" w:ascii="宋体" w:eastAsia="宋体"/>
          <w:lang w:val="en-US" w:eastAsia="zh-CN"/>
        </w:rPr>
        <w:t>；</w:t>
      </w:r>
    </w:p>
    <w:p w14:paraId="432A6531">
      <w:pPr>
        <w:pStyle w:val="177"/>
        <w:keepNext w:val="0"/>
        <w:keepLines w:val="0"/>
        <w:pageBreakBefore w:val="0"/>
        <w:kinsoku/>
        <w:wordWrap/>
        <w:overflowPunct/>
        <w:topLinePunct w:val="0"/>
        <w:autoSpaceDE/>
        <w:autoSpaceDN/>
        <w:bidi w:val="0"/>
        <w:adjustRightInd/>
        <w:snapToGrid/>
        <w:spacing w:line="240" w:lineRule="auto"/>
        <w:textAlignment w:val="auto"/>
        <w:rPr>
          <w:rFonts w:hint="eastAsia" w:ascii="宋体" w:eastAsia="宋体"/>
          <w:lang w:val="en-US" w:eastAsia="zh-CN"/>
        </w:rPr>
      </w:pPr>
      <w:r>
        <w:rPr>
          <w:rFonts w:hint="eastAsia"/>
          <w:lang w:val="en-US" w:eastAsia="zh-CN"/>
        </w:rPr>
        <w:t>危险有害因素辨识</w:t>
      </w:r>
      <w:r>
        <w:rPr>
          <w:rFonts w:hint="eastAsia" w:ascii="宋体" w:eastAsia="宋体"/>
          <w:lang w:val="en-US" w:eastAsia="zh-CN"/>
        </w:rPr>
        <w:t>；</w:t>
      </w:r>
    </w:p>
    <w:p w14:paraId="28E16D21">
      <w:pPr>
        <w:pStyle w:val="177"/>
        <w:keepNext w:val="0"/>
        <w:keepLines w:val="0"/>
        <w:pageBreakBefore w:val="0"/>
        <w:kinsoku/>
        <w:wordWrap/>
        <w:overflowPunct/>
        <w:topLinePunct w:val="0"/>
        <w:autoSpaceDE/>
        <w:autoSpaceDN/>
        <w:bidi w:val="0"/>
        <w:adjustRightInd/>
        <w:snapToGrid/>
        <w:spacing w:line="240" w:lineRule="auto"/>
        <w:textAlignment w:val="auto"/>
        <w:rPr>
          <w:rFonts w:hint="eastAsia" w:ascii="宋体" w:eastAsia="宋体"/>
          <w:lang w:val="en-US" w:eastAsia="zh-CN"/>
        </w:rPr>
      </w:pPr>
      <w:r>
        <w:rPr>
          <w:rFonts w:hint="eastAsia" w:ascii="宋体" w:eastAsia="宋体"/>
          <w:lang w:val="en-US" w:eastAsia="zh-CN"/>
        </w:rPr>
        <w:t>单元安全评价；</w:t>
      </w:r>
    </w:p>
    <w:p w14:paraId="181243F4">
      <w:pPr>
        <w:pStyle w:val="177"/>
        <w:keepNext w:val="0"/>
        <w:keepLines w:val="0"/>
        <w:pageBreakBefore w:val="0"/>
        <w:kinsoku/>
        <w:wordWrap/>
        <w:overflowPunct/>
        <w:topLinePunct w:val="0"/>
        <w:autoSpaceDE/>
        <w:autoSpaceDN/>
        <w:bidi w:val="0"/>
        <w:adjustRightInd/>
        <w:snapToGrid/>
        <w:spacing w:line="240" w:lineRule="auto"/>
        <w:textAlignment w:val="auto"/>
        <w:rPr>
          <w:rFonts w:hint="eastAsia" w:ascii="宋体" w:eastAsia="宋体"/>
          <w:lang w:val="en-US" w:eastAsia="zh-CN"/>
        </w:rPr>
      </w:pPr>
      <w:r>
        <w:rPr>
          <w:rFonts w:hint="eastAsia" w:ascii="宋体" w:eastAsia="宋体"/>
          <w:lang w:val="en-US" w:eastAsia="zh-CN"/>
        </w:rPr>
        <w:t>安全对策措施及建议；</w:t>
      </w:r>
    </w:p>
    <w:p w14:paraId="69E90C25">
      <w:pPr>
        <w:pStyle w:val="177"/>
        <w:keepNext w:val="0"/>
        <w:keepLines w:val="0"/>
        <w:pageBreakBefore w:val="0"/>
        <w:kinsoku/>
        <w:wordWrap/>
        <w:overflowPunct/>
        <w:topLinePunct w:val="0"/>
        <w:autoSpaceDE/>
        <w:autoSpaceDN/>
        <w:bidi w:val="0"/>
        <w:adjustRightInd/>
        <w:snapToGrid/>
        <w:spacing w:line="240" w:lineRule="auto"/>
        <w:textAlignment w:val="auto"/>
        <w:rPr>
          <w:rFonts w:hint="eastAsia" w:ascii="宋体" w:eastAsia="宋体"/>
          <w:highlight w:val="none"/>
          <w:lang w:val="en-US" w:eastAsia="zh-CN"/>
        </w:rPr>
      </w:pPr>
      <w:r>
        <w:rPr>
          <w:rFonts w:hint="eastAsia" w:ascii="宋体" w:eastAsia="宋体"/>
          <w:highlight w:val="none"/>
          <w:lang w:val="en-US" w:eastAsia="zh-CN"/>
        </w:rPr>
        <w:t>安全评价结论。</w:t>
      </w:r>
    </w:p>
    <w:p w14:paraId="29F6ECEC">
      <w:pPr>
        <w:keepNext w:val="0"/>
        <w:keepLines w:val="0"/>
        <w:pageBreakBefore w:val="0"/>
        <w:widowControl w:val="0"/>
        <w:numPr>
          <w:ilvl w:val="2"/>
          <w:numId w:val="2"/>
        </w:numPr>
        <w:kinsoku/>
        <w:wordWrap/>
        <w:overflowPunct/>
        <w:topLinePunct w:val="0"/>
        <w:autoSpaceDE/>
        <w:autoSpaceDN/>
        <w:bidi w:val="0"/>
        <w:adjustRightInd/>
        <w:snapToGrid/>
        <w:spacing w:beforeLines="0" w:afterLines="0" w:line="240" w:lineRule="auto"/>
        <w:ind w:left="0"/>
        <w:jc w:val="both"/>
        <w:textAlignment w:val="auto"/>
        <w:outlineLvl w:val="9"/>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报告应全面、概括地反映安全预评价工作，评价内容应详尽、文字简洁、准确，可采用图表和照片，评价过程和结论清晰、明确。</w:t>
      </w:r>
    </w:p>
    <w:p w14:paraId="6A8261D6">
      <w:pPr>
        <w:pStyle w:val="107"/>
        <w:spacing w:before="240" w:after="240"/>
        <w:rPr>
          <w:strike/>
          <w:highlight w:val="none"/>
        </w:rPr>
      </w:pPr>
      <w:bookmarkStart w:id="72" w:name="_Toc5360"/>
      <w:r>
        <w:rPr>
          <w:rFonts w:hint="eastAsia"/>
          <w:highlight w:val="none"/>
          <w:lang w:val="en-US" w:eastAsia="zh-CN"/>
        </w:rPr>
        <w:t>评价</w:t>
      </w:r>
      <w:r>
        <w:rPr>
          <w:rFonts w:hint="eastAsia"/>
          <w:highlight w:val="none"/>
        </w:rPr>
        <w:t>概述</w:t>
      </w:r>
      <w:bookmarkEnd w:id="72"/>
    </w:p>
    <w:p w14:paraId="07D69AA0">
      <w:pPr>
        <w:pStyle w:val="108"/>
        <w:spacing w:before="120" w:after="120"/>
        <w:rPr>
          <w:highlight w:val="none"/>
        </w:rPr>
      </w:pPr>
      <w:bookmarkStart w:id="73" w:name="_Toc9559"/>
      <w:bookmarkStart w:id="74" w:name="_Toc23009"/>
      <w:bookmarkStart w:id="75" w:name="_Toc2642"/>
      <w:bookmarkStart w:id="76" w:name="_Toc958"/>
      <w:r>
        <w:rPr>
          <w:rFonts w:hint="eastAsia"/>
          <w:highlight w:val="none"/>
        </w:rPr>
        <w:t>评价目的</w:t>
      </w:r>
      <w:bookmarkEnd w:id="73"/>
      <w:bookmarkEnd w:id="74"/>
      <w:bookmarkEnd w:id="75"/>
      <w:bookmarkEnd w:id="76"/>
    </w:p>
    <w:p w14:paraId="1E30E4C0">
      <w:pPr>
        <w:pStyle w:val="59"/>
        <w:ind w:firstLine="420"/>
        <w:rPr>
          <w:highlight w:val="none"/>
        </w:rPr>
      </w:pPr>
      <w:r>
        <w:rPr>
          <w:rFonts w:hint="eastAsia"/>
          <w:highlight w:val="none"/>
        </w:rPr>
        <w:t>评价目的包括以</w:t>
      </w:r>
      <w:r>
        <w:rPr>
          <w:rFonts w:hint="eastAsia"/>
          <w:highlight w:val="none"/>
          <w:lang w:val="en-US" w:eastAsia="zh-CN"/>
        </w:rPr>
        <w:t>下</w:t>
      </w:r>
      <w:r>
        <w:rPr>
          <w:rFonts w:hint="eastAsia"/>
          <w:highlight w:val="none"/>
        </w:rPr>
        <w:t>几个方面：</w:t>
      </w:r>
    </w:p>
    <w:p w14:paraId="48B1212D">
      <w:pPr>
        <w:pStyle w:val="177"/>
        <w:numPr>
          <w:ilvl w:val="0"/>
          <w:numId w:val="32"/>
        </w:numPr>
        <w:rPr>
          <w:highlight w:val="none"/>
        </w:rPr>
      </w:pPr>
      <w:r>
        <w:rPr>
          <w:rFonts w:hint="eastAsia"/>
          <w:highlight w:val="none"/>
        </w:rPr>
        <w:t>辨识与分析建设项目可能存在的主要危险有害因素；</w:t>
      </w:r>
    </w:p>
    <w:p w14:paraId="36C2148D">
      <w:pPr>
        <w:pStyle w:val="177"/>
        <w:numPr>
          <w:ilvl w:val="0"/>
          <w:numId w:val="32"/>
        </w:numPr>
        <w:rPr>
          <w:highlight w:val="none"/>
        </w:rPr>
      </w:pPr>
      <w:r>
        <w:rPr>
          <w:rFonts w:hint="eastAsia"/>
          <w:highlight w:val="none"/>
        </w:rPr>
        <w:t>确定建设项目与安全生产法律、法规、规章、标准、规范的符合性；</w:t>
      </w:r>
    </w:p>
    <w:p w14:paraId="2748DFFA">
      <w:pPr>
        <w:pStyle w:val="177"/>
        <w:numPr>
          <w:ilvl w:val="0"/>
          <w:numId w:val="32"/>
        </w:numPr>
        <w:rPr>
          <w:highlight w:val="none"/>
        </w:rPr>
      </w:pPr>
      <w:r>
        <w:rPr>
          <w:rFonts w:hint="eastAsia"/>
          <w:highlight w:val="none"/>
        </w:rPr>
        <w:t>预测建设项目运行过程中发生事故的可能性及其严重程度；</w:t>
      </w:r>
    </w:p>
    <w:p w14:paraId="04654B6F">
      <w:pPr>
        <w:pStyle w:val="177"/>
        <w:numPr>
          <w:ilvl w:val="0"/>
          <w:numId w:val="32"/>
        </w:numPr>
        <w:rPr>
          <w:highlight w:val="none"/>
        </w:rPr>
      </w:pPr>
      <w:r>
        <w:rPr>
          <w:rFonts w:hint="eastAsia"/>
          <w:highlight w:val="none"/>
        </w:rPr>
        <w:t>提出消除、预防和降低危险、危害后果的安全对策措施</w:t>
      </w:r>
      <w:r>
        <w:rPr>
          <w:rFonts w:hint="eastAsia"/>
          <w:highlight w:val="none"/>
          <w:lang w:val="en-US" w:eastAsia="zh-CN"/>
        </w:rPr>
        <w:t>及</w:t>
      </w:r>
      <w:r>
        <w:rPr>
          <w:rFonts w:hint="eastAsia"/>
          <w:highlight w:val="none"/>
        </w:rPr>
        <w:t>建议；</w:t>
      </w:r>
    </w:p>
    <w:p w14:paraId="21950401">
      <w:pPr>
        <w:pStyle w:val="177"/>
        <w:numPr>
          <w:ilvl w:val="0"/>
          <w:numId w:val="32"/>
        </w:numPr>
        <w:rPr>
          <w:highlight w:val="none"/>
        </w:rPr>
      </w:pPr>
      <w:r>
        <w:rPr>
          <w:rFonts w:hint="eastAsia"/>
          <w:highlight w:val="none"/>
        </w:rPr>
        <w:t>为建设项目安全运行提供技术性指导，为安全生产管理部门实施监督提供参考，为建设项目设计提供依据。</w:t>
      </w:r>
    </w:p>
    <w:p w14:paraId="2A0A1138">
      <w:pPr>
        <w:pStyle w:val="108"/>
        <w:spacing w:before="120" w:after="120"/>
        <w:rPr>
          <w:highlight w:val="none"/>
        </w:rPr>
      </w:pPr>
      <w:bookmarkStart w:id="77" w:name="_Toc26730"/>
      <w:bookmarkStart w:id="78" w:name="_Toc9360"/>
      <w:bookmarkStart w:id="79" w:name="_Toc22361"/>
      <w:bookmarkStart w:id="80" w:name="_Toc7599"/>
      <w:r>
        <w:rPr>
          <w:rFonts w:hint="eastAsia"/>
          <w:highlight w:val="none"/>
        </w:rPr>
        <w:t>评价范围</w:t>
      </w:r>
      <w:bookmarkEnd w:id="77"/>
      <w:bookmarkEnd w:id="78"/>
      <w:bookmarkEnd w:id="79"/>
      <w:bookmarkEnd w:id="80"/>
    </w:p>
    <w:p w14:paraId="319C7818">
      <w:pPr>
        <w:pStyle w:val="59"/>
        <w:ind w:firstLine="420"/>
        <w:rPr>
          <w:highlight w:val="none"/>
        </w:rPr>
      </w:pPr>
      <w:r>
        <w:rPr>
          <w:rFonts w:hint="eastAsia"/>
          <w:highlight w:val="none"/>
        </w:rPr>
        <w:t>评价范围应</w:t>
      </w:r>
      <w:r>
        <w:rPr>
          <w:rFonts w:hint="eastAsia"/>
          <w:highlight w:val="none"/>
          <w:lang w:val="en-US" w:eastAsia="zh-CN"/>
        </w:rPr>
        <w:t>为</w:t>
      </w:r>
      <w:r>
        <w:rPr>
          <w:rFonts w:hint="eastAsia"/>
          <w:highlight w:val="none"/>
        </w:rPr>
        <w:t>可行性研究报告/开发方案</w:t>
      </w:r>
      <w:r>
        <w:rPr>
          <w:rFonts w:hint="eastAsia"/>
          <w:highlight w:val="none"/>
          <w:lang w:val="en-US" w:eastAsia="zh-CN"/>
        </w:rPr>
        <w:t>的工程建设内容。</w:t>
      </w:r>
      <w:r>
        <w:rPr>
          <w:rFonts w:hint="eastAsia"/>
          <w:highlight w:val="none"/>
        </w:rPr>
        <w:t>对于涉及依托设施的建设项目，范围应包含依托设施</w:t>
      </w:r>
      <w:r>
        <w:rPr>
          <w:rFonts w:hint="eastAsia"/>
          <w:highlight w:val="none"/>
          <w:lang w:val="en-US" w:eastAsia="zh-CN"/>
        </w:rPr>
        <w:t>的改造及校核</w:t>
      </w:r>
      <w:r>
        <w:rPr>
          <w:rFonts w:hint="eastAsia"/>
          <w:highlight w:val="none"/>
        </w:rPr>
        <w:t>。</w:t>
      </w:r>
    </w:p>
    <w:p w14:paraId="1BA04261">
      <w:pPr>
        <w:pStyle w:val="108"/>
        <w:spacing w:before="120" w:after="120"/>
        <w:rPr>
          <w:highlight w:val="none"/>
        </w:rPr>
      </w:pPr>
      <w:bookmarkStart w:id="81" w:name="_Toc22637"/>
      <w:bookmarkStart w:id="82" w:name="_Toc17728"/>
      <w:bookmarkStart w:id="83" w:name="_Toc11179"/>
      <w:bookmarkStart w:id="84" w:name="_Toc28313"/>
      <w:r>
        <w:rPr>
          <w:rFonts w:hint="eastAsia"/>
          <w:highlight w:val="none"/>
        </w:rPr>
        <w:t>评价依据</w:t>
      </w:r>
      <w:bookmarkEnd w:id="81"/>
      <w:bookmarkEnd w:id="82"/>
      <w:bookmarkEnd w:id="83"/>
      <w:bookmarkEnd w:id="84"/>
    </w:p>
    <w:p w14:paraId="4127AF4A">
      <w:pPr>
        <w:pStyle w:val="59"/>
        <w:ind w:firstLine="420"/>
        <w:rPr>
          <w:highlight w:val="none"/>
        </w:rPr>
      </w:pPr>
      <w:r>
        <w:rPr>
          <w:rFonts w:hint="eastAsia"/>
          <w:highlight w:val="none"/>
        </w:rPr>
        <w:t>评价依据包括以下文件资料：</w:t>
      </w:r>
    </w:p>
    <w:p w14:paraId="37267FA8">
      <w:pPr>
        <w:pStyle w:val="59"/>
        <w:ind w:firstLine="420"/>
        <w:rPr>
          <w:highlight w:val="none"/>
        </w:rPr>
      </w:pPr>
      <w:r>
        <w:rPr>
          <w:rFonts w:hint="eastAsia"/>
          <w:highlight w:val="none"/>
        </w:rPr>
        <w:t>a)</w:t>
      </w:r>
      <w:r>
        <w:rPr>
          <w:rFonts w:hint="eastAsia"/>
          <w:highlight w:val="none"/>
        </w:rPr>
        <w:tab/>
      </w:r>
      <w:r>
        <w:rPr>
          <w:rFonts w:hint="eastAsia"/>
          <w:highlight w:val="none"/>
        </w:rPr>
        <w:t>建设项目的有关行政许可、建设项目批复等支持性文件；</w:t>
      </w:r>
    </w:p>
    <w:p w14:paraId="7F2E2BE8">
      <w:pPr>
        <w:pStyle w:val="59"/>
        <w:ind w:firstLine="420"/>
        <w:rPr>
          <w:highlight w:val="none"/>
        </w:rPr>
      </w:pPr>
      <w:r>
        <w:rPr>
          <w:rFonts w:hint="eastAsia"/>
          <w:highlight w:val="none"/>
        </w:rPr>
        <w:t>b)</w:t>
      </w:r>
      <w:r>
        <w:rPr>
          <w:rFonts w:hint="eastAsia"/>
          <w:highlight w:val="none"/>
        </w:rPr>
        <w:tab/>
      </w:r>
      <w:r>
        <w:rPr>
          <w:rFonts w:hint="eastAsia"/>
          <w:highlight w:val="none"/>
        </w:rPr>
        <w:t>现行国家法律、法规、规章、规范性文件；</w:t>
      </w:r>
    </w:p>
    <w:p w14:paraId="741BC314">
      <w:pPr>
        <w:pStyle w:val="59"/>
        <w:ind w:firstLine="420"/>
        <w:rPr>
          <w:highlight w:val="none"/>
        </w:rPr>
      </w:pPr>
      <w:r>
        <w:rPr>
          <w:rFonts w:hint="eastAsia"/>
          <w:highlight w:val="none"/>
        </w:rPr>
        <w:t>c)</w:t>
      </w:r>
      <w:r>
        <w:rPr>
          <w:rFonts w:hint="eastAsia"/>
          <w:highlight w:val="none"/>
        </w:rPr>
        <w:tab/>
      </w:r>
      <w:r>
        <w:rPr>
          <w:rFonts w:hint="eastAsia"/>
          <w:highlight w:val="none"/>
        </w:rPr>
        <w:t>现行的国家和行业标准；</w:t>
      </w:r>
    </w:p>
    <w:p w14:paraId="0AC9CCE6">
      <w:pPr>
        <w:pStyle w:val="59"/>
        <w:ind w:firstLine="420"/>
        <w:rPr>
          <w:highlight w:val="none"/>
        </w:rPr>
      </w:pPr>
      <w:r>
        <w:rPr>
          <w:rFonts w:hint="eastAsia"/>
          <w:highlight w:val="none"/>
        </w:rPr>
        <w:t>d)</w:t>
      </w:r>
      <w:r>
        <w:rPr>
          <w:rFonts w:hint="eastAsia"/>
          <w:highlight w:val="none"/>
        </w:rPr>
        <w:tab/>
      </w:r>
      <w:r>
        <w:rPr>
          <w:rFonts w:hint="eastAsia"/>
          <w:highlight w:val="none"/>
        </w:rPr>
        <w:t>安全预评价工作合同或委托书；</w:t>
      </w:r>
    </w:p>
    <w:p w14:paraId="40C2087D">
      <w:pPr>
        <w:pStyle w:val="59"/>
        <w:ind w:firstLine="420"/>
        <w:rPr>
          <w:highlight w:val="none"/>
        </w:rPr>
      </w:pPr>
      <w:r>
        <w:rPr>
          <w:rFonts w:hint="eastAsia"/>
          <w:highlight w:val="none"/>
        </w:rPr>
        <w:t>e)</w:t>
      </w:r>
      <w:r>
        <w:rPr>
          <w:rFonts w:hint="eastAsia"/>
          <w:highlight w:val="none"/>
        </w:rPr>
        <w:tab/>
      </w:r>
      <w:r>
        <w:rPr>
          <w:rFonts w:hint="eastAsia"/>
          <w:highlight w:val="none"/>
        </w:rPr>
        <w:t>可行性研究报告/开发方案</w:t>
      </w:r>
      <w:r>
        <w:rPr>
          <w:rFonts w:hint="eastAsia"/>
          <w:highlight w:val="none"/>
          <w:lang w:val="en-US" w:eastAsia="zh-CN"/>
        </w:rPr>
        <w:t>及</w:t>
      </w:r>
      <w:r>
        <w:rPr>
          <w:rFonts w:hint="eastAsia"/>
          <w:highlight w:val="none"/>
        </w:rPr>
        <w:t>其他有关基础资料。</w:t>
      </w:r>
    </w:p>
    <w:p w14:paraId="49BEC26B">
      <w:pPr>
        <w:pStyle w:val="107"/>
        <w:spacing w:before="240" w:after="240"/>
      </w:pPr>
      <w:bookmarkStart w:id="85" w:name="_Toc10514"/>
      <w:r>
        <w:rPr>
          <w:rFonts w:hint="eastAsia"/>
        </w:rPr>
        <w:t>建设项目概况</w:t>
      </w:r>
      <w:bookmarkEnd w:id="85"/>
    </w:p>
    <w:p w14:paraId="19B9244B">
      <w:pPr>
        <w:pStyle w:val="108"/>
        <w:spacing w:before="120" w:after="120"/>
      </w:pPr>
      <w:bookmarkStart w:id="86" w:name="_Toc18247"/>
      <w:bookmarkStart w:id="87" w:name="_Toc26940"/>
      <w:bookmarkStart w:id="88" w:name="_Toc30150"/>
      <w:bookmarkStart w:id="89" w:name="_Toc27833"/>
      <w:r>
        <w:rPr>
          <w:rFonts w:hint="eastAsia"/>
        </w:rPr>
        <w:t>建设项目基本信息</w:t>
      </w:r>
      <w:bookmarkEnd w:id="86"/>
      <w:bookmarkEnd w:id="87"/>
      <w:bookmarkEnd w:id="88"/>
      <w:bookmarkEnd w:id="89"/>
    </w:p>
    <w:p w14:paraId="2B70F2BE">
      <w:pPr>
        <w:pStyle w:val="59"/>
        <w:ind w:firstLine="420"/>
      </w:pPr>
      <w:r>
        <w:rPr>
          <w:rFonts w:hint="eastAsia"/>
          <w:lang w:val="en-US" w:eastAsia="zh-CN"/>
        </w:rPr>
        <w:t>简述</w:t>
      </w:r>
      <w:r>
        <w:rPr>
          <w:rFonts w:hint="eastAsia"/>
        </w:rPr>
        <w:t>建设项目基本信息</w:t>
      </w:r>
      <w:r>
        <w:rPr>
          <w:rFonts w:hint="eastAsia"/>
          <w:lang w:eastAsia="zh-CN"/>
        </w:rPr>
        <w:t>，</w:t>
      </w:r>
      <w:r>
        <w:rPr>
          <w:rFonts w:hint="eastAsia"/>
          <w:lang w:val="en-US" w:eastAsia="zh-CN"/>
        </w:rPr>
        <w:t>包括：</w:t>
      </w:r>
      <w:r>
        <w:rPr>
          <w:rFonts w:hint="eastAsia"/>
        </w:rPr>
        <w:t>建设项目名称</w:t>
      </w:r>
      <w:r>
        <w:rPr>
          <w:rFonts w:hint="eastAsia"/>
          <w:lang w:eastAsia="zh-CN"/>
        </w:rPr>
        <w:t>、</w:t>
      </w:r>
      <w:r>
        <w:rPr>
          <w:rFonts w:hint="eastAsia"/>
        </w:rPr>
        <w:t>建设单位</w:t>
      </w:r>
      <w:r>
        <w:rPr>
          <w:rFonts w:hint="eastAsia"/>
          <w:lang w:eastAsia="zh-CN"/>
        </w:rPr>
        <w:t>、</w:t>
      </w:r>
      <w:r>
        <w:rPr>
          <w:rFonts w:hint="eastAsia"/>
        </w:rPr>
        <w:t>生产管理单位</w:t>
      </w:r>
      <w:r>
        <w:rPr>
          <w:rFonts w:hint="eastAsia"/>
          <w:lang w:eastAsia="zh-CN"/>
        </w:rPr>
        <w:t>、</w:t>
      </w:r>
      <w:r>
        <w:rPr>
          <w:rFonts w:hint="eastAsia"/>
        </w:rPr>
        <w:t>地理/海域位置</w:t>
      </w:r>
      <w:r>
        <w:rPr>
          <w:rFonts w:hint="eastAsia"/>
          <w:lang w:eastAsia="zh-CN"/>
        </w:rPr>
        <w:t>、</w:t>
      </w:r>
      <w:r>
        <w:rPr>
          <w:rFonts w:hint="eastAsia"/>
        </w:rPr>
        <w:t>建设项目规模(产能或处理量)</w:t>
      </w:r>
      <w:r>
        <w:rPr>
          <w:rFonts w:hint="eastAsia"/>
          <w:lang w:eastAsia="zh-CN"/>
        </w:rPr>
        <w:t>、</w:t>
      </w:r>
      <w:r>
        <w:rPr>
          <w:rFonts w:hint="eastAsia"/>
        </w:rPr>
        <w:t>建设项目性质(新建、改建、扩建)及</w:t>
      </w:r>
      <w:r>
        <w:rPr>
          <w:rFonts w:hint="eastAsia"/>
          <w:highlight w:val="none"/>
          <w:lang w:val="en-US" w:eastAsia="zh-CN"/>
        </w:rPr>
        <w:t>项目概算</w:t>
      </w:r>
      <w:r>
        <w:rPr>
          <w:rFonts w:hint="eastAsia"/>
        </w:rPr>
        <w:t>。</w:t>
      </w:r>
    </w:p>
    <w:p w14:paraId="1D15777F">
      <w:pPr>
        <w:pStyle w:val="108"/>
        <w:spacing w:before="120" w:after="120"/>
      </w:pPr>
      <w:bookmarkStart w:id="90" w:name="_Toc9658"/>
      <w:bookmarkStart w:id="91" w:name="_Toc31495"/>
      <w:bookmarkStart w:id="92" w:name="_Toc18033"/>
      <w:bookmarkStart w:id="93" w:name="_Toc3343"/>
      <w:r>
        <w:rPr>
          <w:rFonts w:hint="eastAsia"/>
        </w:rPr>
        <w:t>建设及生产管理单位</w:t>
      </w:r>
      <w:r>
        <w:rPr>
          <w:rFonts w:hint="eastAsia"/>
          <w:lang w:val="en-US" w:eastAsia="zh-CN"/>
        </w:rPr>
        <w:t>介绍</w:t>
      </w:r>
      <w:bookmarkEnd w:id="90"/>
      <w:bookmarkEnd w:id="91"/>
      <w:bookmarkEnd w:id="92"/>
      <w:bookmarkEnd w:id="93"/>
    </w:p>
    <w:p w14:paraId="72BA685B">
      <w:pPr>
        <w:pStyle w:val="59"/>
        <w:ind w:firstLine="420"/>
      </w:pPr>
      <w:r>
        <w:rPr>
          <w:rFonts w:hint="eastAsia"/>
        </w:rPr>
        <w:t>简述建设单位、生产管理单位基本情况，包括：单位名称、单位类型、单位概况、建设项目隶属关系。</w:t>
      </w:r>
    </w:p>
    <w:p w14:paraId="551AD267">
      <w:pPr>
        <w:pStyle w:val="108"/>
        <w:spacing w:before="120" w:after="120"/>
      </w:pPr>
      <w:bookmarkStart w:id="94" w:name="_Toc29529"/>
      <w:bookmarkStart w:id="95" w:name="_Toc17050"/>
      <w:bookmarkStart w:id="96" w:name="_Toc14686"/>
      <w:bookmarkStart w:id="97" w:name="_Toc14699"/>
      <w:r>
        <w:rPr>
          <w:rFonts w:hint="eastAsia"/>
        </w:rPr>
        <w:t>海域自然及海洋环境</w:t>
      </w:r>
      <w:bookmarkEnd w:id="94"/>
      <w:bookmarkEnd w:id="95"/>
      <w:bookmarkEnd w:id="96"/>
      <w:bookmarkEnd w:id="97"/>
    </w:p>
    <w:p w14:paraId="61DC4741">
      <w:pPr>
        <w:pStyle w:val="168"/>
        <w:rPr>
          <w:highlight w:val="none"/>
        </w:rPr>
      </w:pPr>
      <w:r>
        <w:rPr>
          <w:rFonts w:hint="eastAsia"/>
          <w:highlight w:val="none"/>
        </w:rPr>
        <w:t>简述建设项目海域自然及海洋环境</w:t>
      </w:r>
      <w:r>
        <w:rPr>
          <w:rFonts w:hint="eastAsia"/>
          <w:highlight w:val="none"/>
          <w:lang w:eastAsia="zh-CN"/>
        </w:rPr>
        <w:t>，</w:t>
      </w:r>
      <w:r>
        <w:rPr>
          <w:rFonts w:hint="eastAsia"/>
          <w:highlight w:val="none"/>
        </w:rPr>
        <w:t>包括：水深、风速和风向、海冰、水温、气温、降水、波浪、海流、潮位、地震、海底地质、附着海生物。</w:t>
      </w:r>
    </w:p>
    <w:p w14:paraId="336B17D3">
      <w:pPr>
        <w:pStyle w:val="168"/>
        <w:rPr>
          <w:highlight w:val="none"/>
        </w:rPr>
      </w:pPr>
      <w:r>
        <w:rPr>
          <w:rFonts w:hint="eastAsia"/>
          <w:highlight w:val="none"/>
          <w:lang w:val="en-US" w:eastAsia="zh-CN"/>
        </w:rPr>
        <w:t>涉及</w:t>
      </w:r>
      <w:r>
        <w:rPr>
          <w:rFonts w:hint="eastAsia"/>
          <w:highlight w:val="none"/>
        </w:rPr>
        <w:t>滩海陆岸石油设施、滩海人工岛</w:t>
      </w:r>
      <w:r>
        <w:rPr>
          <w:rFonts w:hint="eastAsia"/>
          <w:highlight w:val="none"/>
          <w:lang w:val="en-US" w:eastAsia="zh-CN"/>
        </w:rPr>
        <w:t>和</w:t>
      </w:r>
      <w:r>
        <w:rPr>
          <w:rFonts w:hint="eastAsia"/>
          <w:highlight w:val="none"/>
        </w:rPr>
        <w:t>陆岸终端</w:t>
      </w:r>
      <w:r>
        <w:rPr>
          <w:rFonts w:hint="eastAsia"/>
          <w:highlight w:val="none"/>
          <w:lang w:val="en-US" w:eastAsia="zh-CN"/>
        </w:rPr>
        <w:t>，包括：</w:t>
      </w:r>
      <w:r>
        <w:rPr>
          <w:rFonts w:hint="eastAsia"/>
          <w:highlight w:val="none"/>
        </w:rPr>
        <w:t>建设项目所在地区</w:t>
      </w:r>
      <w:r>
        <w:rPr>
          <w:rFonts w:hint="eastAsia"/>
          <w:highlight w:val="none"/>
          <w:lang w:val="en-US" w:eastAsia="zh-CN"/>
        </w:rPr>
        <w:t>气象、水文、地质、抗震设防烈度、</w:t>
      </w:r>
      <w:r>
        <w:rPr>
          <w:rFonts w:hint="eastAsia"/>
          <w:highlight w:val="none"/>
        </w:rPr>
        <w:t>人文环境、交通运输，建设项目周边人居、企事业单位及敏感设施情况。</w:t>
      </w:r>
    </w:p>
    <w:p w14:paraId="31E03C4D">
      <w:pPr>
        <w:pStyle w:val="108"/>
        <w:spacing w:before="120" w:after="120"/>
      </w:pPr>
      <w:bookmarkStart w:id="98" w:name="_Toc18356"/>
      <w:bookmarkStart w:id="99" w:name="_Toc12946"/>
      <w:bookmarkStart w:id="100" w:name="_Toc8936"/>
      <w:bookmarkStart w:id="101" w:name="_Toc2414"/>
      <w:r>
        <w:rPr>
          <w:rFonts w:hint="eastAsia"/>
        </w:rPr>
        <w:t>可行性研究报告/开发方案</w:t>
      </w:r>
      <w:r>
        <w:rPr>
          <w:rFonts w:hint="eastAsia"/>
          <w:lang w:val="en-US" w:eastAsia="zh-CN"/>
        </w:rPr>
        <w:t>主要技术指标</w:t>
      </w:r>
      <w:r>
        <w:rPr>
          <w:rFonts w:hint="eastAsia"/>
        </w:rPr>
        <w:t>及油（气）藏工程</w:t>
      </w:r>
      <w:bookmarkEnd w:id="98"/>
      <w:bookmarkEnd w:id="99"/>
      <w:bookmarkEnd w:id="100"/>
      <w:bookmarkEnd w:id="101"/>
    </w:p>
    <w:p w14:paraId="4408F702">
      <w:pPr>
        <w:pStyle w:val="168"/>
      </w:pPr>
      <w:r>
        <w:rPr>
          <w:rFonts w:hint="eastAsia"/>
        </w:rPr>
        <w:t>简述可行性研究报告/开发方案主要技术指标，包括</w:t>
      </w:r>
      <w:r>
        <w:rPr>
          <w:rFonts w:hint="eastAsia"/>
          <w:lang w:eastAsia="zh-CN"/>
        </w:rPr>
        <w:t>：</w:t>
      </w:r>
      <w:r>
        <w:rPr>
          <w:rFonts w:hint="eastAsia"/>
        </w:rPr>
        <w:t>开发方式、开发层系、井位部署、动用面积、动用储量、产能、开发指标及开采方式。</w:t>
      </w:r>
    </w:p>
    <w:p w14:paraId="0A3AF04A">
      <w:pPr>
        <w:pStyle w:val="168"/>
      </w:pPr>
      <w:r>
        <w:rPr>
          <w:rFonts w:hint="eastAsia"/>
        </w:rPr>
        <w:t>简述油藏基本特征，</w:t>
      </w:r>
      <w:r>
        <w:rPr>
          <w:rFonts w:hint="eastAsia"/>
          <w:lang w:val="en-US" w:eastAsia="zh-CN"/>
        </w:rPr>
        <w:t>包括：</w:t>
      </w:r>
      <w:r>
        <w:rPr>
          <w:rFonts w:hint="eastAsia"/>
        </w:rPr>
        <w:t>油（气）藏构造位置、地层层序及含油（气）层系、油(气)藏类型、流体性质（流体温度、压力、产量等）、油气物性。</w:t>
      </w:r>
    </w:p>
    <w:p w14:paraId="02247C14">
      <w:pPr>
        <w:pStyle w:val="108"/>
        <w:spacing w:before="120" w:after="120"/>
      </w:pPr>
      <w:bookmarkStart w:id="102" w:name="_Toc31497"/>
      <w:bookmarkStart w:id="103" w:name="_Toc25232"/>
      <w:bookmarkStart w:id="104" w:name="_Toc27858"/>
      <w:bookmarkStart w:id="105" w:name="_Toc9365"/>
      <w:r>
        <w:rPr>
          <w:rFonts w:hint="eastAsia"/>
        </w:rPr>
        <w:t>钻井工程</w:t>
      </w:r>
      <w:bookmarkEnd w:id="102"/>
      <w:bookmarkEnd w:id="103"/>
      <w:bookmarkEnd w:id="104"/>
      <w:bookmarkEnd w:id="105"/>
    </w:p>
    <w:p w14:paraId="5142398E">
      <w:pPr>
        <w:pStyle w:val="59"/>
        <w:ind w:firstLine="420"/>
      </w:pPr>
      <w:r>
        <w:rPr>
          <w:rFonts w:hint="eastAsia"/>
        </w:rPr>
        <w:t>简述钻井工程内容，包括：</w:t>
      </w:r>
    </w:p>
    <w:p w14:paraId="4489EF07">
      <w:pPr>
        <w:pStyle w:val="59"/>
        <w:ind w:firstLine="420"/>
        <w:rPr>
          <w:rFonts w:hint="eastAsia"/>
        </w:rPr>
      </w:pPr>
      <w:r>
        <w:rPr>
          <w:rFonts w:hint="eastAsia"/>
        </w:rPr>
        <w:t>a)</w:t>
      </w:r>
      <w:r>
        <w:rPr>
          <w:rFonts w:hint="eastAsia"/>
        </w:rPr>
        <w:tab/>
      </w:r>
      <w:r>
        <w:rPr>
          <w:rFonts w:hint="eastAsia"/>
        </w:rPr>
        <w:t>钻井规模及布井方案；</w:t>
      </w:r>
    </w:p>
    <w:p w14:paraId="0FDD5D22">
      <w:pPr>
        <w:pStyle w:val="59"/>
        <w:ind w:firstLine="420"/>
        <w:rPr>
          <w:rFonts w:hint="eastAsia"/>
        </w:rPr>
      </w:pPr>
      <w:r>
        <w:rPr>
          <w:rFonts w:hint="eastAsia"/>
        </w:rPr>
        <w:t>b)</w:t>
      </w:r>
      <w:r>
        <w:rPr>
          <w:rFonts w:hint="eastAsia"/>
        </w:rPr>
        <w:tab/>
      </w:r>
      <w:r>
        <w:rPr>
          <w:rFonts w:hint="eastAsia"/>
        </w:rPr>
        <w:t>井眼</w:t>
      </w:r>
      <w:r>
        <w:rPr>
          <w:rFonts w:hint="eastAsia"/>
          <w:lang w:val="en-US" w:eastAsia="zh-CN"/>
        </w:rPr>
        <w:t>轨迹</w:t>
      </w:r>
      <w:r>
        <w:rPr>
          <w:rFonts w:hint="eastAsia"/>
        </w:rPr>
        <w:t>、井身结构；</w:t>
      </w:r>
    </w:p>
    <w:p w14:paraId="65F4ACD3">
      <w:pPr>
        <w:pStyle w:val="59"/>
        <w:ind w:firstLine="420"/>
        <w:rPr>
          <w:rFonts w:hint="eastAsia"/>
        </w:rPr>
      </w:pPr>
      <w:r>
        <w:rPr>
          <w:rFonts w:hint="eastAsia"/>
        </w:rPr>
        <w:t>c)</w:t>
      </w:r>
      <w:r>
        <w:rPr>
          <w:rFonts w:hint="eastAsia"/>
        </w:rPr>
        <w:tab/>
      </w:r>
      <w:r>
        <w:rPr>
          <w:rFonts w:hint="eastAsia"/>
          <w:highlight w:val="none"/>
          <w:lang w:val="en-US" w:eastAsia="zh-CN"/>
        </w:rPr>
        <w:t>作业机具</w:t>
      </w:r>
      <w:r>
        <w:rPr>
          <w:rFonts w:hint="eastAsia"/>
          <w:highlight w:val="none"/>
        </w:rPr>
        <w:t>；</w:t>
      </w:r>
    </w:p>
    <w:p w14:paraId="46173323">
      <w:pPr>
        <w:pStyle w:val="59"/>
        <w:ind w:firstLine="420"/>
        <w:rPr>
          <w:rFonts w:hint="eastAsia"/>
        </w:rPr>
      </w:pPr>
      <w:r>
        <w:rPr>
          <w:rFonts w:hint="eastAsia"/>
        </w:rPr>
        <w:t>d)</w:t>
      </w:r>
      <w:r>
        <w:rPr>
          <w:rFonts w:hint="eastAsia"/>
        </w:rPr>
        <w:tab/>
      </w:r>
      <w:r>
        <w:rPr>
          <w:rFonts w:hint="eastAsia"/>
        </w:rPr>
        <w:t>钻井液；</w:t>
      </w:r>
    </w:p>
    <w:p w14:paraId="676F39EA">
      <w:pPr>
        <w:pStyle w:val="59"/>
        <w:ind w:firstLine="420"/>
        <w:rPr>
          <w:rFonts w:hint="eastAsia"/>
        </w:rPr>
      </w:pPr>
      <w:r>
        <w:rPr>
          <w:rFonts w:hint="eastAsia"/>
        </w:rPr>
        <w:t>e)</w:t>
      </w:r>
      <w:r>
        <w:rPr>
          <w:rFonts w:hint="eastAsia"/>
        </w:rPr>
        <w:tab/>
      </w:r>
      <w:r>
        <w:rPr>
          <w:rFonts w:hint="eastAsia"/>
        </w:rPr>
        <w:t>井控装置</w:t>
      </w:r>
      <w:r>
        <w:rPr>
          <w:rFonts w:hint="eastAsia"/>
          <w:lang w:val="en-US" w:eastAsia="zh-CN"/>
        </w:rPr>
        <w:t>及</w:t>
      </w:r>
      <w:r>
        <w:rPr>
          <w:rFonts w:hint="eastAsia"/>
        </w:rPr>
        <w:t>措施；</w:t>
      </w:r>
    </w:p>
    <w:p w14:paraId="12008E17">
      <w:pPr>
        <w:pStyle w:val="59"/>
        <w:ind w:firstLine="420"/>
      </w:pPr>
      <w:r>
        <w:rPr>
          <w:rFonts w:hint="eastAsia"/>
        </w:rPr>
        <w:t>f)</w:t>
      </w:r>
      <w:r>
        <w:rPr>
          <w:rFonts w:hint="eastAsia"/>
        </w:rPr>
        <w:tab/>
      </w:r>
      <w:r>
        <w:rPr>
          <w:rFonts w:hint="eastAsia"/>
        </w:rPr>
        <w:t>固井工艺；</w:t>
      </w:r>
    </w:p>
    <w:p w14:paraId="50383459">
      <w:pPr>
        <w:pStyle w:val="59"/>
        <w:ind w:firstLine="420"/>
        <w:rPr>
          <w:rFonts w:hint="eastAsia"/>
        </w:rPr>
      </w:pPr>
      <w:r>
        <w:rPr>
          <w:rFonts w:hint="eastAsia"/>
        </w:rPr>
        <w:t>g)</w:t>
      </w:r>
      <w:r>
        <w:rPr>
          <w:rFonts w:hint="eastAsia"/>
        </w:rPr>
        <w:tab/>
      </w:r>
      <w:r>
        <w:rPr>
          <w:rFonts w:hint="eastAsia"/>
        </w:rPr>
        <w:t>其他钻井配套工艺技术。</w:t>
      </w:r>
    </w:p>
    <w:p w14:paraId="393A2BAD">
      <w:pPr>
        <w:pStyle w:val="108"/>
        <w:spacing w:before="120" w:after="120"/>
      </w:pPr>
      <w:bookmarkStart w:id="106" w:name="_Toc8606"/>
      <w:bookmarkStart w:id="107" w:name="_Toc25179"/>
      <w:bookmarkStart w:id="108" w:name="_Toc21298"/>
      <w:bookmarkStart w:id="109" w:name="_Toc15523"/>
      <w:r>
        <w:rPr>
          <w:rFonts w:hint="eastAsia"/>
        </w:rPr>
        <w:t>采油（气）工程</w:t>
      </w:r>
      <w:bookmarkEnd w:id="106"/>
      <w:bookmarkEnd w:id="107"/>
      <w:bookmarkEnd w:id="108"/>
      <w:bookmarkEnd w:id="109"/>
    </w:p>
    <w:p w14:paraId="26527443">
      <w:pPr>
        <w:pStyle w:val="59"/>
        <w:ind w:firstLine="420"/>
      </w:pPr>
      <w:r>
        <w:rPr>
          <w:rFonts w:hint="eastAsia"/>
        </w:rPr>
        <w:t>简述采油（气）工程内容，包括：完井方式、生产管柱、采油树、井口装置、开采方式。</w:t>
      </w:r>
    </w:p>
    <w:p w14:paraId="450AEF91">
      <w:pPr>
        <w:pStyle w:val="108"/>
        <w:spacing w:before="120" w:after="120"/>
      </w:pPr>
      <w:bookmarkStart w:id="110" w:name="_Toc11651"/>
      <w:bookmarkStart w:id="111" w:name="_Toc19795"/>
      <w:bookmarkStart w:id="112" w:name="_Toc14944"/>
      <w:bookmarkStart w:id="113" w:name="_Toc10811"/>
      <w:r>
        <w:rPr>
          <w:rFonts w:hint="eastAsia"/>
        </w:rPr>
        <w:t>海上开发工程</w:t>
      </w:r>
      <w:bookmarkEnd w:id="110"/>
      <w:bookmarkEnd w:id="111"/>
      <w:bookmarkEnd w:id="112"/>
      <w:bookmarkEnd w:id="113"/>
    </w:p>
    <w:p w14:paraId="29225FCE">
      <w:pPr>
        <w:pStyle w:val="168"/>
        <w:rPr>
          <w:rFonts w:hint="eastAsia"/>
          <w:highlight w:val="none"/>
        </w:rPr>
      </w:pPr>
      <w:r>
        <w:rPr>
          <w:rFonts w:hint="eastAsia"/>
          <w:highlight w:val="none"/>
        </w:rPr>
        <w:t>简述海上开发工程内容，包括：</w:t>
      </w:r>
    </w:p>
    <w:p w14:paraId="310C253B">
      <w:pPr>
        <w:pStyle w:val="177"/>
        <w:numPr>
          <w:ilvl w:val="0"/>
          <w:numId w:val="33"/>
        </w:numPr>
      </w:pPr>
      <w:r>
        <w:rPr>
          <w:rFonts w:hint="eastAsia"/>
        </w:rPr>
        <w:t>海上开发工程总体情况：海上油田现状及依托条件、上下游物流关系；</w:t>
      </w:r>
    </w:p>
    <w:p w14:paraId="487E01B8">
      <w:pPr>
        <w:pStyle w:val="177"/>
        <w:numPr>
          <w:ilvl w:val="0"/>
          <w:numId w:val="32"/>
        </w:numPr>
      </w:pPr>
      <w:r>
        <w:rPr>
          <w:rFonts w:hint="eastAsia"/>
        </w:rPr>
        <w:t>结构：结构型式、结构参数、高程；</w:t>
      </w:r>
    </w:p>
    <w:p w14:paraId="4BADCACF">
      <w:pPr>
        <w:pStyle w:val="177"/>
        <w:numPr>
          <w:ilvl w:val="0"/>
          <w:numId w:val="32"/>
        </w:numPr>
      </w:pPr>
      <w:r>
        <w:rPr>
          <w:rFonts w:hint="eastAsia"/>
        </w:rPr>
        <w:t>总体布置：平面布置及功能分区；</w:t>
      </w:r>
    </w:p>
    <w:p w14:paraId="6BA54550">
      <w:pPr>
        <w:pStyle w:val="177"/>
        <w:numPr>
          <w:ilvl w:val="0"/>
          <w:numId w:val="32"/>
        </w:numPr>
      </w:pPr>
      <w:r>
        <w:rPr>
          <w:rFonts w:hint="eastAsia"/>
        </w:rPr>
        <w:t>主工艺系统：原油处理系统、原油储存及外输系统、天然气处理系统、生产水处理系统、注入系统；</w:t>
      </w:r>
    </w:p>
    <w:p w14:paraId="6541052D">
      <w:pPr>
        <w:pStyle w:val="177"/>
        <w:numPr>
          <w:ilvl w:val="0"/>
          <w:numId w:val="32"/>
        </w:numPr>
      </w:pPr>
      <w:r>
        <w:rPr>
          <w:rFonts w:hint="eastAsia"/>
        </w:rPr>
        <w:t>公用及辅助系统：电气系统、仪控系统、燃料系统、柴油系统、火炬或冷放空系统、开式排放系统、闭式排放系统、化学药剂系统、氮气系统、公用风/仪表风系统、生活污水处理系统、海水系统、淡水系统、通信系统、暖通系统、防腐；</w:t>
      </w:r>
    </w:p>
    <w:p w14:paraId="60A5CD0A">
      <w:pPr>
        <w:pStyle w:val="177"/>
        <w:numPr>
          <w:ilvl w:val="0"/>
          <w:numId w:val="32"/>
        </w:numPr>
      </w:pPr>
      <w:r>
        <w:rPr>
          <w:rFonts w:hint="eastAsia"/>
        </w:rPr>
        <w:t>消防及救逃生系统：消防水系统、</w:t>
      </w:r>
      <w:r>
        <w:rPr>
          <w:rFonts w:hint="eastAsia"/>
          <w:lang w:val="en-US" w:eastAsia="zh-CN"/>
        </w:rPr>
        <w:t>泡沫系统</w:t>
      </w:r>
      <w:r>
        <w:rPr>
          <w:rFonts w:hint="eastAsia"/>
          <w:lang w:eastAsia="zh-CN"/>
        </w:rPr>
        <w:t>、</w:t>
      </w:r>
      <w:r>
        <w:rPr>
          <w:rFonts w:hint="eastAsia"/>
        </w:rPr>
        <w:t>气体灭火系统、救生艇/救生筏；</w:t>
      </w:r>
    </w:p>
    <w:p w14:paraId="181AFD00">
      <w:pPr>
        <w:pStyle w:val="177"/>
        <w:numPr>
          <w:ilvl w:val="0"/>
          <w:numId w:val="32"/>
        </w:numPr>
      </w:pPr>
      <w:r>
        <w:rPr>
          <w:rFonts w:hint="eastAsia"/>
        </w:rPr>
        <w:t>新建海底管道/电缆：海底管道/电缆的路由和结构型式、主要技术参数，海底管道防腐；</w:t>
      </w:r>
    </w:p>
    <w:p w14:paraId="3311B7E6">
      <w:pPr>
        <w:pStyle w:val="177"/>
        <w:numPr>
          <w:ilvl w:val="0"/>
          <w:numId w:val="32"/>
        </w:numPr>
      </w:pPr>
      <w:r>
        <w:rPr>
          <w:rFonts w:hint="eastAsia"/>
        </w:rPr>
        <w:t>模块钻机/修井机：基本参数、型号；</w:t>
      </w:r>
    </w:p>
    <w:p w14:paraId="705E8588">
      <w:pPr>
        <w:pStyle w:val="177"/>
        <w:numPr>
          <w:ilvl w:val="0"/>
          <w:numId w:val="32"/>
        </w:numPr>
      </w:pPr>
      <w:r>
        <w:rPr>
          <w:rFonts w:hint="eastAsia"/>
        </w:rPr>
        <w:t>依托设施：建设项目依托及改造情况。</w:t>
      </w:r>
    </w:p>
    <w:p w14:paraId="717CA00B">
      <w:pPr>
        <w:pStyle w:val="168"/>
        <w:rPr>
          <w:rFonts w:hint="eastAsia"/>
          <w:highlight w:val="none"/>
          <w:lang w:eastAsia="zh-CN"/>
        </w:rPr>
      </w:pPr>
      <w:r>
        <w:rPr>
          <w:rFonts w:hint="eastAsia"/>
          <w:highlight w:val="none"/>
          <w:lang w:val="en-US" w:eastAsia="zh-CN"/>
        </w:rPr>
        <w:t>涉及</w:t>
      </w:r>
      <w:r>
        <w:rPr>
          <w:rFonts w:hint="eastAsia"/>
          <w:highlight w:val="none"/>
        </w:rPr>
        <w:t>浮式生产储油装置、移动采油平台、水下生产系统、滩海陆岸石油设施、滩海人工岛</w:t>
      </w:r>
      <w:r>
        <w:rPr>
          <w:rFonts w:hint="eastAsia"/>
          <w:highlight w:val="none"/>
          <w:lang w:eastAsia="zh-CN"/>
        </w:rPr>
        <w:t>、</w:t>
      </w:r>
      <w:r>
        <w:rPr>
          <w:rFonts w:hint="eastAsia"/>
          <w:highlight w:val="none"/>
        </w:rPr>
        <w:t>陆岸终端、海上电力动力平台</w:t>
      </w:r>
      <w:r>
        <w:rPr>
          <w:rFonts w:hint="eastAsia"/>
          <w:highlight w:val="none"/>
          <w:lang w:eastAsia="zh-CN"/>
        </w:rPr>
        <w:t>（</w:t>
      </w:r>
      <w:r>
        <w:rPr>
          <w:rFonts w:hint="eastAsia"/>
          <w:highlight w:val="none"/>
          <w:lang w:val="en-US" w:eastAsia="zh-CN"/>
        </w:rPr>
        <w:t>含专为海洋石油天然气开采服务的风电设施</w:t>
      </w:r>
      <w:r>
        <w:rPr>
          <w:rFonts w:hint="eastAsia"/>
          <w:highlight w:val="none"/>
          <w:lang w:eastAsia="zh-CN"/>
        </w:rPr>
        <w:t>）</w:t>
      </w:r>
      <w:r>
        <w:rPr>
          <w:rFonts w:hint="eastAsia"/>
          <w:highlight w:val="none"/>
          <w:lang w:val="en-US" w:eastAsia="zh-CN"/>
        </w:rPr>
        <w:t>等设施</w:t>
      </w:r>
      <w:r>
        <w:rPr>
          <w:rFonts w:hint="eastAsia"/>
          <w:highlight w:val="none"/>
        </w:rPr>
        <w:t>，根据设施特点进行介绍</w:t>
      </w:r>
      <w:r>
        <w:rPr>
          <w:rFonts w:hint="eastAsia"/>
          <w:highlight w:val="none"/>
          <w:lang w:eastAsia="zh-CN"/>
        </w:rPr>
        <w:t>。</w:t>
      </w:r>
    </w:p>
    <w:p w14:paraId="6D22484F">
      <w:pPr>
        <w:pStyle w:val="108"/>
        <w:spacing w:before="120" w:after="120"/>
      </w:pPr>
      <w:bookmarkStart w:id="114" w:name="_Toc27145"/>
      <w:bookmarkStart w:id="115" w:name="_Toc27025"/>
      <w:bookmarkStart w:id="116" w:name="_Toc14731"/>
      <w:bookmarkStart w:id="117" w:name="_Toc9546"/>
      <w:r>
        <w:rPr>
          <w:rFonts w:hint="eastAsia"/>
        </w:rPr>
        <w:t>组织机构及定员</w:t>
      </w:r>
      <w:bookmarkEnd w:id="114"/>
      <w:bookmarkEnd w:id="115"/>
      <w:bookmarkEnd w:id="116"/>
      <w:bookmarkEnd w:id="117"/>
    </w:p>
    <w:p w14:paraId="6DC655ED">
      <w:pPr>
        <w:pStyle w:val="59"/>
        <w:ind w:firstLine="420"/>
        <w:rPr>
          <w:highlight w:val="none"/>
        </w:rPr>
      </w:pPr>
      <w:r>
        <w:rPr>
          <w:rFonts w:hint="eastAsia"/>
          <w:highlight w:val="none"/>
        </w:rPr>
        <w:t>简述</w:t>
      </w:r>
      <w:r>
        <w:rPr>
          <w:rFonts w:hint="eastAsia"/>
          <w:highlight w:val="none"/>
          <w:lang w:val="en-US" w:eastAsia="zh-CN"/>
        </w:rPr>
        <w:t>生产</w:t>
      </w:r>
      <w:r>
        <w:rPr>
          <w:rFonts w:hint="eastAsia"/>
          <w:highlight w:val="none"/>
        </w:rPr>
        <w:t>组织机构及定员情况。</w:t>
      </w:r>
    </w:p>
    <w:p w14:paraId="6344508B">
      <w:pPr>
        <w:pStyle w:val="107"/>
        <w:spacing w:before="240" w:after="240"/>
        <w:rPr>
          <w:highlight w:val="none"/>
        </w:rPr>
      </w:pPr>
      <w:bookmarkStart w:id="118" w:name="_Toc15942"/>
      <w:r>
        <w:rPr>
          <w:rFonts w:hint="eastAsia"/>
        </w:rPr>
        <w:t>评价单元</w:t>
      </w:r>
      <w:r>
        <w:rPr>
          <w:rFonts w:hint="eastAsia"/>
          <w:highlight w:val="none"/>
        </w:rPr>
        <w:t>划分与评价方法选择</w:t>
      </w:r>
      <w:bookmarkEnd w:id="118"/>
    </w:p>
    <w:p w14:paraId="36386A8E">
      <w:pPr>
        <w:pStyle w:val="108"/>
        <w:spacing w:before="120" w:after="120"/>
        <w:rPr>
          <w:highlight w:val="none"/>
        </w:rPr>
      </w:pPr>
      <w:bookmarkStart w:id="119" w:name="_Toc27810"/>
      <w:bookmarkStart w:id="120" w:name="_Toc205"/>
      <w:bookmarkStart w:id="121" w:name="_Toc14926"/>
      <w:bookmarkStart w:id="122" w:name="_Toc1299"/>
      <w:r>
        <w:rPr>
          <w:rFonts w:hint="eastAsia"/>
          <w:highlight w:val="none"/>
        </w:rPr>
        <w:t>评价单元划分</w:t>
      </w:r>
      <w:bookmarkEnd w:id="119"/>
      <w:bookmarkEnd w:id="120"/>
      <w:bookmarkEnd w:id="121"/>
      <w:bookmarkEnd w:id="122"/>
    </w:p>
    <w:p w14:paraId="115AE4DD">
      <w:pPr>
        <w:pStyle w:val="59"/>
        <w:ind w:firstLine="420"/>
        <w:rPr>
          <w:highlight w:val="none"/>
        </w:rPr>
      </w:pPr>
      <w:r>
        <w:rPr>
          <w:rFonts w:hint="eastAsia"/>
          <w:highlight w:val="none"/>
        </w:rPr>
        <w:t>根据建设项目可行性研究报告或开发方案，结合</w:t>
      </w:r>
      <w:r>
        <w:rPr>
          <w:rFonts w:hint="eastAsia"/>
          <w:highlight w:val="none"/>
          <w:lang w:val="en-US" w:eastAsia="zh-CN"/>
        </w:rPr>
        <w:t>建设</w:t>
      </w:r>
      <w:r>
        <w:rPr>
          <w:rFonts w:hint="eastAsia"/>
          <w:highlight w:val="none"/>
        </w:rPr>
        <w:t>项目实际情况，按照科学、合理、无遗漏的原则划分评价单元，评价单元的划分应能够保证安全预评价的顺利实施。各评价单元相对独立且具有明显的特征界限，根据评价单元具体情况和特点可进一步划分子单元。一般划分为以下几个单元：</w:t>
      </w:r>
    </w:p>
    <w:p w14:paraId="312C1F9B">
      <w:pPr>
        <w:pStyle w:val="59"/>
        <w:ind w:firstLine="420"/>
        <w:rPr>
          <w:highlight w:val="none"/>
        </w:rPr>
      </w:pPr>
      <w:r>
        <w:rPr>
          <w:rFonts w:hint="eastAsia"/>
          <w:highlight w:val="none"/>
        </w:rPr>
        <w:t>a)</w:t>
      </w:r>
      <w:r>
        <w:rPr>
          <w:rFonts w:hint="eastAsia"/>
          <w:highlight w:val="none"/>
        </w:rPr>
        <w:tab/>
      </w:r>
      <w:r>
        <w:rPr>
          <w:rFonts w:hint="eastAsia"/>
          <w:highlight w:val="none"/>
        </w:rPr>
        <w:t>钻井工程单元；</w:t>
      </w:r>
    </w:p>
    <w:p w14:paraId="62924917">
      <w:pPr>
        <w:pStyle w:val="59"/>
        <w:ind w:firstLine="420"/>
        <w:rPr>
          <w:highlight w:val="none"/>
        </w:rPr>
      </w:pPr>
      <w:r>
        <w:rPr>
          <w:rFonts w:hint="eastAsia"/>
          <w:highlight w:val="none"/>
        </w:rPr>
        <w:t>b)</w:t>
      </w:r>
      <w:r>
        <w:rPr>
          <w:rFonts w:hint="eastAsia"/>
          <w:highlight w:val="none"/>
        </w:rPr>
        <w:tab/>
      </w:r>
      <w:r>
        <w:rPr>
          <w:rFonts w:hint="eastAsia"/>
          <w:highlight w:val="none"/>
        </w:rPr>
        <w:t>采油（气）工程单元；</w:t>
      </w:r>
    </w:p>
    <w:p w14:paraId="6F4CCAD3">
      <w:pPr>
        <w:pStyle w:val="59"/>
        <w:ind w:firstLine="420"/>
        <w:rPr>
          <w:highlight w:val="none"/>
        </w:rPr>
      </w:pPr>
      <w:r>
        <w:rPr>
          <w:rFonts w:hint="eastAsia"/>
          <w:highlight w:val="none"/>
        </w:rPr>
        <w:t>c)</w:t>
      </w:r>
      <w:r>
        <w:rPr>
          <w:rFonts w:hint="eastAsia"/>
          <w:highlight w:val="none"/>
        </w:rPr>
        <w:tab/>
      </w:r>
      <w:r>
        <w:rPr>
          <w:rFonts w:hint="eastAsia"/>
          <w:highlight w:val="none"/>
        </w:rPr>
        <w:t>总图布置及结构单元；</w:t>
      </w:r>
    </w:p>
    <w:p w14:paraId="309E17AC">
      <w:pPr>
        <w:pStyle w:val="59"/>
        <w:ind w:firstLine="420"/>
        <w:rPr>
          <w:highlight w:val="none"/>
        </w:rPr>
      </w:pPr>
      <w:r>
        <w:rPr>
          <w:rFonts w:hint="eastAsia"/>
          <w:highlight w:val="none"/>
        </w:rPr>
        <w:t>d)</w:t>
      </w:r>
      <w:r>
        <w:rPr>
          <w:rFonts w:hint="eastAsia"/>
          <w:highlight w:val="none"/>
        </w:rPr>
        <w:tab/>
      </w:r>
      <w:r>
        <w:rPr>
          <w:rFonts w:hint="eastAsia"/>
          <w:highlight w:val="none"/>
        </w:rPr>
        <w:t>工艺及设备设施单元；</w:t>
      </w:r>
    </w:p>
    <w:p w14:paraId="67195EF5">
      <w:pPr>
        <w:pStyle w:val="59"/>
        <w:ind w:firstLine="420"/>
        <w:rPr>
          <w:highlight w:val="none"/>
        </w:rPr>
      </w:pPr>
      <w:r>
        <w:rPr>
          <w:rFonts w:hint="eastAsia"/>
          <w:highlight w:val="none"/>
        </w:rPr>
        <w:t>e)</w:t>
      </w:r>
      <w:r>
        <w:rPr>
          <w:rFonts w:hint="eastAsia"/>
          <w:highlight w:val="none"/>
        </w:rPr>
        <w:tab/>
      </w:r>
      <w:r>
        <w:rPr>
          <w:rFonts w:hint="eastAsia"/>
          <w:highlight w:val="none"/>
        </w:rPr>
        <w:t>海底管道/海底电缆单元；</w:t>
      </w:r>
    </w:p>
    <w:p w14:paraId="2F0C8375">
      <w:pPr>
        <w:pStyle w:val="59"/>
        <w:ind w:firstLine="420"/>
        <w:rPr>
          <w:highlight w:val="none"/>
        </w:rPr>
      </w:pPr>
      <w:r>
        <w:rPr>
          <w:rFonts w:hint="eastAsia"/>
          <w:highlight w:val="none"/>
        </w:rPr>
        <w:t>f)</w:t>
      </w:r>
      <w:r>
        <w:rPr>
          <w:rFonts w:hint="eastAsia"/>
          <w:highlight w:val="none"/>
        </w:rPr>
        <w:tab/>
      </w:r>
      <w:r>
        <w:rPr>
          <w:rFonts w:hint="eastAsia"/>
          <w:highlight w:val="none"/>
        </w:rPr>
        <w:t>依托设施单元；</w:t>
      </w:r>
    </w:p>
    <w:p w14:paraId="11844495">
      <w:pPr>
        <w:pStyle w:val="59"/>
        <w:ind w:firstLine="420"/>
        <w:rPr>
          <w:rFonts w:hint="eastAsia"/>
          <w:highlight w:val="none"/>
        </w:rPr>
      </w:pPr>
      <w:r>
        <w:rPr>
          <w:rFonts w:hint="eastAsia"/>
          <w:highlight w:val="none"/>
        </w:rPr>
        <w:t>g)</w:t>
      </w:r>
      <w:r>
        <w:rPr>
          <w:rFonts w:hint="eastAsia"/>
          <w:highlight w:val="none"/>
        </w:rPr>
        <w:tab/>
      </w:r>
      <w:r>
        <w:rPr>
          <w:rFonts w:hint="eastAsia"/>
          <w:highlight w:val="none"/>
        </w:rPr>
        <w:t>安全管理单元。</w:t>
      </w:r>
    </w:p>
    <w:p w14:paraId="32F5BFC1">
      <w:pPr>
        <w:pStyle w:val="108"/>
        <w:spacing w:before="120" w:after="120"/>
        <w:rPr>
          <w:highlight w:val="none"/>
        </w:rPr>
      </w:pPr>
      <w:bookmarkStart w:id="123" w:name="_Toc22897"/>
      <w:bookmarkStart w:id="124" w:name="_Toc2645"/>
      <w:bookmarkStart w:id="125" w:name="_Toc9036"/>
      <w:bookmarkStart w:id="126" w:name="_Toc3957"/>
      <w:r>
        <w:rPr>
          <w:rFonts w:hint="eastAsia"/>
          <w:highlight w:val="none"/>
        </w:rPr>
        <w:t>评价方法选择</w:t>
      </w:r>
      <w:bookmarkEnd w:id="123"/>
      <w:bookmarkEnd w:id="124"/>
      <w:bookmarkEnd w:id="125"/>
      <w:bookmarkEnd w:id="126"/>
    </w:p>
    <w:p w14:paraId="4EBC24E2">
      <w:pPr>
        <w:pStyle w:val="59"/>
        <w:ind w:firstLine="420"/>
        <w:rPr>
          <w:highlight w:val="none"/>
        </w:rPr>
      </w:pPr>
      <w:r>
        <w:rPr>
          <w:rFonts w:hint="eastAsia"/>
          <w:highlight w:val="none"/>
        </w:rPr>
        <w:t>根据建设项目的特征，结合每个评价单元特点，选择合理、适用的定性或定量评价方法，常用的安全预评价方法</w:t>
      </w:r>
      <w:r>
        <w:rPr>
          <w:rFonts w:hint="eastAsia"/>
          <w:highlight w:val="none"/>
          <w:lang w:val="en-US" w:eastAsia="zh-CN"/>
        </w:rPr>
        <w:t>参照</w:t>
      </w:r>
      <w:r>
        <w:rPr>
          <w:rFonts w:hint="eastAsia"/>
          <w:highlight w:val="none"/>
        </w:rPr>
        <w:t>附录A。</w:t>
      </w:r>
    </w:p>
    <w:p w14:paraId="3A93B551">
      <w:pPr>
        <w:pStyle w:val="107"/>
        <w:spacing w:before="240" w:after="240"/>
        <w:rPr>
          <w:highlight w:val="none"/>
        </w:rPr>
      </w:pPr>
      <w:bookmarkStart w:id="127" w:name="_Toc18886"/>
      <w:r>
        <w:rPr>
          <w:rFonts w:hint="eastAsia"/>
          <w:highlight w:val="none"/>
        </w:rPr>
        <w:t>危险有害因素辨识</w:t>
      </w:r>
      <w:bookmarkEnd w:id="127"/>
    </w:p>
    <w:p w14:paraId="4DC0FB87">
      <w:pPr>
        <w:pStyle w:val="108"/>
        <w:spacing w:before="120" w:after="120"/>
        <w:rPr>
          <w:highlight w:val="none"/>
        </w:rPr>
      </w:pPr>
      <w:bookmarkStart w:id="128" w:name="_Toc17522"/>
      <w:bookmarkStart w:id="129" w:name="_Toc12250"/>
      <w:bookmarkStart w:id="130" w:name="_Toc25600"/>
      <w:bookmarkStart w:id="131" w:name="_Toc14650"/>
      <w:r>
        <w:rPr>
          <w:rFonts w:hint="eastAsia"/>
          <w:highlight w:val="none"/>
        </w:rPr>
        <w:t>危险有害物质</w:t>
      </w:r>
      <w:bookmarkEnd w:id="128"/>
      <w:bookmarkEnd w:id="129"/>
      <w:r>
        <w:rPr>
          <w:rFonts w:hint="eastAsia"/>
          <w:highlight w:val="none"/>
          <w:lang w:val="en-US" w:eastAsia="zh-CN"/>
        </w:rPr>
        <w:t>辨识</w:t>
      </w:r>
      <w:bookmarkEnd w:id="130"/>
      <w:bookmarkEnd w:id="131"/>
    </w:p>
    <w:p w14:paraId="066029F2">
      <w:pPr>
        <w:pStyle w:val="59"/>
        <w:ind w:firstLine="420"/>
        <w:rPr>
          <w:highlight w:val="none"/>
        </w:rPr>
      </w:pPr>
      <w:r>
        <w:rPr>
          <w:rFonts w:hint="eastAsia"/>
          <w:highlight w:val="none"/>
        </w:rPr>
        <w:t>根据建设项目实际情况，辨识建设项目涉及的危险有害物质，明确危险有害物质的危险特性。</w:t>
      </w:r>
    </w:p>
    <w:p w14:paraId="19D107C6">
      <w:pPr>
        <w:pStyle w:val="108"/>
        <w:spacing w:before="120" w:after="120"/>
        <w:rPr>
          <w:highlight w:val="none"/>
        </w:rPr>
      </w:pPr>
      <w:bookmarkStart w:id="132" w:name="_Toc30986"/>
      <w:bookmarkStart w:id="133" w:name="_Toc27761"/>
      <w:bookmarkStart w:id="134" w:name="_Toc9647"/>
      <w:bookmarkStart w:id="135" w:name="_Toc18283"/>
      <w:r>
        <w:rPr>
          <w:rFonts w:hint="eastAsia"/>
          <w:highlight w:val="none"/>
          <w:lang w:val="en-US" w:eastAsia="zh-CN"/>
        </w:rPr>
        <w:t>评价单元危险有害因素辨识</w:t>
      </w:r>
      <w:bookmarkEnd w:id="132"/>
      <w:bookmarkEnd w:id="133"/>
    </w:p>
    <w:p w14:paraId="219C632C">
      <w:pPr>
        <w:pStyle w:val="68"/>
        <w:spacing w:before="120" w:after="120"/>
        <w:rPr>
          <w:rFonts w:hint="eastAsia" w:hAnsi="Times New Roman" w:cs="Times New Roman"/>
          <w:highlight w:val="none"/>
          <w:lang w:val="en-US" w:eastAsia="zh-CN"/>
        </w:rPr>
      </w:pPr>
      <w:r>
        <w:rPr>
          <w:rFonts w:hint="eastAsia" w:hAnsi="Times New Roman" w:cs="Times New Roman"/>
          <w:highlight w:val="none"/>
          <w:lang w:val="en-US" w:eastAsia="zh-CN"/>
        </w:rPr>
        <w:t>钻井工程</w:t>
      </w:r>
      <w:bookmarkEnd w:id="134"/>
      <w:bookmarkEnd w:id="135"/>
    </w:p>
    <w:p w14:paraId="634AADEF">
      <w:pPr>
        <w:pStyle w:val="59"/>
        <w:ind w:firstLine="420"/>
        <w:rPr>
          <w:highlight w:val="none"/>
        </w:rPr>
      </w:pPr>
      <w:r>
        <w:rPr>
          <w:rFonts w:hint="eastAsia"/>
          <w:highlight w:val="none"/>
        </w:rPr>
        <w:t>对钻井工程中井喷、钻遇浅层气、硫化氢</w:t>
      </w:r>
      <w:r>
        <w:rPr>
          <w:rFonts w:hint="eastAsia"/>
          <w:highlight w:val="none"/>
          <w:lang w:val="en-US" w:eastAsia="zh-CN"/>
        </w:rPr>
        <w:t>泄漏等情况，</w:t>
      </w:r>
      <w:r>
        <w:rPr>
          <w:rFonts w:hint="eastAsia"/>
          <w:highlight w:val="none"/>
        </w:rPr>
        <w:t>以及钻井作业过程进行危险有害因素辨识。</w:t>
      </w:r>
    </w:p>
    <w:p w14:paraId="23DB786F">
      <w:pPr>
        <w:pStyle w:val="68"/>
        <w:spacing w:before="120" w:after="120"/>
        <w:rPr>
          <w:rFonts w:hint="eastAsia" w:hAnsi="Times New Roman" w:cs="Times New Roman"/>
          <w:highlight w:val="none"/>
          <w:lang w:val="en-US" w:eastAsia="zh-CN"/>
        </w:rPr>
      </w:pPr>
      <w:bookmarkStart w:id="136" w:name="_Toc28229"/>
      <w:bookmarkStart w:id="137" w:name="_Toc19347"/>
      <w:r>
        <w:rPr>
          <w:rFonts w:hint="eastAsia" w:hAnsi="Times New Roman" w:cs="Times New Roman"/>
          <w:highlight w:val="none"/>
          <w:lang w:val="en-US" w:eastAsia="zh-CN"/>
        </w:rPr>
        <w:t>采油（气）工程</w:t>
      </w:r>
      <w:bookmarkEnd w:id="136"/>
      <w:bookmarkEnd w:id="137"/>
    </w:p>
    <w:p w14:paraId="51483A9D">
      <w:pPr>
        <w:pStyle w:val="59"/>
        <w:ind w:firstLine="420"/>
        <w:rPr>
          <w:highlight w:val="none"/>
        </w:rPr>
      </w:pPr>
      <w:r>
        <w:rPr>
          <w:rFonts w:hint="eastAsia"/>
          <w:highlight w:val="none"/>
        </w:rPr>
        <w:t>对采油（气）工程中管柱材质</w:t>
      </w:r>
      <w:r>
        <w:rPr>
          <w:rFonts w:hint="eastAsia"/>
          <w:highlight w:val="none"/>
          <w:lang w:eastAsia="zh-CN"/>
        </w:rPr>
        <w:t>、</w:t>
      </w:r>
      <w:r>
        <w:rPr>
          <w:rFonts w:hint="eastAsia"/>
          <w:highlight w:val="none"/>
          <w:lang w:val="en-US" w:eastAsia="zh-CN"/>
        </w:rPr>
        <w:t>防腐</w:t>
      </w:r>
      <w:r>
        <w:rPr>
          <w:rFonts w:hint="eastAsia"/>
          <w:highlight w:val="none"/>
        </w:rPr>
        <w:t>、防砂、防蜡、防凝</w:t>
      </w:r>
      <w:r>
        <w:rPr>
          <w:rFonts w:hint="eastAsia"/>
          <w:highlight w:val="none"/>
          <w:lang w:val="en-US" w:eastAsia="zh-CN"/>
        </w:rPr>
        <w:t>等，</w:t>
      </w:r>
      <w:r>
        <w:rPr>
          <w:rFonts w:hint="eastAsia"/>
          <w:highlight w:val="none"/>
        </w:rPr>
        <w:t>以及采油（气）作业过程进行危险有害因素辨识。</w:t>
      </w:r>
    </w:p>
    <w:p w14:paraId="700CC203">
      <w:pPr>
        <w:pStyle w:val="68"/>
        <w:spacing w:before="120" w:after="120"/>
        <w:rPr>
          <w:rFonts w:hint="eastAsia" w:hAnsi="Times New Roman" w:cs="Times New Roman"/>
          <w:lang w:val="en-US" w:eastAsia="zh-CN"/>
        </w:rPr>
      </w:pPr>
      <w:bookmarkStart w:id="138" w:name="_Toc117"/>
      <w:bookmarkStart w:id="139" w:name="_Toc15832"/>
      <w:r>
        <w:rPr>
          <w:rFonts w:hint="eastAsia" w:hAnsi="Times New Roman" w:cs="Times New Roman"/>
          <w:lang w:val="en-US" w:eastAsia="zh-CN"/>
        </w:rPr>
        <w:t>总图布置及结构</w:t>
      </w:r>
      <w:bookmarkEnd w:id="138"/>
      <w:bookmarkEnd w:id="139"/>
    </w:p>
    <w:p w14:paraId="659BE8D5">
      <w:pPr>
        <w:pStyle w:val="59"/>
        <w:ind w:firstLine="420"/>
      </w:pPr>
      <w:r>
        <w:rPr>
          <w:rFonts w:hint="eastAsia"/>
        </w:rPr>
        <w:t>根据可行性研究报告或开发方案，对总图布置及结构进行危险有害因素辨识，包括：结构失效、火灾/爆炸、油气泄漏、落水淹溺、船舶/直升机碰撞事故</w:t>
      </w:r>
      <w:r>
        <w:rPr>
          <w:rFonts w:hint="eastAsia"/>
          <w:highlight w:val="none"/>
          <w:lang w:val="en-US" w:eastAsia="zh-CN"/>
        </w:rPr>
        <w:t>等</w:t>
      </w:r>
      <w:r>
        <w:rPr>
          <w:rFonts w:hint="eastAsia"/>
          <w:highlight w:val="none"/>
        </w:rPr>
        <w:t>。</w:t>
      </w:r>
    </w:p>
    <w:p w14:paraId="375EF363">
      <w:pPr>
        <w:pStyle w:val="68"/>
        <w:spacing w:before="120" w:after="120"/>
        <w:rPr>
          <w:rFonts w:hint="eastAsia" w:hAnsi="Times New Roman" w:cs="Times New Roman"/>
          <w:lang w:val="en-US" w:eastAsia="zh-CN"/>
        </w:rPr>
      </w:pPr>
      <w:bookmarkStart w:id="140" w:name="_Toc1919"/>
      <w:bookmarkStart w:id="141" w:name="_Toc14590"/>
      <w:r>
        <w:rPr>
          <w:rFonts w:hint="eastAsia" w:hAnsi="Times New Roman" w:cs="Times New Roman"/>
          <w:lang w:val="en-US" w:eastAsia="zh-CN"/>
        </w:rPr>
        <w:t>工艺及设备设施</w:t>
      </w:r>
      <w:bookmarkEnd w:id="140"/>
      <w:bookmarkEnd w:id="141"/>
    </w:p>
    <w:p w14:paraId="10ADFCB8">
      <w:pPr>
        <w:pStyle w:val="59"/>
        <w:ind w:firstLine="420"/>
        <w:rPr>
          <w:rFonts w:hint="eastAsia"/>
          <w:highlight w:val="none"/>
        </w:rPr>
      </w:pPr>
      <w:r>
        <w:rPr>
          <w:rFonts w:hint="eastAsia"/>
        </w:rPr>
        <w:t>根据可行性研究报告或开发方案，对工艺及设备设施进行危险有害因素辨识，包括：油气泄漏、火灾/爆炸、中毒窒息、电气伤害、起重伤害、机械伤害、物体打击、高处坠落</w:t>
      </w:r>
      <w:r>
        <w:rPr>
          <w:rFonts w:hint="eastAsia"/>
          <w:lang w:eastAsia="zh-CN"/>
        </w:rPr>
        <w:t>、</w:t>
      </w:r>
      <w:r>
        <w:rPr>
          <w:rFonts w:hint="eastAsia"/>
          <w:highlight w:val="none"/>
          <w:lang w:val="en-US" w:eastAsia="zh-CN"/>
        </w:rPr>
        <w:t>落</w:t>
      </w:r>
      <w:r>
        <w:rPr>
          <w:rFonts w:hint="eastAsia"/>
          <w:highlight w:val="none"/>
        </w:rPr>
        <w:t>水淹溺、腐蚀、高</w:t>
      </w:r>
      <w:r>
        <w:rPr>
          <w:rFonts w:hint="eastAsia"/>
          <w:highlight w:val="none"/>
          <w:lang w:val="en-US" w:eastAsia="zh-CN"/>
        </w:rPr>
        <w:t>温</w:t>
      </w:r>
      <w:r>
        <w:rPr>
          <w:rFonts w:hint="eastAsia"/>
          <w:highlight w:val="none"/>
        </w:rPr>
        <w:t>、</w:t>
      </w:r>
      <w:r>
        <w:rPr>
          <w:rFonts w:hint="eastAsia"/>
          <w:highlight w:val="none"/>
          <w:lang w:val="en-US" w:eastAsia="zh-CN"/>
        </w:rPr>
        <w:t>低温、</w:t>
      </w:r>
      <w:r>
        <w:rPr>
          <w:rFonts w:hint="eastAsia"/>
          <w:highlight w:val="none"/>
        </w:rPr>
        <w:t>噪声、振动</w:t>
      </w:r>
      <w:r>
        <w:rPr>
          <w:rFonts w:hint="eastAsia"/>
          <w:highlight w:val="none"/>
          <w:lang w:val="en-US" w:eastAsia="zh-CN"/>
        </w:rPr>
        <w:t>等</w:t>
      </w:r>
      <w:r>
        <w:rPr>
          <w:rFonts w:hint="eastAsia"/>
          <w:highlight w:val="none"/>
        </w:rPr>
        <w:t>。</w:t>
      </w:r>
    </w:p>
    <w:p w14:paraId="5843592C">
      <w:pPr>
        <w:pStyle w:val="68"/>
        <w:spacing w:before="120" w:after="120"/>
        <w:rPr>
          <w:rFonts w:hint="eastAsia" w:hAnsi="Times New Roman" w:cs="Times New Roman"/>
          <w:highlight w:val="none"/>
          <w:lang w:val="en-US" w:eastAsia="zh-CN"/>
        </w:rPr>
      </w:pPr>
      <w:bookmarkStart w:id="142" w:name="_Toc10008"/>
      <w:bookmarkStart w:id="143" w:name="_Toc30016"/>
      <w:r>
        <w:rPr>
          <w:rFonts w:hint="eastAsia" w:hAnsi="Times New Roman" w:cs="Times New Roman"/>
          <w:highlight w:val="none"/>
          <w:lang w:val="en-US" w:eastAsia="zh-CN"/>
        </w:rPr>
        <w:t>海底管道/海底电缆</w:t>
      </w:r>
      <w:bookmarkEnd w:id="142"/>
      <w:bookmarkEnd w:id="143"/>
    </w:p>
    <w:p w14:paraId="67176B7E">
      <w:pPr>
        <w:pStyle w:val="59"/>
        <w:ind w:firstLine="420"/>
        <w:rPr>
          <w:highlight w:val="none"/>
        </w:rPr>
      </w:pPr>
      <w:r>
        <w:rPr>
          <w:rFonts w:hint="eastAsia"/>
          <w:highlight w:val="none"/>
        </w:rPr>
        <w:t>根据可行性研究报告或开发方案，对新建海底管道/海底电缆进行危险有害因素辨识，包括：海底管道/海底电缆第三方破坏、腐蚀、冲刷</w:t>
      </w:r>
      <w:r>
        <w:rPr>
          <w:rFonts w:hint="eastAsia"/>
          <w:highlight w:val="none"/>
          <w:lang w:val="en-US" w:eastAsia="zh-CN"/>
        </w:rPr>
        <w:t>等</w:t>
      </w:r>
      <w:r>
        <w:rPr>
          <w:rFonts w:hint="eastAsia"/>
          <w:highlight w:val="none"/>
        </w:rPr>
        <w:t>。</w:t>
      </w:r>
    </w:p>
    <w:p w14:paraId="6799FE5C">
      <w:pPr>
        <w:pStyle w:val="68"/>
        <w:spacing w:before="120" w:after="120"/>
        <w:rPr>
          <w:rFonts w:hint="eastAsia" w:hAnsi="Times New Roman" w:cs="Times New Roman"/>
          <w:lang w:val="en-US" w:eastAsia="zh-CN"/>
        </w:rPr>
      </w:pPr>
      <w:bookmarkStart w:id="144" w:name="_Toc32215"/>
      <w:bookmarkStart w:id="145" w:name="_Toc12369"/>
      <w:r>
        <w:rPr>
          <w:rFonts w:hint="eastAsia" w:hAnsi="Times New Roman" w:cs="Times New Roman"/>
          <w:lang w:val="en-US" w:eastAsia="zh-CN"/>
        </w:rPr>
        <w:t>依托设施</w:t>
      </w:r>
      <w:bookmarkEnd w:id="144"/>
      <w:bookmarkEnd w:id="145"/>
    </w:p>
    <w:p w14:paraId="591A6B1F">
      <w:pPr>
        <w:pStyle w:val="59"/>
        <w:ind w:firstLine="420"/>
        <w:rPr>
          <w:rFonts w:hint="default"/>
          <w:highlight w:val="none"/>
          <w:lang w:val="en-US" w:eastAsia="zh-CN"/>
        </w:rPr>
      </w:pPr>
      <w:r>
        <w:rPr>
          <w:rFonts w:hint="eastAsia"/>
          <w:highlight w:val="none"/>
          <w:lang w:val="en-US" w:eastAsia="zh-CN"/>
        </w:rPr>
        <w:t>根据依托设施改造及校核情况进行危险有害因素辨识。</w:t>
      </w:r>
    </w:p>
    <w:p w14:paraId="585E70EE">
      <w:pPr>
        <w:pStyle w:val="108"/>
        <w:spacing w:before="120" w:after="120"/>
        <w:rPr>
          <w:highlight w:val="none"/>
        </w:rPr>
      </w:pPr>
      <w:bookmarkStart w:id="146" w:name="_Toc2896"/>
      <w:bookmarkStart w:id="147" w:name="_Toc5991"/>
      <w:bookmarkStart w:id="148" w:name="_Toc15848"/>
      <w:bookmarkStart w:id="149" w:name="_Toc4348"/>
      <w:r>
        <w:rPr>
          <w:rFonts w:hint="eastAsia"/>
          <w:highlight w:val="none"/>
        </w:rPr>
        <w:t>自然和社会环境</w:t>
      </w:r>
      <w:bookmarkEnd w:id="146"/>
      <w:bookmarkEnd w:id="147"/>
      <w:r>
        <w:rPr>
          <w:rFonts w:hint="eastAsia"/>
          <w:highlight w:val="none"/>
          <w:lang w:val="en-US" w:eastAsia="zh-CN"/>
        </w:rPr>
        <w:t>危险有害因素辨识</w:t>
      </w:r>
      <w:bookmarkEnd w:id="148"/>
      <w:bookmarkEnd w:id="149"/>
    </w:p>
    <w:p w14:paraId="25836615">
      <w:pPr>
        <w:pStyle w:val="59"/>
        <w:ind w:firstLine="420"/>
        <w:rPr>
          <w:rFonts w:hint="eastAsia"/>
          <w:highlight w:val="none"/>
          <w:lang w:eastAsia="zh-CN"/>
        </w:rPr>
      </w:pPr>
      <w:r>
        <w:rPr>
          <w:rFonts w:hint="eastAsia"/>
          <w:highlight w:val="none"/>
        </w:rPr>
        <w:t>根据建设项目所在海域，对建设项目自然及社会环境进行危险有害因素辨识</w:t>
      </w:r>
      <w:r>
        <w:rPr>
          <w:rFonts w:hint="eastAsia"/>
          <w:highlight w:val="none"/>
          <w:lang w:eastAsia="zh-CN"/>
        </w:rPr>
        <w:t>。</w:t>
      </w:r>
    </w:p>
    <w:p w14:paraId="31B42B09">
      <w:pPr>
        <w:pStyle w:val="177"/>
        <w:numPr>
          <w:ilvl w:val="0"/>
          <w:numId w:val="34"/>
        </w:numPr>
        <w:rPr>
          <w:rFonts w:hint="eastAsia"/>
          <w:highlight w:val="none"/>
        </w:rPr>
      </w:pPr>
      <w:r>
        <w:rPr>
          <w:rFonts w:hint="eastAsia"/>
          <w:highlight w:val="none"/>
        </w:rPr>
        <w:t>自然环境包括：海冰、台风、浪涌、内波流、冬季大风和剧烈降温、地震、雷电</w:t>
      </w:r>
      <w:r>
        <w:rPr>
          <w:rFonts w:hint="eastAsia"/>
          <w:highlight w:val="none"/>
          <w:lang w:eastAsia="zh-CN"/>
        </w:rPr>
        <w:t>；</w:t>
      </w:r>
      <w:r>
        <w:rPr>
          <w:rFonts w:hint="eastAsia"/>
          <w:highlight w:val="none"/>
          <w:lang w:val="en-US" w:eastAsia="zh-CN"/>
        </w:rPr>
        <w:t>涉及</w:t>
      </w:r>
      <w:r>
        <w:rPr>
          <w:rFonts w:hint="eastAsia"/>
          <w:highlight w:val="none"/>
        </w:rPr>
        <w:t>滩海陆岸石油设施、滩海人工岛</w:t>
      </w:r>
      <w:r>
        <w:rPr>
          <w:rFonts w:hint="eastAsia"/>
          <w:highlight w:val="none"/>
          <w:lang w:eastAsia="zh-CN"/>
        </w:rPr>
        <w:t>、</w:t>
      </w:r>
      <w:r>
        <w:rPr>
          <w:rFonts w:hint="eastAsia"/>
          <w:highlight w:val="none"/>
        </w:rPr>
        <w:t>陆岸终端</w:t>
      </w:r>
      <w:r>
        <w:rPr>
          <w:rFonts w:hint="eastAsia"/>
          <w:highlight w:val="none"/>
          <w:lang w:val="en-US" w:eastAsia="zh-CN"/>
        </w:rPr>
        <w:t>应分析风暴潮</w:t>
      </w:r>
      <w:r>
        <w:rPr>
          <w:rFonts w:hint="eastAsia"/>
          <w:highlight w:val="none"/>
          <w:lang w:eastAsia="zh-CN"/>
        </w:rPr>
        <w:t>。</w:t>
      </w:r>
    </w:p>
    <w:p w14:paraId="7A2D02F9">
      <w:pPr>
        <w:pStyle w:val="177"/>
        <w:numPr>
          <w:ilvl w:val="0"/>
          <w:numId w:val="34"/>
        </w:numPr>
        <w:rPr>
          <w:rFonts w:hint="eastAsia"/>
          <w:highlight w:val="none"/>
        </w:rPr>
      </w:pPr>
      <w:r>
        <w:rPr>
          <w:rFonts w:hint="eastAsia"/>
          <w:highlight w:val="none"/>
        </w:rPr>
        <w:t>社会环境包括：非作业船只靠泊平台、外来人员登临平台、恐怖袭击；</w:t>
      </w:r>
      <w:r>
        <w:rPr>
          <w:rFonts w:hint="eastAsia"/>
          <w:highlight w:val="none"/>
          <w:lang w:val="en-US" w:eastAsia="zh-CN"/>
        </w:rPr>
        <w:t>涉及</w:t>
      </w:r>
      <w:r>
        <w:rPr>
          <w:rFonts w:hint="eastAsia"/>
          <w:highlight w:val="none"/>
        </w:rPr>
        <w:t>滩海陆岸石油设施、滩海人工岛</w:t>
      </w:r>
      <w:r>
        <w:rPr>
          <w:rFonts w:hint="eastAsia"/>
          <w:highlight w:val="none"/>
          <w:lang w:eastAsia="zh-CN"/>
        </w:rPr>
        <w:t>、</w:t>
      </w:r>
      <w:r>
        <w:rPr>
          <w:rFonts w:hint="eastAsia"/>
          <w:highlight w:val="none"/>
        </w:rPr>
        <w:t>陆岸终端应对周边社会环境进行辨识。</w:t>
      </w:r>
    </w:p>
    <w:p w14:paraId="197D2E59">
      <w:pPr>
        <w:pStyle w:val="108"/>
        <w:spacing w:before="120" w:after="120"/>
        <w:rPr>
          <w:highlight w:val="none"/>
        </w:rPr>
      </w:pPr>
      <w:bookmarkStart w:id="150" w:name="_Toc18989"/>
      <w:bookmarkStart w:id="151" w:name="_Toc11902"/>
      <w:bookmarkStart w:id="152" w:name="_Toc15719"/>
      <w:bookmarkStart w:id="153" w:name="_Toc31588"/>
      <w:r>
        <w:rPr>
          <w:rFonts w:hint="eastAsia"/>
          <w:highlight w:val="none"/>
        </w:rPr>
        <w:t>主要危险作业</w:t>
      </w:r>
      <w:bookmarkEnd w:id="150"/>
      <w:bookmarkEnd w:id="151"/>
      <w:r>
        <w:rPr>
          <w:rFonts w:hint="eastAsia"/>
          <w:highlight w:val="none"/>
          <w:lang w:val="en-US" w:eastAsia="zh-CN"/>
        </w:rPr>
        <w:t>分析</w:t>
      </w:r>
      <w:bookmarkEnd w:id="152"/>
      <w:bookmarkEnd w:id="153"/>
    </w:p>
    <w:p w14:paraId="5507EFDA">
      <w:pPr>
        <w:pStyle w:val="59"/>
        <w:ind w:firstLine="420"/>
      </w:pPr>
      <w:r>
        <w:rPr>
          <w:rFonts w:hint="eastAsia"/>
          <w:highlight w:val="none"/>
        </w:rPr>
        <w:t>对建设项目在建设期间可能涉及的危险作业进行</w:t>
      </w:r>
      <w:r>
        <w:rPr>
          <w:rFonts w:hint="eastAsia"/>
          <w:highlight w:val="none"/>
          <w:lang w:val="en-US" w:eastAsia="zh-CN"/>
        </w:rPr>
        <w:t>分析</w:t>
      </w:r>
      <w:r>
        <w:rPr>
          <w:rFonts w:hint="eastAsia"/>
          <w:highlight w:val="none"/>
        </w:rPr>
        <w:t>，</w:t>
      </w:r>
      <w:r>
        <w:rPr>
          <w:rFonts w:hint="eastAsia"/>
        </w:rPr>
        <w:t>并提出相应的</w:t>
      </w:r>
      <w:r>
        <w:rPr>
          <w:rFonts w:hint="eastAsia"/>
          <w:lang w:val="en-US" w:eastAsia="zh-CN"/>
        </w:rPr>
        <w:t>安全</w:t>
      </w:r>
      <w:r>
        <w:rPr>
          <w:rFonts w:hint="eastAsia"/>
        </w:rPr>
        <w:t>控制措施。</w:t>
      </w:r>
    </w:p>
    <w:p w14:paraId="69379CEA">
      <w:pPr>
        <w:pStyle w:val="107"/>
        <w:spacing w:before="240" w:after="240"/>
      </w:pPr>
      <w:bookmarkStart w:id="154" w:name="_Toc31367"/>
      <w:r>
        <w:rPr>
          <w:rFonts w:hint="eastAsia"/>
        </w:rPr>
        <w:t>单元安全评价</w:t>
      </w:r>
      <w:bookmarkEnd w:id="154"/>
    </w:p>
    <w:p w14:paraId="0C9E6675">
      <w:pPr>
        <w:pStyle w:val="108"/>
        <w:spacing w:before="120" w:after="120"/>
      </w:pPr>
      <w:bookmarkStart w:id="155" w:name="_Toc7061"/>
      <w:bookmarkStart w:id="156" w:name="_Toc3209"/>
      <w:bookmarkStart w:id="157" w:name="_Toc14910"/>
      <w:bookmarkStart w:id="158" w:name="_Toc3637"/>
      <w:r>
        <w:rPr>
          <w:rFonts w:hint="eastAsia"/>
          <w:highlight w:val="none"/>
          <w:lang w:val="en-US" w:eastAsia="zh-CN"/>
        </w:rPr>
        <w:t>通用</w:t>
      </w:r>
      <w:r>
        <w:rPr>
          <w:rFonts w:hint="eastAsia"/>
          <w:highlight w:val="none"/>
        </w:rPr>
        <w:t>要</w:t>
      </w:r>
      <w:r>
        <w:rPr>
          <w:rFonts w:hint="eastAsia"/>
        </w:rPr>
        <w:t>求</w:t>
      </w:r>
      <w:bookmarkEnd w:id="155"/>
      <w:bookmarkEnd w:id="156"/>
      <w:bookmarkEnd w:id="157"/>
      <w:bookmarkEnd w:id="158"/>
    </w:p>
    <w:p w14:paraId="23DEB34C">
      <w:pPr>
        <w:pStyle w:val="168"/>
      </w:pPr>
      <w:r>
        <w:rPr>
          <w:rFonts w:hint="eastAsia"/>
        </w:rPr>
        <w:t>针对单元评价内不同的评价对象分别选用适用的评价方法。</w:t>
      </w:r>
    </w:p>
    <w:p w14:paraId="2D80ACAA">
      <w:pPr>
        <w:pStyle w:val="168"/>
      </w:pPr>
      <w:r>
        <w:rPr>
          <w:rFonts w:hint="eastAsia"/>
        </w:rPr>
        <w:t>根据相关资料和类比分析结果，分析可行性研究报告或开发方案中已有安全措施的可行性，针对建设项目</w:t>
      </w:r>
      <w:r>
        <w:rPr>
          <w:rFonts w:hint="eastAsia"/>
          <w:highlight w:val="none"/>
        </w:rPr>
        <w:t>提出补充</w:t>
      </w:r>
      <w:r>
        <w:rPr>
          <w:rFonts w:hint="eastAsia"/>
        </w:rPr>
        <w:t>安全对策措施，得出评价结论。</w:t>
      </w:r>
    </w:p>
    <w:p w14:paraId="10092EDD">
      <w:pPr>
        <w:pStyle w:val="168"/>
        <w:rPr>
          <w:rFonts w:hint="default" w:eastAsia="宋体"/>
          <w:lang w:val="en-US" w:eastAsia="zh-CN"/>
        </w:rPr>
      </w:pPr>
      <w:r>
        <w:rPr>
          <w:rFonts w:hint="eastAsia"/>
        </w:rPr>
        <w:t>根据与安全生产相关的其他评价工作开展情况，提出相应的安全对策与建议。</w:t>
      </w:r>
    </w:p>
    <w:p w14:paraId="2841D8B4">
      <w:pPr>
        <w:pStyle w:val="108"/>
        <w:spacing w:before="120" w:after="120"/>
      </w:pPr>
      <w:bookmarkStart w:id="159" w:name="_Toc17848"/>
      <w:bookmarkStart w:id="160" w:name="_Toc21594"/>
      <w:bookmarkStart w:id="161" w:name="_Toc26985"/>
      <w:bookmarkStart w:id="162" w:name="_Toc1969"/>
      <w:r>
        <w:rPr>
          <w:rFonts w:hint="eastAsia"/>
        </w:rPr>
        <w:t>钻井工程单元</w:t>
      </w:r>
      <w:bookmarkEnd w:id="159"/>
      <w:bookmarkEnd w:id="160"/>
      <w:bookmarkEnd w:id="161"/>
      <w:bookmarkEnd w:id="162"/>
    </w:p>
    <w:p w14:paraId="2FA0E1A8">
      <w:pPr>
        <w:pStyle w:val="68"/>
        <w:spacing w:before="120" w:after="120"/>
      </w:pPr>
      <w:r>
        <w:rPr>
          <w:rFonts w:hint="eastAsia"/>
          <w:lang w:val="en-US" w:eastAsia="zh-CN"/>
        </w:rPr>
        <w:t>作业</w:t>
      </w:r>
      <w:r>
        <w:rPr>
          <w:rFonts w:hint="eastAsia"/>
        </w:rPr>
        <w:t>机具</w:t>
      </w:r>
    </w:p>
    <w:p w14:paraId="41A6E18C">
      <w:pPr>
        <w:pStyle w:val="59"/>
        <w:ind w:firstLine="420"/>
        <w:rPr>
          <w:rFonts w:hint="default"/>
          <w:highlight w:val="none"/>
          <w:lang w:val="en-US" w:eastAsia="zh-CN"/>
        </w:rPr>
      </w:pPr>
      <w:r>
        <w:rPr>
          <w:rFonts w:hint="eastAsia"/>
          <w:highlight w:val="none"/>
          <w:lang w:val="en-US" w:eastAsia="zh-CN"/>
        </w:rPr>
        <w:t>对作业机具选择进行以下评价：</w:t>
      </w:r>
    </w:p>
    <w:p w14:paraId="33EBF915">
      <w:pPr>
        <w:pStyle w:val="177"/>
        <w:numPr>
          <w:ilvl w:val="0"/>
          <w:numId w:val="35"/>
        </w:numPr>
        <w:rPr>
          <w:rFonts w:hint="eastAsia"/>
          <w:highlight w:val="none"/>
        </w:rPr>
      </w:pPr>
      <w:r>
        <w:rPr>
          <w:rFonts w:hint="eastAsia"/>
          <w:highlight w:val="none"/>
        </w:rPr>
        <w:t>采用钻井船进行钻井作业时，对钻井船就位、覆盖能力</w:t>
      </w:r>
      <w:r>
        <w:rPr>
          <w:rFonts w:hint="eastAsia"/>
          <w:highlight w:val="none"/>
          <w:lang w:val="en-US" w:eastAsia="zh-CN"/>
        </w:rPr>
        <w:t>等</w:t>
      </w:r>
      <w:r>
        <w:rPr>
          <w:rFonts w:hint="eastAsia"/>
          <w:highlight w:val="none"/>
        </w:rPr>
        <w:t>进行评价</w:t>
      </w:r>
      <w:r>
        <w:rPr>
          <w:rFonts w:hint="eastAsia"/>
          <w:highlight w:val="none"/>
          <w:lang w:eastAsia="zh-CN"/>
        </w:rPr>
        <w:t>；</w:t>
      </w:r>
    </w:p>
    <w:p w14:paraId="2CBE4DA9">
      <w:pPr>
        <w:pStyle w:val="177"/>
        <w:numPr>
          <w:ilvl w:val="0"/>
          <w:numId w:val="35"/>
        </w:numPr>
        <w:rPr>
          <w:rFonts w:hint="eastAsia"/>
          <w:highlight w:val="none"/>
        </w:rPr>
      </w:pPr>
      <w:r>
        <w:rPr>
          <w:rFonts w:hint="eastAsia"/>
          <w:highlight w:val="none"/>
        </w:rPr>
        <w:t>采用模块钻机进行钻井作业时，对模块钻机</w:t>
      </w:r>
      <w:r>
        <w:rPr>
          <w:rFonts w:hint="eastAsia"/>
          <w:highlight w:val="none"/>
          <w:lang w:val="en-US" w:eastAsia="zh-CN"/>
        </w:rPr>
        <w:t>钩载、扭矩等</w:t>
      </w:r>
      <w:r>
        <w:rPr>
          <w:rFonts w:hint="eastAsia"/>
          <w:highlight w:val="none"/>
        </w:rPr>
        <w:t>进行评价。</w:t>
      </w:r>
    </w:p>
    <w:p w14:paraId="5A08CF27">
      <w:pPr>
        <w:pStyle w:val="68"/>
        <w:spacing w:before="120" w:after="120"/>
      </w:pPr>
      <w:r>
        <w:rPr>
          <w:rFonts w:hint="eastAsia"/>
          <w:lang w:val="en-US" w:eastAsia="zh-CN"/>
        </w:rPr>
        <w:t>井眼轨迹</w:t>
      </w:r>
    </w:p>
    <w:p w14:paraId="34F5133F">
      <w:pPr>
        <w:pStyle w:val="177"/>
        <w:numPr>
          <w:ilvl w:val="0"/>
          <w:numId w:val="0"/>
        </w:numPr>
        <w:ind w:left="425" w:leftChars="0"/>
        <w:rPr>
          <w:rFonts w:hint="eastAsia"/>
          <w:lang w:val="en-US" w:eastAsia="zh-CN"/>
        </w:rPr>
      </w:pPr>
      <w:r>
        <w:rPr>
          <w:rFonts w:hint="eastAsia" w:ascii="宋体" w:eastAsia="宋体"/>
          <w:lang w:val="en-US" w:eastAsia="zh-CN"/>
        </w:rPr>
        <w:t>对井眼轨迹防碰、穿越浅层气、断层风险进行评价</w:t>
      </w:r>
      <w:r>
        <w:rPr>
          <w:rFonts w:hint="eastAsia"/>
          <w:lang w:val="en-US" w:eastAsia="zh-CN"/>
        </w:rPr>
        <w:t>。</w:t>
      </w:r>
    </w:p>
    <w:p w14:paraId="0BD8F8E4">
      <w:pPr>
        <w:pStyle w:val="68"/>
        <w:spacing w:before="120" w:after="120"/>
      </w:pPr>
      <w:r>
        <w:rPr>
          <w:rFonts w:hint="eastAsia"/>
          <w:lang w:val="en-US" w:eastAsia="zh-CN"/>
        </w:rPr>
        <w:t>套管程序</w:t>
      </w:r>
    </w:p>
    <w:p w14:paraId="03817CEE">
      <w:pPr>
        <w:pStyle w:val="59"/>
        <w:ind w:firstLine="420"/>
        <w:rPr>
          <w:rFonts w:hint="default" w:ascii="宋体" w:eastAsia="宋体"/>
          <w:lang w:val="en-US" w:eastAsia="zh-CN"/>
        </w:rPr>
      </w:pPr>
      <w:r>
        <w:rPr>
          <w:rFonts w:hint="eastAsia" w:ascii="宋体" w:eastAsia="宋体"/>
          <w:lang w:val="en-US" w:eastAsia="zh-CN"/>
        </w:rPr>
        <w:t>对套管程序</w:t>
      </w:r>
      <w:r>
        <w:rPr>
          <w:rFonts w:hint="eastAsia" w:ascii="宋体" w:eastAsia="宋体"/>
          <w:highlight w:val="none"/>
          <w:lang w:val="en-US" w:eastAsia="zh-CN"/>
        </w:rPr>
        <w:t>设计</w:t>
      </w:r>
      <w:r>
        <w:rPr>
          <w:rFonts w:hint="eastAsia" w:ascii="宋体" w:eastAsia="宋体"/>
          <w:lang w:val="en-US" w:eastAsia="zh-CN"/>
        </w:rPr>
        <w:t>地质必封点的封固合理性进行评价。</w:t>
      </w:r>
    </w:p>
    <w:p w14:paraId="7696C3EE">
      <w:pPr>
        <w:pStyle w:val="68"/>
        <w:spacing w:before="120" w:after="120"/>
      </w:pPr>
      <w:r>
        <w:rPr>
          <w:rFonts w:hint="eastAsia"/>
        </w:rPr>
        <w:t>井控</w:t>
      </w:r>
    </w:p>
    <w:p w14:paraId="53E7B6AA">
      <w:pPr>
        <w:pStyle w:val="59"/>
        <w:ind w:firstLine="420"/>
        <w:rPr>
          <w:rFonts w:hint="eastAsia"/>
        </w:rPr>
      </w:pPr>
      <w:r>
        <w:rPr>
          <w:rFonts w:hint="eastAsia"/>
          <w:lang w:val="en-US" w:eastAsia="zh-CN"/>
        </w:rPr>
        <w:t>对防喷器、井口、采油树的等级与地层压力的匹配性进行评价。</w:t>
      </w:r>
    </w:p>
    <w:p w14:paraId="0650BE0F">
      <w:pPr>
        <w:pStyle w:val="108"/>
        <w:spacing w:before="120" w:after="120"/>
      </w:pPr>
      <w:bookmarkStart w:id="163" w:name="_Toc22086"/>
      <w:bookmarkStart w:id="164" w:name="_Toc13367"/>
      <w:bookmarkStart w:id="165" w:name="_Toc25793"/>
      <w:bookmarkStart w:id="166" w:name="_Toc1215"/>
      <w:r>
        <w:rPr>
          <w:rFonts w:hint="eastAsia"/>
        </w:rPr>
        <w:t>采油（气）工程单元</w:t>
      </w:r>
      <w:bookmarkEnd w:id="163"/>
      <w:bookmarkEnd w:id="164"/>
      <w:bookmarkEnd w:id="165"/>
      <w:bookmarkEnd w:id="166"/>
    </w:p>
    <w:p w14:paraId="087A81DC">
      <w:pPr>
        <w:pStyle w:val="59"/>
        <w:ind w:firstLine="420"/>
        <w:rPr>
          <w:highlight w:val="none"/>
        </w:rPr>
      </w:pPr>
      <w:r>
        <w:rPr>
          <w:rFonts w:hint="eastAsia"/>
          <w:highlight w:val="none"/>
          <w:lang w:val="en-US" w:eastAsia="zh-CN"/>
        </w:rPr>
        <w:t>对</w:t>
      </w:r>
      <w:r>
        <w:rPr>
          <w:rFonts w:hint="eastAsia"/>
          <w:highlight w:val="none"/>
        </w:rPr>
        <w:t>管柱材质、开采方式、井口装置、</w:t>
      </w:r>
      <w:r>
        <w:rPr>
          <w:rFonts w:hint="eastAsia"/>
          <w:highlight w:val="none"/>
          <w:lang w:val="en-US" w:eastAsia="zh-CN"/>
        </w:rPr>
        <w:t>防腐、</w:t>
      </w:r>
      <w:r>
        <w:rPr>
          <w:rFonts w:hint="eastAsia"/>
          <w:highlight w:val="none"/>
        </w:rPr>
        <w:t>防砂、防蜡、防凝设计</w:t>
      </w:r>
      <w:r>
        <w:rPr>
          <w:rFonts w:hint="eastAsia"/>
          <w:highlight w:val="none"/>
          <w:lang w:val="en-US" w:eastAsia="zh-CN"/>
        </w:rPr>
        <w:t>等进行评价</w:t>
      </w:r>
      <w:r>
        <w:rPr>
          <w:rFonts w:hint="eastAsia"/>
          <w:highlight w:val="none"/>
        </w:rPr>
        <w:t>。</w:t>
      </w:r>
    </w:p>
    <w:p w14:paraId="2A46562D">
      <w:pPr>
        <w:pStyle w:val="108"/>
        <w:spacing w:before="120" w:after="120"/>
        <w:rPr>
          <w:highlight w:val="none"/>
        </w:rPr>
      </w:pPr>
      <w:bookmarkStart w:id="167" w:name="_Toc9092"/>
      <w:bookmarkStart w:id="168" w:name="_Toc5764"/>
      <w:bookmarkStart w:id="169" w:name="_Toc8986"/>
      <w:bookmarkStart w:id="170" w:name="_Toc6978"/>
      <w:r>
        <w:rPr>
          <w:rFonts w:hint="eastAsia"/>
          <w:highlight w:val="none"/>
        </w:rPr>
        <w:t>总图布置及结构单元</w:t>
      </w:r>
      <w:bookmarkEnd w:id="167"/>
      <w:bookmarkEnd w:id="168"/>
      <w:bookmarkEnd w:id="169"/>
      <w:bookmarkEnd w:id="170"/>
    </w:p>
    <w:p w14:paraId="0950C5D3">
      <w:pPr>
        <w:pStyle w:val="168"/>
        <w:rPr>
          <w:highlight w:val="none"/>
        </w:rPr>
      </w:pPr>
      <w:r>
        <w:rPr>
          <w:rFonts w:hint="eastAsia"/>
          <w:highlight w:val="none"/>
        </w:rPr>
        <w:t>对海洋石油生产设施的选址、总图布置及结构进行评价。</w:t>
      </w:r>
    </w:p>
    <w:p w14:paraId="1F599D62">
      <w:pPr>
        <w:pStyle w:val="168"/>
        <w:rPr>
          <w:highlight w:val="none"/>
        </w:rPr>
      </w:pPr>
      <w:r>
        <w:rPr>
          <w:rFonts w:hint="eastAsia"/>
          <w:highlight w:val="none"/>
        </w:rPr>
        <w:t>对结构进行评价</w:t>
      </w:r>
      <w:r>
        <w:rPr>
          <w:rFonts w:hint="eastAsia"/>
          <w:highlight w:val="none"/>
          <w:lang w:val="en-US" w:eastAsia="zh-CN"/>
        </w:rPr>
        <w:t>时</w:t>
      </w:r>
      <w:r>
        <w:rPr>
          <w:rFonts w:hint="eastAsia"/>
          <w:highlight w:val="none"/>
          <w:lang w:eastAsia="zh-CN"/>
        </w:rPr>
        <w:t>，</w:t>
      </w:r>
      <w:r>
        <w:rPr>
          <w:rFonts w:hint="eastAsia"/>
          <w:highlight w:val="none"/>
        </w:rPr>
        <w:t>涉及已建设施改造</w:t>
      </w:r>
      <w:r>
        <w:rPr>
          <w:rFonts w:hint="eastAsia"/>
          <w:highlight w:val="none"/>
          <w:lang w:val="en-US" w:eastAsia="zh-CN"/>
        </w:rPr>
        <w:t>的</w:t>
      </w:r>
      <w:r>
        <w:rPr>
          <w:rFonts w:hint="eastAsia"/>
          <w:highlight w:val="none"/>
        </w:rPr>
        <w:t>，应</w:t>
      </w:r>
      <w:r>
        <w:rPr>
          <w:rFonts w:hint="eastAsia"/>
          <w:highlight w:val="none"/>
          <w:lang w:val="en-US" w:eastAsia="zh-CN"/>
        </w:rPr>
        <w:t>考虑</w:t>
      </w:r>
      <w:r>
        <w:rPr>
          <w:rFonts w:hint="eastAsia"/>
          <w:highlight w:val="none"/>
        </w:rPr>
        <w:t>历次改造情况。</w:t>
      </w:r>
    </w:p>
    <w:p w14:paraId="0D64CC9E">
      <w:pPr>
        <w:pStyle w:val="168"/>
        <w:rPr>
          <w:highlight w:val="none"/>
        </w:rPr>
      </w:pPr>
      <w:r>
        <w:rPr>
          <w:rFonts w:hint="eastAsia"/>
        </w:rPr>
        <w:t>对</w:t>
      </w:r>
      <w:r>
        <w:rPr>
          <w:rFonts w:hint="eastAsia"/>
          <w:highlight w:val="none"/>
        </w:rPr>
        <w:t>总图布置进行以下评价：</w:t>
      </w:r>
    </w:p>
    <w:p w14:paraId="36E43D0B">
      <w:pPr>
        <w:pStyle w:val="177"/>
        <w:numPr>
          <w:ilvl w:val="0"/>
          <w:numId w:val="36"/>
        </w:numPr>
        <w:rPr>
          <w:rFonts w:hint="eastAsia"/>
          <w:highlight w:val="none"/>
          <w:lang w:val="en-US" w:eastAsia="zh-CN"/>
        </w:rPr>
      </w:pPr>
      <w:r>
        <w:rPr>
          <w:rFonts w:hint="eastAsia"/>
          <w:highlight w:val="none"/>
          <w:lang w:val="en-US" w:eastAsia="zh-CN"/>
        </w:rPr>
        <w:t>生活楼及直升机甲板位置、火炬及冷放空位置、靠船方位、立管保护、挡风墙设置、救生艇及救生筏布置；</w:t>
      </w:r>
    </w:p>
    <w:p w14:paraId="7B29DA1B">
      <w:pPr>
        <w:pStyle w:val="59"/>
        <w:ind w:firstLine="420"/>
        <w:rPr>
          <w:rFonts w:hint="eastAsia"/>
          <w:highlight w:val="none"/>
          <w:lang w:eastAsia="zh-CN"/>
        </w:rPr>
      </w:pPr>
      <w:r>
        <w:rPr>
          <w:rFonts w:hint="eastAsia"/>
          <w:highlight w:val="none"/>
        </w:rPr>
        <w:t>b)</w:t>
      </w:r>
      <w:r>
        <w:rPr>
          <w:rFonts w:hint="eastAsia"/>
          <w:highlight w:val="none"/>
        </w:rPr>
        <w:tab/>
      </w:r>
      <w:r>
        <w:rPr>
          <w:rFonts w:hint="eastAsia"/>
          <w:highlight w:val="none"/>
          <w:lang w:val="en-US" w:eastAsia="zh-CN"/>
        </w:rPr>
        <w:t>涉及</w:t>
      </w:r>
      <w:r>
        <w:rPr>
          <w:rFonts w:hint="eastAsia"/>
          <w:highlight w:val="none"/>
        </w:rPr>
        <w:t>陆岸终端</w:t>
      </w:r>
      <w:r>
        <w:rPr>
          <w:rFonts w:hint="eastAsia"/>
          <w:highlight w:val="none"/>
          <w:lang w:eastAsia="zh-CN"/>
        </w:rPr>
        <w:t>，</w:t>
      </w:r>
      <w:r>
        <w:rPr>
          <w:rFonts w:hint="eastAsia"/>
          <w:highlight w:val="none"/>
          <w:lang w:val="en-US" w:eastAsia="zh-CN"/>
        </w:rPr>
        <w:t>应包括</w:t>
      </w:r>
      <w:r>
        <w:rPr>
          <w:rFonts w:hint="eastAsia"/>
          <w:highlight w:val="none"/>
        </w:rPr>
        <w:t>设备布置、防火间距、道路</w:t>
      </w:r>
      <w:r>
        <w:rPr>
          <w:rFonts w:hint="eastAsia"/>
          <w:highlight w:val="none"/>
          <w:lang w:eastAsia="zh-CN"/>
        </w:rPr>
        <w:t>；</w:t>
      </w:r>
    </w:p>
    <w:p w14:paraId="4A1BFEF3">
      <w:pPr>
        <w:pStyle w:val="59"/>
        <w:ind w:firstLine="420"/>
        <w:rPr>
          <w:rFonts w:hint="default"/>
          <w:highlight w:val="none"/>
          <w:lang w:val="en-US" w:eastAsia="zh-CN"/>
        </w:rPr>
      </w:pPr>
      <w:r>
        <w:rPr>
          <w:rFonts w:hint="eastAsia"/>
          <w:highlight w:val="none"/>
          <w:lang w:val="en-US" w:eastAsia="zh-CN"/>
        </w:rPr>
        <w:t>c） 涉及</w:t>
      </w:r>
      <w:r>
        <w:rPr>
          <w:rFonts w:hint="eastAsia"/>
          <w:highlight w:val="none"/>
        </w:rPr>
        <w:t>滩海陆岸石油设施、滩海人工岛</w:t>
      </w:r>
      <w:r>
        <w:rPr>
          <w:rFonts w:hint="eastAsia"/>
          <w:highlight w:val="none"/>
          <w:lang w:eastAsia="zh-CN"/>
        </w:rPr>
        <w:t>，</w:t>
      </w:r>
      <w:r>
        <w:rPr>
          <w:rFonts w:hint="eastAsia"/>
          <w:highlight w:val="none"/>
          <w:lang w:val="en-US" w:eastAsia="zh-CN"/>
        </w:rPr>
        <w:t>应包括</w:t>
      </w:r>
      <w:r>
        <w:rPr>
          <w:rFonts w:hint="eastAsia"/>
          <w:highlight w:val="none"/>
        </w:rPr>
        <w:t>道路与车辆、滩海陆岸井台、滩海通井路</w:t>
      </w:r>
      <w:r>
        <w:rPr>
          <w:rFonts w:hint="eastAsia"/>
          <w:highlight w:val="none"/>
          <w:lang w:eastAsia="zh-CN"/>
        </w:rPr>
        <w:t>。</w:t>
      </w:r>
    </w:p>
    <w:p w14:paraId="4C968D6A">
      <w:pPr>
        <w:pStyle w:val="108"/>
        <w:spacing w:before="120" w:after="120"/>
        <w:rPr>
          <w:highlight w:val="none"/>
        </w:rPr>
      </w:pPr>
      <w:bookmarkStart w:id="171" w:name="_Toc31333"/>
      <w:bookmarkStart w:id="172" w:name="_Toc19061"/>
      <w:bookmarkStart w:id="173" w:name="_Toc13834"/>
      <w:bookmarkStart w:id="174" w:name="_Toc31108"/>
      <w:r>
        <w:rPr>
          <w:rFonts w:hint="eastAsia"/>
          <w:highlight w:val="none"/>
        </w:rPr>
        <w:t>工艺及设备设施单元</w:t>
      </w:r>
      <w:bookmarkEnd w:id="171"/>
      <w:bookmarkEnd w:id="172"/>
      <w:bookmarkEnd w:id="173"/>
      <w:bookmarkEnd w:id="174"/>
    </w:p>
    <w:p w14:paraId="2CBB1A83">
      <w:pPr>
        <w:pStyle w:val="59"/>
        <w:ind w:firstLine="420"/>
        <w:rPr>
          <w:rFonts w:hint="eastAsia"/>
          <w:highlight w:val="none"/>
        </w:rPr>
      </w:pPr>
      <w:r>
        <w:rPr>
          <w:rFonts w:hint="eastAsia"/>
          <w:highlight w:val="none"/>
        </w:rPr>
        <w:t>对</w:t>
      </w:r>
      <w:bookmarkStart w:id="175" w:name="OLE_LINK46"/>
      <w:r>
        <w:rPr>
          <w:rFonts w:hint="eastAsia"/>
          <w:highlight w:val="none"/>
        </w:rPr>
        <w:t>下列</w:t>
      </w:r>
      <w:bookmarkEnd w:id="175"/>
      <w:r>
        <w:rPr>
          <w:rFonts w:hint="eastAsia"/>
          <w:highlight w:val="none"/>
        </w:rPr>
        <w:t>工艺及设备设施进行评价：</w:t>
      </w:r>
    </w:p>
    <w:p w14:paraId="209991D9">
      <w:pPr>
        <w:pStyle w:val="177"/>
        <w:numPr>
          <w:ilvl w:val="0"/>
          <w:numId w:val="37"/>
        </w:numPr>
        <w:rPr>
          <w:rFonts w:hint="eastAsia"/>
          <w:highlight w:val="none"/>
        </w:rPr>
      </w:pPr>
      <w:r>
        <w:rPr>
          <w:rFonts w:hint="eastAsia"/>
          <w:highlight w:val="none"/>
        </w:rPr>
        <w:t>主工艺</w:t>
      </w:r>
      <w:r>
        <w:rPr>
          <w:rFonts w:hint="eastAsia"/>
          <w:highlight w:val="none"/>
          <w:lang w:val="en-US" w:eastAsia="zh-CN"/>
        </w:rPr>
        <w:t>系统</w:t>
      </w:r>
      <w:r>
        <w:rPr>
          <w:rFonts w:hint="eastAsia"/>
          <w:highlight w:val="none"/>
        </w:rPr>
        <w:t>：</w:t>
      </w:r>
      <w:r>
        <w:rPr>
          <w:rFonts w:hint="eastAsia"/>
          <w:highlight w:val="none"/>
          <w:lang w:val="en-US" w:eastAsia="zh-CN"/>
        </w:rPr>
        <w:t>评价建设项目</w:t>
      </w:r>
      <w:r>
        <w:rPr>
          <w:rFonts w:hint="eastAsia"/>
          <w:highlight w:val="none"/>
        </w:rPr>
        <w:t>的主要技术、工艺</w:t>
      </w:r>
      <w:r>
        <w:rPr>
          <w:rFonts w:hint="eastAsia"/>
          <w:highlight w:val="none"/>
          <w:lang w:val="en-US" w:eastAsia="zh-CN"/>
        </w:rPr>
        <w:t>的可行性，</w:t>
      </w:r>
      <w:r>
        <w:rPr>
          <w:rFonts w:hint="eastAsia"/>
          <w:highlight w:val="none"/>
        </w:rPr>
        <w:t>设备设施的安全可靠性</w:t>
      </w:r>
      <w:r>
        <w:rPr>
          <w:rFonts w:hint="eastAsia"/>
          <w:highlight w:val="none"/>
          <w:lang w:eastAsia="zh-CN"/>
        </w:rPr>
        <w:t>；</w:t>
      </w:r>
    </w:p>
    <w:p w14:paraId="156EDA56">
      <w:pPr>
        <w:pStyle w:val="177"/>
        <w:numPr>
          <w:ilvl w:val="0"/>
          <w:numId w:val="37"/>
        </w:numPr>
        <w:rPr>
          <w:rFonts w:hint="eastAsia"/>
          <w:highlight w:val="none"/>
        </w:rPr>
      </w:pPr>
      <w:r>
        <w:rPr>
          <w:rFonts w:hint="eastAsia"/>
          <w:highlight w:val="none"/>
        </w:rPr>
        <w:t>公用及辅助系统</w:t>
      </w:r>
      <w:r>
        <w:rPr>
          <w:rFonts w:hint="eastAsia"/>
          <w:highlight w:val="none"/>
          <w:lang w:eastAsia="zh-CN"/>
        </w:rPr>
        <w:t>：</w:t>
      </w:r>
      <w:r>
        <w:rPr>
          <w:rFonts w:hint="eastAsia" w:ascii="宋体" w:eastAsia="宋体"/>
          <w:highlight w:val="none"/>
          <w:lang w:val="en-US" w:eastAsia="zh-CN"/>
        </w:rPr>
        <w:t>评价建设项目配套的公用及辅助系统能否满足安全生产的需要</w:t>
      </w:r>
      <w:r>
        <w:rPr>
          <w:rFonts w:hint="eastAsia"/>
          <w:highlight w:val="none"/>
        </w:rPr>
        <w:t>；</w:t>
      </w:r>
    </w:p>
    <w:p w14:paraId="62AD7C86">
      <w:pPr>
        <w:pStyle w:val="177"/>
        <w:numPr>
          <w:ilvl w:val="0"/>
          <w:numId w:val="37"/>
        </w:numPr>
        <w:rPr>
          <w:highlight w:val="none"/>
        </w:rPr>
      </w:pPr>
      <w:r>
        <w:rPr>
          <w:rFonts w:hint="eastAsia"/>
          <w:highlight w:val="none"/>
        </w:rPr>
        <w:t>消防及救逃生系统</w:t>
      </w:r>
      <w:r>
        <w:rPr>
          <w:rFonts w:hint="eastAsia"/>
          <w:highlight w:val="none"/>
          <w:lang w:eastAsia="zh-CN"/>
        </w:rPr>
        <w:t>：</w:t>
      </w:r>
      <w:r>
        <w:rPr>
          <w:rFonts w:hint="eastAsia"/>
          <w:highlight w:val="none"/>
          <w:lang w:val="en-US" w:eastAsia="zh-CN"/>
        </w:rPr>
        <w:t>评价建设项目配置的消防及救逃生系统的能力</w:t>
      </w:r>
      <w:r>
        <w:rPr>
          <w:rFonts w:hint="eastAsia"/>
          <w:highlight w:val="none"/>
        </w:rPr>
        <w:t>；</w:t>
      </w:r>
    </w:p>
    <w:p w14:paraId="28570439">
      <w:pPr>
        <w:pStyle w:val="177"/>
        <w:numPr>
          <w:ilvl w:val="0"/>
          <w:numId w:val="37"/>
        </w:numPr>
        <w:rPr>
          <w:rFonts w:hint="eastAsia"/>
          <w:highlight w:val="none"/>
        </w:rPr>
      </w:pPr>
      <w:r>
        <w:rPr>
          <w:rFonts w:hint="eastAsia"/>
          <w:highlight w:val="none"/>
          <w:lang w:val="en-US" w:eastAsia="zh-CN"/>
        </w:rPr>
        <w:t>涉及</w:t>
      </w:r>
      <w:r>
        <w:rPr>
          <w:rFonts w:hint="eastAsia"/>
          <w:highlight w:val="none"/>
        </w:rPr>
        <w:t>滩海陆岸石油设施、滩海人工岛</w:t>
      </w:r>
      <w:r>
        <w:rPr>
          <w:rFonts w:hint="eastAsia"/>
          <w:highlight w:val="none"/>
          <w:lang w:eastAsia="zh-CN"/>
        </w:rPr>
        <w:t>、</w:t>
      </w:r>
      <w:r>
        <w:rPr>
          <w:rFonts w:hint="eastAsia"/>
          <w:highlight w:val="none"/>
        </w:rPr>
        <w:t>陆岸终端</w:t>
      </w:r>
      <w:r>
        <w:rPr>
          <w:rFonts w:hint="eastAsia"/>
          <w:highlight w:val="none"/>
          <w:lang w:eastAsia="zh-CN"/>
        </w:rPr>
        <w:t>，</w:t>
      </w:r>
      <w:r>
        <w:rPr>
          <w:rFonts w:hint="eastAsia"/>
          <w:highlight w:val="none"/>
          <w:lang w:val="en-US" w:eastAsia="zh-CN"/>
        </w:rPr>
        <w:t>应对</w:t>
      </w:r>
      <w:r>
        <w:rPr>
          <w:rFonts w:hint="eastAsia"/>
          <w:highlight w:val="none"/>
        </w:rPr>
        <w:t>建（构）筑物、罐区、装卸设施</w:t>
      </w:r>
      <w:r>
        <w:rPr>
          <w:rFonts w:hint="eastAsia"/>
          <w:highlight w:val="none"/>
          <w:lang w:val="en-US" w:eastAsia="zh-CN"/>
        </w:rPr>
        <w:t>进行合规性评价；</w:t>
      </w:r>
    </w:p>
    <w:p w14:paraId="698A7AB8">
      <w:pPr>
        <w:pStyle w:val="177"/>
        <w:numPr>
          <w:ilvl w:val="0"/>
          <w:numId w:val="37"/>
        </w:numPr>
        <w:rPr>
          <w:rFonts w:hint="eastAsia"/>
          <w:highlight w:val="none"/>
        </w:rPr>
      </w:pPr>
      <w:r>
        <w:rPr>
          <w:rFonts w:hint="eastAsia"/>
          <w:highlight w:val="none"/>
          <w:lang w:val="en-US" w:eastAsia="zh-CN"/>
        </w:rPr>
        <w:t>涉及</w:t>
      </w:r>
      <w:r>
        <w:rPr>
          <w:rFonts w:hint="eastAsia"/>
          <w:highlight w:val="none"/>
        </w:rPr>
        <w:t>水下生产系统</w:t>
      </w:r>
      <w:r>
        <w:rPr>
          <w:rFonts w:hint="eastAsia"/>
          <w:highlight w:val="none"/>
          <w:lang w:eastAsia="zh-CN"/>
        </w:rPr>
        <w:t>，</w:t>
      </w:r>
      <w:r>
        <w:rPr>
          <w:rFonts w:hint="eastAsia"/>
          <w:highlight w:val="none"/>
          <w:lang w:val="en-US" w:eastAsia="zh-CN"/>
        </w:rPr>
        <w:t>应对</w:t>
      </w:r>
      <w:r>
        <w:rPr>
          <w:rFonts w:hint="eastAsia"/>
          <w:highlight w:val="none"/>
        </w:rPr>
        <w:t>水下井口装置和采油树设备、水下生产控制系统、水下结构物及管汇</w:t>
      </w:r>
      <w:r>
        <w:rPr>
          <w:rFonts w:hint="eastAsia"/>
          <w:highlight w:val="none"/>
          <w:lang w:val="en-US" w:eastAsia="zh-CN"/>
        </w:rPr>
        <w:t>进行评价；</w:t>
      </w:r>
    </w:p>
    <w:p w14:paraId="3B8F042A">
      <w:pPr>
        <w:pStyle w:val="177"/>
        <w:numPr>
          <w:ilvl w:val="0"/>
          <w:numId w:val="37"/>
        </w:numPr>
        <w:rPr>
          <w:rFonts w:hint="eastAsia"/>
          <w:highlight w:val="none"/>
        </w:rPr>
      </w:pPr>
      <w:r>
        <w:rPr>
          <w:rFonts w:hint="eastAsia"/>
          <w:highlight w:val="none"/>
          <w:lang w:val="en-US" w:eastAsia="zh-CN"/>
        </w:rPr>
        <w:t>对涉及</w:t>
      </w:r>
      <w:r>
        <w:rPr>
          <w:rFonts w:hint="eastAsia"/>
          <w:highlight w:val="none"/>
        </w:rPr>
        <w:t>新设备、新技术、新工艺</w:t>
      </w:r>
      <w:r>
        <w:rPr>
          <w:rFonts w:hint="eastAsia"/>
          <w:highlight w:val="none"/>
          <w:lang w:val="en-US" w:eastAsia="zh-CN"/>
        </w:rPr>
        <w:t>的情况</w:t>
      </w:r>
      <w:r>
        <w:rPr>
          <w:rFonts w:hint="eastAsia"/>
          <w:highlight w:val="none"/>
        </w:rPr>
        <w:t>进行评价</w:t>
      </w:r>
      <w:r>
        <w:rPr>
          <w:rFonts w:hint="eastAsia"/>
          <w:highlight w:val="none"/>
          <w:lang w:eastAsia="zh-CN"/>
        </w:rPr>
        <w:t>。</w:t>
      </w:r>
    </w:p>
    <w:p w14:paraId="31BC2702">
      <w:pPr>
        <w:pStyle w:val="108"/>
        <w:spacing w:before="120" w:after="120"/>
        <w:rPr>
          <w:highlight w:val="none"/>
        </w:rPr>
      </w:pPr>
      <w:bookmarkStart w:id="176" w:name="_Toc17580"/>
      <w:bookmarkStart w:id="177" w:name="_Toc10061"/>
      <w:bookmarkStart w:id="178" w:name="_Toc18309"/>
      <w:bookmarkStart w:id="179" w:name="_Toc24552"/>
      <w:r>
        <w:rPr>
          <w:rFonts w:hint="eastAsia"/>
          <w:highlight w:val="none"/>
        </w:rPr>
        <w:t>海底管道/海底电缆单元</w:t>
      </w:r>
      <w:bookmarkEnd w:id="176"/>
      <w:bookmarkEnd w:id="177"/>
      <w:bookmarkEnd w:id="178"/>
      <w:bookmarkEnd w:id="179"/>
    </w:p>
    <w:p w14:paraId="34508BCE">
      <w:pPr>
        <w:pStyle w:val="59"/>
        <w:ind w:firstLine="420"/>
        <w:rPr>
          <w:highlight w:val="none"/>
        </w:rPr>
      </w:pPr>
      <w:r>
        <w:rPr>
          <w:rFonts w:hint="eastAsia"/>
          <w:highlight w:val="none"/>
        </w:rPr>
        <w:t>对海底管道/海底电缆进行</w:t>
      </w:r>
      <w:bookmarkStart w:id="180" w:name="OLE_LINK47"/>
      <w:bookmarkStart w:id="181" w:name="OLE_LINK48"/>
      <w:bookmarkStart w:id="182" w:name="OLE_LINK49"/>
      <w:r>
        <w:rPr>
          <w:rFonts w:hint="eastAsia"/>
          <w:highlight w:val="none"/>
        </w:rPr>
        <w:t>以下</w:t>
      </w:r>
      <w:bookmarkEnd w:id="180"/>
      <w:bookmarkEnd w:id="181"/>
      <w:bookmarkEnd w:id="182"/>
      <w:r>
        <w:rPr>
          <w:rFonts w:hint="eastAsia"/>
          <w:highlight w:val="none"/>
        </w:rPr>
        <w:t>评价：</w:t>
      </w:r>
    </w:p>
    <w:p w14:paraId="04620441">
      <w:pPr>
        <w:pStyle w:val="59"/>
        <w:ind w:firstLine="420"/>
      </w:pPr>
      <w:r>
        <w:rPr>
          <w:rFonts w:hint="eastAsia"/>
        </w:rPr>
        <w:t>a)</w:t>
      </w:r>
      <w:r>
        <w:rPr>
          <w:rFonts w:hint="eastAsia"/>
        </w:rPr>
        <w:tab/>
      </w:r>
      <w:r>
        <w:rPr>
          <w:rFonts w:hint="eastAsia"/>
        </w:rPr>
        <w:t>路由；</w:t>
      </w:r>
    </w:p>
    <w:p w14:paraId="00C6624B">
      <w:pPr>
        <w:pStyle w:val="59"/>
        <w:ind w:firstLine="420"/>
      </w:pPr>
      <w:r>
        <w:rPr>
          <w:rFonts w:hint="eastAsia"/>
        </w:rPr>
        <w:t>b)</w:t>
      </w:r>
      <w:r>
        <w:rPr>
          <w:rFonts w:hint="eastAsia"/>
        </w:rPr>
        <w:tab/>
      </w:r>
      <w:r>
        <w:rPr>
          <w:rFonts w:hint="eastAsia"/>
        </w:rPr>
        <w:t>穿跨越及登陆方式；</w:t>
      </w:r>
    </w:p>
    <w:p w14:paraId="3AF71500">
      <w:pPr>
        <w:pStyle w:val="59"/>
        <w:ind w:firstLine="420"/>
      </w:pPr>
      <w:r>
        <w:rPr>
          <w:rFonts w:hint="eastAsia"/>
        </w:rPr>
        <w:t>c)</w:t>
      </w:r>
      <w:r>
        <w:rPr>
          <w:rFonts w:hint="eastAsia"/>
        </w:rPr>
        <w:tab/>
      </w:r>
      <w:r>
        <w:rPr>
          <w:rFonts w:hint="eastAsia"/>
        </w:rPr>
        <w:t>海</w:t>
      </w:r>
      <w:r>
        <w:rPr>
          <w:rFonts w:hint="eastAsia"/>
          <w:lang w:val="en-US" w:eastAsia="zh-CN"/>
        </w:rPr>
        <w:t>底</w:t>
      </w:r>
      <w:r>
        <w:rPr>
          <w:rFonts w:hint="eastAsia"/>
        </w:rPr>
        <w:t>管</w:t>
      </w:r>
      <w:r>
        <w:rPr>
          <w:rFonts w:hint="eastAsia"/>
          <w:lang w:val="en-US" w:eastAsia="zh-CN"/>
        </w:rPr>
        <w:t>道</w:t>
      </w:r>
      <w:r>
        <w:rPr>
          <w:rFonts w:hint="eastAsia"/>
        </w:rPr>
        <w:t>防腐。</w:t>
      </w:r>
    </w:p>
    <w:p w14:paraId="08EA4CFC">
      <w:pPr>
        <w:pStyle w:val="108"/>
        <w:spacing w:before="120" w:after="120"/>
      </w:pPr>
      <w:bookmarkStart w:id="183" w:name="_Toc29740"/>
      <w:bookmarkStart w:id="184" w:name="_Toc5049"/>
      <w:bookmarkStart w:id="185" w:name="_Toc8143"/>
      <w:bookmarkStart w:id="186" w:name="_Toc18778"/>
      <w:r>
        <w:rPr>
          <w:rFonts w:hint="eastAsia"/>
        </w:rPr>
        <w:t>依托设施单元</w:t>
      </w:r>
      <w:bookmarkEnd w:id="183"/>
      <w:bookmarkEnd w:id="184"/>
      <w:bookmarkEnd w:id="185"/>
      <w:bookmarkEnd w:id="186"/>
    </w:p>
    <w:p w14:paraId="6B160DD1">
      <w:pPr>
        <w:pStyle w:val="59"/>
        <w:ind w:firstLine="420"/>
      </w:pPr>
      <w:r>
        <w:rPr>
          <w:rFonts w:hint="eastAsia"/>
        </w:rPr>
        <w:t>对依托设施的改造及校核情况进行评价。</w:t>
      </w:r>
    </w:p>
    <w:p w14:paraId="6560EA32">
      <w:pPr>
        <w:pStyle w:val="108"/>
        <w:spacing w:before="120" w:after="120"/>
      </w:pPr>
      <w:bookmarkStart w:id="187" w:name="_Toc8495"/>
      <w:bookmarkStart w:id="188" w:name="_Toc16442"/>
      <w:bookmarkStart w:id="189" w:name="_Toc16076"/>
      <w:bookmarkStart w:id="190" w:name="_Toc11453"/>
      <w:r>
        <w:rPr>
          <w:rFonts w:hint="eastAsia"/>
        </w:rPr>
        <w:t>安全管理单元</w:t>
      </w:r>
      <w:bookmarkEnd w:id="187"/>
      <w:bookmarkEnd w:id="188"/>
      <w:bookmarkEnd w:id="189"/>
      <w:bookmarkEnd w:id="190"/>
    </w:p>
    <w:p w14:paraId="15FFED06">
      <w:pPr>
        <w:pStyle w:val="168"/>
      </w:pPr>
      <w:r>
        <w:rPr>
          <w:rFonts w:hint="eastAsia"/>
        </w:rPr>
        <w:t>根据建设项目具体情况和特点，对生产组织机构及安全管理人员配置进行评价并提出建议。</w:t>
      </w:r>
    </w:p>
    <w:p w14:paraId="654F6E1F">
      <w:pPr>
        <w:pStyle w:val="168"/>
      </w:pPr>
      <w:r>
        <w:rPr>
          <w:rFonts w:hint="eastAsia"/>
        </w:rPr>
        <w:t>分析提出安全管理制度及操作规程制定的建议。</w:t>
      </w:r>
    </w:p>
    <w:p w14:paraId="1D4D0FAD">
      <w:pPr>
        <w:pStyle w:val="168"/>
      </w:pPr>
      <w:r>
        <w:rPr>
          <w:rFonts w:hint="eastAsia"/>
        </w:rPr>
        <w:t>建设项目建成后依托已建海洋石油生产设施进行管理的，应调查、分析现有生产设施的安全管理情况，评价已有安全管理机构、人员、安全管理制度、操作规程与建设项目的适应性，提出补充、改进和完善的建议。</w:t>
      </w:r>
    </w:p>
    <w:p w14:paraId="589CB069">
      <w:pPr>
        <w:pStyle w:val="168"/>
      </w:pPr>
      <w:r>
        <w:rPr>
          <w:rFonts w:hint="eastAsia"/>
        </w:rPr>
        <w:t>对应急管理的评价，应根据建设项目特点提出应急预案制定或修订、应急资源配置的建议。</w:t>
      </w:r>
    </w:p>
    <w:p w14:paraId="32C8056C">
      <w:pPr>
        <w:pStyle w:val="107"/>
        <w:spacing w:before="240" w:after="240"/>
      </w:pPr>
      <w:bookmarkStart w:id="191" w:name="_Toc3098"/>
      <w:r>
        <w:rPr>
          <w:rFonts w:hint="eastAsia"/>
        </w:rPr>
        <w:t>安全对策措施及建议</w:t>
      </w:r>
      <w:bookmarkEnd w:id="191"/>
    </w:p>
    <w:p w14:paraId="265F160D">
      <w:pPr>
        <w:pStyle w:val="59"/>
        <w:ind w:firstLine="420"/>
        <w:rPr>
          <w:rFonts w:hint="default"/>
          <w:highlight w:val="none"/>
          <w:lang w:val="en-US"/>
        </w:rPr>
      </w:pPr>
      <w:r>
        <w:rPr>
          <w:rFonts w:hint="eastAsia"/>
        </w:rPr>
        <w:t>根据危险有害因素辨识和单元安全评价的结果</w:t>
      </w:r>
      <w:r>
        <w:rPr>
          <w:rFonts w:hint="eastAsia"/>
          <w:highlight w:val="none"/>
        </w:rPr>
        <w:t>，</w:t>
      </w:r>
      <w:r>
        <w:rPr>
          <w:rFonts w:hint="eastAsia"/>
          <w:highlight w:val="none"/>
          <w:lang w:val="en-US" w:eastAsia="zh-CN"/>
        </w:rPr>
        <w:t>从设计、施工和运行方面提出</w:t>
      </w:r>
      <w:r>
        <w:rPr>
          <w:rFonts w:hint="eastAsia"/>
          <w:highlight w:val="none"/>
        </w:rPr>
        <w:t>预防事故、降低风险、减少事故影响的安全对策措施及建议</w:t>
      </w:r>
      <w:r>
        <w:rPr>
          <w:rFonts w:hint="eastAsia"/>
          <w:highlight w:val="none"/>
          <w:lang w:eastAsia="zh-CN"/>
        </w:rPr>
        <w:t>。</w:t>
      </w:r>
      <w:r>
        <w:rPr>
          <w:rFonts w:hint="eastAsia"/>
          <w:highlight w:val="none"/>
        </w:rPr>
        <w:t>安全对策措施及建议应具有针对性、可操作性和经济合理性</w:t>
      </w:r>
      <w:r>
        <w:rPr>
          <w:rFonts w:hint="eastAsia"/>
          <w:highlight w:val="none"/>
          <w:lang w:eastAsia="zh-CN"/>
        </w:rPr>
        <w:t>。</w:t>
      </w:r>
      <w:r>
        <w:rPr>
          <w:rFonts w:hint="eastAsia"/>
          <w:highlight w:val="none"/>
          <w:lang w:val="en-US" w:eastAsia="zh-CN"/>
        </w:rPr>
        <w:t>安全对策措施及建议应由建设单位组织落实。</w:t>
      </w:r>
    </w:p>
    <w:p w14:paraId="733A666A">
      <w:pPr>
        <w:pStyle w:val="107"/>
        <w:spacing w:before="240" w:after="240"/>
      </w:pPr>
      <w:bookmarkStart w:id="192" w:name="_Toc17633"/>
      <w:r>
        <w:rPr>
          <w:rFonts w:hint="eastAsia"/>
        </w:rPr>
        <w:t>评价结果综述</w:t>
      </w:r>
      <w:bookmarkEnd w:id="192"/>
    </w:p>
    <w:p w14:paraId="09994252">
      <w:pPr>
        <w:pStyle w:val="59"/>
        <w:ind w:firstLine="420"/>
      </w:pPr>
      <w:r>
        <w:rPr>
          <w:rFonts w:hint="eastAsia"/>
        </w:rPr>
        <w:t>遵循客观、公正、真实的原则，将评价内容进行总结概括，明确给出安全评价结果综述，包括：</w:t>
      </w:r>
    </w:p>
    <w:p w14:paraId="70847C89">
      <w:pPr>
        <w:pStyle w:val="177"/>
        <w:numPr>
          <w:ilvl w:val="0"/>
          <w:numId w:val="38"/>
        </w:numPr>
        <w:rPr>
          <w:highlight w:val="none"/>
        </w:rPr>
      </w:pPr>
      <w:r>
        <w:rPr>
          <w:rFonts w:hint="eastAsia"/>
          <w:highlight w:val="none"/>
        </w:rPr>
        <w:t>汇总</w:t>
      </w:r>
      <w:r>
        <w:rPr>
          <w:rFonts w:hint="eastAsia"/>
          <w:highlight w:val="none"/>
          <w:lang w:val="en-US" w:eastAsia="zh-CN"/>
        </w:rPr>
        <w:t>列出建设项目</w:t>
      </w:r>
      <w:r>
        <w:rPr>
          <w:rFonts w:hint="eastAsia" w:hAnsi="Calibri" w:cs="宋体"/>
          <w:color w:val="000000"/>
          <w:sz w:val="21"/>
          <w:szCs w:val="21"/>
          <w:highlight w:val="none"/>
          <w:lang w:val="en-US" w:eastAsia="zh-CN"/>
        </w:rPr>
        <w:t>涉及</w:t>
      </w:r>
      <w:r>
        <w:rPr>
          <w:rFonts w:hint="eastAsia" w:ascii="宋体" w:hAnsi="Calibri" w:cs="宋体"/>
          <w:color w:val="000000"/>
          <w:sz w:val="21"/>
          <w:szCs w:val="21"/>
          <w:highlight w:val="none"/>
        </w:rPr>
        <w:t>的</w:t>
      </w:r>
      <w:r>
        <w:rPr>
          <w:rFonts w:hint="eastAsia" w:hAnsi="Calibri" w:cs="宋体"/>
          <w:color w:val="000000"/>
          <w:sz w:val="21"/>
          <w:szCs w:val="21"/>
          <w:highlight w:val="none"/>
          <w:lang w:val="en-US" w:eastAsia="zh-CN"/>
        </w:rPr>
        <w:t>危险有害物质</w:t>
      </w:r>
      <w:r>
        <w:rPr>
          <w:rFonts w:hint="eastAsia" w:ascii="宋体" w:hAnsi="Calibri" w:cs="宋体"/>
          <w:color w:val="000000"/>
          <w:sz w:val="21"/>
          <w:szCs w:val="21"/>
          <w:highlight w:val="none"/>
        </w:rPr>
        <w:t>和危险有害因素</w:t>
      </w:r>
      <w:r>
        <w:rPr>
          <w:rFonts w:hint="eastAsia"/>
          <w:highlight w:val="none"/>
        </w:rPr>
        <w:t>；</w:t>
      </w:r>
    </w:p>
    <w:p w14:paraId="0CB942FB">
      <w:pPr>
        <w:pStyle w:val="177"/>
        <w:numPr>
          <w:ilvl w:val="0"/>
          <w:numId w:val="38"/>
        </w:numPr>
        <w:rPr>
          <w:rFonts w:hint="eastAsia"/>
          <w:highlight w:val="none"/>
        </w:rPr>
      </w:pPr>
      <w:r>
        <w:rPr>
          <w:rFonts w:hint="eastAsia"/>
          <w:highlight w:val="none"/>
          <w:lang w:val="en-US" w:eastAsia="zh-CN"/>
        </w:rPr>
        <w:t>依据单元评价情况概述</w:t>
      </w:r>
      <w:r>
        <w:rPr>
          <w:rFonts w:hint="eastAsia"/>
          <w:highlight w:val="none"/>
        </w:rPr>
        <w:t>各单元的评价结果；</w:t>
      </w:r>
    </w:p>
    <w:p w14:paraId="073D1FE8">
      <w:pPr>
        <w:pStyle w:val="177"/>
        <w:numPr>
          <w:ilvl w:val="0"/>
          <w:numId w:val="38"/>
        </w:numPr>
        <w:rPr>
          <w:rFonts w:hint="eastAsia"/>
          <w:highlight w:val="none"/>
        </w:rPr>
      </w:pPr>
      <w:r>
        <w:rPr>
          <w:rFonts w:hint="eastAsia" w:ascii="Times New Roman" w:hAnsi="Times New Roman" w:eastAsia="宋体" w:cs="Times New Roman"/>
          <w:bCs/>
          <w:kern w:val="0"/>
          <w:sz w:val="21"/>
          <w:szCs w:val="21"/>
          <w:highlight w:val="none"/>
        </w:rPr>
        <w:t>建设</w:t>
      </w:r>
      <w:r>
        <w:rPr>
          <w:rFonts w:ascii="Times New Roman" w:hAnsi="Times New Roman" w:eastAsia="宋体" w:cs="Times New Roman"/>
          <w:bCs/>
          <w:kern w:val="0"/>
          <w:sz w:val="21"/>
          <w:szCs w:val="21"/>
          <w:highlight w:val="none"/>
        </w:rPr>
        <w:t>项目</w:t>
      </w:r>
      <w:r>
        <w:rPr>
          <w:rFonts w:hint="eastAsia" w:ascii="Times New Roman" w:hAnsi="Times New Roman" w:eastAsia="宋体" w:cs="Times New Roman"/>
          <w:bCs/>
          <w:kern w:val="0"/>
          <w:sz w:val="21"/>
          <w:szCs w:val="21"/>
          <w:highlight w:val="none"/>
        </w:rPr>
        <w:t>依据</w:t>
      </w:r>
      <w:r>
        <w:rPr>
          <w:rFonts w:hint="eastAsia" w:ascii="Times New Roman" w:cs="Times New Roman"/>
          <w:bCs/>
          <w:kern w:val="0"/>
          <w:sz w:val="21"/>
          <w:szCs w:val="21"/>
          <w:highlight w:val="none"/>
          <w:lang w:val="en-US" w:eastAsia="zh-CN"/>
        </w:rPr>
        <w:t>工程</w:t>
      </w:r>
      <w:r>
        <w:rPr>
          <w:rFonts w:ascii="Times New Roman" w:hAnsi="Times New Roman" w:eastAsia="宋体" w:cs="Times New Roman"/>
          <w:bCs/>
          <w:kern w:val="0"/>
          <w:sz w:val="21"/>
          <w:szCs w:val="21"/>
          <w:highlight w:val="none"/>
        </w:rPr>
        <w:t>方案</w:t>
      </w:r>
      <w:r>
        <w:rPr>
          <w:rFonts w:hint="eastAsia" w:ascii="Times New Roman" w:eastAsia="宋体" w:cs="Times New Roman"/>
          <w:bCs/>
          <w:kern w:val="0"/>
          <w:sz w:val="21"/>
          <w:szCs w:val="21"/>
          <w:highlight w:val="none"/>
          <w:lang w:val="en-US" w:eastAsia="zh-CN"/>
        </w:rPr>
        <w:t>或可行性研究报告</w:t>
      </w:r>
      <w:r>
        <w:rPr>
          <w:rFonts w:hint="eastAsia" w:ascii="Times New Roman" w:hAnsi="Times New Roman" w:eastAsia="宋体" w:cs="Times New Roman"/>
          <w:bCs/>
          <w:kern w:val="0"/>
          <w:sz w:val="21"/>
          <w:szCs w:val="21"/>
          <w:highlight w:val="none"/>
        </w:rPr>
        <w:t>建成后，</w:t>
      </w:r>
      <w:r>
        <w:rPr>
          <w:rFonts w:hint="eastAsia" w:ascii="Times New Roman" w:cs="Times New Roman"/>
          <w:bCs/>
          <w:kern w:val="0"/>
          <w:sz w:val="21"/>
          <w:szCs w:val="21"/>
          <w:highlight w:val="none"/>
          <w:lang w:val="en-US" w:eastAsia="zh-CN"/>
        </w:rPr>
        <w:t>是否符合安全生产</w:t>
      </w:r>
      <w:r>
        <w:rPr>
          <w:rFonts w:ascii="Times New Roman" w:hAnsi="Times New Roman" w:eastAsia="宋体" w:cs="Times New Roman"/>
          <w:bCs/>
          <w:kern w:val="0"/>
          <w:sz w:val="21"/>
          <w:szCs w:val="21"/>
          <w:highlight w:val="none"/>
        </w:rPr>
        <w:t>有关</w:t>
      </w:r>
      <w:r>
        <w:rPr>
          <w:rFonts w:hint="eastAsia"/>
          <w:highlight w:val="none"/>
        </w:rPr>
        <w:t>法律、法规、规章、标准、规范</w:t>
      </w:r>
      <w:r>
        <w:rPr>
          <w:rFonts w:hint="eastAsia" w:ascii="Times New Roman" w:cs="Times New Roman"/>
          <w:bCs/>
          <w:kern w:val="0"/>
          <w:sz w:val="21"/>
          <w:szCs w:val="21"/>
          <w:highlight w:val="none"/>
          <w:lang w:val="en-US" w:eastAsia="zh-CN"/>
        </w:rPr>
        <w:t>的</w:t>
      </w:r>
      <w:r>
        <w:rPr>
          <w:rFonts w:ascii="Times New Roman" w:hAnsi="Times New Roman" w:eastAsia="宋体" w:cs="Times New Roman"/>
          <w:bCs/>
          <w:kern w:val="0"/>
          <w:sz w:val="21"/>
          <w:szCs w:val="21"/>
          <w:highlight w:val="none"/>
        </w:rPr>
        <w:t>要求</w:t>
      </w:r>
      <w:r>
        <w:rPr>
          <w:rFonts w:hint="eastAsia" w:ascii="Times New Roman" w:eastAsia="宋体" w:cs="Times New Roman"/>
          <w:bCs/>
          <w:kern w:val="0"/>
          <w:sz w:val="21"/>
          <w:szCs w:val="21"/>
          <w:highlight w:val="none"/>
          <w:lang w:eastAsia="zh-CN"/>
        </w:rPr>
        <w:t>，</w:t>
      </w:r>
      <w:r>
        <w:rPr>
          <w:rFonts w:hint="eastAsia" w:ascii="Times New Roman" w:eastAsia="宋体" w:cs="Times New Roman"/>
          <w:bCs/>
          <w:kern w:val="0"/>
          <w:sz w:val="21"/>
          <w:szCs w:val="21"/>
          <w:highlight w:val="none"/>
          <w:lang w:val="en-US" w:eastAsia="zh-CN"/>
        </w:rPr>
        <w:t>给出明确结论</w:t>
      </w:r>
      <w:r>
        <w:rPr>
          <w:rFonts w:ascii="Times New Roman" w:hAnsi="Times New Roman" w:eastAsia="宋体" w:cs="Times New Roman"/>
          <w:bCs/>
          <w:kern w:val="0"/>
          <w:sz w:val="21"/>
          <w:szCs w:val="21"/>
          <w:highlight w:val="none"/>
        </w:rPr>
        <w:t>。</w:t>
      </w:r>
    </w:p>
    <w:p w14:paraId="47653E93">
      <w:pPr>
        <w:pStyle w:val="107"/>
        <w:spacing w:before="240" w:after="240"/>
      </w:pPr>
      <w:bookmarkStart w:id="193" w:name="_Toc31651"/>
      <w:r>
        <w:rPr>
          <w:rFonts w:hint="eastAsia"/>
        </w:rPr>
        <w:t>报告</w:t>
      </w:r>
      <w:r>
        <w:rPr>
          <w:rFonts w:hint="eastAsia"/>
          <w:lang w:val="en-US" w:eastAsia="zh-CN"/>
        </w:rPr>
        <w:t>格式</w:t>
      </w:r>
      <w:r>
        <w:rPr>
          <w:rFonts w:hint="eastAsia"/>
          <w:highlight w:val="none"/>
        </w:rPr>
        <w:t>要求</w:t>
      </w:r>
      <w:bookmarkEnd w:id="193"/>
    </w:p>
    <w:p w14:paraId="6DC1D9D2">
      <w:pPr>
        <w:pStyle w:val="108"/>
        <w:spacing w:before="120" w:after="120"/>
        <w:rPr>
          <w:highlight w:val="none"/>
        </w:rPr>
      </w:pPr>
      <w:bookmarkStart w:id="194" w:name="_Toc23060"/>
      <w:bookmarkStart w:id="195" w:name="_Toc17160"/>
      <w:bookmarkStart w:id="196" w:name="_Toc20499"/>
      <w:bookmarkStart w:id="197" w:name="_Toc18928"/>
      <w:r>
        <w:rPr>
          <w:rFonts w:hint="eastAsia"/>
          <w:highlight w:val="none"/>
        </w:rPr>
        <w:t>报告格式</w:t>
      </w:r>
      <w:bookmarkEnd w:id="194"/>
      <w:bookmarkEnd w:id="195"/>
      <w:bookmarkEnd w:id="196"/>
      <w:bookmarkEnd w:id="197"/>
    </w:p>
    <w:p w14:paraId="00E9E4B6">
      <w:pPr>
        <w:pStyle w:val="59"/>
        <w:ind w:firstLine="420"/>
        <w:rPr>
          <w:rFonts w:hint="eastAsia"/>
          <w:highlight w:val="none"/>
        </w:rPr>
      </w:pPr>
      <w:r>
        <w:rPr>
          <w:rFonts w:hint="eastAsia"/>
          <w:highlight w:val="none"/>
        </w:rPr>
        <w:t>安全预评价报告格式应符合附录B的规定。</w:t>
      </w:r>
    </w:p>
    <w:p w14:paraId="22D0EF38">
      <w:pPr>
        <w:pStyle w:val="108"/>
        <w:spacing w:before="120" w:after="120"/>
        <w:rPr>
          <w:highlight w:val="none"/>
        </w:rPr>
      </w:pPr>
      <w:bookmarkStart w:id="198" w:name="_Toc15316"/>
      <w:bookmarkStart w:id="199" w:name="_Toc14471"/>
      <w:bookmarkStart w:id="200" w:name="_Toc15624"/>
      <w:bookmarkStart w:id="201" w:name="_Toc12924"/>
      <w:bookmarkStart w:id="202" w:name="OLE_LINK51"/>
      <w:bookmarkStart w:id="203" w:name="OLE_LINK52"/>
      <w:r>
        <w:rPr>
          <w:rFonts w:hint="eastAsia"/>
          <w:highlight w:val="none"/>
        </w:rPr>
        <w:t>附件与附图</w:t>
      </w:r>
      <w:bookmarkEnd w:id="198"/>
      <w:bookmarkEnd w:id="199"/>
      <w:bookmarkEnd w:id="200"/>
      <w:bookmarkEnd w:id="201"/>
      <w:bookmarkEnd w:id="202"/>
      <w:bookmarkEnd w:id="203"/>
    </w:p>
    <w:p w14:paraId="753AC71B">
      <w:pPr>
        <w:pStyle w:val="59"/>
        <w:ind w:firstLine="420"/>
        <w:rPr>
          <w:rFonts w:hint="default" w:eastAsia="宋体"/>
          <w:highlight w:val="none"/>
          <w:lang w:val="en-US" w:eastAsia="zh-CN"/>
        </w:rPr>
      </w:pPr>
      <w:r>
        <w:rPr>
          <w:rFonts w:hint="eastAsia"/>
          <w:highlight w:val="none"/>
          <w:lang w:val="en-US" w:eastAsia="zh-CN"/>
        </w:rPr>
        <w:t>报告附件与附图应包括但不限于以下内容：</w:t>
      </w:r>
    </w:p>
    <w:p w14:paraId="74C12A6F">
      <w:pPr>
        <w:pStyle w:val="59"/>
        <w:ind w:firstLine="420"/>
        <w:rPr>
          <w:rFonts w:hint="eastAsia" w:eastAsia="宋体"/>
          <w:highlight w:val="none"/>
          <w:lang w:eastAsia="zh-CN"/>
        </w:rPr>
      </w:pPr>
      <w:r>
        <w:rPr>
          <w:rFonts w:hint="eastAsia"/>
          <w:highlight w:val="none"/>
        </w:rPr>
        <w:t>a)</w:t>
      </w:r>
      <w:r>
        <w:rPr>
          <w:rFonts w:hint="eastAsia"/>
          <w:highlight w:val="none"/>
        </w:rPr>
        <w:tab/>
      </w:r>
      <w:r>
        <w:rPr>
          <w:rFonts w:hint="eastAsia"/>
          <w:highlight w:val="none"/>
        </w:rPr>
        <w:t>建设项目立项批复文件</w:t>
      </w:r>
      <w:r>
        <w:rPr>
          <w:rFonts w:hint="eastAsia"/>
          <w:highlight w:val="none"/>
          <w:lang w:eastAsia="zh-CN"/>
        </w:rPr>
        <w:t>，</w:t>
      </w:r>
      <w:r>
        <w:rPr>
          <w:rFonts w:hint="eastAsia"/>
          <w:highlight w:val="none"/>
          <w:lang w:val="en-US" w:eastAsia="zh-CN"/>
        </w:rPr>
        <w:t>安全评价合同或委托书</w:t>
      </w:r>
      <w:r>
        <w:rPr>
          <w:rFonts w:hint="eastAsia"/>
          <w:highlight w:val="none"/>
          <w:lang w:eastAsia="zh-CN"/>
        </w:rPr>
        <w:t>；</w:t>
      </w:r>
    </w:p>
    <w:p w14:paraId="61A3EA93">
      <w:pPr>
        <w:pStyle w:val="59"/>
        <w:ind w:firstLine="420"/>
        <w:rPr>
          <w:highlight w:val="none"/>
        </w:rPr>
      </w:pPr>
      <w:r>
        <w:rPr>
          <w:rFonts w:hint="eastAsia"/>
          <w:highlight w:val="none"/>
        </w:rPr>
        <w:t>b)</w:t>
      </w:r>
      <w:r>
        <w:rPr>
          <w:rFonts w:hint="eastAsia"/>
          <w:highlight w:val="none"/>
        </w:rPr>
        <w:tab/>
      </w:r>
      <w:r>
        <w:rPr>
          <w:rFonts w:hint="eastAsia"/>
          <w:highlight w:val="none"/>
        </w:rPr>
        <w:t>平面布置图、工艺流程图。</w:t>
      </w:r>
    </w:p>
    <w:p w14:paraId="0D9D307C">
      <w:pPr>
        <w:pStyle w:val="59"/>
        <w:ind w:firstLine="420"/>
        <w:rPr>
          <w:rFonts w:hint="eastAsia"/>
          <w:highlight w:val="none"/>
        </w:rPr>
      </w:pPr>
    </w:p>
    <w:p w14:paraId="56667EB8">
      <w:pPr>
        <w:pStyle w:val="59"/>
        <w:ind w:firstLine="420"/>
      </w:pPr>
    </w:p>
    <w:p w14:paraId="668C106E">
      <w:pPr>
        <w:pStyle w:val="59"/>
        <w:ind w:firstLine="420"/>
      </w:pPr>
    </w:p>
    <w:p w14:paraId="2B0A93C4">
      <w:pPr>
        <w:pStyle w:val="59"/>
        <w:ind w:firstLine="420"/>
      </w:pPr>
    </w:p>
    <w:p w14:paraId="34BB7915">
      <w:pPr>
        <w:pStyle w:val="59"/>
        <w:ind w:firstLine="420"/>
        <w:sectPr>
          <w:footerReference r:id="rId16" w:type="default"/>
          <w:footerReference r:id="rId17" w:type="even"/>
          <w:type w:val="continuous"/>
          <w:pgSz w:w="11906" w:h="16838"/>
          <w:pgMar w:top="1928" w:right="1134" w:bottom="1134" w:left="1134" w:header="1418" w:footer="1134" w:gutter="284"/>
          <w:pgNumType w:fmt="decimal" w:start="1"/>
          <w:cols w:space="425" w:num="1"/>
          <w:formProt w:val="0"/>
          <w:docGrid w:linePitch="312" w:charSpace="0"/>
        </w:sectPr>
      </w:pPr>
    </w:p>
    <w:bookmarkEnd w:id="23"/>
    <w:p w14:paraId="44AB201C">
      <w:pPr>
        <w:pStyle w:val="201"/>
        <w:rPr>
          <w:vanish w:val="0"/>
        </w:rPr>
      </w:pPr>
      <w:bookmarkStart w:id="204" w:name="BookMark5"/>
    </w:p>
    <w:p w14:paraId="0EDE24E5">
      <w:pPr>
        <w:pStyle w:val="202"/>
        <w:rPr>
          <w:vanish w:val="0"/>
        </w:rPr>
      </w:pPr>
    </w:p>
    <w:p w14:paraId="203CEBBF">
      <w:pPr>
        <w:pStyle w:val="79"/>
        <w:spacing w:after="120"/>
      </w:pPr>
      <w:bookmarkStart w:id="205" w:name="_Toc25837"/>
      <w:r>
        <w:br w:type="textWrapping"/>
      </w:r>
      <w:r>
        <w:rPr>
          <w:rFonts w:hint="eastAsia"/>
        </w:rPr>
        <w:t>（资料性）</w:t>
      </w:r>
      <w:r>
        <w:br w:type="textWrapping"/>
      </w:r>
      <w:r>
        <w:rPr>
          <w:rFonts w:hint="eastAsia"/>
        </w:rPr>
        <w:t>常用的安全预评价方法</w:t>
      </w:r>
      <w:bookmarkEnd w:id="205"/>
    </w:p>
    <w:p w14:paraId="67E47418">
      <w:pPr>
        <w:pStyle w:val="59"/>
        <w:ind w:firstLine="420"/>
      </w:pPr>
      <w:r>
        <w:rPr>
          <w:rFonts w:hint="eastAsia"/>
        </w:rPr>
        <w:t>常用的</w:t>
      </w:r>
      <w:r>
        <w:rPr>
          <w:rFonts w:hint="eastAsia"/>
          <w:lang w:val="en-US" w:eastAsia="zh-CN"/>
        </w:rPr>
        <w:t>安全预</w:t>
      </w:r>
      <w:r>
        <w:rPr>
          <w:rFonts w:hint="eastAsia"/>
        </w:rPr>
        <w:t>评价方法见表A.1。</w:t>
      </w:r>
    </w:p>
    <w:p w14:paraId="24329BF1">
      <w:pPr>
        <w:pStyle w:val="80"/>
        <w:spacing w:before="120" w:after="120"/>
      </w:pPr>
      <w:r>
        <w:rPr>
          <w:rFonts w:hint="eastAsia"/>
        </w:rPr>
        <w:t>各单元常用的</w:t>
      </w:r>
      <w:r>
        <w:rPr>
          <w:rFonts w:hint="eastAsia"/>
          <w:lang w:val="en-US" w:eastAsia="zh-CN"/>
        </w:rPr>
        <w:t>安全预</w:t>
      </w:r>
      <w:r>
        <w:rPr>
          <w:rFonts w:hint="eastAsia"/>
        </w:rPr>
        <w:t>评价方法</w:t>
      </w:r>
    </w:p>
    <w:tbl>
      <w:tblPr>
        <w:tblStyle w:val="29"/>
        <w:tblW w:w="4995" w:type="pct"/>
        <w:tblInd w:w="16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842"/>
        <w:gridCol w:w="2647"/>
        <w:gridCol w:w="5912"/>
      </w:tblGrid>
      <w:tr w14:paraId="654EA3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48" w:type="pct"/>
            <w:tcBorders>
              <w:top w:val="single" w:color="auto" w:sz="8" w:space="0"/>
              <w:left w:val="single" w:color="auto" w:sz="8" w:space="0"/>
              <w:bottom w:val="single" w:color="auto" w:sz="8" w:space="0"/>
              <w:right w:val="single" w:color="auto" w:sz="4" w:space="0"/>
            </w:tcBorders>
            <w:tcMar>
              <w:left w:w="28" w:type="dxa"/>
              <w:right w:w="28" w:type="dxa"/>
            </w:tcMar>
            <w:vAlign w:val="center"/>
          </w:tcPr>
          <w:p w14:paraId="4B6EF7BB">
            <w:pPr>
              <w:widowControl/>
              <w:overflowPunct w:val="0"/>
              <w:autoSpaceDE w:val="0"/>
              <w:autoSpaceDN w:val="0"/>
              <w:spacing w:before="40" w:after="40" w:line="240" w:lineRule="auto"/>
              <w:jc w:val="center"/>
              <w:textAlignment w:val="baseline"/>
              <w:rPr>
                <w:b/>
                <w:color w:val="000000"/>
                <w:kern w:val="0"/>
                <w:sz w:val="18"/>
                <w:szCs w:val="18"/>
              </w:rPr>
            </w:pPr>
            <w:r>
              <w:rPr>
                <w:rFonts w:hint="eastAsia" w:ascii="宋体" w:hAnsi="宋体" w:cs="宋体"/>
                <w:b/>
                <w:color w:val="000000"/>
                <w:kern w:val="0"/>
                <w:sz w:val="18"/>
                <w:szCs w:val="18"/>
              </w:rPr>
              <w:t>序号</w:t>
            </w:r>
          </w:p>
        </w:tc>
        <w:tc>
          <w:tcPr>
            <w:tcW w:w="1408" w:type="pct"/>
            <w:tcBorders>
              <w:top w:val="single" w:color="auto" w:sz="8" w:space="0"/>
              <w:left w:val="single" w:color="auto" w:sz="4" w:space="0"/>
              <w:bottom w:val="single" w:color="auto" w:sz="8" w:space="0"/>
              <w:right w:val="single" w:color="auto" w:sz="4" w:space="0"/>
            </w:tcBorders>
            <w:tcMar>
              <w:left w:w="28" w:type="dxa"/>
              <w:right w:w="28" w:type="dxa"/>
            </w:tcMar>
            <w:vAlign w:val="center"/>
          </w:tcPr>
          <w:p w14:paraId="5500A420">
            <w:pPr>
              <w:widowControl/>
              <w:overflowPunct w:val="0"/>
              <w:autoSpaceDE w:val="0"/>
              <w:autoSpaceDN w:val="0"/>
              <w:spacing w:before="40" w:after="40" w:line="240" w:lineRule="auto"/>
              <w:jc w:val="center"/>
              <w:textAlignment w:val="baseline"/>
              <w:rPr>
                <w:b/>
                <w:color w:val="000000"/>
                <w:kern w:val="0"/>
                <w:sz w:val="18"/>
                <w:szCs w:val="18"/>
              </w:rPr>
            </w:pPr>
            <w:r>
              <w:rPr>
                <w:rFonts w:hint="eastAsia" w:ascii="宋体" w:hAnsi="宋体" w:cs="宋体"/>
                <w:b/>
                <w:color w:val="000000"/>
                <w:kern w:val="0"/>
                <w:sz w:val="18"/>
                <w:szCs w:val="18"/>
              </w:rPr>
              <w:t>评价单元</w:t>
            </w:r>
          </w:p>
        </w:tc>
        <w:tc>
          <w:tcPr>
            <w:tcW w:w="3144" w:type="pct"/>
            <w:tcBorders>
              <w:top w:val="single" w:color="auto" w:sz="8" w:space="0"/>
              <w:left w:val="single" w:color="auto" w:sz="4" w:space="0"/>
              <w:bottom w:val="single" w:color="auto" w:sz="8" w:space="0"/>
              <w:right w:val="single" w:color="auto" w:sz="8" w:space="0"/>
            </w:tcBorders>
            <w:tcMar>
              <w:left w:w="28" w:type="dxa"/>
              <w:right w:w="28" w:type="dxa"/>
            </w:tcMar>
            <w:vAlign w:val="center"/>
          </w:tcPr>
          <w:p w14:paraId="0A994AE6">
            <w:pPr>
              <w:widowControl/>
              <w:overflowPunct w:val="0"/>
              <w:autoSpaceDE w:val="0"/>
              <w:autoSpaceDN w:val="0"/>
              <w:spacing w:before="40" w:after="40" w:line="240" w:lineRule="auto"/>
              <w:jc w:val="center"/>
              <w:textAlignment w:val="baseline"/>
              <w:rPr>
                <w:b/>
                <w:color w:val="000000"/>
                <w:kern w:val="0"/>
                <w:sz w:val="18"/>
                <w:szCs w:val="18"/>
              </w:rPr>
            </w:pPr>
            <w:r>
              <w:rPr>
                <w:rFonts w:hint="eastAsia" w:ascii="宋体" w:hAnsi="宋体" w:cs="宋体"/>
                <w:b/>
                <w:color w:val="000000"/>
                <w:kern w:val="0"/>
                <w:sz w:val="18"/>
                <w:szCs w:val="18"/>
                <w:lang w:val="en-US" w:eastAsia="zh-CN"/>
              </w:rPr>
              <w:t>可选</w:t>
            </w:r>
            <w:r>
              <w:rPr>
                <w:rFonts w:hint="eastAsia" w:ascii="宋体" w:hAnsi="宋体" w:cs="宋体"/>
                <w:b/>
                <w:color w:val="000000"/>
                <w:kern w:val="0"/>
                <w:sz w:val="18"/>
                <w:szCs w:val="18"/>
              </w:rPr>
              <w:t>评价方法</w:t>
            </w:r>
          </w:p>
        </w:tc>
      </w:tr>
      <w:tr w14:paraId="0C03DA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61" w:hRule="atLeast"/>
        </w:trPr>
        <w:tc>
          <w:tcPr>
            <w:tcW w:w="448" w:type="pct"/>
            <w:tcBorders>
              <w:top w:val="single" w:color="auto" w:sz="8" w:space="0"/>
              <w:left w:val="single" w:color="auto" w:sz="8" w:space="0"/>
              <w:bottom w:val="single" w:color="auto" w:sz="4" w:space="0"/>
              <w:right w:val="single" w:color="auto" w:sz="4" w:space="0"/>
            </w:tcBorders>
            <w:tcMar>
              <w:left w:w="28" w:type="dxa"/>
              <w:right w:w="28" w:type="dxa"/>
            </w:tcMar>
            <w:vAlign w:val="center"/>
          </w:tcPr>
          <w:p w14:paraId="1ABE6338">
            <w:pPr>
              <w:widowControl/>
              <w:overflowPunct w:val="0"/>
              <w:autoSpaceDE w:val="0"/>
              <w:autoSpaceDN w:val="0"/>
              <w:spacing w:before="40" w:after="40" w:line="240" w:lineRule="auto"/>
              <w:jc w:val="center"/>
              <w:textAlignment w:val="baseline"/>
              <w:rPr>
                <w:color w:val="000000"/>
                <w:kern w:val="0"/>
                <w:sz w:val="18"/>
                <w:szCs w:val="18"/>
              </w:rPr>
            </w:pPr>
            <w:r>
              <w:rPr>
                <w:color w:val="000000"/>
                <w:kern w:val="0"/>
                <w:sz w:val="18"/>
                <w:szCs w:val="18"/>
              </w:rPr>
              <w:t>1</w:t>
            </w:r>
          </w:p>
        </w:tc>
        <w:tc>
          <w:tcPr>
            <w:tcW w:w="1408" w:type="pct"/>
            <w:tcBorders>
              <w:top w:val="single" w:color="auto" w:sz="8" w:space="0"/>
              <w:left w:val="single" w:color="auto" w:sz="4" w:space="0"/>
              <w:bottom w:val="single" w:color="auto" w:sz="4" w:space="0"/>
              <w:right w:val="single" w:color="auto" w:sz="4" w:space="0"/>
            </w:tcBorders>
            <w:tcMar>
              <w:left w:w="28" w:type="dxa"/>
              <w:right w:w="28" w:type="dxa"/>
            </w:tcMar>
            <w:vAlign w:val="center"/>
          </w:tcPr>
          <w:p w14:paraId="2B91E9E8">
            <w:pPr>
              <w:widowControl/>
              <w:overflowPunct w:val="0"/>
              <w:autoSpaceDE w:val="0"/>
              <w:autoSpaceDN w:val="0"/>
              <w:spacing w:before="40" w:after="40" w:line="240" w:lineRule="auto"/>
              <w:jc w:val="center"/>
              <w:textAlignment w:val="baseline"/>
              <w:rPr>
                <w:color w:val="000000"/>
                <w:kern w:val="0"/>
                <w:sz w:val="18"/>
                <w:szCs w:val="18"/>
              </w:rPr>
            </w:pPr>
            <w:r>
              <w:rPr>
                <w:rFonts w:hint="eastAsia" w:ascii="宋体" w:hAnsi="宋体" w:cs="宋体"/>
                <w:color w:val="000000"/>
                <w:kern w:val="0"/>
                <w:sz w:val="18"/>
                <w:szCs w:val="18"/>
              </w:rPr>
              <w:t>钻井工程单元</w:t>
            </w:r>
          </w:p>
        </w:tc>
        <w:tc>
          <w:tcPr>
            <w:tcW w:w="3144" w:type="pct"/>
            <w:tcBorders>
              <w:top w:val="single" w:color="auto" w:sz="8" w:space="0"/>
              <w:left w:val="single" w:color="auto" w:sz="4" w:space="0"/>
              <w:bottom w:val="single" w:color="auto" w:sz="4" w:space="0"/>
              <w:right w:val="single" w:color="auto" w:sz="8" w:space="0"/>
            </w:tcBorders>
            <w:tcMar>
              <w:left w:w="28" w:type="dxa"/>
              <w:right w:w="28" w:type="dxa"/>
            </w:tcMar>
            <w:vAlign w:val="center"/>
          </w:tcPr>
          <w:p w14:paraId="7DAA71F6">
            <w:pPr>
              <w:spacing w:line="240" w:lineRule="auto"/>
              <w:jc w:val="left"/>
              <w:rPr>
                <w:rFonts w:hint="eastAsia" w:eastAsia="宋体"/>
                <w:color w:val="000000"/>
                <w:sz w:val="18"/>
                <w:szCs w:val="18"/>
                <w:lang w:eastAsia="zh-CN"/>
              </w:rPr>
            </w:pPr>
            <w:r>
              <w:rPr>
                <w:rFonts w:hint="eastAsia" w:ascii="宋体" w:hAnsi="宋体" w:cs="宋体"/>
                <w:color w:val="000000"/>
                <w:sz w:val="18"/>
                <w:szCs w:val="18"/>
              </w:rPr>
              <w:t>专家评议法、安全检查表法、预先危险性分析法、</w:t>
            </w:r>
            <w:r>
              <w:rPr>
                <w:rFonts w:hint="eastAsia" w:ascii="宋体" w:hAnsi="宋体" w:cs="宋体"/>
                <w:sz w:val="18"/>
                <w:szCs w:val="18"/>
              </w:rPr>
              <w:t>事故树分析</w:t>
            </w:r>
            <w:r>
              <w:rPr>
                <w:rFonts w:hint="eastAsia" w:ascii="宋体" w:hAnsi="宋体" w:cs="宋体"/>
                <w:sz w:val="18"/>
                <w:szCs w:val="18"/>
                <w:lang w:val="en-US" w:eastAsia="zh-CN"/>
              </w:rPr>
              <w:t>法</w:t>
            </w:r>
            <w:r>
              <w:rPr>
                <w:rFonts w:hint="eastAsia" w:ascii="宋体" w:hAnsi="宋体" w:cs="宋体"/>
                <w:sz w:val="18"/>
                <w:szCs w:val="18"/>
              </w:rPr>
              <w:t>、事件树分析</w:t>
            </w:r>
            <w:r>
              <w:rPr>
                <w:rFonts w:hint="eastAsia" w:ascii="宋体" w:hAnsi="宋体" w:cs="宋体"/>
                <w:sz w:val="18"/>
                <w:szCs w:val="18"/>
                <w:lang w:val="en-US" w:eastAsia="zh-CN"/>
              </w:rPr>
              <w:t>法</w:t>
            </w:r>
            <w:r>
              <w:rPr>
                <w:rFonts w:hint="eastAsia" w:ascii="宋体" w:hAnsi="宋体" w:cs="宋体"/>
                <w:sz w:val="18"/>
                <w:szCs w:val="18"/>
              </w:rPr>
              <w:t>、风险矩阵法</w:t>
            </w:r>
            <w:r>
              <w:rPr>
                <w:rFonts w:hint="eastAsia" w:ascii="宋体" w:hAnsi="宋体" w:cs="宋体"/>
                <w:sz w:val="18"/>
                <w:szCs w:val="18"/>
                <w:lang w:eastAsia="zh-CN"/>
              </w:rPr>
              <w:t>。</w:t>
            </w:r>
          </w:p>
        </w:tc>
      </w:tr>
      <w:tr w14:paraId="49FD6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48" w:type="pct"/>
            <w:tcBorders>
              <w:top w:val="single" w:color="auto" w:sz="4" w:space="0"/>
              <w:left w:val="single" w:color="auto" w:sz="8" w:space="0"/>
              <w:bottom w:val="single" w:color="auto" w:sz="4" w:space="0"/>
              <w:right w:val="single" w:color="auto" w:sz="4" w:space="0"/>
            </w:tcBorders>
            <w:tcMar>
              <w:left w:w="28" w:type="dxa"/>
              <w:right w:w="28" w:type="dxa"/>
            </w:tcMar>
            <w:vAlign w:val="center"/>
          </w:tcPr>
          <w:p w14:paraId="683961C0">
            <w:pPr>
              <w:widowControl/>
              <w:overflowPunct w:val="0"/>
              <w:autoSpaceDE w:val="0"/>
              <w:autoSpaceDN w:val="0"/>
              <w:spacing w:before="40" w:after="40" w:line="240" w:lineRule="auto"/>
              <w:jc w:val="center"/>
              <w:textAlignment w:val="baseline"/>
              <w:rPr>
                <w:color w:val="000000"/>
                <w:kern w:val="0"/>
                <w:sz w:val="18"/>
                <w:szCs w:val="18"/>
              </w:rPr>
            </w:pPr>
            <w:r>
              <w:rPr>
                <w:color w:val="000000"/>
                <w:kern w:val="0"/>
                <w:sz w:val="18"/>
                <w:szCs w:val="18"/>
              </w:rPr>
              <w:t>2</w:t>
            </w:r>
          </w:p>
        </w:tc>
        <w:tc>
          <w:tcPr>
            <w:tcW w:w="1408"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2FB7CB41">
            <w:pPr>
              <w:widowControl/>
              <w:overflowPunct w:val="0"/>
              <w:autoSpaceDE w:val="0"/>
              <w:autoSpaceDN w:val="0"/>
              <w:spacing w:before="40" w:after="40" w:line="240" w:lineRule="auto"/>
              <w:jc w:val="center"/>
              <w:textAlignment w:val="baseline"/>
              <w:rPr>
                <w:color w:val="000000"/>
                <w:kern w:val="0"/>
                <w:sz w:val="18"/>
                <w:szCs w:val="18"/>
              </w:rPr>
            </w:pPr>
            <w:r>
              <w:rPr>
                <w:rFonts w:hint="eastAsia" w:ascii="宋体" w:hAnsi="宋体" w:cs="宋体"/>
                <w:color w:val="000000"/>
                <w:kern w:val="0"/>
                <w:sz w:val="18"/>
                <w:szCs w:val="18"/>
              </w:rPr>
              <w:t>采油（气）工程单元</w:t>
            </w:r>
          </w:p>
        </w:tc>
        <w:tc>
          <w:tcPr>
            <w:tcW w:w="3144" w:type="pct"/>
            <w:tcBorders>
              <w:top w:val="single" w:color="auto" w:sz="4" w:space="0"/>
              <w:left w:val="single" w:color="auto" w:sz="4" w:space="0"/>
              <w:bottom w:val="single" w:color="auto" w:sz="4" w:space="0"/>
              <w:right w:val="single" w:color="auto" w:sz="8" w:space="0"/>
            </w:tcBorders>
            <w:tcMar>
              <w:left w:w="28" w:type="dxa"/>
              <w:right w:w="28" w:type="dxa"/>
            </w:tcMar>
            <w:vAlign w:val="center"/>
          </w:tcPr>
          <w:p w14:paraId="46993B9A">
            <w:pPr>
              <w:widowControl/>
              <w:overflowPunct w:val="0"/>
              <w:autoSpaceDE w:val="0"/>
              <w:autoSpaceDN w:val="0"/>
              <w:spacing w:before="40" w:after="40" w:line="240" w:lineRule="auto"/>
              <w:jc w:val="left"/>
              <w:textAlignment w:val="baseline"/>
              <w:rPr>
                <w:rFonts w:hint="eastAsia" w:eastAsia="宋体"/>
                <w:color w:val="000000"/>
                <w:kern w:val="0"/>
                <w:sz w:val="18"/>
                <w:szCs w:val="18"/>
                <w:lang w:eastAsia="zh-CN"/>
              </w:rPr>
            </w:pPr>
            <w:r>
              <w:rPr>
                <w:rFonts w:hint="eastAsia" w:ascii="宋体" w:hAnsi="宋体" w:cs="宋体"/>
                <w:color w:val="000000"/>
                <w:kern w:val="0"/>
                <w:sz w:val="18"/>
                <w:szCs w:val="18"/>
              </w:rPr>
              <w:t>专家评议法、安全检查表法、预先危险性分析法、</w:t>
            </w:r>
            <w:r>
              <w:rPr>
                <w:rFonts w:hint="eastAsia" w:ascii="宋体" w:hAnsi="宋体" w:cs="宋体"/>
                <w:kern w:val="0"/>
                <w:sz w:val="18"/>
                <w:szCs w:val="18"/>
              </w:rPr>
              <w:t>事故树分析</w:t>
            </w:r>
            <w:r>
              <w:rPr>
                <w:rFonts w:hint="eastAsia" w:ascii="宋体" w:hAnsi="宋体" w:cs="宋体"/>
                <w:sz w:val="18"/>
                <w:szCs w:val="18"/>
                <w:lang w:val="en-US" w:eastAsia="zh-CN"/>
              </w:rPr>
              <w:t>法</w:t>
            </w:r>
            <w:r>
              <w:rPr>
                <w:rFonts w:hint="eastAsia" w:ascii="宋体" w:hAnsi="宋体" w:cs="宋体"/>
                <w:kern w:val="0"/>
                <w:sz w:val="18"/>
                <w:szCs w:val="18"/>
              </w:rPr>
              <w:t>、事件树分析</w:t>
            </w:r>
            <w:r>
              <w:rPr>
                <w:rFonts w:hint="eastAsia" w:ascii="宋体" w:hAnsi="宋体" w:cs="宋体"/>
                <w:sz w:val="18"/>
                <w:szCs w:val="18"/>
                <w:lang w:val="en-US" w:eastAsia="zh-CN"/>
              </w:rPr>
              <w:t>法</w:t>
            </w:r>
            <w:r>
              <w:rPr>
                <w:rFonts w:hint="eastAsia" w:ascii="宋体" w:hAnsi="宋体" w:cs="宋体"/>
                <w:kern w:val="0"/>
                <w:sz w:val="18"/>
                <w:szCs w:val="18"/>
              </w:rPr>
              <w:t>、风险矩阵法</w:t>
            </w:r>
            <w:r>
              <w:rPr>
                <w:rFonts w:hint="eastAsia" w:ascii="宋体" w:hAnsi="宋体" w:cs="宋体"/>
                <w:kern w:val="0"/>
                <w:sz w:val="18"/>
                <w:szCs w:val="18"/>
                <w:lang w:eastAsia="zh-CN"/>
              </w:rPr>
              <w:t>。</w:t>
            </w:r>
          </w:p>
        </w:tc>
      </w:tr>
      <w:tr w14:paraId="4A2649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48" w:type="pct"/>
            <w:tcBorders>
              <w:top w:val="single" w:color="auto" w:sz="4" w:space="0"/>
              <w:left w:val="single" w:color="auto" w:sz="8" w:space="0"/>
              <w:bottom w:val="single" w:color="auto" w:sz="4" w:space="0"/>
              <w:right w:val="single" w:color="auto" w:sz="4" w:space="0"/>
            </w:tcBorders>
            <w:tcMar>
              <w:left w:w="28" w:type="dxa"/>
              <w:right w:w="28" w:type="dxa"/>
            </w:tcMar>
            <w:vAlign w:val="center"/>
          </w:tcPr>
          <w:p w14:paraId="4F14CFD4">
            <w:pPr>
              <w:widowControl/>
              <w:overflowPunct w:val="0"/>
              <w:autoSpaceDE w:val="0"/>
              <w:autoSpaceDN w:val="0"/>
              <w:spacing w:before="40" w:after="40" w:line="240" w:lineRule="auto"/>
              <w:jc w:val="center"/>
              <w:textAlignment w:val="baseline"/>
              <w:rPr>
                <w:color w:val="000000"/>
                <w:kern w:val="0"/>
                <w:sz w:val="18"/>
                <w:szCs w:val="18"/>
              </w:rPr>
            </w:pPr>
            <w:r>
              <w:rPr>
                <w:color w:val="000000"/>
                <w:kern w:val="0"/>
                <w:sz w:val="18"/>
                <w:szCs w:val="18"/>
              </w:rPr>
              <w:t>3</w:t>
            </w:r>
          </w:p>
        </w:tc>
        <w:tc>
          <w:tcPr>
            <w:tcW w:w="1408"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EE7D81E">
            <w:pPr>
              <w:widowControl/>
              <w:overflowPunct w:val="0"/>
              <w:autoSpaceDE w:val="0"/>
              <w:autoSpaceDN w:val="0"/>
              <w:spacing w:before="40" w:after="40" w:line="240" w:lineRule="auto"/>
              <w:jc w:val="center"/>
              <w:textAlignment w:val="baseline"/>
              <w:rPr>
                <w:color w:val="000000"/>
                <w:kern w:val="0"/>
                <w:sz w:val="18"/>
                <w:szCs w:val="18"/>
              </w:rPr>
            </w:pPr>
            <w:r>
              <w:rPr>
                <w:rFonts w:hint="eastAsia" w:ascii="宋体" w:hAnsi="宋体" w:cs="宋体"/>
                <w:kern w:val="0"/>
                <w:sz w:val="18"/>
                <w:szCs w:val="18"/>
              </w:rPr>
              <w:t>总图布置及结构单元</w:t>
            </w:r>
          </w:p>
        </w:tc>
        <w:tc>
          <w:tcPr>
            <w:tcW w:w="3144" w:type="pct"/>
            <w:tcBorders>
              <w:top w:val="single" w:color="auto" w:sz="4" w:space="0"/>
              <w:left w:val="single" w:color="auto" w:sz="4" w:space="0"/>
              <w:bottom w:val="single" w:color="auto" w:sz="4" w:space="0"/>
              <w:right w:val="single" w:color="auto" w:sz="8" w:space="0"/>
            </w:tcBorders>
            <w:tcMar>
              <w:left w:w="28" w:type="dxa"/>
              <w:right w:w="28" w:type="dxa"/>
            </w:tcMar>
            <w:vAlign w:val="center"/>
          </w:tcPr>
          <w:p w14:paraId="38551C4B">
            <w:pPr>
              <w:widowControl/>
              <w:overflowPunct w:val="0"/>
              <w:autoSpaceDE w:val="0"/>
              <w:autoSpaceDN w:val="0"/>
              <w:spacing w:before="40" w:after="40" w:line="240" w:lineRule="auto"/>
              <w:jc w:val="left"/>
              <w:textAlignment w:val="baseline"/>
              <w:rPr>
                <w:color w:val="000000"/>
                <w:kern w:val="0"/>
                <w:sz w:val="18"/>
                <w:szCs w:val="18"/>
              </w:rPr>
            </w:pPr>
            <w:r>
              <w:rPr>
                <w:rFonts w:hint="eastAsia" w:ascii="宋体" w:hAnsi="宋体" w:cs="宋体"/>
                <w:color w:val="000000"/>
                <w:kern w:val="0"/>
                <w:sz w:val="18"/>
                <w:szCs w:val="18"/>
              </w:rPr>
              <w:t>专家评议法、</w:t>
            </w:r>
            <w:r>
              <w:rPr>
                <w:rFonts w:hint="eastAsia" w:ascii="宋体" w:hAnsi="宋体" w:cs="宋体"/>
                <w:color w:val="000000"/>
                <w:sz w:val="18"/>
                <w:szCs w:val="18"/>
              </w:rPr>
              <w:t>安全检查表法</w:t>
            </w:r>
            <w:r>
              <w:rPr>
                <w:rFonts w:hint="eastAsia" w:ascii="宋体" w:hAnsi="宋体" w:cs="宋体"/>
                <w:color w:val="000000"/>
                <w:kern w:val="0"/>
                <w:sz w:val="18"/>
                <w:szCs w:val="18"/>
              </w:rPr>
              <w:t>、定量风险评价</w:t>
            </w:r>
            <w:r>
              <w:rPr>
                <w:rFonts w:hint="eastAsia" w:ascii="宋体" w:hAnsi="宋体" w:cs="宋体"/>
                <w:sz w:val="18"/>
                <w:szCs w:val="18"/>
                <w:lang w:val="en-US" w:eastAsia="zh-CN"/>
              </w:rPr>
              <w:t>法。</w:t>
            </w:r>
          </w:p>
        </w:tc>
      </w:tr>
      <w:tr w14:paraId="255093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6" w:hRule="atLeast"/>
        </w:trPr>
        <w:tc>
          <w:tcPr>
            <w:tcW w:w="448" w:type="pct"/>
            <w:tcBorders>
              <w:top w:val="single" w:color="auto" w:sz="4" w:space="0"/>
              <w:left w:val="single" w:color="auto" w:sz="8" w:space="0"/>
              <w:bottom w:val="single" w:color="auto" w:sz="4" w:space="0"/>
              <w:right w:val="single" w:color="auto" w:sz="4" w:space="0"/>
            </w:tcBorders>
            <w:tcMar>
              <w:left w:w="28" w:type="dxa"/>
              <w:right w:w="28" w:type="dxa"/>
            </w:tcMar>
            <w:vAlign w:val="center"/>
          </w:tcPr>
          <w:p w14:paraId="15C2CE18">
            <w:pPr>
              <w:widowControl/>
              <w:overflowPunct w:val="0"/>
              <w:autoSpaceDE w:val="0"/>
              <w:autoSpaceDN w:val="0"/>
              <w:spacing w:before="40" w:after="40" w:line="240" w:lineRule="auto"/>
              <w:jc w:val="center"/>
              <w:textAlignment w:val="baseline"/>
              <w:rPr>
                <w:color w:val="000000"/>
                <w:kern w:val="0"/>
                <w:sz w:val="18"/>
                <w:szCs w:val="18"/>
              </w:rPr>
            </w:pPr>
            <w:r>
              <w:rPr>
                <w:color w:val="000000"/>
                <w:kern w:val="0"/>
                <w:sz w:val="18"/>
                <w:szCs w:val="18"/>
              </w:rPr>
              <w:t>4</w:t>
            </w:r>
          </w:p>
        </w:tc>
        <w:tc>
          <w:tcPr>
            <w:tcW w:w="1408"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B30246A">
            <w:pPr>
              <w:widowControl/>
              <w:overflowPunct w:val="0"/>
              <w:autoSpaceDE w:val="0"/>
              <w:autoSpaceDN w:val="0"/>
              <w:spacing w:before="40" w:after="40" w:line="240" w:lineRule="auto"/>
              <w:jc w:val="center"/>
              <w:textAlignment w:val="baseline"/>
              <w:rPr>
                <w:color w:val="000000"/>
                <w:kern w:val="0"/>
                <w:sz w:val="18"/>
                <w:szCs w:val="18"/>
              </w:rPr>
            </w:pPr>
            <w:r>
              <w:rPr>
                <w:rFonts w:hint="eastAsia" w:ascii="宋体" w:hAnsi="宋体" w:cs="宋体"/>
                <w:kern w:val="0"/>
                <w:sz w:val="18"/>
                <w:szCs w:val="18"/>
              </w:rPr>
              <w:t>工艺及设备设施单元</w:t>
            </w:r>
          </w:p>
        </w:tc>
        <w:tc>
          <w:tcPr>
            <w:tcW w:w="3144" w:type="pct"/>
            <w:tcBorders>
              <w:top w:val="single" w:color="auto" w:sz="4" w:space="0"/>
              <w:left w:val="single" w:color="auto" w:sz="4" w:space="0"/>
              <w:bottom w:val="single" w:color="auto" w:sz="4" w:space="0"/>
              <w:right w:val="single" w:color="auto" w:sz="8" w:space="0"/>
            </w:tcBorders>
            <w:tcMar>
              <w:left w:w="28" w:type="dxa"/>
              <w:right w:w="28" w:type="dxa"/>
            </w:tcMar>
            <w:vAlign w:val="center"/>
          </w:tcPr>
          <w:p w14:paraId="3D578054">
            <w:pPr>
              <w:widowControl/>
              <w:overflowPunct w:val="0"/>
              <w:autoSpaceDE w:val="0"/>
              <w:autoSpaceDN w:val="0"/>
              <w:spacing w:before="40" w:after="40" w:line="240" w:lineRule="auto"/>
              <w:jc w:val="left"/>
              <w:textAlignment w:val="baseline"/>
              <w:rPr>
                <w:rFonts w:hint="eastAsia" w:eastAsia="宋体"/>
                <w:color w:val="000000"/>
                <w:kern w:val="0"/>
                <w:sz w:val="18"/>
                <w:szCs w:val="18"/>
                <w:lang w:eastAsia="zh-CN"/>
              </w:rPr>
            </w:pPr>
            <w:r>
              <w:rPr>
                <w:rFonts w:hint="eastAsia" w:ascii="宋体" w:hAnsi="宋体" w:cs="宋体"/>
                <w:color w:val="000000"/>
                <w:kern w:val="0"/>
                <w:sz w:val="18"/>
                <w:szCs w:val="18"/>
              </w:rPr>
              <w:t>专家评议法、</w:t>
            </w:r>
            <w:r>
              <w:rPr>
                <w:rFonts w:hint="eastAsia" w:ascii="宋体" w:hAnsi="宋体" w:cs="宋体"/>
                <w:color w:val="000000"/>
                <w:sz w:val="18"/>
                <w:szCs w:val="18"/>
              </w:rPr>
              <w:t>安全检查表法</w:t>
            </w:r>
            <w:r>
              <w:rPr>
                <w:rFonts w:hint="eastAsia" w:ascii="宋体" w:hAnsi="宋体" w:cs="宋体"/>
                <w:color w:val="000000"/>
                <w:kern w:val="0"/>
                <w:sz w:val="18"/>
                <w:szCs w:val="18"/>
              </w:rPr>
              <w:t>、预先危险性分析法、火灾爆炸危险指数评价法、定量风险评价</w:t>
            </w:r>
            <w:r>
              <w:rPr>
                <w:rFonts w:hint="eastAsia" w:ascii="宋体" w:hAnsi="宋体" w:cs="宋体"/>
                <w:sz w:val="18"/>
                <w:szCs w:val="18"/>
                <w:lang w:val="en-US" w:eastAsia="zh-CN"/>
              </w:rPr>
              <w:t>法</w:t>
            </w:r>
            <w:r>
              <w:rPr>
                <w:rFonts w:hint="eastAsia" w:ascii="宋体" w:hAnsi="宋体" w:cs="宋体"/>
                <w:color w:val="000000"/>
                <w:kern w:val="0"/>
                <w:sz w:val="18"/>
                <w:szCs w:val="18"/>
              </w:rPr>
              <w:t>、类比分析法、</w:t>
            </w:r>
            <w:r>
              <w:rPr>
                <w:rFonts w:hint="eastAsia" w:ascii="宋体" w:hAnsi="宋体" w:cs="宋体"/>
                <w:kern w:val="0"/>
                <w:sz w:val="18"/>
                <w:szCs w:val="18"/>
              </w:rPr>
              <w:t>事故树分析</w:t>
            </w:r>
            <w:r>
              <w:rPr>
                <w:rFonts w:hint="eastAsia" w:ascii="宋体" w:hAnsi="宋体" w:cs="宋体"/>
                <w:sz w:val="18"/>
                <w:szCs w:val="18"/>
                <w:lang w:val="en-US" w:eastAsia="zh-CN"/>
              </w:rPr>
              <w:t>法</w:t>
            </w:r>
            <w:r>
              <w:rPr>
                <w:rFonts w:hint="eastAsia" w:ascii="宋体" w:hAnsi="宋体" w:cs="宋体"/>
                <w:kern w:val="0"/>
                <w:sz w:val="18"/>
                <w:szCs w:val="18"/>
              </w:rPr>
              <w:t>、事件树分析</w:t>
            </w:r>
            <w:r>
              <w:rPr>
                <w:rFonts w:hint="eastAsia" w:ascii="宋体" w:hAnsi="宋体" w:cs="宋体"/>
                <w:sz w:val="18"/>
                <w:szCs w:val="18"/>
                <w:lang w:val="en-US" w:eastAsia="zh-CN"/>
              </w:rPr>
              <w:t>法</w:t>
            </w:r>
            <w:r>
              <w:rPr>
                <w:rFonts w:hint="eastAsia" w:ascii="宋体" w:hAnsi="宋体" w:cs="宋体"/>
                <w:kern w:val="0"/>
                <w:sz w:val="18"/>
                <w:szCs w:val="18"/>
              </w:rPr>
              <w:t>、条件危险性评价</w:t>
            </w:r>
            <w:r>
              <w:rPr>
                <w:rFonts w:hint="eastAsia" w:ascii="宋体" w:hAnsi="宋体" w:cs="宋体"/>
                <w:sz w:val="18"/>
                <w:szCs w:val="18"/>
                <w:lang w:val="en-US" w:eastAsia="zh-CN"/>
              </w:rPr>
              <w:t>法</w:t>
            </w:r>
            <w:r>
              <w:rPr>
                <w:rFonts w:hint="eastAsia" w:ascii="宋体" w:hAnsi="宋体" w:cs="宋体"/>
                <w:kern w:val="0"/>
                <w:sz w:val="18"/>
                <w:szCs w:val="18"/>
              </w:rPr>
              <w:t>、风险矩阵法、危险和可操作性分析法</w:t>
            </w:r>
            <w:r>
              <w:rPr>
                <w:rFonts w:hint="eastAsia" w:ascii="宋体" w:hAnsi="宋体" w:cs="宋体"/>
                <w:kern w:val="0"/>
                <w:sz w:val="18"/>
                <w:szCs w:val="18"/>
                <w:lang w:eastAsia="zh-CN"/>
              </w:rPr>
              <w:t>。</w:t>
            </w:r>
          </w:p>
        </w:tc>
      </w:tr>
      <w:tr w14:paraId="008597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48" w:type="pct"/>
            <w:tcBorders>
              <w:top w:val="single" w:color="auto" w:sz="4" w:space="0"/>
              <w:left w:val="single" w:color="auto" w:sz="8" w:space="0"/>
              <w:bottom w:val="single" w:color="auto" w:sz="4" w:space="0"/>
              <w:right w:val="single" w:color="auto" w:sz="4" w:space="0"/>
            </w:tcBorders>
            <w:tcMar>
              <w:left w:w="28" w:type="dxa"/>
              <w:right w:w="28" w:type="dxa"/>
            </w:tcMar>
            <w:vAlign w:val="center"/>
          </w:tcPr>
          <w:p w14:paraId="5DD694AA">
            <w:pPr>
              <w:widowControl/>
              <w:overflowPunct w:val="0"/>
              <w:autoSpaceDE w:val="0"/>
              <w:autoSpaceDN w:val="0"/>
              <w:spacing w:before="40" w:after="40" w:line="240" w:lineRule="auto"/>
              <w:jc w:val="center"/>
              <w:textAlignment w:val="baseline"/>
              <w:rPr>
                <w:kern w:val="0"/>
                <w:sz w:val="18"/>
                <w:szCs w:val="18"/>
              </w:rPr>
            </w:pPr>
            <w:r>
              <w:rPr>
                <w:kern w:val="0"/>
                <w:sz w:val="18"/>
                <w:szCs w:val="18"/>
              </w:rPr>
              <w:t>5</w:t>
            </w:r>
          </w:p>
        </w:tc>
        <w:tc>
          <w:tcPr>
            <w:tcW w:w="1408"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50162BEF">
            <w:pPr>
              <w:widowControl/>
              <w:overflowPunct w:val="0"/>
              <w:autoSpaceDE w:val="0"/>
              <w:autoSpaceDN w:val="0"/>
              <w:spacing w:before="40" w:after="40" w:line="240" w:lineRule="auto"/>
              <w:jc w:val="center"/>
              <w:textAlignment w:val="baseline"/>
              <w:rPr>
                <w:kern w:val="0"/>
                <w:sz w:val="18"/>
                <w:szCs w:val="18"/>
              </w:rPr>
            </w:pPr>
            <w:r>
              <w:rPr>
                <w:rFonts w:hint="eastAsia" w:ascii="宋体" w:hAnsi="宋体" w:cs="宋体"/>
                <w:kern w:val="0"/>
                <w:sz w:val="18"/>
                <w:szCs w:val="18"/>
              </w:rPr>
              <w:t>海底管道</w:t>
            </w:r>
            <w:r>
              <w:rPr>
                <w:kern w:val="0"/>
                <w:sz w:val="18"/>
                <w:szCs w:val="18"/>
              </w:rPr>
              <w:t>/</w:t>
            </w:r>
            <w:r>
              <w:rPr>
                <w:rFonts w:hint="eastAsia" w:ascii="宋体" w:hAnsi="宋体" w:cs="宋体"/>
                <w:kern w:val="0"/>
                <w:sz w:val="18"/>
                <w:szCs w:val="18"/>
              </w:rPr>
              <w:t>海底电缆单元</w:t>
            </w:r>
          </w:p>
        </w:tc>
        <w:tc>
          <w:tcPr>
            <w:tcW w:w="3144" w:type="pct"/>
            <w:tcBorders>
              <w:top w:val="single" w:color="auto" w:sz="4" w:space="0"/>
              <w:left w:val="single" w:color="auto" w:sz="4" w:space="0"/>
              <w:bottom w:val="single" w:color="auto" w:sz="4" w:space="0"/>
              <w:right w:val="single" w:color="auto" w:sz="8" w:space="0"/>
            </w:tcBorders>
            <w:tcMar>
              <w:left w:w="28" w:type="dxa"/>
              <w:right w:w="28" w:type="dxa"/>
            </w:tcMar>
            <w:vAlign w:val="center"/>
          </w:tcPr>
          <w:p w14:paraId="6EDC49CB">
            <w:pPr>
              <w:widowControl/>
              <w:overflowPunct w:val="0"/>
              <w:autoSpaceDE w:val="0"/>
              <w:autoSpaceDN w:val="0"/>
              <w:spacing w:before="40" w:after="40" w:line="240" w:lineRule="auto"/>
              <w:jc w:val="left"/>
              <w:textAlignment w:val="baseline"/>
              <w:rPr>
                <w:rFonts w:hint="eastAsia" w:eastAsia="宋体"/>
                <w:kern w:val="0"/>
                <w:sz w:val="18"/>
                <w:szCs w:val="18"/>
                <w:lang w:eastAsia="zh-CN"/>
              </w:rPr>
            </w:pPr>
            <w:r>
              <w:rPr>
                <w:rFonts w:hint="eastAsia" w:ascii="宋体" w:hAnsi="宋体" w:cs="宋体"/>
                <w:kern w:val="0"/>
                <w:sz w:val="18"/>
                <w:szCs w:val="18"/>
              </w:rPr>
              <w:t>专家评议法、</w:t>
            </w:r>
            <w:r>
              <w:rPr>
                <w:rFonts w:hint="eastAsia" w:ascii="宋体" w:hAnsi="宋体" w:cs="宋体"/>
                <w:color w:val="000000"/>
                <w:sz w:val="18"/>
                <w:szCs w:val="18"/>
              </w:rPr>
              <w:t>安全检查表法</w:t>
            </w:r>
            <w:r>
              <w:rPr>
                <w:rFonts w:hint="eastAsia" w:ascii="宋体" w:hAnsi="宋体" w:cs="宋体"/>
                <w:color w:val="000000"/>
                <w:kern w:val="0"/>
                <w:sz w:val="18"/>
                <w:szCs w:val="18"/>
              </w:rPr>
              <w:t>、预先危险性分析法、</w:t>
            </w:r>
            <w:r>
              <w:rPr>
                <w:rFonts w:hint="eastAsia" w:ascii="宋体" w:hAnsi="宋体" w:cs="宋体"/>
                <w:kern w:val="0"/>
                <w:sz w:val="18"/>
                <w:szCs w:val="18"/>
              </w:rPr>
              <w:t>事故树分析</w:t>
            </w:r>
            <w:r>
              <w:rPr>
                <w:rFonts w:hint="eastAsia" w:ascii="宋体" w:hAnsi="宋体" w:cs="宋体"/>
                <w:sz w:val="18"/>
                <w:szCs w:val="18"/>
                <w:lang w:val="en-US" w:eastAsia="zh-CN"/>
              </w:rPr>
              <w:t>法</w:t>
            </w:r>
            <w:r>
              <w:rPr>
                <w:rFonts w:hint="eastAsia" w:ascii="宋体" w:hAnsi="宋体" w:cs="宋体"/>
                <w:kern w:val="0"/>
                <w:sz w:val="18"/>
                <w:szCs w:val="18"/>
              </w:rPr>
              <w:t>、事件树分析</w:t>
            </w:r>
            <w:r>
              <w:rPr>
                <w:rFonts w:hint="eastAsia" w:ascii="宋体" w:hAnsi="宋体" w:cs="宋体"/>
                <w:sz w:val="18"/>
                <w:szCs w:val="18"/>
                <w:lang w:val="en-US" w:eastAsia="zh-CN"/>
              </w:rPr>
              <w:t>法</w:t>
            </w:r>
            <w:r>
              <w:rPr>
                <w:rFonts w:hint="eastAsia" w:ascii="宋体" w:hAnsi="宋体" w:cs="宋体"/>
                <w:color w:val="000000"/>
                <w:kern w:val="0"/>
                <w:sz w:val="18"/>
                <w:szCs w:val="18"/>
              </w:rPr>
              <w:t>、类比分析法、</w:t>
            </w:r>
            <w:r>
              <w:rPr>
                <w:rFonts w:hint="eastAsia" w:ascii="宋体" w:hAnsi="宋体" w:cs="宋体"/>
                <w:kern w:val="0"/>
                <w:sz w:val="18"/>
                <w:szCs w:val="18"/>
              </w:rPr>
              <w:t>风险矩阵法</w:t>
            </w:r>
            <w:r>
              <w:rPr>
                <w:rFonts w:hint="eastAsia" w:ascii="宋体" w:hAnsi="宋体" w:cs="宋体"/>
                <w:kern w:val="0"/>
                <w:sz w:val="18"/>
                <w:szCs w:val="18"/>
                <w:lang w:eastAsia="zh-CN"/>
              </w:rPr>
              <w:t>。</w:t>
            </w:r>
          </w:p>
        </w:tc>
      </w:tr>
      <w:tr w14:paraId="64E70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48" w:type="pct"/>
            <w:tcBorders>
              <w:top w:val="single" w:color="auto" w:sz="4" w:space="0"/>
              <w:left w:val="single" w:color="auto" w:sz="8" w:space="0"/>
              <w:bottom w:val="single" w:color="auto" w:sz="4" w:space="0"/>
              <w:right w:val="single" w:color="auto" w:sz="4" w:space="0"/>
            </w:tcBorders>
            <w:tcMar>
              <w:left w:w="28" w:type="dxa"/>
              <w:right w:w="28" w:type="dxa"/>
            </w:tcMar>
            <w:vAlign w:val="center"/>
          </w:tcPr>
          <w:p w14:paraId="09873ED0">
            <w:pPr>
              <w:widowControl/>
              <w:overflowPunct w:val="0"/>
              <w:autoSpaceDE w:val="0"/>
              <w:autoSpaceDN w:val="0"/>
              <w:spacing w:before="40" w:after="40" w:line="240" w:lineRule="auto"/>
              <w:jc w:val="center"/>
              <w:textAlignment w:val="baseline"/>
              <w:rPr>
                <w:color w:val="000000"/>
                <w:kern w:val="0"/>
                <w:sz w:val="18"/>
                <w:szCs w:val="18"/>
              </w:rPr>
            </w:pPr>
            <w:r>
              <w:rPr>
                <w:color w:val="000000"/>
                <w:kern w:val="0"/>
                <w:sz w:val="18"/>
                <w:szCs w:val="18"/>
              </w:rPr>
              <w:t>6</w:t>
            </w:r>
          </w:p>
        </w:tc>
        <w:tc>
          <w:tcPr>
            <w:tcW w:w="1408"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67626D4">
            <w:pPr>
              <w:widowControl/>
              <w:overflowPunct w:val="0"/>
              <w:autoSpaceDE w:val="0"/>
              <w:autoSpaceDN w:val="0"/>
              <w:spacing w:before="40" w:after="40" w:line="240" w:lineRule="auto"/>
              <w:jc w:val="center"/>
              <w:textAlignment w:val="baseline"/>
              <w:rPr>
                <w:color w:val="000000"/>
                <w:kern w:val="0"/>
                <w:sz w:val="18"/>
                <w:szCs w:val="18"/>
              </w:rPr>
            </w:pPr>
            <w:r>
              <w:rPr>
                <w:rFonts w:hint="eastAsia" w:ascii="宋体" w:hAnsi="宋体" w:cs="宋体"/>
                <w:kern w:val="0"/>
                <w:sz w:val="18"/>
                <w:szCs w:val="18"/>
              </w:rPr>
              <w:t>依托设施单元</w:t>
            </w:r>
          </w:p>
        </w:tc>
        <w:tc>
          <w:tcPr>
            <w:tcW w:w="3144" w:type="pct"/>
            <w:tcBorders>
              <w:top w:val="single" w:color="auto" w:sz="4" w:space="0"/>
              <w:left w:val="single" w:color="auto" w:sz="4" w:space="0"/>
              <w:bottom w:val="single" w:color="auto" w:sz="4" w:space="0"/>
              <w:right w:val="single" w:color="auto" w:sz="8" w:space="0"/>
            </w:tcBorders>
            <w:tcMar>
              <w:left w:w="28" w:type="dxa"/>
              <w:right w:w="28" w:type="dxa"/>
            </w:tcMar>
            <w:vAlign w:val="center"/>
          </w:tcPr>
          <w:p w14:paraId="788A8792">
            <w:pPr>
              <w:widowControl/>
              <w:overflowPunct w:val="0"/>
              <w:autoSpaceDE w:val="0"/>
              <w:autoSpaceDN w:val="0"/>
              <w:spacing w:before="40" w:after="40" w:line="240" w:lineRule="auto"/>
              <w:jc w:val="left"/>
              <w:textAlignment w:val="baseline"/>
              <w:rPr>
                <w:rFonts w:hint="eastAsia" w:eastAsia="宋体"/>
                <w:color w:val="000000"/>
                <w:kern w:val="0"/>
                <w:sz w:val="18"/>
                <w:szCs w:val="18"/>
                <w:lang w:eastAsia="zh-CN"/>
              </w:rPr>
            </w:pPr>
            <w:r>
              <w:rPr>
                <w:rFonts w:hint="eastAsia" w:ascii="宋体" w:hAnsi="宋体" w:cs="宋体"/>
                <w:color w:val="000000"/>
                <w:kern w:val="0"/>
                <w:sz w:val="18"/>
                <w:szCs w:val="18"/>
              </w:rPr>
              <w:t>专家评议法、</w:t>
            </w:r>
            <w:r>
              <w:rPr>
                <w:rFonts w:hint="eastAsia" w:ascii="宋体" w:hAnsi="宋体" w:cs="宋体"/>
                <w:kern w:val="0"/>
                <w:sz w:val="18"/>
                <w:szCs w:val="18"/>
              </w:rPr>
              <w:t>事故树分析</w:t>
            </w:r>
            <w:r>
              <w:rPr>
                <w:rFonts w:hint="eastAsia" w:ascii="宋体" w:hAnsi="宋体" w:cs="宋体"/>
                <w:sz w:val="18"/>
                <w:szCs w:val="18"/>
                <w:lang w:val="en-US" w:eastAsia="zh-CN"/>
              </w:rPr>
              <w:t>法</w:t>
            </w:r>
            <w:r>
              <w:rPr>
                <w:rFonts w:hint="eastAsia" w:ascii="宋体" w:hAnsi="宋体" w:cs="宋体"/>
                <w:kern w:val="0"/>
                <w:sz w:val="18"/>
                <w:szCs w:val="18"/>
              </w:rPr>
              <w:t>、事件树分析</w:t>
            </w:r>
            <w:r>
              <w:rPr>
                <w:rFonts w:hint="eastAsia" w:ascii="宋体" w:hAnsi="宋体" w:cs="宋体"/>
                <w:sz w:val="18"/>
                <w:szCs w:val="18"/>
                <w:lang w:val="en-US" w:eastAsia="zh-CN"/>
              </w:rPr>
              <w:t>法</w:t>
            </w:r>
            <w:r>
              <w:rPr>
                <w:rFonts w:hint="eastAsia" w:ascii="宋体" w:hAnsi="宋体" w:cs="宋体"/>
                <w:kern w:val="0"/>
                <w:sz w:val="18"/>
                <w:szCs w:val="18"/>
              </w:rPr>
              <w:t>、风险矩阵法</w:t>
            </w:r>
            <w:r>
              <w:rPr>
                <w:rFonts w:hint="eastAsia" w:ascii="宋体" w:hAnsi="宋体" w:cs="宋体"/>
                <w:kern w:val="0"/>
                <w:sz w:val="18"/>
                <w:szCs w:val="18"/>
                <w:lang w:eastAsia="zh-CN"/>
              </w:rPr>
              <w:t>。</w:t>
            </w:r>
          </w:p>
        </w:tc>
      </w:tr>
      <w:tr w14:paraId="3DEC15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48" w:type="pct"/>
            <w:tcBorders>
              <w:top w:val="single" w:color="auto" w:sz="4" w:space="0"/>
              <w:left w:val="single" w:color="auto" w:sz="8" w:space="0"/>
              <w:bottom w:val="single" w:color="auto" w:sz="8" w:space="0"/>
              <w:right w:val="single" w:color="auto" w:sz="4" w:space="0"/>
            </w:tcBorders>
            <w:tcMar>
              <w:left w:w="28" w:type="dxa"/>
              <w:right w:w="28" w:type="dxa"/>
            </w:tcMar>
            <w:vAlign w:val="center"/>
          </w:tcPr>
          <w:p w14:paraId="7BE9DF4D">
            <w:pPr>
              <w:widowControl/>
              <w:overflowPunct w:val="0"/>
              <w:autoSpaceDE w:val="0"/>
              <w:autoSpaceDN w:val="0"/>
              <w:spacing w:before="40" w:after="40" w:line="240" w:lineRule="auto"/>
              <w:jc w:val="center"/>
              <w:textAlignment w:val="baseline"/>
              <w:rPr>
                <w:color w:val="000000"/>
                <w:kern w:val="0"/>
                <w:sz w:val="18"/>
                <w:szCs w:val="18"/>
              </w:rPr>
            </w:pPr>
            <w:r>
              <w:rPr>
                <w:color w:val="000000"/>
                <w:kern w:val="0"/>
                <w:sz w:val="18"/>
                <w:szCs w:val="18"/>
              </w:rPr>
              <w:t>7</w:t>
            </w:r>
          </w:p>
        </w:tc>
        <w:tc>
          <w:tcPr>
            <w:tcW w:w="1408" w:type="pct"/>
            <w:tcBorders>
              <w:top w:val="single" w:color="auto" w:sz="4" w:space="0"/>
              <w:left w:val="single" w:color="auto" w:sz="4" w:space="0"/>
              <w:bottom w:val="single" w:color="auto" w:sz="8" w:space="0"/>
              <w:right w:val="single" w:color="auto" w:sz="4" w:space="0"/>
            </w:tcBorders>
            <w:tcMar>
              <w:left w:w="28" w:type="dxa"/>
              <w:right w:w="28" w:type="dxa"/>
            </w:tcMar>
            <w:vAlign w:val="center"/>
          </w:tcPr>
          <w:p w14:paraId="5BC34364">
            <w:pPr>
              <w:widowControl/>
              <w:overflowPunct w:val="0"/>
              <w:autoSpaceDE w:val="0"/>
              <w:autoSpaceDN w:val="0"/>
              <w:spacing w:before="40" w:after="40" w:line="240" w:lineRule="auto"/>
              <w:jc w:val="center"/>
              <w:textAlignment w:val="baseline"/>
              <w:rPr>
                <w:color w:val="000000"/>
                <w:kern w:val="0"/>
                <w:sz w:val="18"/>
                <w:szCs w:val="18"/>
              </w:rPr>
            </w:pPr>
            <w:r>
              <w:rPr>
                <w:rFonts w:hint="eastAsia" w:ascii="宋体" w:hAnsi="宋体" w:cs="宋体"/>
                <w:color w:val="000000"/>
                <w:kern w:val="0"/>
                <w:sz w:val="18"/>
                <w:szCs w:val="18"/>
              </w:rPr>
              <w:t>安全管理单元</w:t>
            </w:r>
          </w:p>
        </w:tc>
        <w:tc>
          <w:tcPr>
            <w:tcW w:w="3144" w:type="pct"/>
            <w:tcBorders>
              <w:top w:val="single" w:color="auto" w:sz="4" w:space="0"/>
              <w:left w:val="single" w:color="auto" w:sz="4" w:space="0"/>
              <w:bottom w:val="single" w:color="auto" w:sz="8" w:space="0"/>
              <w:right w:val="single" w:color="auto" w:sz="8" w:space="0"/>
            </w:tcBorders>
            <w:tcMar>
              <w:left w:w="28" w:type="dxa"/>
              <w:right w:w="28" w:type="dxa"/>
            </w:tcMar>
            <w:vAlign w:val="center"/>
          </w:tcPr>
          <w:p w14:paraId="074EFD84">
            <w:pPr>
              <w:widowControl/>
              <w:overflowPunct w:val="0"/>
              <w:autoSpaceDE w:val="0"/>
              <w:autoSpaceDN w:val="0"/>
              <w:spacing w:before="40" w:after="40" w:line="240" w:lineRule="auto"/>
              <w:jc w:val="left"/>
              <w:textAlignment w:val="baseline"/>
              <w:rPr>
                <w:rFonts w:hint="eastAsia" w:eastAsia="宋体"/>
                <w:color w:val="000000"/>
                <w:kern w:val="0"/>
                <w:sz w:val="18"/>
                <w:szCs w:val="18"/>
                <w:lang w:eastAsia="zh-CN"/>
              </w:rPr>
            </w:pPr>
            <w:r>
              <w:rPr>
                <w:rFonts w:hint="eastAsia" w:ascii="宋体" w:hAnsi="宋体" w:cs="宋体"/>
                <w:color w:val="000000"/>
                <w:kern w:val="0"/>
                <w:sz w:val="18"/>
                <w:szCs w:val="18"/>
              </w:rPr>
              <w:t>专家评议法、</w:t>
            </w:r>
            <w:r>
              <w:rPr>
                <w:rFonts w:hint="eastAsia" w:ascii="宋体" w:hAnsi="宋体" w:cs="宋体"/>
                <w:kern w:val="0"/>
                <w:sz w:val="18"/>
                <w:szCs w:val="18"/>
              </w:rPr>
              <w:t>风险矩阵法</w:t>
            </w:r>
            <w:r>
              <w:rPr>
                <w:rFonts w:hint="eastAsia" w:ascii="宋体" w:hAnsi="宋体" w:cs="宋体"/>
                <w:kern w:val="0"/>
                <w:sz w:val="18"/>
                <w:szCs w:val="18"/>
                <w:lang w:eastAsia="zh-CN"/>
              </w:rPr>
              <w:t>。</w:t>
            </w:r>
          </w:p>
        </w:tc>
      </w:tr>
    </w:tbl>
    <w:p w14:paraId="3FDEAFC7">
      <w:pPr>
        <w:pStyle w:val="59"/>
        <w:ind w:firstLine="420"/>
      </w:pPr>
    </w:p>
    <w:p w14:paraId="787BCDD8">
      <w:pPr>
        <w:pStyle w:val="59"/>
        <w:ind w:firstLine="420"/>
        <w:sectPr>
          <w:headerReference r:id="rId18" w:type="default"/>
          <w:footerReference r:id="rId20" w:type="default"/>
          <w:headerReference r:id="rId19" w:type="even"/>
          <w:footerReference r:id="rId21" w:type="even"/>
          <w:pgSz w:w="11906" w:h="16838"/>
          <w:pgMar w:top="1928" w:right="1134" w:bottom="1134" w:left="1134" w:header="1418" w:footer="1134" w:gutter="284"/>
          <w:pgNumType w:fmt="decimal"/>
          <w:cols w:space="425" w:num="1"/>
          <w:formProt w:val="0"/>
          <w:docGrid w:linePitch="312" w:charSpace="0"/>
        </w:sectPr>
      </w:pPr>
    </w:p>
    <w:p w14:paraId="47DF71BF">
      <w:pPr>
        <w:pStyle w:val="201"/>
        <w:rPr>
          <w:vanish w:val="0"/>
        </w:rPr>
      </w:pPr>
    </w:p>
    <w:p w14:paraId="0FB69B4A">
      <w:pPr>
        <w:pStyle w:val="202"/>
        <w:rPr>
          <w:vanish w:val="0"/>
        </w:rPr>
      </w:pPr>
    </w:p>
    <w:p w14:paraId="0E4AFE4C">
      <w:pPr>
        <w:pStyle w:val="79"/>
        <w:spacing w:after="156"/>
      </w:pPr>
      <w:bookmarkStart w:id="206" w:name="_Toc22595"/>
      <w:r>
        <w:br w:type="textWrapping"/>
      </w:r>
      <w:r>
        <w:rPr>
          <w:rFonts w:hint="eastAsia"/>
        </w:rPr>
        <w:t>（规范性）</w:t>
      </w:r>
      <w:r>
        <w:br w:type="textWrapping"/>
      </w:r>
      <w:r>
        <w:rPr>
          <w:rFonts w:hint="eastAsia"/>
        </w:rPr>
        <w:t>海洋石油天然气开采建设项目安全预评价报告格式</w:t>
      </w:r>
      <w:bookmarkEnd w:id="206"/>
    </w:p>
    <w:p w14:paraId="2ADECAEF">
      <w:pPr>
        <w:pStyle w:val="81"/>
        <w:spacing w:before="156" w:after="156"/>
      </w:pPr>
      <w:bookmarkStart w:id="207" w:name="_Toc17468"/>
      <w:bookmarkStart w:id="208" w:name="_Toc30495"/>
      <w:bookmarkStart w:id="209" w:name="_Toc12534"/>
      <w:bookmarkStart w:id="210" w:name="_Toc12004"/>
      <w:bookmarkStart w:id="211" w:name="_Toc29019"/>
      <w:bookmarkStart w:id="212" w:name="_Toc20248"/>
      <w:bookmarkStart w:id="213" w:name="_Toc31396"/>
      <w:bookmarkStart w:id="214" w:name="_Toc193042500"/>
      <w:bookmarkStart w:id="215" w:name="OLE_LINK64"/>
      <w:bookmarkStart w:id="216" w:name="OLE_LINK63"/>
      <w:r>
        <w:rPr>
          <w:rFonts w:hint="eastAsia"/>
          <w:lang w:val="en-US" w:eastAsia="zh-CN"/>
        </w:rPr>
        <w:t>结构及格式</w:t>
      </w:r>
      <w:bookmarkEnd w:id="207"/>
      <w:bookmarkEnd w:id="208"/>
      <w:bookmarkEnd w:id="209"/>
      <w:bookmarkEnd w:id="210"/>
      <w:bookmarkEnd w:id="211"/>
    </w:p>
    <w:p w14:paraId="4C671D32">
      <w:pPr>
        <w:pStyle w:val="82"/>
        <w:spacing w:before="156" w:after="156"/>
        <w:rPr>
          <w:rFonts w:hint="eastAsia"/>
        </w:rPr>
      </w:pPr>
      <w:r>
        <w:rPr>
          <w:rFonts w:hint="eastAsia"/>
        </w:rPr>
        <mc:AlternateContent>
          <mc:Choice Requires="wps">
            <w:drawing>
              <wp:anchor distT="0" distB="0" distL="114300" distR="114300" simplePos="0" relativeHeight="251666432" behindDoc="0" locked="0" layoutInCell="1" hidden="1" allowOverlap="1">
                <wp:simplePos x="0" y="0"/>
                <wp:positionH relativeFrom="column">
                  <wp:posOffset>2956560</wp:posOffset>
                </wp:positionH>
                <wp:positionV relativeFrom="paragraph">
                  <wp:posOffset>-196215</wp:posOffset>
                </wp:positionV>
                <wp:extent cx="0" cy="539750"/>
                <wp:effectExtent l="0" t="0" r="0" b="0"/>
                <wp:wrapNone/>
                <wp:docPr id="96" name="直接连接符 96" hidden="1"/>
                <wp:cNvGraphicFramePr/>
                <a:graphic xmlns:a="http://schemas.openxmlformats.org/drawingml/2006/main">
                  <a:graphicData uri="http://schemas.microsoft.com/office/word/2010/wordprocessingShape">
                    <wps:wsp>
                      <wps:cNvCnPr/>
                      <wps:spPr>
                        <a:xfrm>
                          <a:off x="0" y="0"/>
                          <a:ext cx="0" cy="539750"/>
                        </a:xfrm>
                        <a:prstGeom prst="line">
                          <a:avLst/>
                        </a:prstGeom>
                        <a:noFill/>
                        <a:ln w="6350" cap="flat" cmpd="sng" algn="ctr">
                          <a:solidFill>
                            <a:srgbClr val="ED7D31"/>
                          </a:solidFill>
                          <a:prstDash val="solid"/>
                          <a:miter lim="800000"/>
                        </a:ln>
                        <a:effectLst/>
                      </wps:spPr>
                      <wps:bodyPr/>
                    </wps:wsp>
                  </a:graphicData>
                </a:graphic>
              </wp:anchor>
            </w:drawing>
          </mc:Choice>
          <mc:Fallback>
            <w:pict>
              <v:line id="_x0000_s1026" o:spid="_x0000_s1026" o:spt="20" style="position:absolute;left:0pt;margin-left:232.8pt;margin-top:-15.45pt;height:42.5pt;width:0pt;visibility:hidden;z-index:251666432;mso-width-relative:page;mso-height-relative:page;" filled="f" stroked="t" coordsize="21600,21600" o:gfxdata="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TAWIP2AAAAAoBAAAPAAAAAAAAAAEAIAAAACIAAABkcnMvZG93bnJldi54bWxQSwEC&#10;FAAUAAAACACHTuJAiDezC/QBAADLAwAADgAAAAAAAAABACAAAAAnAQAAZHJzL2Uyb0RvYy54bWxQ&#10;SwUGAAAAAAYABgBZAQAAjQUAAAAA&#10;">
                <v:fill on="f" focussize="0,0"/>
                <v:stroke weight="0.5pt" color="#ED7D31" miterlimit="8" joinstyle="miter"/>
                <v:imagedata o:title=""/>
                <o:lock v:ext="edit" aspectratio="f"/>
              </v:line>
            </w:pict>
          </mc:Fallback>
        </mc:AlternateContent>
      </w:r>
      <w:r>
        <w:rPr>
          <w:rFonts w:hint="eastAsia"/>
        </w:rPr>
        <mc:AlternateContent>
          <mc:Choice Requires="wps">
            <w:drawing>
              <wp:anchor distT="0" distB="0" distL="114300" distR="114300" simplePos="0" relativeHeight="251665408" behindDoc="0" locked="0" layoutInCell="1" hidden="1" allowOverlap="1">
                <wp:simplePos x="0" y="0"/>
                <wp:positionH relativeFrom="column">
                  <wp:posOffset>2561590</wp:posOffset>
                </wp:positionH>
                <wp:positionV relativeFrom="paragraph">
                  <wp:posOffset>-203835</wp:posOffset>
                </wp:positionV>
                <wp:extent cx="2828925" cy="0"/>
                <wp:effectExtent l="0" t="0" r="0" b="0"/>
                <wp:wrapNone/>
                <wp:docPr id="95" name="直接连接符 95" hidden="1"/>
                <wp:cNvGraphicFramePr/>
                <a:graphic xmlns:a="http://schemas.openxmlformats.org/drawingml/2006/main">
                  <a:graphicData uri="http://schemas.microsoft.com/office/word/2010/wordprocessingShape">
                    <wps:wsp>
                      <wps:cNvCnPr/>
                      <wps:spPr>
                        <a:xfrm flipH="1">
                          <a:off x="0" y="0"/>
                          <a:ext cx="2828925" cy="0"/>
                        </a:xfrm>
                        <a:prstGeom prst="line">
                          <a:avLst/>
                        </a:prstGeom>
                        <a:noFill/>
                        <a:ln w="6350" cap="flat" cmpd="sng" algn="ctr">
                          <a:solidFill>
                            <a:srgbClr val="ED7D31"/>
                          </a:solidFill>
                          <a:prstDash val="solid"/>
                          <a:miter lim="800000"/>
                        </a:ln>
                        <a:effectLst/>
                      </wps:spPr>
                      <wps:bodyPr/>
                    </wps:wsp>
                  </a:graphicData>
                </a:graphic>
              </wp:anchor>
            </w:drawing>
          </mc:Choice>
          <mc:Fallback>
            <w:pict>
              <v:line id="_x0000_s1026" o:spid="_x0000_s1026" o:spt="20" style="position:absolute;left:0pt;flip:x;margin-left:201.7pt;margin-top:-16.05pt;height:0pt;width:222.75pt;visibility:hidden;z-index:251665408;mso-width-relative:page;mso-height-relative:page;" filled="f" stroked="t" coordsize="21600,21600" o:gfxdata="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yZjUh2gAAAAsBAAAPAAAAAAAAAAEAIAAAACIAAABkcnMvZG93bnJl&#10;di54bWxQSwECFAAUAAAACACHTuJAz0X0wvsBAADWAwAADgAAAAAAAAABACAAAAApAQAAZHJzL2Uy&#10;b0RvYy54bWxQSwUGAAAAAAYABgBZAQAAlgUAAAAA&#10;">
                <v:fill on="f" focussize="0,0"/>
                <v:stroke weight="0.5pt" color="#ED7D31" miterlimit="8" joinstyle="miter"/>
                <v:imagedata o:title=""/>
                <o:lock v:ext="edit" aspectratio="f"/>
              </v:line>
            </w:pict>
          </mc:Fallback>
        </mc:AlternateContent>
      </w:r>
      <w:r>
        <w:rPr>
          <w:rFonts w:hint="eastAsia"/>
        </w:rPr>
        <mc:AlternateContent>
          <mc:Choice Requires="wps">
            <w:drawing>
              <wp:anchor distT="0" distB="0" distL="114300" distR="114300" simplePos="0" relativeHeight="251664384" behindDoc="0" locked="0" layoutInCell="1" hidden="1" allowOverlap="1">
                <wp:simplePos x="0" y="0"/>
                <wp:positionH relativeFrom="column">
                  <wp:posOffset>5028565</wp:posOffset>
                </wp:positionH>
                <wp:positionV relativeFrom="paragraph">
                  <wp:posOffset>-1229995</wp:posOffset>
                </wp:positionV>
                <wp:extent cx="0" cy="899795"/>
                <wp:effectExtent l="0" t="0" r="0" b="0"/>
                <wp:wrapNone/>
                <wp:docPr id="94" name="直接连接符 94" hidden="1"/>
                <wp:cNvGraphicFramePr/>
                <a:graphic xmlns:a="http://schemas.openxmlformats.org/drawingml/2006/main">
                  <a:graphicData uri="http://schemas.microsoft.com/office/word/2010/wordprocessingShape">
                    <wps:wsp>
                      <wps:cNvCnPr/>
                      <wps:spPr>
                        <a:xfrm>
                          <a:off x="0" y="0"/>
                          <a:ext cx="0" cy="899795"/>
                        </a:xfrm>
                        <a:prstGeom prst="line">
                          <a:avLst/>
                        </a:prstGeom>
                        <a:noFill/>
                        <a:ln w="6350" cap="flat" cmpd="sng" algn="ctr">
                          <a:solidFill>
                            <a:srgbClr val="ED7D31"/>
                          </a:solidFill>
                          <a:prstDash val="solid"/>
                          <a:miter lim="800000"/>
                        </a:ln>
                        <a:effectLst/>
                      </wps:spPr>
                      <wps:bodyPr/>
                    </wps:wsp>
                  </a:graphicData>
                </a:graphic>
              </wp:anchor>
            </w:drawing>
          </mc:Choice>
          <mc:Fallback>
            <w:pict>
              <v:line id="_x0000_s1026" o:spid="_x0000_s1026" o:spt="20" style="position:absolute;left:0pt;margin-left:395.95pt;margin-top:-96.85pt;height:70.85pt;width:0pt;visibility:hidden;z-index:251664384;mso-width-relative:page;mso-height-relative:page;" filled="f" stroked="t" coordsize="21600,21600" o:gfxdata="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YXssH2QAAAAwBAAAPAAAAAAAAAAEAIAAAACIAAABkcnMvZG93bnJldi54bWxQSwEC&#10;FAAUAAAACACHTuJAafAAB/MBAADLAwAADgAAAAAAAAABACAAAAAoAQAAZHJzL2Uyb0RvYy54bWxQ&#10;SwUGAAAAAAYABgBZAQAAjQUAAAAA&#10;">
                <v:fill on="f" focussize="0,0"/>
                <v:stroke weight="0.5pt" color="#ED7D31" miterlimit="8" joinstyle="miter"/>
                <v:imagedata o:title=""/>
                <o:lock v:ext="edit" aspectratio="f"/>
              </v:line>
            </w:pict>
          </mc:Fallback>
        </mc:AlternateContent>
      </w:r>
      <w:bookmarkStart w:id="217" w:name="_Toc31816"/>
      <w:bookmarkStart w:id="218" w:name="_Toc19699"/>
      <w:r>
        <w:rPr>
          <w:rFonts w:hint="eastAsia"/>
        </w:rPr>
        <mc:AlternateContent>
          <mc:Choice Requires="wps">
            <w:drawing>
              <wp:anchor distT="0" distB="0" distL="114300" distR="114300" simplePos="0" relativeHeight="251669504" behindDoc="0" locked="0" layoutInCell="1" hidden="1" allowOverlap="1">
                <wp:simplePos x="0" y="0"/>
                <wp:positionH relativeFrom="column">
                  <wp:posOffset>2970530</wp:posOffset>
                </wp:positionH>
                <wp:positionV relativeFrom="paragraph">
                  <wp:posOffset>-187325</wp:posOffset>
                </wp:positionV>
                <wp:extent cx="0" cy="539750"/>
                <wp:effectExtent l="0" t="0" r="0" b="0"/>
                <wp:wrapNone/>
                <wp:docPr id="99" name="直接连接符 99" hidden="1"/>
                <wp:cNvGraphicFramePr/>
                <a:graphic xmlns:a="http://schemas.openxmlformats.org/drawingml/2006/main">
                  <a:graphicData uri="http://schemas.microsoft.com/office/word/2010/wordprocessingShape">
                    <wps:wsp>
                      <wps:cNvCnPr/>
                      <wps:spPr>
                        <a:xfrm>
                          <a:off x="0" y="0"/>
                          <a:ext cx="0" cy="539750"/>
                        </a:xfrm>
                        <a:prstGeom prst="line">
                          <a:avLst/>
                        </a:prstGeom>
                        <a:noFill/>
                        <a:ln w="6350" cap="flat" cmpd="sng" algn="ctr">
                          <a:solidFill>
                            <a:srgbClr val="ED7D31"/>
                          </a:solidFill>
                          <a:prstDash val="solid"/>
                          <a:miter lim="800000"/>
                        </a:ln>
                        <a:effectLst/>
                      </wps:spPr>
                      <wps:bodyPr/>
                    </wps:wsp>
                  </a:graphicData>
                </a:graphic>
              </wp:anchor>
            </w:drawing>
          </mc:Choice>
          <mc:Fallback>
            <w:pict>
              <v:line id="_x0000_s1026" o:spid="_x0000_s1026" o:spt="20" style="position:absolute;left:0pt;margin-left:233.9pt;margin-top:-14.75pt;height:42.5pt;width:0pt;visibility:hidden;z-index:251669504;mso-width-relative:page;mso-height-relative:page;" filled="f" stroked="t" coordsize="21600,21600" o:gfxdata="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RcxD72AAAAAoBAAAPAAAAAAAAAAEAIAAAACIAAABkcnMvZG93bnJldi54bWxQSwEC&#10;FAAUAAAACACHTuJAJ3+UJ/QBAADLAwAADgAAAAAAAAABACAAAAAnAQAAZHJzL2Uyb0RvYy54bWxQ&#10;SwUGAAAAAAYABgBZAQAAjQUAAAAA&#10;">
                <v:fill on="f" focussize="0,0"/>
                <v:stroke weight="0.5pt" color="#ED7D31" miterlimit="8" joinstyle="miter"/>
                <v:imagedata o:title=""/>
                <o:lock v:ext="edit" aspectratio="f"/>
              </v:line>
            </w:pict>
          </mc:Fallback>
        </mc:AlternateContent>
      </w:r>
      <w:r>
        <w:rPr>
          <w:rFonts w:hint="eastAsia"/>
        </w:rPr>
        <mc:AlternateContent>
          <mc:Choice Requires="wps">
            <w:drawing>
              <wp:anchor distT="0" distB="0" distL="114300" distR="114300" simplePos="0" relativeHeight="251668480" behindDoc="0" locked="0" layoutInCell="1" hidden="1" allowOverlap="1">
                <wp:simplePos x="0" y="0"/>
                <wp:positionH relativeFrom="column">
                  <wp:posOffset>-191770</wp:posOffset>
                </wp:positionH>
                <wp:positionV relativeFrom="paragraph">
                  <wp:posOffset>-195580</wp:posOffset>
                </wp:positionV>
                <wp:extent cx="3419475" cy="0"/>
                <wp:effectExtent l="0" t="0" r="0" b="0"/>
                <wp:wrapNone/>
                <wp:docPr id="98" name="直接连接符 98" hidden="1"/>
                <wp:cNvGraphicFramePr/>
                <a:graphic xmlns:a="http://schemas.openxmlformats.org/drawingml/2006/main">
                  <a:graphicData uri="http://schemas.microsoft.com/office/word/2010/wordprocessingShape">
                    <wps:wsp>
                      <wps:cNvCnPr/>
                      <wps:spPr>
                        <a:xfrm>
                          <a:off x="0" y="0"/>
                          <a:ext cx="3419475" cy="0"/>
                        </a:xfrm>
                        <a:prstGeom prst="line">
                          <a:avLst/>
                        </a:prstGeom>
                        <a:noFill/>
                        <a:ln w="6350" cap="flat" cmpd="sng" algn="ctr">
                          <a:solidFill>
                            <a:srgbClr val="ED7D31"/>
                          </a:solidFill>
                          <a:prstDash val="solid"/>
                          <a:miter lim="800000"/>
                        </a:ln>
                        <a:effectLst/>
                      </wps:spPr>
                      <wps:bodyPr/>
                    </wps:wsp>
                  </a:graphicData>
                </a:graphic>
              </wp:anchor>
            </w:drawing>
          </mc:Choice>
          <mc:Fallback>
            <w:pict>
              <v:line id="_x0000_s1026" o:spid="_x0000_s1026" o:spt="20" style="position:absolute;left:0pt;margin-left:-15.1pt;margin-top:-15.4pt;height:0pt;width:269.25pt;visibility:hidden;z-index:251668480;mso-width-relative:page;mso-height-relative:page;" filled="f" stroked="t" coordsize="21600,21600" o:gfxdata="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hfoK9cAAAALAQAADwAAAAAAAAABACAAAAAiAAAAZHJzL2Rvd25yZXYueG1sUEsB&#10;AhQAFAAAAAgAh07iQLlGskf2AQAAzAMAAA4AAAAAAAAAAQAgAAAAJgEAAGRycy9lMm9Eb2MueG1s&#10;UEsFBgAAAAAGAAYAWQEAAI4FAAAAAA==&#10;">
                <v:fill on="f" focussize="0,0"/>
                <v:stroke weight="0.5pt" color="#ED7D31" miterlimit="8" joinstyle="miter"/>
                <v:imagedata o:title=""/>
                <o:lock v:ext="edit" aspectratio="f"/>
              </v:line>
            </w:pict>
          </mc:Fallback>
        </mc:AlternateContent>
      </w:r>
      <w:r>
        <w:rPr>
          <w:rFonts w:hint="eastAsia"/>
        </w:rPr>
        <mc:AlternateContent>
          <mc:Choice Requires="wps">
            <w:drawing>
              <wp:anchor distT="0" distB="0" distL="114300" distR="114300" simplePos="0" relativeHeight="251667456" behindDoc="0" locked="0" layoutInCell="1" hidden="1" allowOverlap="1">
                <wp:simplePos x="0" y="0"/>
                <wp:positionH relativeFrom="column">
                  <wp:posOffset>36830</wp:posOffset>
                </wp:positionH>
                <wp:positionV relativeFrom="paragraph">
                  <wp:posOffset>-1233805</wp:posOffset>
                </wp:positionV>
                <wp:extent cx="0" cy="899795"/>
                <wp:effectExtent l="0" t="0" r="0" b="0"/>
                <wp:wrapNone/>
                <wp:docPr id="97" name="直接连接符 97" hidden="1"/>
                <wp:cNvGraphicFramePr/>
                <a:graphic xmlns:a="http://schemas.openxmlformats.org/drawingml/2006/main">
                  <a:graphicData uri="http://schemas.microsoft.com/office/word/2010/wordprocessingShape">
                    <wps:wsp>
                      <wps:cNvCnPr/>
                      <wps:spPr>
                        <a:xfrm>
                          <a:off x="0" y="0"/>
                          <a:ext cx="0" cy="899795"/>
                        </a:xfrm>
                        <a:prstGeom prst="line">
                          <a:avLst/>
                        </a:prstGeom>
                        <a:noFill/>
                        <a:ln w="6350" cap="flat" cmpd="sng" algn="ctr">
                          <a:solidFill>
                            <a:srgbClr val="ED7D31"/>
                          </a:solidFill>
                          <a:prstDash val="solid"/>
                          <a:miter lim="800000"/>
                        </a:ln>
                        <a:effectLst/>
                      </wps:spPr>
                      <wps:bodyPr/>
                    </wps:wsp>
                  </a:graphicData>
                </a:graphic>
              </wp:anchor>
            </w:drawing>
          </mc:Choice>
          <mc:Fallback>
            <w:pict>
              <v:line id="_x0000_s1026" o:spid="_x0000_s1026" o:spt="20" style="position:absolute;left:0pt;margin-left:2.9pt;margin-top:-97.15pt;height:70.85pt;width:0pt;visibility:hidden;z-index:251667456;mso-width-relative:page;mso-height-relative:page;" filled="f" stroked="t" coordsize="21600,21600" o:gfxdata="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3x63B1gAAAAgBAAAPAAAAAAAAAAEAIAAAACIAAABkcnMvZG93bnJldi54bWxQSwECFAAU&#10;AAAACACHTuJAX+buY/MBAADLAwAADgAAAAAAAAABACAAAAAlAQAAZHJzL2Uyb0RvYy54bWxQSwUG&#10;AAAAAAYABgBZAQAAigUAAAAA&#10;">
                <v:fill on="f" focussize="0,0"/>
                <v:stroke weight="0.5pt" color="#ED7D31" miterlimit="8" joinstyle="miter"/>
                <v:imagedata o:title=""/>
                <o:lock v:ext="edit" aspectratio="f"/>
              </v:line>
            </w:pict>
          </mc:Fallback>
        </mc:AlternateContent>
      </w:r>
      <w:bookmarkEnd w:id="217"/>
      <w:bookmarkEnd w:id="218"/>
      <w:bookmarkStart w:id="219" w:name="_Toc2938"/>
      <w:bookmarkStart w:id="220" w:name="_Toc23526"/>
      <w:bookmarkStart w:id="221" w:name="_Toc4688"/>
      <w:bookmarkStart w:id="222" w:name="_Toc15499"/>
      <w:r>
        <w:rPr>
          <w:rFonts w:hint="eastAsia"/>
        </w:rPr>
        <w:t>基本格式要求</w:t>
      </w:r>
      <w:bookmarkEnd w:id="212"/>
      <w:bookmarkEnd w:id="213"/>
      <w:bookmarkEnd w:id="214"/>
      <w:bookmarkEnd w:id="219"/>
      <w:bookmarkEnd w:id="220"/>
      <w:bookmarkEnd w:id="221"/>
      <w:bookmarkEnd w:id="222"/>
    </w:p>
    <w:p w14:paraId="63E50B18">
      <w:pPr>
        <w:adjustRightInd/>
        <w:spacing w:line="240" w:lineRule="auto"/>
        <w:ind w:firstLine="420" w:firstLineChars="200"/>
        <w:rPr>
          <w:rFonts w:ascii="宋体" w:hAnsi="宋体" w:cs="宋体"/>
          <w:color w:val="000000"/>
        </w:rPr>
      </w:pPr>
      <w:r>
        <w:rPr>
          <w:rFonts w:hint="eastAsia" w:ascii="宋体" w:hAnsi="宋体" w:cs="宋体"/>
          <w:color w:val="000000"/>
        </w:rPr>
        <w:t>安全预评价报告的基本格式要求如下：</w:t>
      </w:r>
    </w:p>
    <w:p w14:paraId="1ADE25B1">
      <w:pPr>
        <w:numPr>
          <w:ilvl w:val="0"/>
          <w:numId w:val="39"/>
        </w:numPr>
        <w:adjustRightInd/>
        <w:spacing w:line="240" w:lineRule="auto"/>
        <w:ind w:firstLine="420" w:firstLineChars="200"/>
        <w:rPr>
          <w:rFonts w:ascii="宋体" w:hAnsi="宋体" w:cs="宋体"/>
          <w:color w:val="000000"/>
        </w:rPr>
      </w:pPr>
      <w:r>
        <w:rPr>
          <w:rFonts w:hint="eastAsia" w:ascii="宋体" w:hAnsi="宋体" w:cs="宋体"/>
          <w:color w:val="000000"/>
        </w:rPr>
        <w:t>封面；</w:t>
      </w:r>
    </w:p>
    <w:p w14:paraId="37F94F08">
      <w:pPr>
        <w:numPr>
          <w:ilvl w:val="0"/>
          <w:numId w:val="39"/>
        </w:numPr>
        <w:adjustRightInd/>
        <w:spacing w:line="240" w:lineRule="auto"/>
        <w:ind w:firstLine="420" w:firstLineChars="200"/>
        <w:rPr>
          <w:rFonts w:ascii="宋体" w:hAnsi="宋体" w:cs="宋体"/>
          <w:color w:val="000000"/>
        </w:rPr>
      </w:pPr>
      <w:r>
        <w:rPr>
          <w:rFonts w:hint="eastAsia" w:ascii="宋体" w:hAnsi="宋体" w:cs="宋体"/>
          <w:color w:val="000000"/>
        </w:rPr>
        <w:t>安全评价资质证书影印件；</w:t>
      </w:r>
    </w:p>
    <w:p w14:paraId="09A138CF">
      <w:pPr>
        <w:numPr>
          <w:ilvl w:val="0"/>
          <w:numId w:val="39"/>
        </w:numPr>
        <w:adjustRightInd/>
        <w:spacing w:line="240" w:lineRule="auto"/>
        <w:ind w:firstLine="420" w:firstLineChars="200"/>
        <w:rPr>
          <w:rFonts w:ascii="宋体" w:hAnsi="宋体" w:cs="宋体"/>
          <w:color w:val="000000"/>
        </w:rPr>
      </w:pPr>
      <w:r>
        <w:rPr>
          <w:rFonts w:hint="eastAsia" w:ascii="宋体" w:hAnsi="宋体" w:cs="宋体"/>
          <w:color w:val="000000"/>
        </w:rPr>
        <w:t>著录项；</w:t>
      </w:r>
    </w:p>
    <w:p w14:paraId="481B73EA">
      <w:pPr>
        <w:numPr>
          <w:ilvl w:val="0"/>
          <w:numId w:val="39"/>
        </w:numPr>
        <w:adjustRightInd/>
        <w:spacing w:line="240" w:lineRule="auto"/>
        <w:ind w:firstLine="420" w:firstLineChars="200"/>
        <w:rPr>
          <w:rFonts w:ascii="宋体" w:hAnsi="宋体" w:cs="宋体"/>
          <w:color w:val="000000"/>
        </w:rPr>
      </w:pPr>
      <w:r>
        <w:rPr>
          <w:rFonts w:hint="eastAsia" w:ascii="宋体" w:hAnsi="宋体" w:cs="宋体"/>
          <w:color w:val="000000"/>
        </w:rPr>
        <w:t>前言；</w:t>
      </w:r>
    </w:p>
    <w:p w14:paraId="2EF95089">
      <w:pPr>
        <w:numPr>
          <w:ilvl w:val="0"/>
          <w:numId w:val="39"/>
        </w:numPr>
        <w:adjustRightInd/>
        <w:spacing w:line="240" w:lineRule="auto"/>
        <w:ind w:firstLine="420" w:firstLineChars="200"/>
        <w:rPr>
          <w:rFonts w:ascii="宋体" w:hAnsi="宋体" w:cs="宋体"/>
          <w:color w:val="000000"/>
        </w:rPr>
      </w:pPr>
      <w:r>
        <w:rPr>
          <w:rFonts w:hint="eastAsia" w:ascii="宋体" w:hAnsi="宋体" w:cs="宋体"/>
          <w:color w:val="000000"/>
        </w:rPr>
        <w:t>目录；</w:t>
      </w:r>
    </w:p>
    <w:p w14:paraId="18B56001">
      <w:pPr>
        <w:numPr>
          <w:ilvl w:val="0"/>
          <w:numId w:val="39"/>
        </w:numPr>
        <w:adjustRightInd/>
        <w:spacing w:line="240" w:lineRule="auto"/>
        <w:ind w:firstLine="420" w:firstLineChars="200"/>
        <w:rPr>
          <w:rFonts w:ascii="宋体" w:hAnsi="宋体" w:cs="宋体"/>
          <w:color w:val="000000"/>
        </w:rPr>
      </w:pPr>
      <w:r>
        <w:rPr>
          <w:rFonts w:hint="eastAsia" w:ascii="宋体" w:hAnsi="宋体" w:cs="宋体"/>
          <w:color w:val="000000"/>
        </w:rPr>
        <w:t>正文；</w:t>
      </w:r>
    </w:p>
    <w:p w14:paraId="0AE3ED65">
      <w:pPr>
        <w:numPr>
          <w:ilvl w:val="0"/>
          <w:numId w:val="39"/>
        </w:numPr>
        <w:adjustRightInd/>
        <w:spacing w:line="240" w:lineRule="auto"/>
        <w:ind w:firstLine="420" w:firstLineChars="200"/>
        <w:rPr>
          <w:rFonts w:ascii="宋体" w:hAnsi="宋体" w:cs="宋体"/>
          <w:color w:val="000000"/>
        </w:rPr>
      </w:pPr>
      <w:r>
        <w:rPr>
          <w:rFonts w:hint="eastAsia" w:ascii="宋体" w:hAnsi="宋体" w:cs="宋体"/>
          <w:color w:val="000000"/>
        </w:rPr>
        <w:t>附件；</w:t>
      </w:r>
    </w:p>
    <w:p w14:paraId="0BEEB00C">
      <w:pPr>
        <w:numPr>
          <w:ilvl w:val="0"/>
          <w:numId w:val="39"/>
        </w:numPr>
        <w:adjustRightInd/>
        <w:spacing w:line="240" w:lineRule="auto"/>
        <w:ind w:firstLine="420" w:firstLineChars="200"/>
        <w:rPr>
          <w:rFonts w:ascii="宋体" w:hAnsi="宋体" w:cs="宋体"/>
          <w:color w:val="000000"/>
        </w:rPr>
      </w:pPr>
      <w:r>
        <w:rPr>
          <w:rFonts w:hint="eastAsia" w:ascii="宋体" w:hAnsi="宋体" w:cs="宋体"/>
          <w:color w:val="000000"/>
        </w:rPr>
        <w:t>附图。</w:t>
      </w:r>
    </w:p>
    <w:p w14:paraId="6D029777">
      <w:pPr>
        <w:pStyle w:val="82"/>
        <w:spacing w:before="156" w:after="156"/>
        <w:rPr>
          <w:rFonts w:hint="eastAsia"/>
        </w:rPr>
      </w:pPr>
      <w:bookmarkStart w:id="223" w:name="_Toc1819"/>
      <w:bookmarkStart w:id="224" w:name="_Toc13399"/>
      <w:bookmarkStart w:id="225" w:name="_Toc30782"/>
      <w:bookmarkStart w:id="226" w:name="_Toc26716"/>
      <w:bookmarkStart w:id="227" w:name="_Toc20289"/>
      <w:bookmarkStart w:id="228" w:name="_Toc163435768"/>
      <w:bookmarkStart w:id="229" w:name="_Toc21032"/>
      <w:r>
        <w:rPr>
          <w:rFonts w:hint="eastAsia"/>
        </w:rPr>
        <w:t>封面</w:t>
      </w:r>
      <w:bookmarkEnd w:id="223"/>
      <w:bookmarkEnd w:id="224"/>
      <w:bookmarkEnd w:id="225"/>
      <w:bookmarkEnd w:id="226"/>
      <w:bookmarkEnd w:id="227"/>
      <w:bookmarkEnd w:id="228"/>
      <w:bookmarkEnd w:id="229"/>
    </w:p>
    <w:p w14:paraId="22749AC6">
      <w:pPr>
        <w:pStyle w:val="235"/>
        <w:rPr>
          <w:rFonts w:ascii="宋体" w:hAnsi="宋体" w:cs="宋体"/>
          <w:color w:val="000000"/>
        </w:rPr>
      </w:pPr>
      <w:bookmarkStart w:id="230" w:name="_Hlk512928545"/>
      <w:r>
        <w:rPr>
          <w:rFonts w:hint="eastAsia"/>
        </w:rPr>
        <w:t>封面格式应符合</w:t>
      </w:r>
      <w:bookmarkEnd w:id="230"/>
      <w:r>
        <w:rPr>
          <w:rFonts w:hint="eastAsia" w:ascii="宋体" w:hAnsi="宋体" w:cs="宋体"/>
          <w:color w:val="000000"/>
        </w:rPr>
        <w:t>图B</w:t>
      </w:r>
      <w:r>
        <w:rPr>
          <w:rFonts w:hint="eastAsia" w:ascii="宋体" w:hAnsi="宋体" w:cs="宋体"/>
          <w:color w:val="000000"/>
          <w:spacing w:val="1"/>
        </w:rPr>
        <w:t>.1</w:t>
      </w:r>
      <w:r>
        <w:rPr>
          <w:rFonts w:hint="eastAsia" w:ascii="宋体" w:hAnsi="宋体" w:cs="宋体"/>
          <w:color w:val="000000"/>
        </w:rPr>
        <w:t>的要求。</w:t>
      </w:r>
    </w:p>
    <w:p w14:paraId="2E288040">
      <w:pPr>
        <w:pStyle w:val="82"/>
        <w:spacing w:before="156" w:after="156"/>
        <w:rPr>
          <w:rFonts w:hint="eastAsia"/>
        </w:rPr>
      </w:pPr>
      <w:bookmarkStart w:id="231" w:name="_Toc73694355"/>
      <w:bookmarkStart w:id="232" w:name="_Toc3435"/>
      <w:bookmarkStart w:id="233" w:name="_Toc3403"/>
      <w:bookmarkStart w:id="234" w:name="_Toc3528"/>
      <w:bookmarkStart w:id="235" w:name="_Toc22812"/>
      <w:bookmarkStart w:id="236" w:name="_Toc193042503"/>
      <w:bookmarkStart w:id="237" w:name="_Toc26673"/>
      <w:bookmarkStart w:id="238" w:name="_Toc443"/>
      <w:bookmarkStart w:id="239" w:name="_Toc17974"/>
      <w:bookmarkStart w:id="240" w:name="_Toc16329"/>
      <w:bookmarkStart w:id="241" w:name="_Toc2136"/>
      <w:r>
        <w:rPr>
          <w:rFonts w:hint="eastAsia"/>
        </w:rPr>
        <w:t>著录项</w:t>
      </w:r>
      <w:bookmarkEnd w:id="231"/>
      <w:bookmarkEnd w:id="232"/>
      <w:bookmarkEnd w:id="233"/>
      <w:bookmarkEnd w:id="234"/>
      <w:bookmarkEnd w:id="235"/>
      <w:bookmarkEnd w:id="236"/>
      <w:bookmarkEnd w:id="237"/>
      <w:bookmarkEnd w:id="238"/>
      <w:bookmarkEnd w:id="239"/>
      <w:bookmarkEnd w:id="240"/>
      <w:bookmarkEnd w:id="241"/>
    </w:p>
    <w:p w14:paraId="5962477F">
      <w:pPr>
        <w:widowControl/>
        <w:numPr>
          <w:ilvl w:val="1"/>
          <w:numId w:val="0"/>
        </w:numPr>
        <w:adjustRightInd/>
        <w:spacing w:line="240" w:lineRule="auto"/>
        <w:ind w:firstLine="420" w:firstLineChars="200"/>
        <w:jc w:val="left"/>
        <w:rPr>
          <w:rFonts w:hint="eastAsia" w:ascii="宋体" w:hAnsi="宋体" w:cs="宋体"/>
          <w:color w:val="000000"/>
          <w:kern w:val="0"/>
        </w:rPr>
      </w:pPr>
      <w:bookmarkStart w:id="242" w:name="_Toc22949"/>
      <w:r>
        <w:rPr>
          <w:rFonts w:hint="eastAsia" w:ascii="宋体" w:hAnsi="宋体" w:cs="宋体"/>
          <w:color w:val="000000"/>
          <w:kern w:val="0"/>
        </w:rPr>
        <w:t>著录项</w:t>
      </w:r>
      <w:r>
        <w:rPr>
          <w:rFonts w:hint="eastAsia" w:ascii="宋体" w:hAnsi="宋体" w:cs="宋体"/>
          <w:color w:val="000000"/>
          <w:kern w:val="0"/>
          <w:lang w:val="en-US" w:eastAsia="zh-CN"/>
        </w:rPr>
        <w:t>格式应</w:t>
      </w:r>
      <w:r>
        <w:rPr>
          <w:rFonts w:hint="eastAsia" w:ascii="宋体" w:hAnsi="宋体" w:cs="宋体"/>
          <w:color w:val="000000"/>
          <w:kern w:val="0"/>
        </w:rPr>
        <w:t>符合图B.2和图B.3的要求。</w:t>
      </w:r>
      <w:bookmarkEnd w:id="242"/>
    </w:p>
    <w:p w14:paraId="47071506">
      <w:pPr>
        <w:pStyle w:val="82"/>
        <w:spacing w:before="156" w:after="156"/>
        <w:rPr>
          <w:rFonts w:hint="eastAsia"/>
        </w:rPr>
      </w:pPr>
      <w:bookmarkStart w:id="243" w:name="_Toc7534"/>
      <w:bookmarkStart w:id="244" w:name="_Toc6481"/>
      <w:bookmarkStart w:id="245" w:name="_Toc193042504"/>
      <w:r>
        <w:rPr>
          <w:rFonts w:hint="eastAsia"/>
        </w:rPr>
        <w:t>前言</w:t>
      </w:r>
      <w:bookmarkEnd w:id="243"/>
      <w:bookmarkEnd w:id="244"/>
      <w:bookmarkEnd w:id="245"/>
    </w:p>
    <w:p w14:paraId="72D0AA4C">
      <w:pPr>
        <w:adjustRightInd/>
        <w:spacing w:line="360" w:lineRule="exact"/>
        <w:ind w:firstLine="420" w:firstLineChars="200"/>
        <w:rPr>
          <w:rFonts w:ascii="宋体" w:hAnsi="宋体" w:cs="宋体"/>
          <w:color w:val="000000"/>
        </w:rPr>
      </w:pPr>
      <w:r>
        <w:rPr>
          <w:rFonts w:hint="eastAsia" w:ascii="宋体" w:hAnsi="宋体" w:cs="宋体"/>
          <w:color w:val="000000"/>
        </w:rPr>
        <w:t>前言采用三号黑体字，内容的文字表述部分采用小四号宋体字。</w:t>
      </w:r>
    </w:p>
    <w:p w14:paraId="72738DCF">
      <w:pPr>
        <w:pStyle w:val="82"/>
        <w:spacing w:before="156" w:after="156"/>
        <w:rPr>
          <w:rFonts w:hint="eastAsia"/>
        </w:rPr>
      </w:pPr>
      <w:bookmarkStart w:id="246" w:name="_Toc193042505"/>
      <w:bookmarkStart w:id="247" w:name="_Toc29340"/>
      <w:bookmarkStart w:id="248" w:name="_Toc10233"/>
      <w:r>
        <w:rPr>
          <w:rFonts w:hint="eastAsia"/>
        </w:rPr>
        <w:t>目录</w:t>
      </w:r>
      <w:bookmarkEnd w:id="246"/>
      <w:bookmarkEnd w:id="247"/>
      <w:bookmarkEnd w:id="248"/>
    </w:p>
    <w:p w14:paraId="2E1FEC4F">
      <w:pPr>
        <w:adjustRightInd/>
        <w:spacing w:line="360" w:lineRule="exact"/>
        <w:ind w:firstLine="420" w:firstLineChars="200"/>
        <w:rPr>
          <w:rFonts w:ascii="宋体" w:hAnsi="宋体" w:cs="宋体"/>
          <w:color w:val="000000"/>
        </w:rPr>
      </w:pPr>
      <w:r>
        <w:rPr>
          <w:rFonts w:hint="eastAsia" w:ascii="宋体" w:hAnsi="宋体" w:cs="宋体"/>
          <w:color w:val="000000"/>
        </w:rPr>
        <w:t>目录的编排应列出章、节的名称，采用三号黑体字，章、节标题采用小四号宋体字。</w:t>
      </w:r>
    </w:p>
    <w:p w14:paraId="7E3F47AE">
      <w:pPr>
        <w:pStyle w:val="82"/>
        <w:spacing w:before="156" w:after="156"/>
        <w:rPr>
          <w:rFonts w:hint="eastAsia"/>
        </w:rPr>
      </w:pPr>
      <w:bookmarkStart w:id="249" w:name="_Toc27465"/>
      <w:bookmarkStart w:id="250" w:name="_Toc193042506"/>
      <w:bookmarkStart w:id="251" w:name="_Toc3536"/>
      <w:r>
        <w:rPr>
          <w:rFonts w:hint="eastAsia"/>
        </w:rPr>
        <w:t>正文</w:t>
      </w:r>
      <w:bookmarkEnd w:id="249"/>
      <w:bookmarkEnd w:id="250"/>
      <w:bookmarkEnd w:id="251"/>
    </w:p>
    <w:p w14:paraId="7D49A86D">
      <w:pPr>
        <w:adjustRightInd/>
        <w:spacing w:line="360" w:lineRule="exact"/>
        <w:ind w:firstLine="420" w:firstLineChars="200"/>
        <w:rPr>
          <w:rFonts w:hint="eastAsia" w:ascii="宋体" w:hAnsi="宋体" w:eastAsia="宋体" w:cs="宋体"/>
          <w:color w:val="000000"/>
          <w:highlight w:val="none"/>
          <w:lang w:val="en-US" w:eastAsia="zh-CN"/>
        </w:rPr>
      </w:pPr>
      <w:r>
        <w:rPr>
          <w:rFonts w:hint="eastAsia" w:ascii="宋体" w:hAnsi="宋体" w:cs="宋体"/>
          <w:color w:val="000000"/>
        </w:rPr>
        <w:t>报告主要内容的章、节标题分别采用三号黑体、四号黑体字，内容的文字表述部分采用小四号宋体字，表名、图名采用五号黑体，表格文字可选择采用五号或者小五号宋体字；</w:t>
      </w:r>
      <w:r>
        <w:rPr>
          <w:rFonts w:hint="eastAsia" w:ascii="宋体" w:hAnsi="宋体" w:cs="宋体"/>
          <w:color w:val="000000"/>
          <w:highlight w:val="none"/>
        </w:rPr>
        <w:t>页眉报告名称</w:t>
      </w:r>
      <w:r>
        <w:rPr>
          <w:rFonts w:hint="eastAsia" w:ascii="宋体" w:hAnsi="宋体" w:cs="宋体"/>
          <w:color w:val="000000"/>
          <w:highlight w:val="none"/>
          <w:lang w:val="en-US" w:eastAsia="zh-CN"/>
        </w:rPr>
        <w:t>和页脚页码</w:t>
      </w:r>
      <w:r>
        <w:rPr>
          <w:rFonts w:hint="eastAsia" w:ascii="宋体" w:hAnsi="宋体" w:cs="宋体"/>
          <w:color w:val="000000"/>
          <w:highlight w:val="none"/>
        </w:rPr>
        <w:t>采用GB2312</w:t>
      </w:r>
      <w:r>
        <w:rPr>
          <w:rFonts w:hint="eastAsia" w:ascii="宋体" w:hAnsi="宋体" w:cs="宋体"/>
          <w:color w:val="000000"/>
          <w:highlight w:val="none"/>
          <w:lang w:val="en-US" w:eastAsia="zh-CN"/>
        </w:rPr>
        <w:t>规定的</w:t>
      </w:r>
      <w:r>
        <w:rPr>
          <w:rFonts w:hint="eastAsia" w:ascii="宋体" w:hAnsi="宋体" w:cs="宋体"/>
          <w:color w:val="000000"/>
          <w:highlight w:val="none"/>
        </w:rPr>
        <w:t>五号楷体</w:t>
      </w:r>
      <w:r>
        <w:rPr>
          <w:rFonts w:hint="eastAsia" w:ascii="宋体" w:hAnsi="宋体" w:cs="宋体"/>
          <w:color w:val="000000"/>
          <w:highlight w:val="none"/>
          <w:lang w:val="en-US" w:eastAsia="zh-CN"/>
        </w:rPr>
        <w:t>字。</w:t>
      </w:r>
    </w:p>
    <w:p w14:paraId="28DF47E2">
      <w:pPr>
        <w:pStyle w:val="82"/>
        <w:spacing w:before="156" w:after="156"/>
        <w:rPr>
          <w:rFonts w:hint="eastAsia"/>
        </w:rPr>
      </w:pPr>
      <w:bookmarkStart w:id="252" w:name="_Toc32242"/>
      <w:bookmarkStart w:id="253" w:name="_Toc193042507"/>
      <w:bookmarkStart w:id="254" w:name="_Toc30953"/>
      <w:r>
        <w:rPr>
          <w:rFonts w:hint="eastAsia"/>
        </w:rPr>
        <w:t>附件与附图</w:t>
      </w:r>
      <w:bookmarkEnd w:id="252"/>
      <w:bookmarkEnd w:id="253"/>
      <w:bookmarkEnd w:id="254"/>
    </w:p>
    <w:p w14:paraId="3DCAFA1F">
      <w:pPr>
        <w:adjustRightInd/>
        <w:spacing w:line="360" w:lineRule="exact"/>
        <w:ind w:firstLine="420" w:firstLineChars="200"/>
        <w:rPr>
          <w:rFonts w:ascii="Times New Roman" w:hAnsi="Times New Roman" w:eastAsia="黑体"/>
          <w:b/>
          <w:bCs/>
          <w:color w:val="000000"/>
          <w:szCs w:val="24"/>
        </w:rPr>
      </w:pPr>
      <w:r>
        <w:rPr>
          <w:rFonts w:hint="eastAsia" w:ascii="宋体" w:hAnsi="宋体" w:cs="宋体"/>
          <w:color w:val="000000"/>
        </w:rPr>
        <w:t>附件、附图的标题采用三号黑体字。</w:t>
      </w:r>
    </w:p>
    <w:p w14:paraId="710897E8">
      <w:pPr>
        <w:pStyle w:val="2"/>
        <w:rPr>
          <w:rFonts w:hint="eastAsia"/>
        </w:rPr>
      </w:pPr>
    </w:p>
    <w:p w14:paraId="463E1C1F">
      <w:pPr>
        <w:rPr>
          <w:rFonts w:hint="eastAsia" w:ascii="宋体" w:hAnsi="宋体" w:cs="宋体"/>
          <w:color w:val="000000"/>
          <w:kern w:val="0"/>
        </w:rPr>
      </w:pPr>
      <w:r>
        <w:rPr>
          <w:rFonts w:hint="eastAsia" w:ascii="宋体" w:hAnsi="宋体" w:cs="宋体"/>
          <w:color w:val="000000"/>
          <w:kern w:val="0"/>
        </w:rPr>
        <w:br w:type="page"/>
      </w:r>
    </w:p>
    <w:p w14:paraId="22966E85">
      <w:pPr>
        <w:pBdr>
          <w:top w:val="single" w:color="auto" w:sz="4" w:space="1"/>
          <w:left w:val="single" w:color="auto" w:sz="4" w:space="4"/>
          <w:bottom w:val="single" w:color="auto" w:sz="4" w:space="1"/>
          <w:right w:val="single" w:color="auto" w:sz="4" w:space="4"/>
        </w:pBdr>
        <w:adjustRightInd/>
        <w:spacing w:line="240" w:lineRule="auto"/>
        <w:jc w:val="left"/>
        <w:rPr>
          <w:rFonts w:ascii="等线" w:hAnsi="等线" w:eastAsia="等线"/>
          <w:b/>
          <w:kern w:val="0"/>
          <w:sz w:val="44"/>
          <w:szCs w:val="24"/>
        </w:rPr>
      </w:pPr>
    </w:p>
    <w:p w14:paraId="1A476B90">
      <w:pPr>
        <w:pBdr>
          <w:top w:val="single" w:color="auto" w:sz="4" w:space="1"/>
          <w:left w:val="single" w:color="auto" w:sz="4" w:space="4"/>
          <w:bottom w:val="single" w:color="auto" w:sz="4" w:space="1"/>
          <w:right w:val="single" w:color="auto" w:sz="4" w:space="4"/>
        </w:pBdr>
        <w:adjustRightInd/>
        <w:spacing w:line="240" w:lineRule="auto"/>
        <w:jc w:val="center"/>
        <w:rPr>
          <w:rFonts w:ascii="等线" w:hAnsi="等线" w:eastAsia="等线"/>
          <w:b/>
          <w:kern w:val="0"/>
          <w:sz w:val="44"/>
          <w:szCs w:val="24"/>
        </w:rPr>
      </w:pPr>
    </w:p>
    <w:p w14:paraId="717FA2FD">
      <w:pPr>
        <w:pBdr>
          <w:top w:val="single" w:color="auto" w:sz="4" w:space="1"/>
          <w:left w:val="single" w:color="auto" w:sz="4" w:space="4"/>
          <w:bottom w:val="single" w:color="auto" w:sz="4" w:space="1"/>
          <w:right w:val="single" w:color="auto" w:sz="4" w:space="4"/>
        </w:pBdr>
        <w:adjustRightInd/>
        <w:spacing w:line="240" w:lineRule="auto"/>
        <w:jc w:val="center"/>
        <w:rPr>
          <w:rFonts w:ascii="等线" w:hAnsi="等线" w:eastAsia="等线"/>
          <w:b/>
          <w:kern w:val="0"/>
          <w:sz w:val="44"/>
          <w:szCs w:val="24"/>
        </w:rPr>
      </w:pPr>
    </w:p>
    <w:p w14:paraId="519A4E01">
      <w:pPr>
        <w:pBdr>
          <w:top w:val="single" w:color="auto" w:sz="4" w:space="1"/>
          <w:left w:val="single" w:color="auto" w:sz="4" w:space="4"/>
          <w:bottom w:val="single" w:color="auto" w:sz="4" w:space="1"/>
          <w:right w:val="single" w:color="auto" w:sz="4" w:space="4"/>
        </w:pBdr>
        <w:adjustRightInd/>
        <w:spacing w:line="240" w:lineRule="auto"/>
        <w:jc w:val="center"/>
        <w:rPr>
          <w:rFonts w:ascii="等线" w:hAnsi="等线" w:eastAsia="等线"/>
          <w:b/>
          <w:kern w:val="0"/>
          <w:sz w:val="44"/>
          <w:szCs w:val="24"/>
        </w:rPr>
      </w:pPr>
      <w:r>
        <w:rPr>
          <w:rFonts w:hint="eastAsia" w:ascii="宋体" w:hAnsi="宋体" w:cs="宋体"/>
          <w:b/>
          <w:kern w:val="0"/>
          <w:sz w:val="44"/>
          <w:szCs w:val="24"/>
        </w:rPr>
        <w:t>（委托单位名称）</w:t>
      </w:r>
      <w:r>
        <w:rPr>
          <w:rFonts w:ascii="等线" w:hAnsi="等线" w:eastAsia="等线"/>
          <w:b/>
          <w:kern w:val="0"/>
          <w:sz w:val="44"/>
          <w:szCs w:val="24"/>
        </w:rPr>
        <w:t xml:space="preserve"> </w:t>
      </w:r>
    </w:p>
    <w:p w14:paraId="7CC6AA0C">
      <w:pPr>
        <w:pBdr>
          <w:top w:val="single" w:color="auto" w:sz="4" w:space="1"/>
          <w:left w:val="single" w:color="auto" w:sz="4" w:space="4"/>
          <w:bottom w:val="single" w:color="auto" w:sz="4" w:space="1"/>
          <w:right w:val="single" w:color="auto" w:sz="4" w:space="4"/>
        </w:pBdr>
        <w:adjustRightInd/>
        <w:spacing w:line="240" w:lineRule="auto"/>
        <w:jc w:val="center"/>
        <w:rPr>
          <w:rFonts w:ascii="Times New Roman" w:hAnsi="Times New Roman" w:eastAsia="仿宋_GB2312"/>
          <w:bCs/>
          <w:sz w:val="28"/>
          <w:szCs w:val="28"/>
        </w:rPr>
      </w:pPr>
      <w:r>
        <w:rPr>
          <w:rFonts w:ascii="Times New Roman" w:hAnsi="Times New Roman" w:eastAsia="仿宋_GB2312"/>
          <w:bCs/>
          <w:sz w:val="15"/>
          <w:szCs w:val="15"/>
        </w:rPr>
        <w:t>（居中，二号宋体</w:t>
      </w:r>
      <w:r>
        <w:rPr>
          <w:rFonts w:hint="eastAsia" w:ascii="Times New Roman" w:hAnsi="Times New Roman" w:eastAsia="仿宋_GB2312"/>
          <w:bCs/>
          <w:sz w:val="15"/>
          <w:szCs w:val="15"/>
        </w:rPr>
        <w:t>加粗</w:t>
      </w:r>
      <w:r>
        <w:rPr>
          <w:rFonts w:ascii="Times New Roman" w:hAnsi="Times New Roman" w:eastAsia="仿宋_GB2312"/>
          <w:bCs/>
          <w:sz w:val="15"/>
          <w:szCs w:val="15"/>
        </w:rPr>
        <w:t>）</w:t>
      </w:r>
    </w:p>
    <w:p w14:paraId="0B644D66">
      <w:pPr>
        <w:pBdr>
          <w:top w:val="single" w:color="auto" w:sz="4" w:space="1"/>
          <w:left w:val="single" w:color="auto" w:sz="4" w:space="4"/>
          <w:bottom w:val="single" w:color="auto" w:sz="4" w:space="1"/>
          <w:right w:val="single" w:color="auto" w:sz="4" w:space="4"/>
        </w:pBdr>
        <w:adjustRightInd/>
        <w:spacing w:line="240" w:lineRule="auto"/>
        <w:jc w:val="center"/>
        <w:rPr>
          <w:rFonts w:ascii="宋体" w:hAnsi="宋体" w:cs="宋体"/>
          <w:b/>
          <w:kern w:val="0"/>
          <w:sz w:val="44"/>
          <w:szCs w:val="24"/>
        </w:rPr>
      </w:pPr>
      <w:r>
        <w:rPr>
          <w:rFonts w:hint="eastAsia" w:ascii="宋体" w:hAnsi="宋体" w:cs="宋体"/>
          <w:b/>
          <w:kern w:val="0"/>
          <w:sz w:val="44"/>
          <w:szCs w:val="24"/>
        </w:rPr>
        <w:t>（评价项目名称）</w:t>
      </w:r>
    </w:p>
    <w:p w14:paraId="5E3BEB25">
      <w:pPr>
        <w:pBdr>
          <w:top w:val="single" w:color="auto" w:sz="4" w:space="1"/>
          <w:left w:val="single" w:color="auto" w:sz="4" w:space="4"/>
          <w:bottom w:val="single" w:color="auto" w:sz="4" w:space="1"/>
          <w:right w:val="single" w:color="auto" w:sz="4" w:space="4"/>
        </w:pBdr>
        <w:adjustRightInd/>
        <w:spacing w:line="240" w:lineRule="auto"/>
        <w:jc w:val="center"/>
        <w:rPr>
          <w:rFonts w:ascii="Times New Roman" w:hAnsi="Times New Roman" w:eastAsia="仿宋_GB2312"/>
          <w:bCs/>
          <w:sz w:val="28"/>
          <w:szCs w:val="28"/>
        </w:rPr>
      </w:pPr>
      <w:r>
        <w:rPr>
          <w:rFonts w:ascii="Times New Roman" w:hAnsi="Times New Roman" w:eastAsia="仿宋_GB2312"/>
          <w:bCs/>
          <w:sz w:val="15"/>
          <w:szCs w:val="15"/>
        </w:rPr>
        <w:t>（居中，二号宋体</w:t>
      </w:r>
      <w:r>
        <w:rPr>
          <w:rFonts w:hint="eastAsia" w:ascii="Times New Roman" w:hAnsi="Times New Roman" w:eastAsia="仿宋_GB2312"/>
          <w:bCs/>
          <w:sz w:val="15"/>
          <w:szCs w:val="15"/>
        </w:rPr>
        <w:t>加粗</w:t>
      </w:r>
      <w:r>
        <w:rPr>
          <w:rFonts w:ascii="Times New Roman" w:hAnsi="Times New Roman" w:eastAsia="仿宋_GB2312"/>
          <w:bCs/>
          <w:sz w:val="15"/>
          <w:szCs w:val="15"/>
        </w:rPr>
        <w:t>）</w:t>
      </w:r>
    </w:p>
    <w:p w14:paraId="43773A01">
      <w:pPr>
        <w:pBdr>
          <w:top w:val="single" w:color="auto" w:sz="4" w:space="1"/>
          <w:left w:val="single" w:color="auto" w:sz="4" w:space="4"/>
          <w:bottom w:val="single" w:color="auto" w:sz="4" w:space="1"/>
          <w:right w:val="single" w:color="auto" w:sz="4" w:space="4"/>
        </w:pBdr>
        <w:adjustRightInd/>
        <w:spacing w:line="240" w:lineRule="auto"/>
        <w:jc w:val="center"/>
        <w:rPr>
          <w:rFonts w:ascii="黑体" w:hAnsi="黑体" w:eastAsia="黑体"/>
          <w:b/>
          <w:w w:val="90"/>
          <w:kern w:val="0"/>
          <w:sz w:val="52"/>
          <w:szCs w:val="24"/>
        </w:rPr>
      </w:pPr>
      <w:r>
        <w:rPr>
          <w:rFonts w:hint="eastAsia" w:ascii="黑体" w:hAnsi="黑体" w:eastAsia="黑体"/>
          <w:b/>
          <w:w w:val="90"/>
          <w:kern w:val="0"/>
          <w:sz w:val="52"/>
          <w:szCs w:val="24"/>
        </w:rPr>
        <w:t>石油天然气开采建设项目安全预评价报告</w:t>
      </w:r>
    </w:p>
    <w:p w14:paraId="0AF6FB60">
      <w:pPr>
        <w:pBdr>
          <w:top w:val="single" w:color="auto" w:sz="4" w:space="1"/>
          <w:left w:val="single" w:color="auto" w:sz="4" w:space="4"/>
          <w:bottom w:val="single" w:color="auto" w:sz="4" w:space="1"/>
          <w:right w:val="single" w:color="auto" w:sz="4" w:space="4"/>
        </w:pBdr>
        <w:adjustRightInd/>
        <w:spacing w:line="240" w:lineRule="auto"/>
        <w:jc w:val="center"/>
        <w:rPr>
          <w:rFonts w:ascii="Times New Roman" w:hAnsi="Times New Roman"/>
          <w:sz w:val="24"/>
          <w:szCs w:val="24"/>
        </w:rPr>
      </w:pPr>
      <w:r>
        <w:rPr>
          <w:rFonts w:ascii="Times New Roman" w:hAnsi="Times New Roman" w:eastAsia="仿宋_GB2312"/>
          <w:bCs/>
          <w:sz w:val="15"/>
          <w:szCs w:val="15"/>
        </w:rPr>
        <w:t>（居中，一号</w:t>
      </w:r>
      <w:r>
        <w:rPr>
          <w:rFonts w:hint="eastAsia" w:ascii="Times New Roman" w:hAnsi="Times New Roman" w:eastAsia="仿宋_GB2312"/>
          <w:bCs/>
          <w:sz w:val="15"/>
          <w:szCs w:val="15"/>
        </w:rPr>
        <w:t>黑</w:t>
      </w:r>
      <w:r>
        <w:rPr>
          <w:rFonts w:ascii="Times New Roman" w:hAnsi="Times New Roman" w:eastAsia="仿宋_GB2312"/>
          <w:bCs/>
          <w:sz w:val="15"/>
          <w:szCs w:val="15"/>
        </w:rPr>
        <w:t>体</w:t>
      </w:r>
      <w:r>
        <w:rPr>
          <w:rFonts w:hint="eastAsia" w:ascii="Times New Roman" w:hAnsi="Times New Roman" w:eastAsia="仿宋_GB2312"/>
          <w:bCs/>
          <w:sz w:val="15"/>
          <w:szCs w:val="15"/>
        </w:rPr>
        <w:t>加粗</w:t>
      </w:r>
      <w:r>
        <w:rPr>
          <w:rFonts w:ascii="Times New Roman" w:hAnsi="Times New Roman" w:eastAsia="仿宋_GB2312"/>
          <w:bCs/>
          <w:sz w:val="15"/>
          <w:szCs w:val="15"/>
        </w:rPr>
        <w:t>）</w:t>
      </w:r>
    </w:p>
    <w:p w14:paraId="162ED081">
      <w:pPr>
        <w:pBdr>
          <w:top w:val="single" w:color="auto" w:sz="4" w:space="1"/>
          <w:left w:val="single" w:color="auto" w:sz="4" w:space="4"/>
          <w:bottom w:val="single" w:color="auto" w:sz="4" w:space="1"/>
          <w:right w:val="single" w:color="auto" w:sz="4" w:space="4"/>
        </w:pBdr>
        <w:adjustRightInd/>
        <w:spacing w:before="100" w:beforeAutospacing="1" w:after="100" w:afterAutospacing="1" w:line="360" w:lineRule="auto"/>
        <w:rPr>
          <w:rFonts w:ascii="Times New Roman" w:hAnsi="Times New Roman"/>
          <w:sz w:val="24"/>
          <w:szCs w:val="24"/>
        </w:rPr>
      </w:pPr>
      <w:r>
        <w:rPr>
          <w:rFonts w:ascii="Times New Roman" w:hAnsi="Times New Roman"/>
          <w:sz w:val="24"/>
          <w:szCs w:val="24"/>
        </w:rPr>
        <w:t> </w:t>
      </w:r>
    </w:p>
    <w:p w14:paraId="68B96C41">
      <w:pPr>
        <w:pBdr>
          <w:top w:val="single" w:color="auto" w:sz="4" w:space="1"/>
          <w:left w:val="single" w:color="auto" w:sz="4" w:space="4"/>
          <w:bottom w:val="single" w:color="auto" w:sz="4" w:space="1"/>
          <w:right w:val="single" w:color="auto" w:sz="4" w:space="4"/>
        </w:pBdr>
        <w:adjustRightInd/>
        <w:spacing w:before="100" w:beforeAutospacing="1" w:after="100" w:afterAutospacing="1" w:line="360" w:lineRule="auto"/>
        <w:rPr>
          <w:rFonts w:ascii="Times New Roman" w:hAnsi="Times New Roman"/>
          <w:sz w:val="24"/>
          <w:szCs w:val="24"/>
        </w:rPr>
      </w:pPr>
    </w:p>
    <w:p w14:paraId="0B8C5D2F">
      <w:pPr>
        <w:pBdr>
          <w:top w:val="single" w:color="auto" w:sz="4" w:space="1"/>
          <w:left w:val="single" w:color="auto" w:sz="4" w:space="4"/>
          <w:bottom w:val="single" w:color="auto" w:sz="4" w:space="1"/>
          <w:right w:val="single" w:color="auto" w:sz="4" w:space="4"/>
        </w:pBdr>
        <w:adjustRightInd/>
        <w:spacing w:before="100" w:beforeAutospacing="1" w:after="100" w:afterAutospacing="1" w:line="360" w:lineRule="auto"/>
        <w:rPr>
          <w:rFonts w:ascii="Times New Roman" w:hAnsi="Times New Roman"/>
          <w:sz w:val="24"/>
          <w:szCs w:val="24"/>
        </w:rPr>
      </w:pPr>
    </w:p>
    <w:p w14:paraId="68AAF72E">
      <w:pPr>
        <w:pBdr>
          <w:top w:val="single" w:color="auto" w:sz="4" w:space="1"/>
          <w:left w:val="single" w:color="auto" w:sz="4" w:space="4"/>
          <w:bottom w:val="single" w:color="auto" w:sz="4" w:space="1"/>
          <w:right w:val="single" w:color="auto" w:sz="4" w:space="4"/>
        </w:pBdr>
        <w:adjustRightInd/>
        <w:spacing w:before="100" w:beforeAutospacing="1" w:after="100" w:afterAutospacing="1" w:line="360" w:lineRule="auto"/>
        <w:rPr>
          <w:rFonts w:ascii="Times New Roman" w:hAnsi="Times New Roman"/>
          <w:sz w:val="24"/>
          <w:szCs w:val="24"/>
        </w:rPr>
      </w:pPr>
    </w:p>
    <w:p w14:paraId="6C205A8C">
      <w:pPr>
        <w:pBdr>
          <w:top w:val="single" w:color="auto" w:sz="4" w:space="1"/>
          <w:left w:val="single" w:color="auto" w:sz="4" w:space="4"/>
          <w:bottom w:val="single" w:color="auto" w:sz="4" w:space="1"/>
          <w:right w:val="single" w:color="auto" w:sz="4" w:space="4"/>
        </w:pBdr>
        <w:adjustRightInd/>
        <w:spacing w:before="100" w:beforeAutospacing="1" w:after="100" w:afterAutospacing="1" w:line="360" w:lineRule="auto"/>
        <w:rPr>
          <w:rFonts w:ascii="Times New Roman" w:hAnsi="Times New Roman"/>
          <w:sz w:val="24"/>
          <w:szCs w:val="24"/>
        </w:rPr>
      </w:pPr>
    </w:p>
    <w:p w14:paraId="608CD577">
      <w:pPr>
        <w:pBdr>
          <w:top w:val="single" w:color="auto" w:sz="4" w:space="1"/>
          <w:left w:val="single" w:color="auto" w:sz="4" w:space="4"/>
          <w:bottom w:val="single" w:color="auto" w:sz="4" w:space="1"/>
          <w:right w:val="single" w:color="auto" w:sz="4" w:space="4"/>
        </w:pBdr>
        <w:adjustRightInd/>
        <w:spacing w:before="100" w:beforeAutospacing="1" w:after="100" w:afterAutospacing="1" w:line="360" w:lineRule="auto"/>
        <w:rPr>
          <w:rFonts w:ascii="Times New Roman" w:hAnsi="Times New Roman"/>
          <w:sz w:val="24"/>
          <w:szCs w:val="24"/>
        </w:rPr>
      </w:pPr>
    </w:p>
    <w:p w14:paraId="025D8D88">
      <w:pPr>
        <w:pBdr>
          <w:top w:val="single" w:color="auto" w:sz="4" w:space="1"/>
          <w:left w:val="single" w:color="auto" w:sz="4" w:space="4"/>
          <w:bottom w:val="single" w:color="auto" w:sz="4" w:space="1"/>
          <w:right w:val="single" w:color="auto" w:sz="4" w:space="4"/>
        </w:pBdr>
        <w:adjustRightInd/>
        <w:spacing w:line="240" w:lineRule="auto"/>
        <w:jc w:val="center"/>
        <w:rPr>
          <w:rFonts w:ascii="等线" w:hAnsi="等线" w:eastAsia="等线"/>
          <w:b/>
          <w:sz w:val="24"/>
          <w:szCs w:val="24"/>
        </w:rPr>
      </w:pPr>
      <w:r>
        <w:rPr>
          <w:rFonts w:hint="eastAsia" w:ascii="宋体" w:hAnsi="宋体" w:cs="宋体"/>
          <w:b/>
          <w:sz w:val="44"/>
          <w:szCs w:val="44"/>
        </w:rPr>
        <w:t>安全评价机构名称</w:t>
      </w:r>
      <w:r>
        <w:rPr>
          <w:rFonts w:hint="eastAsia" w:ascii="等线" w:hAnsi="等线" w:eastAsia="等线"/>
          <w:sz w:val="15"/>
          <w:szCs w:val="15"/>
        </w:rPr>
        <w:t>（二号宋体加粗）</w:t>
      </w:r>
    </w:p>
    <w:p w14:paraId="1271BCDD">
      <w:pPr>
        <w:pBdr>
          <w:top w:val="single" w:color="auto" w:sz="4" w:space="1"/>
          <w:left w:val="single" w:color="auto" w:sz="4" w:space="4"/>
          <w:bottom w:val="single" w:color="auto" w:sz="4" w:space="1"/>
          <w:right w:val="single" w:color="auto" w:sz="4" w:space="4"/>
        </w:pBdr>
        <w:adjustRightInd/>
        <w:spacing w:line="240" w:lineRule="auto"/>
        <w:jc w:val="center"/>
        <w:rPr>
          <w:rFonts w:ascii="等线" w:hAnsi="等线" w:eastAsia="等线"/>
          <w:sz w:val="15"/>
          <w:szCs w:val="15"/>
        </w:rPr>
      </w:pPr>
      <w:r>
        <w:rPr>
          <w:rFonts w:hint="eastAsia" w:ascii="宋体" w:hAnsi="宋体" w:cs="宋体"/>
          <w:b/>
          <w:sz w:val="32"/>
          <w:szCs w:val="24"/>
        </w:rPr>
        <w:t>安全评价机构资质证书编号</w:t>
      </w:r>
      <w:r>
        <w:rPr>
          <w:rFonts w:hint="eastAsia" w:ascii="等线" w:hAnsi="等线" w:eastAsia="等线"/>
          <w:sz w:val="15"/>
          <w:szCs w:val="15"/>
        </w:rPr>
        <w:t>（三号宋体加粗）</w:t>
      </w:r>
    </w:p>
    <w:p w14:paraId="520F1B0B">
      <w:pPr>
        <w:pBdr>
          <w:top w:val="single" w:color="auto" w:sz="4" w:space="1"/>
          <w:left w:val="single" w:color="auto" w:sz="4" w:space="4"/>
          <w:bottom w:val="single" w:color="auto" w:sz="4" w:space="1"/>
          <w:right w:val="single" w:color="auto" w:sz="4" w:space="4"/>
        </w:pBdr>
        <w:adjustRightInd/>
        <w:spacing w:line="240" w:lineRule="auto"/>
        <w:jc w:val="center"/>
        <w:rPr>
          <w:rFonts w:ascii="等线" w:hAnsi="等线" w:eastAsia="等线"/>
          <w:b/>
          <w:sz w:val="32"/>
          <w:szCs w:val="32"/>
        </w:rPr>
      </w:pPr>
      <w:r>
        <w:rPr>
          <w:rFonts w:hint="eastAsia" w:ascii="宋体" w:hAnsi="宋体" w:cs="宋体"/>
          <w:b/>
          <w:sz w:val="32"/>
          <w:szCs w:val="32"/>
        </w:rPr>
        <w:t>评价报告完成日期</w:t>
      </w:r>
      <w:r>
        <w:rPr>
          <w:rFonts w:hint="eastAsia" w:ascii="等线" w:hAnsi="等线" w:eastAsia="等线"/>
          <w:sz w:val="15"/>
          <w:szCs w:val="15"/>
        </w:rPr>
        <w:t>（三号宋体加粗）</w:t>
      </w:r>
    </w:p>
    <w:p w14:paraId="1325BFBD">
      <w:pPr>
        <w:pBdr>
          <w:top w:val="single" w:color="auto" w:sz="4" w:space="1"/>
          <w:left w:val="single" w:color="auto" w:sz="4" w:space="4"/>
          <w:bottom w:val="single" w:color="auto" w:sz="4" w:space="1"/>
          <w:right w:val="single" w:color="auto" w:sz="4" w:space="4"/>
        </w:pBdr>
        <w:adjustRightInd/>
        <w:spacing w:line="500" w:lineRule="exact"/>
        <w:ind w:firstLine="480"/>
        <w:rPr>
          <w:rFonts w:ascii="宋体" w:hAnsi="宋体" w:cs="宋体"/>
          <w:color w:val="000000"/>
          <w:kern w:val="0"/>
          <w:sz w:val="24"/>
          <w:szCs w:val="24"/>
        </w:rPr>
      </w:pPr>
    </w:p>
    <w:p w14:paraId="60C313BC">
      <w:pPr>
        <w:pBdr>
          <w:top w:val="single" w:color="auto" w:sz="4" w:space="1"/>
          <w:left w:val="single" w:color="auto" w:sz="4" w:space="4"/>
          <w:bottom w:val="single" w:color="auto" w:sz="4" w:space="1"/>
          <w:right w:val="single" w:color="auto" w:sz="4" w:space="4"/>
        </w:pBdr>
        <w:adjustRightInd/>
        <w:spacing w:line="500" w:lineRule="exact"/>
        <w:ind w:firstLine="480"/>
        <w:rPr>
          <w:rFonts w:ascii="宋体" w:hAnsi="宋体" w:cs="宋体"/>
          <w:color w:val="000000"/>
          <w:kern w:val="0"/>
          <w:sz w:val="24"/>
          <w:szCs w:val="24"/>
        </w:rPr>
      </w:pPr>
    </w:p>
    <w:p w14:paraId="6EDC4081">
      <w:pPr>
        <w:widowControl/>
        <w:tabs>
          <w:tab w:val="left" w:pos="360"/>
        </w:tabs>
        <w:adjustRightInd/>
        <w:spacing w:beforeLines="50" w:line="240" w:lineRule="auto"/>
        <w:jc w:val="center"/>
        <w:rPr>
          <w:rFonts w:ascii="黑体" w:hAnsi="Times New Roman" w:eastAsia="黑体"/>
          <w:color w:val="000000"/>
          <w:kern w:val="0"/>
          <w:szCs w:val="20"/>
        </w:rPr>
      </w:pPr>
      <w:r>
        <w:rPr>
          <w:rFonts w:hint="eastAsia" w:ascii="黑体" w:hAnsi="Times New Roman" w:eastAsia="黑体"/>
          <w:color w:val="000000"/>
          <w:kern w:val="0"/>
          <w:szCs w:val="20"/>
        </w:rPr>
        <w:t>图</w:t>
      </w:r>
      <w:r>
        <w:rPr>
          <w:rFonts w:ascii="Times New Roman" w:hAnsi="Times New Roman" w:eastAsia="黑体"/>
          <w:b/>
          <w:bCs/>
          <w:color w:val="000000"/>
          <w:kern w:val="0"/>
          <w:szCs w:val="20"/>
        </w:rPr>
        <w:t>B</w:t>
      </w:r>
      <w:r>
        <w:rPr>
          <w:rFonts w:hint="eastAsia" w:ascii="黑体" w:hAnsi="Times New Roman" w:eastAsia="黑体"/>
          <w:color w:val="000000"/>
          <w:kern w:val="0"/>
          <w:szCs w:val="20"/>
        </w:rPr>
        <w:t>.1　封面式样</w:t>
      </w:r>
    </w:p>
    <w:p w14:paraId="33F00BAB">
      <w:pPr>
        <w:adjustRightInd/>
        <w:spacing w:line="240" w:lineRule="auto"/>
        <w:rPr>
          <w:rFonts w:hint="eastAsia" w:ascii="Times New Roman" w:hAnsi="Times New Roman"/>
          <w:color w:val="000000"/>
          <w:szCs w:val="24"/>
        </w:rPr>
      </w:pPr>
      <w:r>
        <w:rPr>
          <w:rFonts w:hint="eastAsia" w:ascii="Times New Roman" w:hAnsi="Times New Roman"/>
          <w:color w:val="000000"/>
          <w:szCs w:val="24"/>
        </w:rPr>
        <w:br w:type="page"/>
      </w:r>
    </w:p>
    <w:p w14:paraId="224E8F42">
      <w:pPr>
        <w:adjustRightInd/>
        <w:spacing w:line="240" w:lineRule="auto"/>
        <w:rPr>
          <w:rFonts w:hint="eastAsia" w:ascii="Times New Roman" w:hAnsi="Times New Roman"/>
          <w:color w:val="000000"/>
          <w:szCs w:val="24"/>
        </w:rPr>
      </w:pPr>
    </w:p>
    <w:p w14:paraId="6F7545E3">
      <w:pPr>
        <w:pBdr>
          <w:top w:val="single" w:color="auto" w:sz="4" w:space="1"/>
          <w:left w:val="single" w:color="auto" w:sz="4" w:space="4"/>
          <w:bottom w:val="single" w:color="auto" w:sz="4" w:space="1"/>
          <w:right w:val="single" w:color="auto" w:sz="4" w:space="4"/>
        </w:pBdr>
        <w:jc w:val="center"/>
        <w:rPr>
          <w:rFonts w:ascii="等线" w:hAnsi="等线" w:eastAsia="等线"/>
          <w:b/>
          <w:kern w:val="0"/>
          <w:sz w:val="44"/>
        </w:rPr>
      </w:pPr>
    </w:p>
    <w:p w14:paraId="19AE48CD">
      <w:pPr>
        <w:pBdr>
          <w:top w:val="single" w:color="auto" w:sz="4" w:space="1"/>
          <w:left w:val="single" w:color="auto" w:sz="4" w:space="4"/>
          <w:bottom w:val="single" w:color="auto" w:sz="4" w:space="1"/>
          <w:right w:val="single" w:color="auto" w:sz="4" w:space="4"/>
        </w:pBdr>
        <w:jc w:val="center"/>
        <w:rPr>
          <w:rFonts w:ascii="等线" w:hAnsi="等线" w:eastAsia="等线"/>
          <w:b/>
          <w:kern w:val="0"/>
          <w:sz w:val="44"/>
        </w:rPr>
      </w:pPr>
    </w:p>
    <w:p w14:paraId="3EEFC5C0">
      <w:pPr>
        <w:pBdr>
          <w:top w:val="single" w:color="auto" w:sz="4" w:space="1"/>
          <w:left w:val="single" w:color="auto" w:sz="4" w:space="4"/>
          <w:bottom w:val="single" w:color="auto" w:sz="4" w:space="1"/>
          <w:right w:val="single" w:color="auto" w:sz="4" w:space="4"/>
        </w:pBdr>
        <w:adjustRightInd/>
        <w:spacing w:line="240" w:lineRule="auto"/>
        <w:jc w:val="center"/>
        <w:rPr>
          <w:rFonts w:hint="eastAsia" w:ascii="宋体" w:hAnsi="宋体" w:eastAsia="宋体" w:cs="宋体"/>
          <w:b/>
          <w:kern w:val="0"/>
          <w:sz w:val="32"/>
          <w:szCs w:val="32"/>
        </w:rPr>
      </w:pPr>
      <w:r>
        <w:rPr>
          <w:rFonts w:hint="eastAsia" w:ascii="宋体" w:hAnsi="宋体" w:eastAsia="宋体" w:cs="宋体"/>
          <w:b/>
          <w:kern w:val="0"/>
          <w:sz w:val="32"/>
          <w:szCs w:val="32"/>
        </w:rPr>
        <w:t xml:space="preserve">（委托单位名称） </w:t>
      </w:r>
    </w:p>
    <w:p w14:paraId="08C2BEE2">
      <w:pPr>
        <w:pBdr>
          <w:top w:val="single" w:color="auto" w:sz="4" w:space="1"/>
          <w:left w:val="single" w:color="auto" w:sz="4" w:space="4"/>
          <w:bottom w:val="single" w:color="auto" w:sz="4" w:space="1"/>
          <w:right w:val="single" w:color="auto" w:sz="4" w:space="4"/>
        </w:pBdr>
        <w:adjustRightInd/>
        <w:spacing w:line="240" w:lineRule="auto"/>
        <w:jc w:val="center"/>
        <w:rPr>
          <w:rFonts w:eastAsia="仿宋_GB2312"/>
          <w:bCs/>
          <w:sz w:val="28"/>
          <w:szCs w:val="28"/>
        </w:rPr>
      </w:pPr>
      <w:r>
        <w:rPr>
          <w:rFonts w:eastAsia="仿宋_GB2312"/>
          <w:bCs/>
          <w:sz w:val="15"/>
          <w:szCs w:val="15"/>
        </w:rPr>
        <w:t>（居中，</w:t>
      </w:r>
      <w:r>
        <w:rPr>
          <w:rFonts w:hint="eastAsia" w:eastAsia="仿宋_GB2312"/>
          <w:bCs/>
          <w:sz w:val="15"/>
          <w:szCs w:val="15"/>
        </w:rPr>
        <w:t>三</w:t>
      </w:r>
      <w:r>
        <w:rPr>
          <w:rFonts w:eastAsia="仿宋_GB2312"/>
          <w:bCs/>
          <w:sz w:val="15"/>
          <w:szCs w:val="15"/>
        </w:rPr>
        <w:t>号宋体</w:t>
      </w:r>
      <w:r>
        <w:rPr>
          <w:rFonts w:hint="eastAsia" w:eastAsia="仿宋_GB2312"/>
          <w:bCs/>
          <w:sz w:val="15"/>
          <w:szCs w:val="15"/>
        </w:rPr>
        <w:t>加粗</w:t>
      </w:r>
      <w:r>
        <w:rPr>
          <w:rFonts w:eastAsia="仿宋_GB2312"/>
          <w:bCs/>
          <w:sz w:val="15"/>
          <w:szCs w:val="15"/>
        </w:rPr>
        <w:t>）</w:t>
      </w:r>
    </w:p>
    <w:p w14:paraId="6349C527">
      <w:pPr>
        <w:pBdr>
          <w:top w:val="single" w:color="auto" w:sz="4" w:space="1"/>
          <w:left w:val="single" w:color="auto" w:sz="4" w:space="4"/>
          <w:bottom w:val="single" w:color="auto" w:sz="4" w:space="1"/>
          <w:right w:val="single" w:color="auto" w:sz="4" w:space="4"/>
        </w:pBdr>
        <w:adjustRightInd/>
        <w:spacing w:line="240" w:lineRule="auto"/>
        <w:jc w:val="center"/>
        <w:rPr>
          <w:rFonts w:hint="eastAsia" w:ascii="宋体" w:hAnsi="宋体" w:eastAsia="宋体" w:cs="宋体"/>
          <w:b/>
          <w:kern w:val="0"/>
          <w:sz w:val="44"/>
          <w:szCs w:val="44"/>
        </w:rPr>
      </w:pPr>
      <w:r>
        <w:rPr>
          <w:rFonts w:hint="eastAsia" w:ascii="宋体" w:hAnsi="宋体" w:eastAsia="宋体" w:cs="宋体"/>
          <w:b/>
          <w:kern w:val="0"/>
          <w:sz w:val="44"/>
          <w:szCs w:val="44"/>
        </w:rPr>
        <w:t>（评价项目名称）</w:t>
      </w:r>
    </w:p>
    <w:p w14:paraId="636D8D60">
      <w:pPr>
        <w:pBdr>
          <w:top w:val="single" w:color="auto" w:sz="4" w:space="1"/>
          <w:left w:val="single" w:color="auto" w:sz="4" w:space="4"/>
          <w:bottom w:val="single" w:color="auto" w:sz="4" w:space="1"/>
          <w:right w:val="single" w:color="auto" w:sz="4" w:space="4"/>
        </w:pBdr>
        <w:adjustRightInd/>
        <w:spacing w:line="240" w:lineRule="auto"/>
        <w:jc w:val="center"/>
        <w:rPr>
          <w:rFonts w:ascii="Times New Roman" w:hAnsi="Times New Roman" w:eastAsia="仿宋_GB2312" w:cs="Times New Roman"/>
          <w:bCs/>
          <w:sz w:val="15"/>
          <w:szCs w:val="15"/>
        </w:rPr>
      </w:pPr>
      <w:r>
        <w:rPr>
          <w:rFonts w:ascii="Times New Roman" w:hAnsi="Times New Roman" w:eastAsia="仿宋_GB2312" w:cs="Times New Roman"/>
          <w:bCs/>
          <w:sz w:val="15"/>
          <w:szCs w:val="15"/>
        </w:rPr>
        <w:t>（居中，</w:t>
      </w:r>
      <w:r>
        <w:rPr>
          <w:rFonts w:hint="eastAsia" w:ascii="Times New Roman" w:hAnsi="Times New Roman" w:eastAsia="仿宋_GB2312" w:cs="Times New Roman"/>
          <w:bCs/>
          <w:sz w:val="15"/>
          <w:szCs w:val="15"/>
        </w:rPr>
        <w:t>二</w:t>
      </w:r>
      <w:r>
        <w:rPr>
          <w:rFonts w:ascii="Times New Roman" w:hAnsi="Times New Roman" w:eastAsia="仿宋_GB2312" w:cs="Times New Roman"/>
          <w:bCs/>
          <w:sz w:val="15"/>
          <w:szCs w:val="15"/>
        </w:rPr>
        <w:t>号宋体</w:t>
      </w:r>
      <w:r>
        <w:rPr>
          <w:rFonts w:hint="eastAsia" w:ascii="Times New Roman" w:hAnsi="Times New Roman" w:eastAsia="仿宋_GB2312" w:cs="Times New Roman"/>
          <w:bCs/>
          <w:sz w:val="15"/>
          <w:szCs w:val="15"/>
        </w:rPr>
        <w:t>加粗</w:t>
      </w:r>
      <w:r>
        <w:rPr>
          <w:rFonts w:ascii="Times New Roman" w:hAnsi="Times New Roman" w:eastAsia="仿宋_GB2312" w:cs="Times New Roman"/>
          <w:bCs/>
          <w:sz w:val="15"/>
          <w:szCs w:val="15"/>
        </w:rPr>
        <w:t>）</w:t>
      </w:r>
    </w:p>
    <w:p w14:paraId="41CFEBBB">
      <w:pPr>
        <w:pBdr>
          <w:top w:val="single" w:color="auto" w:sz="4" w:space="1"/>
          <w:left w:val="single" w:color="auto" w:sz="4" w:space="4"/>
          <w:bottom w:val="single" w:color="auto" w:sz="4" w:space="1"/>
          <w:right w:val="single" w:color="auto" w:sz="4" w:space="4"/>
        </w:pBdr>
        <w:adjustRightInd/>
        <w:spacing w:line="240" w:lineRule="auto"/>
        <w:jc w:val="center"/>
        <w:rPr>
          <w:rFonts w:hint="eastAsia" w:ascii="宋体" w:hAnsi="宋体" w:eastAsia="宋体" w:cs="宋体"/>
          <w:b/>
          <w:kern w:val="0"/>
          <w:sz w:val="44"/>
          <w:szCs w:val="44"/>
          <w:lang w:val="en-US" w:eastAsia="zh-CN"/>
        </w:rPr>
      </w:pPr>
      <w:r>
        <w:rPr>
          <w:rFonts w:hint="eastAsia" w:ascii="宋体" w:hAnsi="宋体" w:eastAsia="宋体" w:cs="宋体"/>
          <w:b/>
          <w:kern w:val="0"/>
          <w:sz w:val="44"/>
          <w:szCs w:val="44"/>
          <w:lang w:val="en-US" w:eastAsia="zh-CN"/>
        </w:rPr>
        <w:t>石油天然气开采建设项目安全预评价报告</w:t>
      </w:r>
    </w:p>
    <w:p w14:paraId="400BE8F9">
      <w:pPr>
        <w:pBdr>
          <w:top w:val="single" w:color="auto" w:sz="4" w:space="1"/>
          <w:left w:val="single" w:color="auto" w:sz="4" w:space="4"/>
          <w:bottom w:val="single" w:color="auto" w:sz="4" w:space="1"/>
          <w:right w:val="single" w:color="auto" w:sz="4" w:space="4"/>
        </w:pBdr>
        <w:adjustRightInd/>
        <w:spacing w:line="240" w:lineRule="auto"/>
        <w:jc w:val="center"/>
        <w:rPr>
          <w:rFonts w:ascii="Times New Roman" w:hAnsi="Times New Roman" w:eastAsia="仿宋_GB2312" w:cs="Times New Roman"/>
          <w:bCs/>
          <w:sz w:val="15"/>
          <w:szCs w:val="15"/>
        </w:rPr>
      </w:pPr>
      <w:r>
        <w:rPr>
          <w:rFonts w:ascii="Times New Roman" w:hAnsi="Times New Roman" w:eastAsia="仿宋_GB2312" w:cs="Times New Roman"/>
          <w:bCs/>
          <w:sz w:val="15"/>
          <w:szCs w:val="15"/>
        </w:rPr>
        <w:t>（居中，</w:t>
      </w:r>
      <w:r>
        <w:rPr>
          <w:rFonts w:hint="eastAsia" w:ascii="Times New Roman" w:hAnsi="Times New Roman" w:eastAsia="仿宋_GB2312" w:cs="Times New Roman"/>
          <w:bCs/>
          <w:sz w:val="15"/>
          <w:szCs w:val="15"/>
        </w:rPr>
        <w:t>二</w:t>
      </w:r>
      <w:r>
        <w:rPr>
          <w:rFonts w:ascii="Times New Roman" w:hAnsi="Times New Roman" w:eastAsia="仿宋_GB2312" w:cs="Times New Roman"/>
          <w:bCs/>
          <w:sz w:val="15"/>
          <w:szCs w:val="15"/>
        </w:rPr>
        <w:t>号宋体</w:t>
      </w:r>
      <w:r>
        <w:rPr>
          <w:rFonts w:hint="eastAsia" w:ascii="Times New Roman" w:hAnsi="Times New Roman" w:eastAsia="仿宋_GB2312" w:cs="Times New Roman"/>
          <w:bCs/>
          <w:sz w:val="15"/>
          <w:szCs w:val="15"/>
        </w:rPr>
        <w:t>加粗</w:t>
      </w:r>
      <w:r>
        <w:rPr>
          <w:rFonts w:ascii="Times New Roman" w:hAnsi="Times New Roman" w:eastAsia="仿宋_GB2312" w:cs="Times New Roman"/>
          <w:bCs/>
          <w:sz w:val="15"/>
          <w:szCs w:val="15"/>
        </w:rPr>
        <w:t>）</w:t>
      </w:r>
    </w:p>
    <w:p w14:paraId="4967B394">
      <w:pPr>
        <w:pBdr>
          <w:top w:val="single" w:color="auto" w:sz="4" w:space="1"/>
          <w:left w:val="single" w:color="auto" w:sz="4" w:space="4"/>
          <w:bottom w:val="single" w:color="auto" w:sz="4" w:space="1"/>
          <w:right w:val="single" w:color="auto" w:sz="4" w:space="4"/>
        </w:pBdr>
        <w:adjustRightInd/>
        <w:spacing w:before="100" w:beforeAutospacing="1" w:after="100" w:afterAutospacing="1" w:line="360" w:lineRule="auto"/>
        <w:rPr>
          <w:rFonts w:ascii="Times New Roman" w:hAnsi="Times New Roman"/>
          <w:sz w:val="24"/>
          <w:szCs w:val="24"/>
        </w:rPr>
      </w:pPr>
      <w:r>
        <w:rPr>
          <w:rFonts w:ascii="Times New Roman" w:hAnsi="Times New Roman"/>
          <w:sz w:val="24"/>
          <w:szCs w:val="24"/>
        </w:rPr>
        <w:t> </w:t>
      </w:r>
    </w:p>
    <w:p w14:paraId="6D2CE99F">
      <w:pPr>
        <w:pBdr>
          <w:top w:val="single" w:color="auto" w:sz="4" w:space="1"/>
          <w:left w:val="single" w:color="auto" w:sz="4" w:space="4"/>
          <w:bottom w:val="single" w:color="auto" w:sz="4" w:space="1"/>
          <w:right w:val="single" w:color="auto" w:sz="4" w:space="4"/>
        </w:pBdr>
        <w:adjustRightInd/>
        <w:spacing w:before="100" w:beforeAutospacing="1" w:after="100" w:afterAutospacing="1" w:line="360" w:lineRule="auto"/>
        <w:rPr>
          <w:rFonts w:ascii="Times New Roman" w:hAnsi="Times New Roman"/>
          <w:sz w:val="24"/>
          <w:szCs w:val="24"/>
        </w:rPr>
      </w:pPr>
    </w:p>
    <w:p w14:paraId="64E888BE">
      <w:pPr>
        <w:pBdr>
          <w:top w:val="single" w:color="auto" w:sz="4" w:space="1"/>
          <w:left w:val="single" w:color="auto" w:sz="4" w:space="4"/>
          <w:bottom w:val="single" w:color="auto" w:sz="4" w:space="1"/>
          <w:right w:val="single" w:color="auto" w:sz="4" w:space="4"/>
        </w:pBdr>
        <w:adjustRightInd/>
        <w:spacing w:line="600" w:lineRule="exact"/>
        <w:jc w:val="center"/>
        <w:rPr>
          <w:rFonts w:ascii="等线" w:hAnsi="等线" w:eastAsia="等线"/>
          <w:b/>
          <w:sz w:val="32"/>
          <w:szCs w:val="24"/>
        </w:rPr>
      </w:pPr>
      <w:r>
        <w:rPr>
          <w:rFonts w:hint="eastAsia" w:ascii="宋体" w:hAnsi="宋体" w:cs="宋体"/>
          <w:sz w:val="28"/>
          <w:szCs w:val="28"/>
        </w:rPr>
        <w:t>法定代表人：</w:t>
      </w:r>
      <w:r>
        <w:rPr>
          <w:rFonts w:ascii="Times New Roman" w:hAnsi="Times New Roman" w:eastAsia="仿宋_GB2312"/>
          <w:bCs/>
          <w:sz w:val="15"/>
          <w:szCs w:val="15"/>
        </w:rPr>
        <w:t>（</w:t>
      </w:r>
      <w:r>
        <w:rPr>
          <w:rFonts w:hint="eastAsia" w:ascii="Times New Roman" w:hAnsi="Times New Roman" w:eastAsia="仿宋_GB2312"/>
          <w:bCs/>
          <w:sz w:val="15"/>
          <w:szCs w:val="15"/>
        </w:rPr>
        <w:t>四号宋体</w:t>
      </w:r>
      <w:r>
        <w:rPr>
          <w:rFonts w:ascii="Times New Roman" w:hAnsi="Times New Roman" w:eastAsia="仿宋_GB2312"/>
          <w:bCs/>
          <w:sz w:val="15"/>
          <w:szCs w:val="15"/>
        </w:rPr>
        <w:t>）</w:t>
      </w:r>
    </w:p>
    <w:p w14:paraId="47A6523F">
      <w:pPr>
        <w:pBdr>
          <w:top w:val="single" w:color="auto" w:sz="4" w:space="1"/>
          <w:left w:val="single" w:color="auto" w:sz="4" w:space="4"/>
          <w:bottom w:val="single" w:color="auto" w:sz="4" w:space="1"/>
          <w:right w:val="single" w:color="auto" w:sz="4" w:space="4"/>
        </w:pBdr>
        <w:adjustRightInd/>
        <w:spacing w:line="600" w:lineRule="exact"/>
        <w:jc w:val="center"/>
        <w:rPr>
          <w:rFonts w:ascii="等线" w:hAnsi="等线" w:eastAsia="等线"/>
          <w:b/>
          <w:sz w:val="32"/>
          <w:szCs w:val="24"/>
        </w:rPr>
      </w:pPr>
      <w:r>
        <w:rPr>
          <w:rFonts w:hint="eastAsia" w:ascii="宋体" w:hAnsi="宋体" w:cs="宋体"/>
          <w:sz w:val="28"/>
          <w:szCs w:val="28"/>
        </w:rPr>
        <w:t>技术负责人：</w:t>
      </w:r>
      <w:r>
        <w:rPr>
          <w:rFonts w:ascii="Times New Roman" w:hAnsi="Times New Roman" w:eastAsia="仿宋_GB2312"/>
          <w:bCs/>
          <w:sz w:val="15"/>
          <w:szCs w:val="15"/>
        </w:rPr>
        <w:t>（</w:t>
      </w:r>
      <w:r>
        <w:rPr>
          <w:rFonts w:hint="eastAsia" w:ascii="Times New Roman" w:hAnsi="Times New Roman" w:eastAsia="仿宋_GB2312"/>
          <w:bCs/>
          <w:sz w:val="15"/>
          <w:szCs w:val="15"/>
        </w:rPr>
        <w:t>四号宋体</w:t>
      </w:r>
      <w:r>
        <w:rPr>
          <w:rFonts w:ascii="Times New Roman" w:hAnsi="Times New Roman" w:eastAsia="仿宋_GB2312"/>
          <w:bCs/>
          <w:sz w:val="15"/>
          <w:szCs w:val="15"/>
        </w:rPr>
        <w:t>）</w:t>
      </w:r>
    </w:p>
    <w:p w14:paraId="71FD8E92">
      <w:pPr>
        <w:pBdr>
          <w:top w:val="single" w:color="auto" w:sz="4" w:space="1"/>
          <w:left w:val="single" w:color="auto" w:sz="4" w:space="4"/>
          <w:bottom w:val="single" w:color="auto" w:sz="4" w:space="1"/>
          <w:right w:val="single" w:color="auto" w:sz="4" w:space="4"/>
        </w:pBdr>
        <w:adjustRightInd/>
        <w:spacing w:line="600" w:lineRule="exact"/>
        <w:jc w:val="center"/>
        <w:rPr>
          <w:rFonts w:ascii="Times New Roman" w:hAnsi="Times New Roman" w:eastAsia="仿宋_GB2312"/>
          <w:bCs/>
          <w:sz w:val="15"/>
          <w:szCs w:val="15"/>
        </w:rPr>
      </w:pPr>
      <w:r>
        <w:rPr>
          <w:rFonts w:hint="eastAsia" w:ascii="宋体" w:hAnsi="宋体" w:cs="宋体"/>
          <w:sz w:val="28"/>
          <w:szCs w:val="28"/>
        </w:rPr>
        <w:t>评价项目负责人：</w:t>
      </w:r>
      <w:r>
        <w:rPr>
          <w:rFonts w:ascii="Times New Roman" w:hAnsi="Times New Roman" w:eastAsia="仿宋_GB2312"/>
          <w:bCs/>
          <w:sz w:val="15"/>
          <w:szCs w:val="15"/>
        </w:rPr>
        <w:t>（</w:t>
      </w:r>
      <w:r>
        <w:rPr>
          <w:rFonts w:hint="eastAsia" w:ascii="Times New Roman" w:hAnsi="Times New Roman" w:eastAsia="仿宋_GB2312"/>
          <w:bCs/>
          <w:sz w:val="15"/>
          <w:szCs w:val="15"/>
        </w:rPr>
        <w:t>四号宋体</w:t>
      </w:r>
      <w:r>
        <w:rPr>
          <w:rFonts w:ascii="Times New Roman" w:hAnsi="Times New Roman" w:eastAsia="仿宋_GB2312"/>
          <w:bCs/>
          <w:sz w:val="15"/>
          <w:szCs w:val="15"/>
        </w:rPr>
        <w:t>）</w:t>
      </w:r>
    </w:p>
    <w:p w14:paraId="10CE1F4E">
      <w:pPr>
        <w:pBdr>
          <w:top w:val="single" w:color="auto" w:sz="4" w:space="1"/>
          <w:left w:val="single" w:color="auto" w:sz="4" w:space="4"/>
          <w:bottom w:val="single" w:color="auto" w:sz="4" w:space="1"/>
          <w:right w:val="single" w:color="auto" w:sz="4" w:space="4"/>
        </w:pBdr>
        <w:adjustRightInd/>
        <w:spacing w:line="600" w:lineRule="exact"/>
        <w:jc w:val="center"/>
        <w:rPr>
          <w:rFonts w:ascii="Times New Roman" w:hAnsi="Times New Roman" w:eastAsia="仿宋_GB2312"/>
          <w:bCs/>
          <w:sz w:val="15"/>
          <w:szCs w:val="15"/>
        </w:rPr>
      </w:pPr>
    </w:p>
    <w:p w14:paraId="5B526617">
      <w:pPr>
        <w:pBdr>
          <w:top w:val="single" w:color="auto" w:sz="4" w:space="1"/>
          <w:left w:val="single" w:color="auto" w:sz="4" w:space="4"/>
          <w:bottom w:val="single" w:color="auto" w:sz="4" w:space="1"/>
          <w:right w:val="single" w:color="auto" w:sz="4" w:space="4"/>
        </w:pBdr>
        <w:adjustRightInd/>
        <w:spacing w:line="600" w:lineRule="exact"/>
        <w:jc w:val="center"/>
        <w:rPr>
          <w:rFonts w:ascii="Times New Roman" w:hAnsi="Times New Roman" w:eastAsia="仿宋_GB2312"/>
          <w:bCs/>
          <w:sz w:val="15"/>
          <w:szCs w:val="15"/>
        </w:rPr>
      </w:pPr>
    </w:p>
    <w:p w14:paraId="30EFF1F8">
      <w:pPr>
        <w:pBdr>
          <w:top w:val="single" w:color="auto" w:sz="4" w:space="1"/>
          <w:left w:val="single" w:color="auto" w:sz="4" w:space="4"/>
          <w:bottom w:val="single" w:color="auto" w:sz="4" w:space="1"/>
          <w:right w:val="single" w:color="auto" w:sz="4" w:space="4"/>
        </w:pBdr>
        <w:adjustRightInd/>
        <w:spacing w:line="600" w:lineRule="exact"/>
        <w:jc w:val="center"/>
        <w:rPr>
          <w:rFonts w:ascii="Times New Roman" w:hAnsi="Times New Roman" w:eastAsia="仿宋_GB2312"/>
          <w:bCs/>
          <w:sz w:val="15"/>
          <w:szCs w:val="15"/>
        </w:rPr>
      </w:pPr>
    </w:p>
    <w:p w14:paraId="2B5AACBD">
      <w:pPr>
        <w:pBdr>
          <w:top w:val="single" w:color="auto" w:sz="4" w:space="1"/>
          <w:left w:val="single" w:color="auto" w:sz="4" w:space="4"/>
          <w:bottom w:val="single" w:color="auto" w:sz="4" w:space="1"/>
          <w:right w:val="single" w:color="auto" w:sz="4" w:space="4"/>
        </w:pBdr>
        <w:adjustRightInd/>
        <w:spacing w:line="600" w:lineRule="exact"/>
        <w:jc w:val="center"/>
        <w:rPr>
          <w:rFonts w:ascii="Times New Roman" w:hAnsi="Times New Roman" w:eastAsia="仿宋_GB2312"/>
          <w:bCs/>
          <w:sz w:val="15"/>
          <w:szCs w:val="15"/>
        </w:rPr>
      </w:pPr>
    </w:p>
    <w:p w14:paraId="6DA59B51">
      <w:pPr>
        <w:pBdr>
          <w:top w:val="single" w:color="auto" w:sz="4" w:space="1"/>
          <w:left w:val="single" w:color="auto" w:sz="4" w:space="4"/>
          <w:bottom w:val="single" w:color="auto" w:sz="4" w:space="1"/>
          <w:right w:val="single" w:color="auto" w:sz="4" w:space="4"/>
        </w:pBdr>
        <w:adjustRightInd/>
        <w:spacing w:line="600" w:lineRule="exact"/>
        <w:jc w:val="center"/>
        <w:rPr>
          <w:rFonts w:ascii="Times New Roman" w:hAnsi="Times New Roman" w:eastAsia="仿宋_GB2312"/>
          <w:bCs/>
          <w:sz w:val="15"/>
          <w:szCs w:val="15"/>
        </w:rPr>
      </w:pPr>
    </w:p>
    <w:p w14:paraId="48A8F701">
      <w:pPr>
        <w:pBdr>
          <w:top w:val="single" w:color="auto" w:sz="4" w:space="1"/>
          <w:left w:val="single" w:color="auto" w:sz="4" w:space="4"/>
          <w:bottom w:val="single" w:color="auto" w:sz="4" w:space="1"/>
          <w:right w:val="single" w:color="auto" w:sz="4" w:space="4"/>
        </w:pBdr>
        <w:adjustRightInd/>
        <w:spacing w:line="600" w:lineRule="exact"/>
        <w:jc w:val="center"/>
        <w:rPr>
          <w:rFonts w:ascii="Times New Roman" w:hAnsi="Times New Roman"/>
          <w:b/>
          <w:bCs/>
          <w:sz w:val="44"/>
          <w:szCs w:val="44"/>
        </w:rPr>
      </w:pPr>
      <w:r>
        <w:rPr>
          <w:rFonts w:hint="eastAsia" w:ascii="宋体" w:hAnsi="宋体" w:cs="宋体"/>
          <w:b/>
          <w:sz w:val="24"/>
          <w:szCs w:val="24"/>
        </w:rPr>
        <w:t>评价报告完成日期</w:t>
      </w:r>
      <w:r>
        <w:rPr>
          <w:rFonts w:ascii="Times New Roman" w:hAnsi="Times New Roman" w:eastAsia="仿宋_GB2312"/>
          <w:bCs/>
          <w:sz w:val="15"/>
          <w:szCs w:val="15"/>
        </w:rPr>
        <w:t>（</w:t>
      </w:r>
      <w:r>
        <w:rPr>
          <w:rFonts w:hint="eastAsia" w:ascii="Times New Roman" w:hAnsi="Times New Roman" w:eastAsia="仿宋_GB2312"/>
          <w:bCs/>
          <w:sz w:val="15"/>
          <w:szCs w:val="15"/>
        </w:rPr>
        <w:t>小四号宋体加粗</w:t>
      </w:r>
      <w:r>
        <w:rPr>
          <w:rFonts w:ascii="Times New Roman" w:hAnsi="Times New Roman" w:eastAsia="仿宋_GB2312"/>
          <w:bCs/>
          <w:sz w:val="15"/>
          <w:szCs w:val="15"/>
        </w:rPr>
        <w:t>）</w:t>
      </w:r>
    </w:p>
    <w:p w14:paraId="13F54E1A">
      <w:pPr>
        <w:pBdr>
          <w:top w:val="single" w:color="auto" w:sz="4" w:space="1"/>
          <w:left w:val="single" w:color="auto" w:sz="4" w:space="4"/>
          <w:bottom w:val="single" w:color="auto" w:sz="4" w:space="1"/>
          <w:right w:val="single" w:color="auto" w:sz="4" w:space="4"/>
        </w:pBdr>
        <w:adjustRightInd/>
        <w:spacing w:line="240" w:lineRule="auto"/>
        <w:jc w:val="center"/>
        <w:outlineLvl w:val="0"/>
        <w:rPr>
          <w:rFonts w:ascii="Times New Roman" w:hAnsi="Times New Roman" w:eastAsia="仿宋_GB2312"/>
          <w:sz w:val="32"/>
          <w:szCs w:val="24"/>
        </w:rPr>
      </w:pPr>
      <w:bookmarkStart w:id="255" w:name="_Toc9758"/>
      <w:bookmarkStart w:id="256" w:name="_Toc32144"/>
      <w:bookmarkStart w:id="257" w:name="_Toc23077"/>
      <w:bookmarkStart w:id="258" w:name="_Toc30972"/>
      <w:bookmarkStart w:id="259" w:name="_Toc887"/>
      <w:bookmarkStart w:id="260" w:name="_Toc27848"/>
      <w:bookmarkStart w:id="261" w:name="_Toc13866"/>
      <w:bookmarkStart w:id="262" w:name="_Toc397"/>
      <w:r>
        <w:rPr>
          <w:rFonts w:hint="eastAsia" w:ascii="宋体" w:hAnsi="宋体" w:cs="宋体"/>
        </w:rPr>
        <w:t>（安全评价机构公章）</w:t>
      </w:r>
      <w:bookmarkEnd w:id="255"/>
      <w:bookmarkEnd w:id="256"/>
      <w:bookmarkEnd w:id="257"/>
      <w:bookmarkEnd w:id="258"/>
      <w:bookmarkEnd w:id="259"/>
      <w:bookmarkEnd w:id="260"/>
      <w:bookmarkEnd w:id="261"/>
      <w:bookmarkEnd w:id="262"/>
    </w:p>
    <w:p w14:paraId="22CD066F">
      <w:pPr>
        <w:pBdr>
          <w:top w:val="single" w:color="auto" w:sz="4" w:space="1"/>
          <w:left w:val="single" w:color="auto" w:sz="4" w:space="4"/>
          <w:bottom w:val="single" w:color="auto" w:sz="4" w:space="1"/>
          <w:right w:val="single" w:color="auto" w:sz="4" w:space="4"/>
        </w:pBdr>
        <w:adjustRightInd/>
        <w:spacing w:line="240" w:lineRule="auto"/>
        <w:jc w:val="center"/>
        <w:rPr>
          <w:rFonts w:ascii="Times New Roman" w:hAnsi="Times New Roman" w:eastAsia="仿宋_GB2312"/>
          <w:sz w:val="32"/>
          <w:szCs w:val="24"/>
        </w:rPr>
      </w:pPr>
    </w:p>
    <w:p w14:paraId="1939212B">
      <w:pPr>
        <w:widowControl/>
        <w:tabs>
          <w:tab w:val="left" w:pos="360"/>
        </w:tabs>
        <w:adjustRightInd/>
        <w:spacing w:beforeLines="50" w:line="240" w:lineRule="auto"/>
        <w:jc w:val="center"/>
        <w:rPr>
          <w:rFonts w:ascii="黑体" w:hAnsi="Times New Roman" w:eastAsia="黑体"/>
          <w:color w:val="000000"/>
          <w:kern w:val="0"/>
          <w:szCs w:val="20"/>
        </w:rPr>
      </w:pPr>
      <w:r>
        <w:rPr>
          <w:rFonts w:hint="eastAsia" w:ascii="黑体" w:hAnsi="Times New Roman" w:eastAsia="黑体"/>
          <w:color w:val="000000"/>
          <w:kern w:val="0"/>
          <w:szCs w:val="20"/>
        </w:rPr>
        <w:t>图B.2　著录项首页样张</w:t>
      </w:r>
    </w:p>
    <w:p w14:paraId="20534881">
      <w:pPr>
        <w:adjustRightInd/>
        <w:spacing w:line="240" w:lineRule="auto"/>
        <w:rPr>
          <w:rFonts w:ascii="宋体" w:hAnsi="宋体" w:cs="宋体"/>
          <w:color w:val="000000"/>
          <w:kern w:val="0"/>
          <w:sz w:val="24"/>
          <w:szCs w:val="24"/>
        </w:rPr>
        <w:sectPr>
          <w:footerReference r:id="rId23" w:type="default"/>
          <w:headerReference r:id="rId22" w:type="even"/>
          <w:footerReference r:id="rId24" w:type="even"/>
          <w:pgSz w:w="11906" w:h="16838"/>
          <w:pgMar w:top="1928" w:right="1134" w:bottom="1134" w:left="1134" w:header="1417" w:footer="1134" w:gutter="0"/>
          <w:pgNumType w:fmt="decimal"/>
          <w:cols w:space="720" w:num="1"/>
          <w:formProt w:val="0"/>
          <w:docGrid w:type="lines" w:linePitch="312" w:charSpace="0"/>
        </w:sectPr>
      </w:pPr>
    </w:p>
    <w:p w14:paraId="11C2DACE">
      <w:pPr>
        <w:adjustRightInd/>
        <w:spacing w:line="440" w:lineRule="exact"/>
        <w:jc w:val="center"/>
        <w:rPr>
          <w:rFonts w:ascii="Times New Roman" w:hAnsi="Times New Roman"/>
          <w:b/>
          <w:sz w:val="32"/>
          <w:szCs w:val="32"/>
        </w:rPr>
      </w:pPr>
      <w:r>
        <w:rPr>
          <w:rFonts w:hint="eastAsia" w:ascii="Times New Roman" w:hAnsi="Times New Roman"/>
          <w:b/>
          <w:sz w:val="32"/>
          <w:szCs w:val="32"/>
        </w:rPr>
        <w:t>评价项目名称(三号宋体加粗)</w:t>
      </w:r>
    </w:p>
    <w:tbl>
      <w:tblPr>
        <w:tblStyle w:val="29"/>
        <w:tblW w:w="9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2"/>
        <w:gridCol w:w="1121"/>
        <w:gridCol w:w="1963"/>
        <w:gridCol w:w="1230"/>
        <w:gridCol w:w="1245"/>
        <w:gridCol w:w="1214"/>
        <w:gridCol w:w="1274"/>
      </w:tblGrid>
      <w:tr w14:paraId="7DDD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522" w:type="dxa"/>
            <w:vAlign w:val="center"/>
          </w:tcPr>
          <w:p w14:paraId="46D5B9FE">
            <w:pPr>
              <w:adjustRightInd/>
              <w:jc w:val="center"/>
              <w:rPr>
                <w:rFonts w:ascii="Times New Roman" w:hAnsi="Times New Roman"/>
                <w:color w:val="000000"/>
                <w:sz w:val="32"/>
                <w:szCs w:val="24"/>
              </w:rPr>
            </w:pPr>
          </w:p>
        </w:tc>
        <w:tc>
          <w:tcPr>
            <w:tcW w:w="1121" w:type="dxa"/>
            <w:vAlign w:val="center"/>
          </w:tcPr>
          <w:p w14:paraId="089DF809">
            <w:pPr>
              <w:adjustRightInd/>
              <w:jc w:val="center"/>
              <w:rPr>
                <w:rFonts w:ascii="Times New Roman" w:hAnsi="Times New Roman"/>
                <w:color w:val="000000"/>
                <w:sz w:val="32"/>
                <w:szCs w:val="24"/>
              </w:rPr>
            </w:pPr>
            <w:r>
              <w:rPr>
                <w:rFonts w:ascii="Times New Roman" w:hAnsi="Times New Roman"/>
                <w:color w:val="000000"/>
                <w:szCs w:val="22"/>
                <w:lang w:eastAsia="en-US"/>
              </w:rPr>
              <w:t>姓名</w:t>
            </w:r>
          </w:p>
        </w:tc>
        <w:tc>
          <w:tcPr>
            <w:tcW w:w="1963" w:type="dxa"/>
            <w:vAlign w:val="center"/>
          </w:tcPr>
          <w:p w14:paraId="7A360D56">
            <w:pPr>
              <w:adjustRightInd/>
              <w:jc w:val="center"/>
              <w:rPr>
                <w:rFonts w:ascii="Times New Roman" w:hAnsi="Times New Roman"/>
                <w:color w:val="000000"/>
                <w:szCs w:val="22"/>
              </w:rPr>
            </w:pPr>
            <w:r>
              <w:rPr>
                <w:rFonts w:hint="eastAsia" w:ascii="Times New Roman" w:hAnsi="Times New Roman"/>
                <w:color w:val="000000"/>
                <w:szCs w:val="22"/>
              </w:rPr>
              <w:t>安全评价师</w:t>
            </w:r>
          </w:p>
          <w:p w14:paraId="221464B1">
            <w:pPr>
              <w:adjustRightInd/>
              <w:jc w:val="center"/>
              <w:rPr>
                <w:rFonts w:ascii="Times New Roman" w:hAnsi="Times New Roman"/>
                <w:color w:val="000000"/>
                <w:szCs w:val="22"/>
              </w:rPr>
            </w:pPr>
            <w:r>
              <w:rPr>
                <w:rFonts w:hint="eastAsia" w:ascii="Times New Roman" w:hAnsi="Times New Roman"/>
                <w:color w:val="000000"/>
                <w:szCs w:val="22"/>
              </w:rPr>
              <w:t>/注册安全工程师</w:t>
            </w:r>
          </w:p>
        </w:tc>
        <w:tc>
          <w:tcPr>
            <w:tcW w:w="1230" w:type="dxa"/>
            <w:vAlign w:val="center"/>
          </w:tcPr>
          <w:p w14:paraId="144122D1">
            <w:pPr>
              <w:adjustRightInd/>
              <w:jc w:val="center"/>
              <w:rPr>
                <w:rFonts w:ascii="Times New Roman" w:hAnsi="Times New Roman"/>
                <w:szCs w:val="22"/>
              </w:rPr>
            </w:pPr>
            <w:r>
              <w:rPr>
                <w:rFonts w:hint="eastAsia" w:ascii="Times New Roman" w:hAnsi="Times New Roman"/>
                <w:szCs w:val="22"/>
              </w:rPr>
              <w:t>证书编号</w:t>
            </w:r>
          </w:p>
        </w:tc>
        <w:tc>
          <w:tcPr>
            <w:tcW w:w="1245" w:type="dxa"/>
            <w:vAlign w:val="center"/>
          </w:tcPr>
          <w:p w14:paraId="0BAE23A9">
            <w:pPr>
              <w:adjustRightInd/>
              <w:jc w:val="center"/>
              <w:rPr>
                <w:rFonts w:ascii="Times New Roman" w:hAnsi="Times New Roman"/>
                <w:szCs w:val="22"/>
                <w:lang w:eastAsia="en-US"/>
              </w:rPr>
            </w:pPr>
            <w:r>
              <w:rPr>
                <w:rFonts w:ascii="Times New Roman" w:hAnsi="Times New Roman"/>
                <w:szCs w:val="22"/>
                <w:lang w:eastAsia="en-US"/>
              </w:rPr>
              <w:t>从业编号</w:t>
            </w:r>
          </w:p>
          <w:p w14:paraId="36C5FF24">
            <w:pPr>
              <w:adjustRightInd/>
              <w:jc w:val="center"/>
              <w:rPr>
                <w:rFonts w:ascii="Times New Roman" w:hAnsi="Times New Roman"/>
                <w:sz w:val="32"/>
                <w:szCs w:val="24"/>
              </w:rPr>
            </w:pPr>
            <w:r>
              <w:rPr>
                <w:rFonts w:hint="eastAsia" w:ascii="Times New Roman" w:hAnsi="Times New Roman"/>
                <w:szCs w:val="22"/>
              </w:rPr>
              <w:t>/注册号</w:t>
            </w:r>
          </w:p>
        </w:tc>
        <w:tc>
          <w:tcPr>
            <w:tcW w:w="1214" w:type="dxa"/>
            <w:vAlign w:val="center"/>
          </w:tcPr>
          <w:p w14:paraId="6A2187D2">
            <w:pPr>
              <w:adjustRightInd/>
              <w:jc w:val="center"/>
              <w:rPr>
                <w:rFonts w:ascii="Times New Roman" w:hAnsi="Times New Roman"/>
                <w:color w:val="000000"/>
                <w:szCs w:val="22"/>
                <w:lang w:eastAsia="en-US"/>
              </w:rPr>
            </w:pPr>
            <w:r>
              <w:rPr>
                <w:rFonts w:ascii="Times New Roman" w:hAnsi="Times New Roman"/>
                <w:color w:val="000000"/>
                <w:szCs w:val="22"/>
                <w:lang w:eastAsia="en-US"/>
              </w:rPr>
              <w:t>专业能力</w:t>
            </w:r>
          </w:p>
        </w:tc>
        <w:tc>
          <w:tcPr>
            <w:tcW w:w="1274" w:type="dxa"/>
            <w:vAlign w:val="center"/>
          </w:tcPr>
          <w:p w14:paraId="08397150">
            <w:pPr>
              <w:adjustRightInd/>
              <w:jc w:val="center"/>
              <w:rPr>
                <w:rFonts w:ascii="Times New Roman" w:hAnsi="Times New Roman"/>
                <w:color w:val="000000"/>
                <w:sz w:val="32"/>
                <w:szCs w:val="24"/>
              </w:rPr>
            </w:pPr>
            <w:r>
              <w:rPr>
                <w:rFonts w:ascii="Times New Roman" w:hAnsi="Times New Roman"/>
                <w:color w:val="000000"/>
                <w:szCs w:val="22"/>
                <w:lang w:eastAsia="en-US"/>
              </w:rPr>
              <w:t>签字</w:t>
            </w:r>
          </w:p>
        </w:tc>
      </w:tr>
      <w:tr w14:paraId="0F39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Align w:val="center"/>
          </w:tcPr>
          <w:p w14:paraId="128C1796">
            <w:pPr>
              <w:adjustRightInd/>
              <w:jc w:val="center"/>
              <w:rPr>
                <w:rFonts w:ascii="Times New Roman" w:hAnsi="Times New Roman"/>
                <w:color w:val="000000"/>
                <w:sz w:val="32"/>
                <w:szCs w:val="24"/>
              </w:rPr>
            </w:pPr>
            <w:r>
              <w:rPr>
                <w:rFonts w:ascii="Times New Roman" w:hAnsi="Times New Roman"/>
                <w:color w:val="000000"/>
                <w:szCs w:val="22"/>
              </w:rPr>
              <w:t>项目</w:t>
            </w:r>
            <w:r>
              <w:rPr>
                <w:rFonts w:hint="eastAsia" w:ascii="Times New Roman" w:hAnsi="Times New Roman"/>
                <w:color w:val="000000"/>
                <w:szCs w:val="22"/>
              </w:rPr>
              <w:t>负责人</w:t>
            </w:r>
          </w:p>
        </w:tc>
        <w:tc>
          <w:tcPr>
            <w:tcW w:w="1121" w:type="dxa"/>
            <w:vAlign w:val="center"/>
          </w:tcPr>
          <w:p w14:paraId="31276E15">
            <w:pPr>
              <w:adjustRightInd/>
              <w:jc w:val="center"/>
              <w:rPr>
                <w:rFonts w:ascii="Times New Roman" w:hAnsi="Times New Roman"/>
                <w:color w:val="000000"/>
                <w:sz w:val="32"/>
                <w:szCs w:val="24"/>
              </w:rPr>
            </w:pPr>
          </w:p>
        </w:tc>
        <w:tc>
          <w:tcPr>
            <w:tcW w:w="1963" w:type="dxa"/>
            <w:vAlign w:val="center"/>
          </w:tcPr>
          <w:p w14:paraId="721EE22A">
            <w:pPr>
              <w:adjustRightInd/>
              <w:jc w:val="center"/>
              <w:rPr>
                <w:rFonts w:ascii="Times New Roman" w:hAnsi="Times New Roman"/>
                <w:color w:val="000000"/>
                <w:sz w:val="32"/>
                <w:szCs w:val="24"/>
              </w:rPr>
            </w:pPr>
          </w:p>
        </w:tc>
        <w:tc>
          <w:tcPr>
            <w:tcW w:w="1230" w:type="dxa"/>
            <w:vAlign w:val="center"/>
          </w:tcPr>
          <w:p w14:paraId="5240CD36">
            <w:pPr>
              <w:adjustRightInd/>
              <w:jc w:val="center"/>
              <w:rPr>
                <w:rFonts w:ascii="Times New Roman" w:hAnsi="Times New Roman"/>
                <w:color w:val="0000FF"/>
                <w:sz w:val="32"/>
                <w:szCs w:val="24"/>
              </w:rPr>
            </w:pPr>
          </w:p>
        </w:tc>
        <w:tc>
          <w:tcPr>
            <w:tcW w:w="1245" w:type="dxa"/>
            <w:vAlign w:val="center"/>
          </w:tcPr>
          <w:p w14:paraId="3EBA6535">
            <w:pPr>
              <w:adjustRightInd/>
              <w:jc w:val="center"/>
              <w:rPr>
                <w:rFonts w:ascii="Times New Roman" w:hAnsi="Times New Roman"/>
                <w:color w:val="0000FF"/>
                <w:sz w:val="32"/>
                <w:szCs w:val="24"/>
              </w:rPr>
            </w:pPr>
          </w:p>
        </w:tc>
        <w:tc>
          <w:tcPr>
            <w:tcW w:w="1214" w:type="dxa"/>
          </w:tcPr>
          <w:p w14:paraId="2F61E843">
            <w:pPr>
              <w:adjustRightInd/>
              <w:jc w:val="center"/>
              <w:rPr>
                <w:rFonts w:ascii="Times New Roman" w:hAnsi="Times New Roman"/>
                <w:color w:val="000000"/>
                <w:sz w:val="32"/>
                <w:szCs w:val="24"/>
              </w:rPr>
            </w:pPr>
          </w:p>
        </w:tc>
        <w:tc>
          <w:tcPr>
            <w:tcW w:w="1274" w:type="dxa"/>
            <w:vAlign w:val="center"/>
          </w:tcPr>
          <w:p w14:paraId="460F2F84">
            <w:pPr>
              <w:adjustRightInd/>
              <w:jc w:val="center"/>
              <w:rPr>
                <w:rFonts w:ascii="Times New Roman" w:hAnsi="Times New Roman"/>
                <w:color w:val="000000"/>
                <w:sz w:val="32"/>
                <w:szCs w:val="24"/>
              </w:rPr>
            </w:pPr>
          </w:p>
        </w:tc>
      </w:tr>
      <w:tr w14:paraId="62E5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522" w:type="dxa"/>
            <w:vMerge w:val="restart"/>
            <w:vAlign w:val="center"/>
          </w:tcPr>
          <w:p w14:paraId="5429B9BF">
            <w:pPr>
              <w:adjustRightInd/>
              <w:jc w:val="center"/>
              <w:rPr>
                <w:rFonts w:ascii="Times New Roman" w:hAnsi="Times New Roman"/>
                <w:color w:val="000000"/>
                <w:sz w:val="32"/>
                <w:szCs w:val="24"/>
              </w:rPr>
            </w:pPr>
            <w:r>
              <w:rPr>
                <w:rFonts w:ascii="Times New Roman" w:hAnsi="Times New Roman"/>
                <w:color w:val="000000"/>
                <w:szCs w:val="22"/>
              </w:rPr>
              <w:t>项目组成员</w:t>
            </w:r>
          </w:p>
        </w:tc>
        <w:tc>
          <w:tcPr>
            <w:tcW w:w="1121" w:type="dxa"/>
            <w:vAlign w:val="center"/>
          </w:tcPr>
          <w:p w14:paraId="03C1803D">
            <w:pPr>
              <w:adjustRightInd/>
              <w:jc w:val="center"/>
              <w:rPr>
                <w:rFonts w:ascii="Times New Roman" w:hAnsi="Times New Roman"/>
                <w:color w:val="000000"/>
                <w:sz w:val="32"/>
                <w:szCs w:val="24"/>
              </w:rPr>
            </w:pPr>
          </w:p>
        </w:tc>
        <w:tc>
          <w:tcPr>
            <w:tcW w:w="1963" w:type="dxa"/>
            <w:vAlign w:val="center"/>
          </w:tcPr>
          <w:p w14:paraId="2EC3E862">
            <w:pPr>
              <w:adjustRightInd/>
              <w:jc w:val="center"/>
              <w:rPr>
                <w:rFonts w:ascii="Times New Roman" w:hAnsi="Times New Roman"/>
                <w:color w:val="000000"/>
                <w:sz w:val="32"/>
                <w:szCs w:val="24"/>
              </w:rPr>
            </w:pPr>
          </w:p>
        </w:tc>
        <w:tc>
          <w:tcPr>
            <w:tcW w:w="1230" w:type="dxa"/>
            <w:vAlign w:val="center"/>
          </w:tcPr>
          <w:p w14:paraId="07AA4FAC">
            <w:pPr>
              <w:adjustRightInd/>
              <w:jc w:val="center"/>
              <w:rPr>
                <w:rFonts w:ascii="Times New Roman" w:hAnsi="Times New Roman"/>
                <w:color w:val="0000FF"/>
                <w:sz w:val="32"/>
                <w:szCs w:val="24"/>
              </w:rPr>
            </w:pPr>
          </w:p>
        </w:tc>
        <w:tc>
          <w:tcPr>
            <w:tcW w:w="1245" w:type="dxa"/>
            <w:vAlign w:val="center"/>
          </w:tcPr>
          <w:p w14:paraId="7DEE06A0">
            <w:pPr>
              <w:adjustRightInd/>
              <w:jc w:val="center"/>
              <w:rPr>
                <w:rFonts w:ascii="Times New Roman" w:hAnsi="Times New Roman"/>
                <w:color w:val="0000FF"/>
                <w:sz w:val="32"/>
                <w:szCs w:val="24"/>
              </w:rPr>
            </w:pPr>
          </w:p>
        </w:tc>
        <w:tc>
          <w:tcPr>
            <w:tcW w:w="1214" w:type="dxa"/>
          </w:tcPr>
          <w:p w14:paraId="43ED8224">
            <w:pPr>
              <w:adjustRightInd/>
              <w:jc w:val="center"/>
              <w:rPr>
                <w:rFonts w:ascii="Times New Roman" w:hAnsi="Times New Roman"/>
                <w:color w:val="000000"/>
                <w:sz w:val="32"/>
                <w:szCs w:val="24"/>
              </w:rPr>
            </w:pPr>
          </w:p>
        </w:tc>
        <w:tc>
          <w:tcPr>
            <w:tcW w:w="1274" w:type="dxa"/>
            <w:vAlign w:val="center"/>
          </w:tcPr>
          <w:p w14:paraId="6294335F">
            <w:pPr>
              <w:adjustRightInd/>
              <w:jc w:val="center"/>
              <w:rPr>
                <w:rFonts w:ascii="Times New Roman" w:hAnsi="Times New Roman"/>
                <w:color w:val="000000"/>
                <w:sz w:val="32"/>
                <w:szCs w:val="24"/>
              </w:rPr>
            </w:pPr>
          </w:p>
        </w:tc>
      </w:tr>
      <w:tr w14:paraId="0E13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059B3A52">
            <w:pPr>
              <w:adjustRightInd/>
              <w:jc w:val="center"/>
              <w:rPr>
                <w:rFonts w:ascii="Times New Roman" w:hAnsi="Times New Roman"/>
                <w:color w:val="000000"/>
                <w:sz w:val="32"/>
                <w:szCs w:val="24"/>
              </w:rPr>
            </w:pPr>
          </w:p>
        </w:tc>
        <w:tc>
          <w:tcPr>
            <w:tcW w:w="1121" w:type="dxa"/>
            <w:vAlign w:val="center"/>
          </w:tcPr>
          <w:p w14:paraId="68FF0AB5">
            <w:pPr>
              <w:adjustRightInd/>
              <w:jc w:val="center"/>
              <w:rPr>
                <w:rFonts w:ascii="Times New Roman" w:hAnsi="Times New Roman"/>
                <w:color w:val="000000"/>
                <w:sz w:val="32"/>
                <w:szCs w:val="24"/>
              </w:rPr>
            </w:pPr>
          </w:p>
        </w:tc>
        <w:tc>
          <w:tcPr>
            <w:tcW w:w="1963" w:type="dxa"/>
            <w:vAlign w:val="center"/>
          </w:tcPr>
          <w:p w14:paraId="46D77388">
            <w:pPr>
              <w:adjustRightInd/>
              <w:jc w:val="center"/>
              <w:rPr>
                <w:rFonts w:ascii="Times New Roman" w:hAnsi="Times New Roman"/>
                <w:color w:val="000000"/>
                <w:sz w:val="32"/>
                <w:szCs w:val="24"/>
              </w:rPr>
            </w:pPr>
          </w:p>
        </w:tc>
        <w:tc>
          <w:tcPr>
            <w:tcW w:w="1230" w:type="dxa"/>
            <w:vAlign w:val="center"/>
          </w:tcPr>
          <w:p w14:paraId="114ACDF4">
            <w:pPr>
              <w:adjustRightInd/>
              <w:jc w:val="center"/>
              <w:rPr>
                <w:rFonts w:ascii="Times New Roman" w:hAnsi="Times New Roman"/>
                <w:color w:val="0000FF"/>
                <w:sz w:val="32"/>
                <w:szCs w:val="24"/>
              </w:rPr>
            </w:pPr>
          </w:p>
        </w:tc>
        <w:tc>
          <w:tcPr>
            <w:tcW w:w="1245" w:type="dxa"/>
            <w:vAlign w:val="center"/>
          </w:tcPr>
          <w:p w14:paraId="2C2B136C">
            <w:pPr>
              <w:adjustRightInd/>
              <w:jc w:val="center"/>
              <w:rPr>
                <w:rFonts w:ascii="Times New Roman" w:hAnsi="Times New Roman"/>
                <w:color w:val="0000FF"/>
                <w:sz w:val="32"/>
                <w:szCs w:val="24"/>
              </w:rPr>
            </w:pPr>
          </w:p>
        </w:tc>
        <w:tc>
          <w:tcPr>
            <w:tcW w:w="1214" w:type="dxa"/>
          </w:tcPr>
          <w:p w14:paraId="49347C13">
            <w:pPr>
              <w:adjustRightInd/>
              <w:jc w:val="center"/>
              <w:rPr>
                <w:rFonts w:ascii="Times New Roman" w:hAnsi="Times New Roman"/>
                <w:color w:val="000000"/>
                <w:sz w:val="32"/>
                <w:szCs w:val="24"/>
              </w:rPr>
            </w:pPr>
          </w:p>
        </w:tc>
        <w:tc>
          <w:tcPr>
            <w:tcW w:w="1274" w:type="dxa"/>
            <w:vAlign w:val="center"/>
          </w:tcPr>
          <w:p w14:paraId="5A77A9C3">
            <w:pPr>
              <w:adjustRightInd/>
              <w:jc w:val="center"/>
              <w:rPr>
                <w:rFonts w:ascii="Times New Roman" w:hAnsi="Times New Roman"/>
                <w:color w:val="000000"/>
                <w:sz w:val="32"/>
                <w:szCs w:val="24"/>
              </w:rPr>
            </w:pPr>
          </w:p>
        </w:tc>
      </w:tr>
      <w:tr w14:paraId="0F9B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33A23028">
            <w:pPr>
              <w:adjustRightInd/>
              <w:jc w:val="center"/>
              <w:rPr>
                <w:rFonts w:ascii="Times New Roman" w:hAnsi="Times New Roman"/>
                <w:color w:val="000000"/>
                <w:sz w:val="32"/>
                <w:szCs w:val="24"/>
              </w:rPr>
            </w:pPr>
          </w:p>
        </w:tc>
        <w:tc>
          <w:tcPr>
            <w:tcW w:w="1121" w:type="dxa"/>
            <w:vAlign w:val="center"/>
          </w:tcPr>
          <w:p w14:paraId="7ABD310B">
            <w:pPr>
              <w:adjustRightInd/>
              <w:jc w:val="center"/>
              <w:rPr>
                <w:rFonts w:ascii="Times New Roman" w:hAnsi="Times New Roman"/>
                <w:color w:val="000000"/>
                <w:sz w:val="32"/>
                <w:szCs w:val="24"/>
              </w:rPr>
            </w:pPr>
          </w:p>
        </w:tc>
        <w:tc>
          <w:tcPr>
            <w:tcW w:w="1963" w:type="dxa"/>
            <w:vAlign w:val="center"/>
          </w:tcPr>
          <w:p w14:paraId="1883CECA">
            <w:pPr>
              <w:adjustRightInd/>
              <w:jc w:val="center"/>
              <w:rPr>
                <w:rFonts w:ascii="Times New Roman" w:hAnsi="Times New Roman"/>
                <w:color w:val="000000"/>
                <w:sz w:val="32"/>
                <w:szCs w:val="24"/>
              </w:rPr>
            </w:pPr>
          </w:p>
        </w:tc>
        <w:tc>
          <w:tcPr>
            <w:tcW w:w="1230" w:type="dxa"/>
            <w:vAlign w:val="center"/>
          </w:tcPr>
          <w:p w14:paraId="4EAA26DC">
            <w:pPr>
              <w:adjustRightInd/>
              <w:jc w:val="center"/>
              <w:rPr>
                <w:rFonts w:ascii="Times New Roman" w:hAnsi="Times New Roman"/>
                <w:color w:val="0000FF"/>
                <w:sz w:val="32"/>
                <w:szCs w:val="24"/>
              </w:rPr>
            </w:pPr>
          </w:p>
        </w:tc>
        <w:tc>
          <w:tcPr>
            <w:tcW w:w="1245" w:type="dxa"/>
            <w:vAlign w:val="center"/>
          </w:tcPr>
          <w:p w14:paraId="5A138ABD">
            <w:pPr>
              <w:adjustRightInd/>
              <w:jc w:val="center"/>
              <w:rPr>
                <w:rFonts w:ascii="Times New Roman" w:hAnsi="Times New Roman"/>
                <w:color w:val="0000FF"/>
                <w:sz w:val="32"/>
                <w:szCs w:val="24"/>
              </w:rPr>
            </w:pPr>
          </w:p>
        </w:tc>
        <w:tc>
          <w:tcPr>
            <w:tcW w:w="1214" w:type="dxa"/>
          </w:tcPr>
          <w:p w14:paraId="6C1B047E">
            <w:pPr>
              <w:adjustRightInd/>
              <w:jc w:val="center"/>
              <w:rPr>
                <w:rFonts w:ascii="Times New Roman" w:hAnsi="Times New Roman"/>
                <w:color w:val="000000"/>
                <w:sz w:val="32"/>
                <w:szCs w:val="24"/>
              </w:rPr>
            </w:pPr>
          </w:p>
        </w:tc>
        <w:tc>
          <w:tcPr>
            <w:tcW w:w="1274" w:type="dxa"/>
            <w:vAlign w:val="center"/>
          </w:tcPr>
          <w:p w14:paraId="3538699E">
            <w:pPr>
              <w:adjustRightInd/>
              <w:jc w:val="center"/>
              <w:rPr>
                <w:rFonts w:ascii="Times New Roman" w:hAnsi="Times New Roman"/>
                <w:color w:val="000000"/>
                <w:sz w:val="32"/>
                <w:szCs w:val="24"/>
              </w:rPr>
            </w:pPr>
          </w:p>
        </w:tc>
      </w:tr>
      <w:tr w14:paraId="6A8F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45639FF7">
            <w:pPr>
              <w:adjustRightInd/>
              <w:jc w:val="center"/>
              <w:rPr>
                <w:rFonts w:ascii="Times New Roman" w:hAnsi="Times New Roman"/>
                <w:color w:val="000000"/>
                <w:sz w:val="32"/>
                <w:szCs w:val="24"/>
              </w:rPr>
            </w:pPr>
          </w:p>
        </w:tc>
        <w:tc>
          <w:tcPr>
            <w:tcW w:w="1121" w:type="dxa"/>
            <w:vAlign w:val="center"/>
          </w:tcPr>
          <w:p w14:paraId="18FBFBB7">
            <w:pPr>
              <w:adjustRightInd/>
              <w:jc w:val="center"/>
              <w:rPr>
                <w:rFonts w:ascii="Times New Roman" w:hAnsi="Times New Roman"/>
                <w:color w:val="000000"/>
                <w:sz w:val="32"/>
                <w:szCs w:val="24"/>
              </w:rPr>
            </w:pPr>
          </w:p>
        </w:tc>
        <w:tc>
          <w:tcPr>
            <w:tcW w:w="1963" w:type="dxa"/>
            <w:vAlign w:val="center"/>
          </w:tcPr>
          <w:p w14:paraId="18A336C1">
            <w:pPr>
              <w:adjustRightInd/>
              <w:jc w:val="center"/>
              <w:rPr>
                <w:rFonts w:ascii="Times New Roman" w:hAnsi="Times New Roman"/>
                <w:color w:val="000000"/>
                <w:sz w:val="32"/>
                <w:szCs w:val="24"/>
              </w:rPr>
            </w:pPr>
          </w:p>
        </w:tc>
        <w:tc>
          <w:tcPr>
            <w:tcW w:w="1230" w:type="dxa"/>
            <w:vAlign w:val="center"/>
          </w:tcPr>
          <w:p w14:paraId="6049A548">
            <w:pPr>
              <w:adjustRightInd/>
              <w:jc w:val="center"/>
              <w:rPr>
                <w:rFonts w:ascii="Times New Roman" w:hAnsi="Times New Roman"/>
                <w:color w:val="0000FF"/>
                <w:sz w:val="32"/>
                <w:szCs w:val="24"/>
              </w:rPr>
            </w:pPr>
          </w:p>
        </w:tc>
        <w:tc>
          <w:tcPr>
            <w:tcW w:w="1245" w:type="dxa"/>
            <w:vAlign w:val="center"/>
          </w:tcPr>
          <w:p w14:paraId="316853EB">
            <w:pPr>
              <w:adjustRightInd/>
              <w:jc w:val="center"/>
              <w:rPr>
                <w:rFonts w:ascii="Times New Roman" w:hAnsi="Times New Roman"/>
                <w:color w:val="0000FF"/>
                <w:sz w:val="32"/>
                <w:szCs w:val="24"/>
              </w:rPr>
            </w:pPr>
          </w:p>
        </w:tc>
        <w:tc>
          <w:tcPr>
            <w:tcW w:w="1214" w:type="dxa"/>
          </w:tcPr>
          <w:p w14:paraId="25B98F50">
            <w:pPr>
              <w:adjustRightInd/>
              <w:jc w:val="center"/>
              <w:rPr>
                <w:rFonts w:ascii="Times New Roman" w:hAnsi="Times New Roman"/>
                <w:color w:val="000000"/>
                <w:sz w:val="32"/>
                <w:szCs w:val="24"/>
              </w:rPr>
            </w:pPr>
          </w:p>
        </w:tc>
        <w:tc>
          <w:tcPr>
            <w:tcW w:w="1274" w:type="dxa"/>
            <w:vAlign w:val="center"/>
          </w:tcPr>
          <w:p w14:paraId="0C5CC95F">
            <w:pPr>
              <w:adjustRightInd/>
              <w:jc w:val="center"/>
              <w:rPr>
                <w:rFonts w:ascii="Times New Roman" w:hAnsi="Times New Roman"/>
                <w:color w:val="000000"/>
                <w:sz w:val="32"/>
                <w:szCs w:val="24"/>
              </w:rPr>
            </w:pPr>
          </w:p>
        </w:tc>
      </w:tr>
      <w:tr w14:paraId="2480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61028623">
            <w:pPr>
              <w:adjustRightInd/>
              <w:jc w:val="center"/>
              <w:rPr>
                <w:rFonts w:ascii="Times New Roman" w:hAnsi="Times New Roman"/>
                <w:color w:val="000000"/>
                <w:sz w:val="32"/>
                <w:szCs w:val="24"/>
              </w:rPr>
            </w:pPr>
          </w:p>
        </w:tc>
        <w:tc>
          <w:tcPr>
            <w:tcW w:w="1121" w:type="dxa"/>
            <w:vAlign w:val="center"/>
          </w:tcPr>
          <w:p w14:paraId="75C5B0D7">
            <w:pPr>
              <w:adjustRightInd/>
              <w:jc w:val="center"/>
              <w:rPr>
                <w:rFonts w:ascii="Times New Roman" w:hAnsi="Times New Roman"/>
                <w:color w:val="000000"/>
                <w:sz w:val="32"/>
                <w:szCs w:val="24"/>
              </w:rPr>
            </w:pPr>
          </w:p>
        </w:tc>
        <w:tc>
          <w:tcPr>
            <w:tcW w:w="1963" w:type="dxa"/>
            <w:vAlign w:val="center"/>
          </w:tcPr>
          <w:p w14:paraId="3B556F2F">
            <w:pPr>
              <w:adjustRightInd/>
              <w:jc w:val="center"/>
              <w:rPr>
                <w:rFonts w:ascii="Times New Roman" w:hAnsi="Times New Roman"/>
                <w:color w:val="000000"/>
                <w:sz w:val="32"/>
                <w:szCs w:val="24"/>
              </w:rPr>
            </w:pPr>
          </w:p>
        </w:tc>
        <w:tc>
          <w:tcPr>
            <w:tcW w:w="1230" w:type="dxa"/>
            <w:vAlign w:val="center"/>
          </w:tcPr>
          <w:p w14:paraId="596E26E7">
            <w:pPr>
              <w:adjustRightInd/>
              <w:jc w:val="center"/>
              <w:rPr>
                <w:rFonts w:ascii="Times New Roman" w:hAnsi="Times New Roman"/>
                <w:color w:val="0000FF"/>
                <w:sz w:val="32"/>
                <w:szCs w:val="24"/>
              </w:rPr>
            </w:pPr>
          </w:p>
        </w:tc>
        <w:tc>
          <w:tcPr>
            <w:tcW w:w="1245" w:type="dxa"/>
            <w:vAlign w:val="center"/>
          </w:tcPr>
          <w:p w14:paraId="79A28916">
            <w:pPr>
              <w:adjustRightInd/>
              <w:jc w:val="center"/>
              <w:rPr>
                <w:rFonts w:ascii="Times New Roman" w:hAnsi="Times New Roman"/>
                <w:color w:val="0000FF"/>
                <w:sz w:val="32"/>
                <w:szCs w:val="24"/>
              </w:rPr>
            </w:pPr>
          </w:p>
        </w:tc>
        <w:tc>
          <w:tcPr>
            <w:tcW w:w="1214" w:type="dxa"/>
          </w:tcPr>
          <w:p w14:paraId="53E6DC4A">
            <w:pPr>
              <w:adjustRightInd/>
              <w:jc w:val="center"/>
              <w:rPr>
                <w:rFonts w:ascii="Times New Roman" w:hAnsi="Times New Roman"/>
                <w:color w:val="000000"/>
                <w:sz w:val="32"/>
                <w:szCs w:val="24"/>
              </w:rPr>
            </w:pPr>
          </w:p>
        </w:tc>
        <w:tc>
          <w:tcPr>
            <w:tcW w:w="1274" w:type="dxa"/>
            <w:vAlign w:val="center"/>
          </w:tcPr>
          <w:p w14:paraId="446BD177">
            <w:pPr>
              <w:adjustRightInd/>
              <w:jc w:val="center"/>
              <w:rPr>
                <w:rFonts w:ascii="Times New Roman" w:hAnsi="Times New Roman"/>
                <w:color w:val="000000"/>
                <w:sz w:val="32"/>
                <w:szCs w:val="24"/>
              </w:rPr>
            </w:pPr>
          </w:p>
        </w:tc>
      </w:tr>
      <w:tr w14:paraId="49CB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32FDC854">
            <w:pPr>
              <w:adjustRightInd/>
              <w:jc w:val="center"/>
              <w:rPr>
                <w:rFonts w:ascii="Times New Roman" w:hAnsi="Times New Roman"/>
                <w:color w:val="000000"/>
                <w:sz w:val="32"/>
                <w:szCs w:val="24"/>
              </w:rPr>
            </w:pPr>
          </w:p>
        </w:tc>
        <w:tc>
          <w:tcPr>
            <w:tcW w:w="1121" w:type="dxa"/>
            <w:vAlign w:val="center"/>
          </w:tcPr>
          <w:p w14:paraId="7968E907">
            <w:pPr>
              <w:adjustRightInd/>
              <w:jc w:val="center"/>
              <w:rPr>
                <w:rFonts w:ascii="Times New Roman" w:hAnsi="Times New Roman"/>
                <w:color w:val="000000"/>
                <w:sz w:val="32"/>
                <w:szCs w:val="24"/>
              </w:rPr>
            </w:pPr>
          </w:p>
        </w:tc>
        <w:tc>
          <w:tcPr>
            <w:tcW w:w="1963" w:type="dxa"/>
            <w:vAlign w:val="center"/>
          </w:tcPr>
          <w:p w14:paraId="646011CA">
            <w:pPr>
              <w:adjustRightInd/>
              <w:jc w:val="center"/>
              <w:rPr>
                <w:rFonts w:ascii="Times New Roman" w:hAnsi="Times New Roman"/>
                <w:color w:val="000000"/>
                <w:sz w:val="32"/>
                <w:szCs w:val="24"/>
              </w:rPr>
            </w:pPr>
          </w:p>
        </w:tc>
        <w:tc>
          <w:tcPr>
            <w:tcW w:w="1230" w:type="dxa"/>
            <w:vAlign w:val="center"/>
          </w:tcPr>
          <w:p w14:paraId="2CC72834">
            <w:pPr>
              <w:adjustRightInd/>
              <w:jc w:val="center"/>
              <w:rPr>
                <w:rFonts w:ascii="Times New Roman" w:hAnsi="Times New Roman"/>
                <w:color w:val="0000FF"/>
                <w:sz w:val="32"/>
                <w:szCs w:val="24"/>
              </w:rPr>
            </w:pPr>
          </w:p>
        </w:tc>
        <w:tc>
          <w:tcPr>
            <w:tcW w:w="1245" w:type="dxa"/>
            <w:vAlign w:val="center"/>
          </w:tcPr>
          <w:p w14:paraId="449EC103">
            <w:pPr>
              <w:adjustRightInd/>
              <w:jc w:val="center"/>
              <w:rPr>
                <w:rFonts w:ascii="Times New Roman" w:hAnsi="Times New Roman"/>
                <w:color w:val="0000FF"/>
                <w:sz w:val="32"/>
                <w:szCs w:val="24"/>
              </w:rPr>
            </w:pPr>
          </w:p>
        </w:tc>
        <w:tc>
          <w:tcPr>
            <w:tcW w:w="1214" w:type="dxa"/>
          </w:tcPr>
          <w:p w14:paraId="61ED01A2">
            <w:pPr>
              <w:adjustRightInd/>
              <w:jc w:val="center"/>
              <w:rPr>
                <w:rFonts w:ascii="Times New Roman" w:hAnsi="Times New Roman"/>
                <w:color w:val="000000"/>
                <w:sz w:val="32"/>
                <w:szCs w:val="24"/>
              </w:rPr>
            </w:pPr>
          </w:p>
        </w:tc>
        <w:tc>
          <w:tcPr>
            <w:tcW w:w="1274" w:type="dxa"/>
            <w:vAlign w:val="center"/>
          </w:tcPr>
          <w:p w14:paraId="44FE358D">
            <w:pPr>
              <w:adjustRightInd/>
              <w:jc w:val="center"/>
              <w:rPr>
                <w:rFonts w:ascii="Times New Roman" w:hAnsi="Times New Roman"/>
                <w:color w:val="000000"/>
                <w:sz w:val="32"/>
                <w:szCs w:val="24"/>
              </w:rPr>
            </w:pPr>
          </w:p>
        </w:tc>
      </w:tr>
      <w:tr w14:paraId="5F76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restart"/>
            <w:vAlign w:val="center"/>
          </w:tcPr>
          <w:p w14:paraId="284722CD">
            <w:pPr>
              <w:adjustRightInd/>
              <w:jc w:val="center"/>
              <w:rPr>
                <w:rFonts w:ascii="Times New Roman" w:hAnsi="Times New Roman"/>
                <w:color w:val="000000"/>
                <w:sz w:val="32"/>
                <w:szCs w:val="24"/>
              </w:rPr>
            </w:pPr>
            <w:r>
              <w:rPr>
                <w:rFonts w:ascii="Times New Roman" w:hAnsi="Times New Roman"/>
                <w:color w:val="000000"/>
                <w:szCs w:val="22"/>
              </w:rPr>
              <w:t>报告编制人</w:t>
            </w:r>
          </w:p>
        </w:tc>
        <w:tc>
          <w:tcPr>
            <w:tcW w:w="1121" w:type="dxa"/>
            <w:vAlign w:val="center"/>
          </w:tcPr>
          <w:p w14:paraId="20261B17">
            <w:pPr>
              <w:adjustRightInd/>
              <w:jc w:val="center"/>
              <w:rPr>
                <w:rFonts w:ascii="Times New Roman" w:hAnsi="Times New Roman"/>
                <w:color w:val="000000"/>
                <w:sz w:val="32"/>
                <w:szCs w:val="24"/>
              </w:rPr>
            </w:pPr>
          </w:p>
        </w:tc>
        <w:tc>
          <w:tcPr>
            <w:tcW w:w="1963" w:type="dxa"/>
            <w:vAlign w:val="center"/>
          </w:tcPr>
          <w:p w14:paraId="78D474BC">
            <w:pPr>
              <w:adjustRightInd/>
              <w:jc w:val="center"/>
              <w:rPr>
                <w:rFonts w:ascii="Times New Roman" w:hAnsi="Times New Roman"/>
                <w:color w:val="000000"/>
                <w:sz w:val="32"/>
                <w:szCs w:val="24"/>
              </w:rPr>
            </w:pPr>
          </w:p>
        </w:tc>
        <w:tc>
          <w:tcPr>
            <w:tcW w:w="1230" w:type="dxa"/>
            <w:vAlign w:val="center"/>
          </w:tcPr>
          <w:p w14:paraId="6ED14369">
            <w:pPr>
              <w:adjustRightInd/>
              <w:jc w:val="center"/>
              <w:rPr>
                <w:rFonts w:ascii="Times New Roman" w:hAnsi="Times New Roman"/>
                <w:color w:val="0000FF"/>
                <w:sz w:val="32"/>
                <w:szCs w:val="24"/>
              </w:rPr>
            </w:pPr>
          </w:p>
        </w:tc>
        <w:tc>
          <w:tcPr>
            <w:tcW w:w="1245" w:type="dxa"/>
            <w:vAlign w:val="center"/>
          </w:tcPr>
          <w:p w14:paraId="65271A93">
            <w:pPr>
              <w:adjustRightInd/>
              <w:jc w:val="center"/>
              <w:rPr>
                <w:rFonts w:ascii="Times New Roman" w:hAnsi="Times New Roman"/>
                <w:color w:val="0000FF"/>
                <w:sz w:val="32"/>
                <w:szCs w:val="24"/>
              </w:rPr>
            </w:pPr>
          </w:p>
        </w:tc>
        <w:tc>
          <w:tcPr>
            <w:tcW w:w="1214" w:type="dxa"/>
          </w:tcPr>
          <w:p w14:paraId="7825321A">
            <w:pPr>
              <w:adjustRightInd/>
              <w:jc w:val="center"/>
              <w:rPr>
                <w:rFonts w:ascii="Times New Roman" w:hAnsi="Times New Roman"/>
                <w:color w:val="000000"/>
                <w:sz w:val="32"/>
                <w:szCs w:val="24"/>
              </w:rPr>
            </w:pPr>
          </w:p>
        </w:tc>
        <w:tc>
          <w:tcPr>
            <w:tcW w:w="1274" w:type="dxa"/>
            <w:vAlign w:val="center"/>
          </w:tcPr>
          <w:p w14:paraId="78B97212">
            <w:pPr>
              <w:adjustRightInd/>
              <w:jc w:val="center"/>
              <w:rPr>
                <w:rFonts w:ascii="Times New Roman" w:hAnsi="Times New Roman"/>
                <w:color w:val="000000"/>
                <w:sz w:val="32"/>
                <w:szCs w:val="24"/>
              </w:rPr>
            </w:pPr>
          </w:p>
        </w:tc>
      </w:tr>
      <w:tr w14:paraId="2F71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5766068C">
            <w:pPr>
              <w:adjustRightInd/>
              <w:jc w:val="center"/>
              <w:rPr>
                <w:rFonts w:ascii="Times New Roman" w:hAnsi="Times New Roman"/>
                <w:color w:val="000000"/>
                <w:sz w:val="32"/>
                <w:szCs w:val="24"/>
              </w:rPr>
            </w:pPr>
          </w:p>
        </w:tc>
        <w:tc>
          <w:tcPr>
            <w:tcW w:w="1121" w:type="dxa"/>
            <w:vAlign w:val="center"/>
          </w:tcPr>
          <w:p w14:paraId="60C5AAE9">
            <w:pPr>
              <w:adjustRightInd/>
              <w:jc w:val="center"/>
              <w:rPr>
                <w:rFonts w:ascii="Times New Roman" w:hAnsi="Times New Roman"/>
                <w:color w:val="000000"/>
                <w:sz w:val="32"/>
                <w:szCs w:val="24"/>
              </w:rPr>
            </w:pPr>
          </w:p>
        </w:tc>
        <w:tc>
          <w:tcPr>
            <w:tcW w:w="1963" w:type="dxa"/>
            <w:vAlign w:val="center"/>
          </w:tcPr>
          <w:p w14:paraId="6D91EA40">
            <w:pPr>
              <w:adjustRightInd/>
              <w:jc w:val="center"/>
              <w:rPr>
                <w:rFonts w:ascii="Times New Roman" w:hAnsi="Times New Roman"/>
                <w:color w:val="000000"/>
                <w:sz w:val="32"/>
                <w:szCs w:val="24"/>
              </w:rPr>
            </w:pPr>
          </w:p>
        </w:tc>
        <w:tc>
          <w:tcPr>
            <w:tcW w:w="1230" w:type="dxa"/>
            <w:vAlign w:val="center"/>
          </w:tcPr>
          <w:p w14:paraId="24AA6D3B">
            <w:pPr>
              <w:adjustRightInd/>
              <w:jc w:val="center"/>
              <w:rPr>
                <w:rFonts w:ascii="Times New Roman" w:hAnsi="Times New Roman"/>
                <w:color w:val="0000FF"/>
                <w:sz w:val="32"/>
                <w:szCs w:val="24"/>
              </w:rPr>
            </w:pPr>
          </w:p>
        </w:tc>
        <w:tc>
          <w:tcPr>
            <w:tcW w:w="1245" w:type="dxa"/>
            <w:vAlign w:val="center"/>
          </w:tcPr>
          <w:p w14:paraId="1AF28B1A">
            <w:pPr>
              <w:adjustRightInd/>
              <w:jc w:val="center"/>
              <w:rPr>
                <w:rFonts w:ascii="Times New Roman" w:hAnsi="Times New Roman"/>
                <w:color w:val="0000FF"/>
                <w:sz w:val="32"/>
                <w:szCs w:val="24"/>
              </w:rPr>
            </w:pPr>
          </w:p>
        </w:tc>
        <w:tc>
          <w:tcPr>
            <w:tcW w:w="1214" w:type="dxa"/>
          </w:tcPr>
          <w:p w14:paraId="5FFC794A">
            <w:pPr>
              <w:adjustRightInd/>
              <w:jc w:val="center"/>
              <w:rPr>
                <w:rFonts w:ascii="Times New Roman" w:hAnsi="Times New Roman"/>
                <w:color w:val="000000"/>
                <w:sz w:val="32"/>
                <w:szCs w:val="24"/>
              </w:rPr>
            </w:pPr>
          </w:p>
        </w:tc>
        <w:tc>
          <w:tcPr>
            <w:tcW w:w="1274" w:type="dxa"/>
            <w:vAlign w:val="center"/>
          </w:tcPr>
          <w:p w14:paraId="0DA59704">
            <w:pPr>
              <w:adjustRightInd/>
              <w:jc w:val="center"/>
              <w:rPr>
                <w:rFonts w:ascii="Times New Roman" w:hAnsi="Times New Roman"/>
                <w:color w:val="000000"/>
                <w:sz w:val="32"/>
                <w:szCs w:val="24"/>
              </w:rPr>
            </w:pPr>
          </w:p>
        </w:tc>
      </w:tr>
      <w:tr w14:paraId="17B7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restart"/>
            <w:vAlign w:val="center"/>
          </w:tcPr>
          <w:p w14:paraId="1D5CF3B0">
            <w:pPr>
              <w:adjustRightInd/>
              <w:jc w:val="center"/>
              <w:rPr>
                <w:rFonts w:ascii="Times New Roman" w:hAnsi="Times New Roman"/>
                <w:color w:val="000000"/>
                <w:sz w:val="32"/>
                <w:szCs w:val="24"/>
              </w:rPr>
            </w:pPr>
            <w:r>
              <w:rPr>
                <w:rFonts w:ascii="Times New Roman" w:hAnsi="Times New Roman"/>
                <w:color w:val="000000"/>
                <w:szCs w:val="22"/>
              </w:rPr>
              <w:t>报告审核人</w:t>
            </w:r>
          </w:p>
        </w:tc>
        <w:tc>
          <w:tcPr>
            <w:tcW w:w="1121" w:type="dxa"/>
            <w:vAlign w:val="center"/>
          </w:tcPr>
          <w:p w14:paraId="0F8B4CCA">
            <w:pPr>
              <w:adjustRightInd/>
              <w:jc w:val="center"/>
              <w:rPr>
                <w:rFonts w:ascii="Times New Roman" w:hAnsi="Times New Roman"/>
                <w:color w:val="000000"/>
                <w:sz w:val="32"/>
                <w:szCs w:val="24"/>
              </w:rPr>
            </w:pPr>
          </w:p>
        </w:tc>
        <w:tc>
          <w:tcPr>
            <w:tcW w:w="1963" w:type="dxa"/>
            <w:vAlign w:val="center"/>
          </w:tcPr>
          <w:p w14:paraId="4F2E4ADD">
            <w:pPr>
              <w:adjustRightInd/>
              <w:jc w:val="center"/>
              <w:rPr>
                <w:rFonts w:ascii="Times New Roman" w:hAnsi="Times New Roman"/>
                <w:color w:val="000000"/>
                <w:sz w:val="32"/>
                <w:szCs w:val="24"/>
              </w:rPr>
            </w:pPr>
          </w:p>
        </w:tc>
        <w:tc>
          <w:tcPr>
            <w:tcW w:w="1230" w:type="dxa"/>
            <w:vAlign w:val="center"/>
          </w:tcPr>
          <w:p w14:paraId="4212B77A">
            <w:pPr>
              <w:adjustRightInd/>
              <w:jc w:val="center"/>
              <w:rPr>
                <w:rFonts w:ascii="Times New Roman" w:hAnsi="Times New Roman"/>
                <w:color w:val="0000FF"/>
                <w:sz w:val="32"/>
                <w:szCs w:val="24"/>
              </w:rPr>
            </w:pPr>
          </w:p>
        </w:tc>
        <w:tc>
          <w:tcPr>
            <w:tcW w:w="1245" w:type="dxa"/>
            <w:vAlign w:val="center"/>
          </w:tcPr>
          <w:p w14:paraId="603F73DF">
            <w:pPr>
              <w:adjustRightInd/>
              <w:jc w:val="center"/>
              <w:rPr>
                <w:rFonts w:ascii="Times New Roman" w:hAnsi="Times New Roman"/>
                <w:color w:val="0000FF"/>
                <w:sz w:val="32"/>
                <w:szCs w:val="24"/>
              </w:rPr>
            </w:pPr>
          </w:p>
        </w:tc>
        <w:tc>
          <w:tcPr>
            <w:tcW w:w="1214" w:type="dxa"/>
          </w:tcPr>
          <w:p w14:paraId="77B72EEF">
            <w:pPr>
              <w:adjustRightInd/>
              <w:jc w:val="center"/>
              <w:rPr>
                <w:rFonts w:ascii="Times New Roman" w:hAnsi="Times New Roman"/>
                <w:color w:val="000000"/>
                <w:sz w:val="32"/>
                <w:szCs w:val="24"/>
              </w:rPr>
            </w:pPr>
          </w:p>
        </w:tc>
        <w:tc>
          <w:tcPr>
            <w:tcW w:w="1274" w:type="dxa"/>
            <w:vAlign w:val="center"/>
          </w:tcPr>
          <w:p w14:paraId="57006D04">
            <w:pPr>
              <w:adjustRightInd/>
              <w:jc w:val="center"/>
              <w:rPr>
                <w:rFonts w:ascii="Times New Roman" w:hAnsi="Times New Roman"/>
                <w:color w:val="000000"/>
                <w:sz w:val="32"/>
                <w:szCs w:val="24"/>
              </w:rPr>
            </w:pPr>
          </w:p>
        </w:tc>
      </w:tr>
      <w:tr w14:paraId="0158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Merge w:val="continue"/>
            <w:vAlign w:val="center"/>
          </w:tcPr>
          <w:p w14:paraId="2F0C60F1">
            <w:pPr>
              <w:adjustRightInd/>
              <w:jc w:val="center"/>
              <w:rPr>
                <w:rFonts w:ascii="Times New Roman" w:hAnsi="Times New Roman"/>
                <w:color w:val="000000"/>
                <w:sz w:val="32"/>
                <w:szCs w:val="24"/>
              </w:rPr>
            </w:pPr>
          </w:p>
        </w:tc>
        <w:tc>
          <w:tcPr>
            <w:tcW w:w="1121" w:type="dxa"/>
            <w:vAlign w:val="center"/>
          </w:tcPr>
          <w:p w14:paraId="08DA29E7">
            <w:pPr>
              <w:adjustRightInd/>
              <w:jc w:val="center"/>
              <w:rPr>
                <w:rFonts w:ascii="Times New Roman" w:hAnsi="Times New Roman"/>
                <w:color w:val="000000"/>
                <w:sz w:val="32"/>
                <w:szCs w:val="24"/>
              </w:rPr>
            </w:pPr>
          </w:p>
        </w:tc>
        <w:tc>
          <w:tcPr>
            <w:tcW w:w="1963" w:type="dxa"/>
            <w:vAlign w:val="center"/>
          </w:tcPr>
          <w:p w14:paraId="064362C5">
            <w:pPr>
              <w:adjustRightInd/>
              <w:jc w:val="center"/>
              <w:rPr>
                <w:rFonts w:ascii="Times New Roman" w:hAnsi="Times New Roman"/>
                <w:color w:val="000000"/>
                <w:sz w:val="32"/>
                <w:szCs w:val="24"/>
              </w:rPr>
            </w:pPr>
          </w:p>
        </w:tc>
        <w:tc>
          <w:tcPr>
            <w:tcW w:w="1230" w:type="dxa"/>
            <w:vAlign w:val="center"/>
          </w:tcPr>
          <w:p w14:paraId="1F073F5B">
            <w:pPr>
              <w:adjustRightInd/>
              <w:jc w:val="center"/>
              <w:rPr>
                <w:rFonts w:ascii="Times New Roman" w:hAnsi="Times New Roman"/>
                <w:color w:val="0000FF"/>
                <w:sz w:val="32"/>
                <w:szCs w:val="24"/>
              </w:rPr>
            </w:pPr>
          </w:p>
        </w:tc>
        <w:tc>
          <w:tcPr>
            <w:tcW w:w="1245" w:type="dxa"/>
            <w:vAlign w:val="center"/>
          </w:tcPr>
          <w:p w14:paraId="697BBE62">
            <w:pPr>
              <w:adjustRightInd/>
              <w:jc w:val="center"/>
              <w:rPr>
                <w:rFonts w:ascii="Times New Roman" w:hAnsi="Times New Roman"/>
                <w:color w:val="0000FF"/>
                <w:sz w:val="32"/>
                <w:szCs w:val="24"/>
              </w:rPr>
            </w:pPr>
          </w:p>
        </w:tc>
        <w:tc>
          <w:tcPr>
            <w:tcW w:w="1214" w:type="dxa"/>
          </w:tcPr>
          <w:p w14:paraId="6A53DEF9">
            <w:pPr>
              <w:adjustRightInd/>
              <w:jc w:val="center"/>
              <w:rPr>
                <w:rFonts w:ascii="Times New Roman" w:hAnsi="Times New Roman"/>
                <w:color w:val="000000"/>
                <w:sz w:val="32"/>
                <w:szCs w:val="24"/>
              </w:rPr>
            </w:pPr>
          </w:p>
        </w:tc>
        <w:tc>
          <w:tcPr>
            <w:tcW w:w="1274" w:type="dxa"/>
            <w:vAlign w:val="center"/>
          </w:tcPr>
          <w:p w14:paraId="7105F2A2">
            <w:pPr>
              <w:adjustRightInd/>
              <w:jc w:val="center"/>
              <w:rPr>
                <w:rFonts w:ascii="Times New Roman" w:hAnsi="Times New Roman"/>
                <w:color w:val="000000"/>
                <w:sz w:val="32"/>
                <w:szCs w:val="24"/>
              </w:rPr>
            </w:pPr>
          </w:p>
        </w:tc>
      </w:tr>
      <w:tr w14:paraId="36CD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Align w:val="center"/>
          </w:tcPr>
          <w:p w14:paraId="2E3855E0">
            <w:pPr>
              <w:adjustRightInd/>
              <w:jc w:val="center"/>
              <w:rPr>
                <w:rFonts w:ascii="Times New Roman" w:hAnsi="Times New Roman"/>
                <w:color w:val="000000"/>
                <w:szCs w:val="24"/>
              </w:rPr>
            </w:pPr>
            <w:r>
              <w:rPr>
                <w:rFonts w:ascii="Times New Roman" w:hAnsi="Times New Roman"/>
                <w:color w:val="000000"/>
                <w:szCs w:val="22"/>
              </w:rPr>
              <w:t>过程控制</w:t>
            </w:r>
          </w:p>
          <w:p w14:paraId="09E3A65F">
            <w:pPr>
              <w:adjustRightInd/>
              <w:jc w:val="center"/>
              <w:rPr>
                <w:rFonts w:ascii="Times New Roman" w:hAnsi="Times New Roman"/>
                <w:color w:val="000000"/>
                <w:sz w:val="32"/>
                <w:szCs w:val="24"/>
              </w:rPr>
            </w:pPr>
            <w:r>
              <w:rPr>
                <w:rFonts w:ascii="Times New Roman" w:hAnsi="Times New Roman"/>
                <w:color w:val="000000"/>
                <w:szCs w:val="22"/>
              </w:rPr>
              <w:t>负责人</w:t>
            </w:r>
          </w:p>
        </w:tc>
        <w:tc>
          <w:tcPr>
            <w:tcW w:w="1121" w:type="dxa"/>
            <w:vAlign w:val="center"/>
          </w:tcPr>
          <w:p w14:paraId="4C5D3948">
            <w:pPr>
              <w:adjustRightInd/>
              <w:jc w:val="center"/>
              <w:rPr>
                <w:rFonts w:ascii="Times New Roman" w:hAnsi="Times New Roman"/>
                <w:color w:val="000000"/>
                <w:sz w:val="32"/>
                <w:szCs w:val="24"/>
              </w:rPr>
            </w:pPr>
          </w:p>
        </w:tc>
        <w:tc>
          <w:tcPr>
            <w:tcW w:w="1963" w:type="dxa"/>
            <w:vAlign w:val="center"/>
          </w:tcPr>
          <w:p w14:paraId="7535213C">
            <w:pPr>
              <w:adjustRightInd/>
              <w:jc w:val="center"/>
              <w:rPr>
                <w:rFonts w:ascii="Times New Roman" w:hAnsi="Times New Roman"/>
                <w:color w:val="000000"/>
                <w:sz w:val="32"/>
                <w:szCs w:val="24"/>
              </w:rPr>
            </w:pPr>
          </w:p>
        </w:tc>
        <w:tc>
          <w:tcPr>
            <w:tcW w:w="1230" w:type="dxa"/>
            <w:vAlign w:val="center"/>
          </w:tcPr>
          <w:p w14:paraId="3258306F">
            <w:pPr>
              <w:adjustRightInd/>
              <w:jc w:val="center"/>
              <w:rPr>
                <w:rFonts w:ascii="Times New Roman" w:hAnsi="Times New Roman"/>
                <w:color w:val="0000FF"/>
                <w:sz w:val="32"/>
                <w:szCs w:val="24"/>
              </w:rPr>
            </w:pPr>
          </w:p>
        </w:tc>
        <w:tc>
          <w:tcPr>
            <w:tcW w:w="1245" w:type="dxa"/>
            <w:vAlign w:val="center"/>
          </w:tcPr>
          <w:p w14:paraId="2CF752BB">
            <w:pPr>
              <w:adjustRightInd/>
              <w:jc w:val="center"/>
              <w:rPr>
                <w:rFonts w:ascii="Times New Roman" w:hAnsi="Times New Roman"/>
                <w:color w:val="0000FF"/>
                <w:sz w:val="32"/>
                <w:szCs w:val="24"/>
              </w:rPr>
            </w:pPr>
          </w:p>
        </w:tc>
        <w:tc>
          <w:tcPr>
            <w:tcW w:w="1214" w:type="dxa"/>
          </w:tcPr>
          <w:p w14:paraId="4947DEF5">
            <w:pPr>
              <w:adjustRightInd/>
              <w:jc w:val="center"/>
              <w:rPr>
                <w:rFonts w:ascii="Times New Roman" w:hAnsi="Times New Roman"/>
                <w:color w:val="000000"/>
                <w:sz w:val="32"/>
                <w:szCs w:val="24"/>
              </w:rPr>
            </w:pPr>
          </w:p>
        </w:tc>
        <w:tc>
          <w:tcPr>
            <w:tcW w:w="1274" w:type="dxa"/>
            <w:vAlign w:val="center"/>
          </w:tcPr>
          <w:p w14:paraId="2FA5ED82">
            <w:pPr>
              <w:adjustRightInd/>
              <w:jc w:val="center"/>
              <w:rPr>
                <w:rFonts w:ascii="Times New Roman" w:hAnsi="Times New Roman"/>
                <w:color w:val="000000"/>
                <w:sz w:val="32"/>
                <w:szCs w:val="24"/>
              </w:rPr>
            </w:pPr>
          </w:p>
        </w:tc>
      </w:tr>
      <w:tr w14:paraId="7387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Align w:val="center"/>
          </w:tcPr>
          <w:p w14:paraId="0C8CEE7A">
            <w:pPr>
              <w:adjustRightInd/>
              <w:jc w:val="center"/>
              <w:rPr>
                <w:rFonts w:ascii="Times New Roman" w:hAnsi="Times New Roman"/>
                <w:color w:val="000000"/>
                <w:sz w:val="32"/>
                <w:szCs w:val="24"/>
              </w:rPr>
            </w:pPr>
            <w:r>
              <w:rPr>
                <w:rFonts w:ascii="Times New Roman" w:hAnsi="Times New Roman"/>
                <w:color w:val="000000"/>
                <w:szCs w:val="22"/>
                <w:lang w:eastAsia="en-US"/>
              </w:rPr>
              <w:t>技术负责人</w:t>
            </w:r>
          </w:p>
        </w:tc>
        <w:tc>
          <w:tcPr>
            <w:tcW w:w="1121" w:type="dxa"/>
            <w:vAlign w:val="center"/>
          </w:tcPr>
          <w:p w14:paraId="23781E23">
            <w:pPr>
              <w:adjustRightInd/>
              <w:jc w:val="center"/>
              <w:rPr>
                <w:rFonts w:ascii="Times New Roman" w:hAnsi="Times New Roman"/>
                <w:color w:val="000000"/>
                <w:sz w:val="32"/>
                <w:szCs w:val="24"/>
              </w:rPr>
            </w:pPr>
          </w:p>
        </w:tc>
        <w:tc>
          <w:tcPr>
            <w:tcW w:w="1963" w:type="dxa"/>
            <w:vAlign w:val="center"/>
          </w:tcPr>
          <w:p w14:paraId="2E0474D8">
            <w:pPr>
              <w:adjustRightInd/>
              <w:jc w:val="center"/>
              <w:rPr>
                <w:rFonts w:ascii="Times New Roman" w:hAnsi="Times New Roman"/>
                <w:color w:val="000000"/>
                <w:sz w:val="32"/>
                <w:szCs w:val="24"/>
              </w:rPr>
            </w:pPr>
          </w:p>
        </w:tc>
        <w:tc>
          <w:tcPr>
            <w:tcW w:w="1230" w:type="dxa"/>
            <w:vAlign w:val="center"/>
          </w:tcPr>
          <w:p w14:paraId="49708ED0">
            <w:pPr>
              <w:adjustRightInd/>
              <w:jc w:val="center"/>
              <w:rPr>
                <w:rFonts w:ascii="Times New Roman" w:hAnsi="Times New Roman"/>
                <w:color w:val="0000FF"/>
                <w:sz w:val="32"/>
                <w:szCs w:val="24"/>
              </w:rPr>
            </w:pPr>
          </w:p>
        </w:tc>
        <w:tc>
          <w:tcPr>
            <w:tcW w:w="1245" w:type="dxa"/>
            <w:vAlign w:val="center"/>
          </w:tcPr>
          <w:p w14:paraId="2B40FAC1">
            <w:pPr>
              <w:adjustRightInd/>
              <w:jc w:val="center"/>
              <w:rPr>
                <w:rFonts w:ascii="Times New Roman" w:hAnsi="Times New Roman"/>
                <w:color w:val="0000FF"/>
                <w:sz w:val="32"/>
                <w:szCs w:val="24"/>
              </w:rPr>
            </w:pPr>
          </w:p>
        </w:tc>
        <w:tc>
          <w:tcPr>
            <w:tcW w:w="1214" w:type="dxa"/>
          </w:tcPr>
          <w:p w14:paraId="716FE227">
            <w:pPr>
              <w:adjustRightInd/>
              <w:jc w:val="center"/>
              <w:rPr>
                <w:rFonts w:ascii="Times New Roman" w:hAnsi="Times New Roman"/>
                <w:color w:val="000000"/>
                <w:sz w:val="32"/>
                <w:szCs w:val="24"/>
              </w:rPr>
            </w:pPr>
          </w:p>
        </w:tc>
        <w:tc>
          <w:tcPr>
            <w:tcW w:w="1274" w:type="dxa"/>
            <w:vAlign w:val="center"/>
          </w:tcPr>
          <w:p w14:paraId="66D25DAF">
            <w:pPr>
              <w:adjustRightInd/>
              <w:jc w:val="center"/>
              <w:rPr>
                <w:rFonts w:ascii="Times New Roman" w:hAnsi="Times New Roman"/>
                <w:color w:val="000000"/>
                <w:sz w:val="32"/>
                <w:szCs w:val="24"/>
              </w:rPr>
            </w:pPr>
          </w:p>
        </w:tc>
      </w:tr>
      <w:tr w14:paraId="5D50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2" w:type="dxa"/>
            <w:vAlign w:val="center"/>
          </w:tcPr>
          <w:p w14:paraId="305DA121">
            <w:pPr>
              <w:adjustRightInd/>
              <w:jc w:val="center"/>
              <w:rPr>
                <w:rFonts w:ascii="Times New Roman" w:hAnsi="Times New Roman"/>
                <w:color w:val="000000"/>
                <w:szCs w:val="22"/>
              </w:rPr>
            </w:pPr>
            <w:r>
              <w:rPr>
                <w:rFonts w:hint="eastAsia" w:ascii="Times New Roman" w:hAnsi="Times New Roman"/>
                <w:color w:val="000000"/>
                <w:szCs w:val="22"/>
              </w:rPr>
              <w:t>技术专家</w:t>
            </w:r>
          </w:p>
        </w:tc>
        <w:tc>
          <w:tcPr>
            <w:tcW w:w="1121" w:type="dxa"/>
            <w:vAlign w:val="center"/>
          </w:tcPr>
          <w:p w14:paraId="049A93A3">
            <w:pPr>
              <w:adjustRightInd/>
              <w:jc w:val="center"/>
              <w:rPr>
                <w:rFonts w:ascii="Times New Roman" w:hAnsi="Times New Roman"/>
                <w:color w:val="000000"/>
                <w:sz w:val="32"/>
                <w:szCs w:val="24"/>
              </w:rPr>
            </w:pPr>
          </w:p>
        </w:tc>
        <w:tc>
          <w:tcPr>
            <w:tcW w:w="1963" w:type="dxa"/>
            <w:vAlign w:val="center"/>
          </w:tcPr>
          <w:p w14:paraId="169E0532">
            <w:pPr>
              <w:adjustRightInd/>
              <w:jc w:val="center"/>
              <w:rPr>
                <w:rFonts w:ascii="Times New Roman" w:hAnsi="Times New Roman"/>
                <w:color w:val="auto"/>
                <w:sz w:val="32"/>
                <w:szCs w:val="24"/>
              </w:rPr>
            </w:pPr>
            <w:r>
              <w:rPr>
                <w:rFonts w:hint="eastAsia" w:ascii="Times New Roman" w:hAnsi="Times New Roman"/>
                <w:color w:val="auto"/>
                <w:sz w:val="32"/>
                <w:szCs w:val="24"/>
              </w:rPr>
              <w:t>-</w:t>
            </w:r>
          </w:p>
        </w:tc>
        <w:tc>
          <w:tcPr>
            <w:tcW w:w="1230" w:type="dxa"/>
            <w:vAlign w:val="center"/>
          </w:tcPr>
          <w:p w14:paraId="6169CFC2">
            <w:pPr>
              <w:adjustRightInd/>
              <w:jc w:val="center"/>
              <w:rPr>
                <w:rFonts w:ascii="Times New Roman" w:hAnsi="Times New Roman"/>
                <w:color w:val="auto"/>
                <w:sz w:val="32"/>
                <w:szCs w:val="24"/>
              </w:rPr>
            </w:pPr>
            <w:r>
              <w:rPr>
                <w:rFonts w:hint="eastAsia" w:ascii="Times New Roman" w:hAnsi="Times New Roman"/>
                <w:color w:val="auto"/>
                <w:sz w:val="32"/>
                <w:szCs w:val="24"/>
              </w:rPr>
              <w:t>-</w:t>
            </w:r>
          </w:p>
        </w:tc>
        <w:tc>
          <w:tcPr>
            <w:tcW w:w="1245" w:type="dxa"/>
            <w:vAlign w:val="center"/>
          </w:tcPr>
          <w:p w14:paraId="6DF6B1F5">
            <w:pPr>
              <w:adjustRightInd/>
              <w:jc w:val="center"/>
              <w:rPr>
                <w:rFonts w:ascii="Times New Roman" w:hAnsi="Times New Roman"/>
                <w:color w:val="auto"/>
                <w:sz w:val="32"/>
                <w:szCs w:val="24"/>
              </w:rPr>
            </w:pPr>
            <w:r>
              <w:rPr>
                <w:rFonts w:hint="eastAsia" w:ascii="Times New Roman" w:hAnsi="Times New Roman"/>
                <w:color w:val="auto"/>
                <w:sz w:val="32"/>
                <w:szCs w:val="24"/>
              </w:rPr>
              <w:t>-</w:t>
            </w:r>
          </w:p>
        </w:tc>
        <w:tc>
          <w:tcPr>
            <w:tcW w:w="1214" w:type="dxa"/>
          </w:tcPr>
          <w:p w14:paraId="7EF7E0C8">
            <w:pPr>
              <w:adjustRightInd/>
              <w:jc w:val="center"/>
              <w:rPr>
                <w:rFonts w:ascii="Times New Roman" w:hAnsi="Times New Roman"/>
                <w:color w:val="000000"/>
                <w:sz w:val="32"/>
                <w:szCs w:val="24"/>
              </w:rPr>
            </w:pPr>
          </w:p>
        </w:tc>
        <w:tc>
          <w:tcPr>
            <w:tcW w:w="1274" w:type="dxa"/>
            <w:vAlign w:val="center"/>
          </w:tcPr>
          <w:p w14:paraId="1FC449FF">
            <w:pPr>
              <w:adjustRightInd/>
              <w:jc w:val="center"/>
              <w:rPr>
                <w:rFonts w:ascii="Times New Roman" w:hAnsi="Times New Roman"/>
                <w:color w:val="000000"/>
                <w:sz w:val="32"/>
                <w:szCs w:val="24"/>
              </w:rPr>
            </w:pPr>
          </w:p>
        </w:tc>
      </w:tr>
    </w:tbl>
    <w:p w14:paraId="3B2C01FC">
      <w:pPr>
        <w:adjustRightInd/>
        <w:spacing w:line="440" w:lineRule="exact"/>
        <w:jc w:val="right"/>
        <w:rPr>
          <w:rFonts w:ascii="Times New Roman" w:hAnsi="Times New Roman"/>
          <w:color w:val="000000"/>
          <w:szCs w:val="22"/>
        </w:rPr>
      </w:pPr>
      <w:r>
        <w:rPr>
          <w:rFonts w:ascii="Times New Roman" w:hAnsi="Times New Roman"/>
          <w:color w:val="000000"/>
          <w:szCs w:val="22"/>
        </w:rPr>
        <w:t>(此表应根据具体项目实际参与人数编制)</w:t>
      </w:r>
    </w:p>
    <w:p w14:paraId="171189DA">
      <w:pPr>
        <w:adjustRightInd/>
        <w:spacing w:line="480" w:lineRule="auto"/>
        <w:jc w:val="center"/>
        <w:rPr>
          <w:rFonts w:ascii="Times New Roman" w:hAnsi="Times New Roman" w:eastAsia="黑体"/>
          <w:color w:val="000000"/>
          <w:szCs w:val="22"/>
        </w:rPr>
      </w:pPr>
      <w:r>
        <w:rPr>
          <w:rFonts w:ascii="Times New Roman" w:hAnsi="Times New Roman"/>
          <w:kern w:val="0"/>
        </w:rPr>
        <w:t>（以上全部小四号宋体）</w:t>
      </w:r>
    </w:p>
    <w:p w14:paraId="3BDD4C72">
      <w:pPr>
        <w:widowControl/>
        <w:tabs>
          <w:tab w:val="left" w:pos="360"/>
        </w:tabs>
        <w:adjustRightInd/>
        <w:spacing w:beforeLines="50" w:line="240" w:lineRule="auto"/>
        <w:jc w:val="center"/>
        <w:rPr>
          <w:rFonts w:ascii="黑体" w:hAnsi="Times New Roman" w:eastAsia="黑体"/>
          <w:color w:val="000000"/>
          <w:kern w:val="0"/>
          <w:szCs w:val="20"/>
          <w:highlight w:val="none"/>
        </w:rPr>
        <w:sectPr>
          <w:footerReference r:id="rId26" w:type="default"/>
          <w:headerReference r:id="rId25" w:type="even"/>
          <w:footerReference r:id="rId27" w:type="even"/>
          <w:pgSz w:w="11906" w:h="16838"/>
          <w:pgMar w:top="1928" w:right="1134" w:bottom="1134" w:left="1134" w:header="1361" w:footer="1111" w:gutter="0"/>
          <w:pgNumType w:fmt="decimal"/>
          <w:cols w:space="720" w:num="1"/>
          <w:formProt w:val="0"/>
          <w:docGrid w:type="lines" w:linePitch="312" w:charSpace="0"/>
        </w:sectPr>
      </w:pPr>
      <w:r>
        <w:rPr>
          <w:rFonts w:hint="eastAsia" w:ascii="黑体" w:hAnsi="Times New Roman" w:eastAsia="黑体"/>
          <w:color w:val="000000"/>
          <w:kern w:val="0"/>
          <w:szCs w:val="20"/>
          <w:highlight w:val="none"/>
        </w:rPr>
        <w:t>图B.3　著录项次页样张</w:t>
      </w:r>
    </w:p>
    <w:p w14:paraId="5CF84899">
      <w:pPr>
        <w:pStyle w:val="81"/>
        <w:spacing w:before="120" w:after="120"/>
      </w:pPr>
      <w:bookmarkStart w:id="263" w:name="_Toc17732"/>
      <w:bookmarkStart w:id="264" w:name="_Toc28892"/>
      <w:bookmarkStart w:id="265" w:name="_Toc12526"/>
      <w:bookmarkStart w:id="266" w:name="_Toc23010"/>
      <w:bookmarkStart w:id="267" w:name="_Toc16926"/>
      <w:bookmarkStart w:id="268" w:name="_Toc6831"/>
      <w:bookmarkStart w:id="269" w:name="_Toc193042508"/>
      <w:bookmarkStart w:id="270" w:name="_Toc11894"/>
      <w:r>
        <w:rPr>
          <w:rFonts w:hint="eastAsia"/>
        </w:rPr>
        <w:t>纸张、排版</w:t>
      </w:r>
      <w:bookmarkEnd w:id="263"/>
      <w:bookmarkEnd w:id="264"/>
      <w:bookmarkEnd w:id="265"/>
      <w:bookmarkEnd w:id="266"/>
      <w:bookmarkEnd w:id="267"/>
      <w:bookmarkEnd w:id="268"/>
      <w:bookmarkEnd w:id="269"/>
      <w:bookmarkEnd w:id="270"/>
    </w:p>
    <w:p w14:paraId="11289D06">
      <w:pPr>
        <w:adjustRightInd/>
        <w:spacing w:line="360" w:lineRule="exact"/>
        <w:ind w:firstLine="420" w:firstLineChars="200"/>
        <w:rPr>
          <w:rFonts w:ascii="宋体" w:hAnsi="宋体" w:cs="宋体"/>
          <w:color w:val="000000"/>
        </w:rPr>
      </w:pPr>
      <w:r>
        <w:rPr>
          <w:rFonts w:hint="eastAsia" w:ascii="宋体" w:hAnsi="宋体" w:cs="宋体"/>
          <w:color w:val="000000"/>
        </w:rPr>
        <w:t>采用A4白色胶版纸，页码位于页面底端，对齐方式为居中。前言、目录、正文排版符合表B.1的要求。</w:t>
      </w:r>
    </w:p>
    <w:p w14:paraId="312EEFB2">
      <w:pPr>
        <w:widowControl/>
        <w:tabs>
          <w:tab w:val="left" w:pos="360"/>
        </w:tabs>
        <w:adjustRightInd/>
        <w:spacing w:beforeLines="50" w:line="240" w:lineRule="auto"/>
        <w:jc w:val="center"/>
        <w:rPr>
          <w:rFonts w:ascii="黑体" w:hAnsi="Times New Roman" w:eastAsia="黑体"/>
          <w:color w:val="000000"/>
          <w:kern w:val="0"/>
          <w:szCs w:val="20"/>
        </w:rPr>
      </w:pPr>
      <w:bookmarkStart w:id="271" w:name="_Toc26462"/>
      <w:bookmarkStart w:id="272" w:name="_Toc23406"/>
      <w:bookmarkStart w:id="273" w:name="_Toc6471"/>
      <w:bookmarkStart w:id="274" w:name="_Toc28307"/>
      <w:bookmarkStart w:id="275" w:name="_Toc19761"/>
      <w:bookmarkStart w:id="276" w:name="_Toc17151"/>
      <w:r>
        <w:rPr>
          <w:rFonts w:hint="eastAsia" w:ascii="黑体" w:hAnsi="Times New Roman" w:eastAsia="黑体"/>
          <w:color w:val="000000"/>
          <w:kern w:val="0"/>
          <w:szCs w:val="20"/>
        </w:rPr>
        <w:t>表B.1排版要求</w:t>
      </w:r>
      <w:bookmarkEnd w:id="271"/>
      <w:bookmarkEnd w:id="272"/>
      <w:bookmarkEnd w:id="273"/>
      <w:bookmarkEnd w:id="274"/>
      <w:bookmarkEnd w:id="275"/>
      <w:bookmarkEnd w:id="276"/>
    </w:p>
    <w:tbl>
      <w:tblPr>
        <w:tblStyle w:val="2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1960"/>
        <w:gridCol w:w="6395"/>
      </w:tblGrid>
      <w:tr w14:paraId="50AD70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35" w:type="pct"/>
            <w:vAlign w:val="center"/>
          </w:tcPr>
          <w:p w14:paraId="1B4B09A8">
            <w:pPr>
              <w:adjustRightInd/>
              <w:spacing w:line="240" w:lineRule="auto"/>
              <w:jc w:val="center"/>
              <w:rPr>
                <w:rFonts w:ascii="Times New Roman" w:hAnsi="Times New Roman"/>
                <w:b/>
                <w:color w:val="000000"/>
                <w:sz w:val="18"/>
                <w:szCs w:val="18"/>
              </w:rPr>
            </w:pPr>
            <w:r>
              <w:rPr>
                <w:rFonts w:hint="eastAsia" w:ascii="Times New Roman" w:hAnsi="Times New Roman"/>
                <w:b/>
                <w:color w:val="000000"/>
                <w:sz w:val="18"/>
                <w:szCs w:val="18"/>
              </w:rPr>
              <w:t>序号</w:t>
            </w:r>
          </w:p>
        </w:tc>
        <w:tc>
          <w:tcPr>
            <w:tcW w:w="1024" w:type="pct"/>
            <w:vAlign w:val="center"/>
          </w:tcPr>
          <w:p w14:paraId="3D058A68">
            <w:pPr>
              <w:adjustRightInd/>
              <w:spacing w:line="240" w:lineRule="auto"/>
              <w:jc w:val="center"/>
              <w:rPr>
                <w:rFonts w:ascii="Times New Roman" w:hAnsi="Times New Roman"/>
                <w:b/>
                <w:color w:val="000000"/>
                <w:sz w:val="18"/>
                <w:szCs w:val="18"/>
              </w:rPr>
            </w:pPr>
            <w:r>
              <w:rPr>
                <w:rFonts w:hint="eastAsia" w:ascii="Times New Roman" w:hAnsi="Times New Roman"/>
                <w:b/>
                <w:color w:val="000000"/>
                <w:sz w:val="18"/>
                <w:szCs w:val="18"/>
              </w:rPr>
              <w:t>页别</w:t>
            </w:r>
          </w:p>
        </w:tc>
        <w:tc>
          <w:tcPr>
            <w:tcW w:w="3341" w:type="pct"/>
            <w:noWrap/>
            <w:vAlign w:val="center"/>
          </w:tcPr>
          <w:p w14:paraId="5DE257D3">
            <w:pPr>
              <w:adjustRightInd/>
              <w:spacing w:line="240" w:lineRule="auto"/>
              <w:jc w:val="center"/>
              <w:rPr>
                <w:rFonts w:ascii="Times New Roman" w:hAnsi="Times New Roman"/>
                <w:b/>
                <w:color w:val="000000"/>
                <w:sz w:val="18"/>
                <w:szCs w:val="18"/>
              </w:rPr>
            </w:pPr>
            <w:r>
              <w:rPr>
                <w:rFonts w:hint="eastAsia" w:ascii="Times New Roman" w:hAnsi="Times New Roman"/>
                <w:b/>
                <w:color w:val="000000"/>
                <w:sz w:val="18"/>
                <w:szCs w:val="18"/>
              </w:rPr>
              <w:t>排版要求</w:t>
            </w:r>
          </w:p>
        </w:tc>
      </w:tr>
      <w:tr w14:paraId="4A6C7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35" w:type="pct"/>
            <w:vAlign w:val="center"/>
          </w:tcPr>
          <w:p w14:paraId="15F8B607">
            <w:pPr>
              <w:adjustRightInd/>
              <w:spacing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1024" w:type="pct"/>
            <w:vAlign w:val="center"/>
          </w:tcPr>
          <w:p w14:paraId="1E443E68">
            <w:pPr>
              <w:adjustRightInd/>
              <w:spacing w:line="240" w:lineRule="auto"/>
              <w:jc w:val="center"/>
              <w:rPr>
                <w:rFonts w:ascii="Times New Roman" w:hAnsi="Times New Roman"/>
                <w:color w:val="000000"/>
                <w:sz w:val="18"/>
                <w:szCs w:val="18"/>
              </w:rPr>
            </w:pPr>
            <w:r>
              <w:rPr>
                <w:rFonts w:hint="eastAsia" w:ascii="Times New Roman" w:hAnsi="Times New Roman"/>
                <w:color w:val="000000"/>
                <w:sz w:val="18"/>
                <w:szCs w:val="18"/>
              </w:rPr>
              <w:t>前言</w:t>
            </w:r>
          </w:p>
        </w:tc>
        <w:tc>
          <w:tcPr>
            <w:tcW w:w="3341" w:type="pct"/>
            <w:noWrap/>
          </w:tcPr>
          <w:p w14:paraId="07217BE4">
            <w:pPr>
              <w:adjustRightInd/>
              <w:spacing w:line="240" w:lineRule="auto"/>
              <w:rPr>
                <w:rFonts w:ascii="Times New Roman" w:hAnsi="Times New Roman"/>
                <w:color w:val="000000"/>
                <w:sz w:val="18"/>
                <w:szCs w:val="18"/>
              </w:rPr>
            </w:pPr>
            <w:r>
              <w:rPr>
                <w:rFonts w:hint="eastAsia" w:ascii="Times New Roman" w:hAnsi="Times New Roman"/>
                <w:color w:val="000000"/>
                <w:sz w:val="18"/>
                <w:szCs w:val="18"/>
              </w:rPr>
              <w:t>前言标题居中；</w:t>
            </w:r>
          </w:p>
          <w:p w14:paraId="386CE406">
            <w:pPr>
              <w:adjustRightInd/>
              <w:spacing w:line="240" w:lineRule="auto"/>
              <w:rPr>
                <w:rFonts w:ascii="Times New Roman" w:hAnsi="Times New Roman"/>
                <w:color w:val="000000"/>
                <w:sz w:val="18"/>
                <w:szCs w:val="18"/>
              </w:rPr>
            </w:pPr>
            <w:r>
              <w:rPr>
                <w:rFonts w:hint="eastAsia" w:ascii="Times New Roman" w:hAnsi="Times New Roman"/>
                <w:color w:val="000000"/>
                <w:sz w:val="18"/>
                <w:szCs w:val="18"/>
              </w:rPr>
              <w:t>前言每段文字首行缩进</w:t>
            </w:r>
            <w:r>
              <w:rPr>
                <w:rFonts w:ascii="Times New Roman" w:hAnsi="Times New Roman"/>
                <w:color w:val="000000"/>
                <w:sz w:val="18"/>
                <w:szCs w:val="18"/>
              </w:rPr>
              <w:t>2</w:t>
            </w:r>
            <w:r>
              <w:rPr>
                <w:rFonts w:hint="eastAsia" w:ascii="Times New Roman" w:hAnsi="Times New Roman"/>
                <w:color w:val="000000"/>
                <w:sz w:val="18"/>
                <w:szCs w:val="18"/>
              </w:rPr>
              <w:t>字符，回行时顶格；</w:t>
            </w:r>
          </w:p>
          <w:p w14:paraId="5FBC1622">
            <w:pPr>
              <w:adjustRightInd/>
              <w:spacing w:line="240" w:lineRule="auto"/>
              <w:rPr>
                <w:rFonts w:hint="eastAsia" w:ascii="Times New Roman" w:hAnsi="Times New Roman" w:eastAsia="宋体"/>
                <w:b/>
                <w:color w:val="000000"/>
                <w:sz w:val="18"/>
                <w:szCs w:val="18"/>
                <w:lang w:eastAsia="zh-CN"/>
              </w:rPr>
            </w:pPr>
            <w:r>
              <w:rPr>
                <w:rFonts w:hint="eastAsia" w:ascii="Times New Roman" w:hAnsi="Times New Roman"/>
                <w:color w:val="000000"/>
                <w:sz w:val="18"/>
                <w:szCs w:val="18"/>
              </w:rPr>
              <w:t>行间距为</w:t>
            </w:r>
            <w:r>
              <w:rPr>
                <w:rFonts w:ascii="Times New Roman" w:hAnsi="Times New Roman"/>
                <w:color w:val="000000"/>
                <w:sz w:val="18"/>
                <w:szCs w:val="18"/>
              </w:rPr>
              <w:t>1.5</w:t>
            </w:r>
            <w:r>
              <w:rPr>
                <w:rFonts w:hint="eastAsia" w:ascii="Times New Roman" w:hAnsi="Times New Roman"/>
                <w:color w:val="000000"/>
                <w:sz w:val="18"/>
                <w:szCs w:val="18"/>
              </w:rPr>
              <w:t>倍行距</w:t>
            </w:r>
            <w:r>
              <w:rPr>
                <w:rFonts w:hint="eastAsia" w:ascii="Times New Roman" w:hAnsi="Times New Roman"/>
                <w:color w:val="000000"/>
                <w:sz w:val="18"/>
                <w:szCs w:val="18"/>
                <w:lang w:eastAsia="zh-CN"/>
              </w:rPr>
              <w:t>。</w:t>
            </w:r>
          </w:p>
        </w:tc>
      </w:tr>
      <w:tr w14:paraId="1A934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35" w:type="pct"/>
            <w:vAlign w:val="center"/>
          </w:tcPr>
          <w:p w14:paraId="6E012796">
            <w:pPr>
              <w:adjustRightInd/>
              <w:spacing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4" w:type="pct"/>
            <w:vAlign w:val="center"/>
          </w:tcPr>
          <w:p w14:paraId="640CBFDA">
            <w:pPr>
              <w:adjustRightInd/>
              <w:spacing w:line="240" w:lineRule="auto"/>
              <w:jc w:val="center"/>
              <w:rPr>
                <w:rFonts w:ascii="Times New Roman" w:hAnsi="Times New Roman"/>
                <w:color w:val="000000"/>
                <w:sz w:val="18"/>
                <w:szCs w:val="18"/>
              </w:rPr>
            </w:pPr>
            <w:r>
              <w:rPr>
                <w:rFonts w:hint="eastAsia" w:ascii="Times New Roman" w:hAnsi="Times New Roman"/>
                <w:color w:val="000000"/>
                <w:sz w:val="18"/>
                <w:szCs w:val="18"/>
              </w:rPr>
              <w:t>目录</w:t>
            </w:r>
          </w:p>
        </w:tc>
        <w:tc>
          <w:tcPr>
            <w:tcW w:w="3341" w:type="pct"/>
            <w:noWrap/>
          </w:tcPr>
          <w:p w14:paraId="1E666D1C">
            <w:pPr>
              <w:adjustRightInd/>
              <w:spacing w:line="240" w:lineRule="auto"/>
              <w:rPr>
                <w:rFonts w:ascii="Times New Roman" w:hAnsi="Times New Roman"/>
                <w:color w:val="000000"/>
                <w:sz w:val="18"/>
                <w:szCs w:val="18"/>
              </w:rPr>
            </w:pPr>
            <w:r>
              <w:rPr>
                <w:rFonts w:hint="eastAsia" w:ascii="Times New Roman" w:hAnsi="Times New Roman"/>
                <w:color w:val="000000"/>
                <w:sz w:val="18"/>
                <w:szCs w:val="18"/>
              </w:rPr>
              <w:t>目录标题居中；</w:t>
            </w:r>
          </w:p>
          <w:p w14:paraId="07B2E9A2">
            <w:pPr>
              <w:tabs>
                <w:tab w:val="right" w:leader="dot" w:pos="8494"/>
              </w:tabs>
              <w:adjustRightInd/>
              <w:spacing w:beforeLines="25" w:afterLines="25" w:line="240" w:lineRule="auto"/>
              <w:jc w:val="left"/>
              <w:rPr>
                <w:rFonts w:ascii="Times New Roman" w:hAnsi="Times New Roman"/>
                <w:color w:val="000000"/>
                <w:sz w:val="18"/>
                <w:szCs w:val="18"/>
              </w:rPr>
            </w:pPr>
            <w:r>
              <w:rPr>
                <w:rFonts w:ascii="Times New Roman" w:hAnsi="Times New Roman"/>
                <w:color w:val="000000"/>
                <w:sz w:val="18"/>
                <w:szCs w:val="18"/>
              </w:rPr>
              <w:t xml:space="preserve">1 </w:t>
            </w:r>
            <w:r>
              <w:rPr>
                <w:rFonts w:hint="eastAsia" w:ascii="Times New Roman" w:hAnsi="Times New Roman"/>
                <w:color w:val="000000"/>
                <w:sz w:val="18"/>
                <w:szCs w:val="18"/>
              </w:rPr>
              <w:t>章名（顶格）</w:t>
            </w:r>
            <w:r>
              <w:rPr>
                <w:rFonts w:ascii="Times New Roman" w:hAnsi="Times New Roman"/>
                <w:color w:val="000000"/>
                <w:sz w:val="18"/>
                <w:szCs w:val="18"/>
              </w:rPr>
              <w:t>................××</w:t>
            </w:r>
            <w:r>
              <w:rPr>
                <w:rFonts w:hint="eastAsia" w:ascii="Times New Roman" w:hAnsi="Times New Roman"/>
                <w:color w:val="000000"/>
                <w:sz w:val="18"/>
                <w:szCs w:val="18"/>
                <w:lang w:eastAsia="zh-CN"/>
              </w:rPr>
              <w:t>；</w:t>
            </w:r>
          </w:p>
          <w:p w14:paraId="7D659FD0">
            <w:pPr>
              <w:tabs>
                <w:tab w:val="right" w:leader="dot" w:pos="8494"/>
              </w:tabs>
              <w:adjustRightInd/>
              <w:spacing w:beforeLines="25" w:afterLines="25" w:line="240" w:lineRule="auto"/>
              <w:ind w:firstLine="360" w:firstLineChars="200"/>
              <w:jc w:val="left"/>
              <w:rPr>
                <w:rFonts w:ascii="Times New Roman" w:hAnsi="Times New Roman"/>
                <w:color w:val="000000"/>
                <w:sz w:val="18"/>
                <w:szCs w:val="18"/>
              </w:rPr>
            </w:pPr>
            <w:r>
              <w:rPr>
                <w:rFonts w:ascii="Times New Roman" w:hAnsi="Times New Roman"/>
                <w:color w:val="000000"/>
                <w:sz w:val="18"/>
                <w:szCs w:val="18"/>
              </w:rPr>
              <w:t xml:space="preserve">1.1 </w:t>
            </w:r>
            <w:r>
              <w:rPr>
                <w:rFonts w:hint="eastAsia" w:ascii="Times New Roman" w:hAnsi="Times New Roman"/>
                <w:color w:val="000000"/>
                <w:sz w:val="18"/>
                <w:szCs w:val="18"/>
              </w:rPr>
              <w:t>节名（缩进</w:t>
            </w:r>
            <w:r>
              <w:rPr>
                <w:rFonts w:ascii="Times New Roman" w:hAnsi="Times New Roman"/>
                <w:color w:val="000000"/>
                <w:sz w:val="18"/>
                <w:szCs w:val="18"/>
              </w:rPr>
              <w:t>2</w:t>
            </w:r>
            <w:r>
              <w:rPr>
                <w:rFonts w:hint="eastAsia" w:ascii="Times New Roman" w:hAnsi="Times New Roman"/>
                <w:color w:val="000000"/>
                <w:sz w:val="18"/>
                <w:szCs w:val="18"/>
              </w:rPr>
              <w:t>字符）</w:t>
            </w:r>
            <w:r>
              <w:rPr>
                <w:rFonts w:ascii="Times New Roman" w:hAnsi="Times New Roman"/>
                <w:color w:val="000000"/>
                <w:sz w:val="18"/>
                <w:szCs w:val="18"/>
              </w:rPr>
              <w:t>....××</w:t>
            </w:r>
            <w:r>
              <w:rPr>
                <w:rFonts w:hint="eastAsia" w:ascii="Times New Roman" w:hAnsi="Times New Roman"/>
                <w:color w:val="000000"/>
                <w:sz w:val="18"/>
                <w:szCs w:val="18"/>
                <w:lang w:eastAsia="zh-CN"/>
              </w:rPr>
              <w:t>；</w:t>
            </w:r>
          </w:p>
          <w:p w14:paraId="16755E04">
            <w:pPr>
              <w:adjustRightInd/>
              <w:spacing w:line="240" w:lineRule="auto"/>
              <w:ind w:firstLine="360" w:firstLineChars="200"/>
              <w:rPr>
                <w:rFonts w:ascii="Times New Roman" w:hAnsi="Times New Roman"/>
                <w:snapToGrid w:val="0"/>
                <w:color w:val="000000"/>
                <w:sz w:val="18"/>
                <w:szCs w:val="18"/>
              </w:rPr>
            </w:pPr>
            <w:r>
              <w:rPr>
                <w:rFonts w:ascii="Times New Roman" w:hAnsi="Times New Roman"/>
                <w:snapToGrid w:val="0"/>
                <w:color w:val="000000"/>
                <w:sz w:val="18"/>
                <w:szCs w:val="18"/>
              </w:rPr>
              <w:t xml:space="preserve">1.2 </w:t>
            </w:r>
            <w:r>
              <w:rPr>
                <w:rFonts w:hint="eastAsia" w:ascii="Times New Roman" w:hAnsi="Times New Roman"/>
                <w:snapToGrid w:val="0"/>
                <w:color w:val="000000"/>
                <w:sz w:val="18"/>
                <w:szCs w:val="18"/>
              </w:rPr>
              <w:t>节名</w:t>
            </w:r>
            <w:r>
              <w:rPr>
                <w:rFonts w:ascii="Times New Roman" w:hAnsi="Times New Roman"/>
                <w:color w:val="000000"/>
                <w:sz w:val="18"/>
                <w:szCs w:val="18"/>
              </w:rPr>
              <w:t>..................</w:t>
            </w:r>
            <w:r>
              <w:rPr>
                <w:rFonts w:ascii="Times New Roman" w:hAnsi="Times New Roman"/>
                <w:snapToGrid w:val="0"/>
                <w:color w:val="000000"/>
                <w:sz w:val="18"/>
                <w:szCs w:val="18"/>
              </w:rPr>
              <w:t>××</w:t>
            </w:r>
            <w:r>
              <w:rPr>
                <w:rFonts w:hint="eastAsia" w:ascii="Times New Roman" w:hAnsi="Times New Roman"/>
                <w:color w:val="000000"/>
                <w:sz w:val="18"/>
                <w:szCs w:val="18"/>
                <w:lang w:eastAsia="zh-CN"/>
              </w:rPr>
              <w:t>；</w:t>
            </w:r>
          </w:p>
          <w:p w14:paraId="054B772B">
            <w:pPr>
              <w:adjustRightInd/>
              <w:spacing w:line="240" w:lineRule="auto"/>
              <w:rPr>
                <w:rFonts w:hint="eastAsia" w:ascii="Times New Roman" w:hAnsi="Times New Roman" w:eastAsia="宋体"/>
                <w:color w:val="000000"/>
                <w:sz w:val="18"/>
                <w:szCs w:val="18"/>
                <w:lang w:eastAsia="zh-CN"/>
              </w:rPr>
            </w:pPr>
            <w:r>
              <w:rPr>
                <w:rFonts w:hint="eastAsia" w:ascii="Times New Roman" w:hAnsi="Times New Roman"/>
                <w:color w:val="000000"/>
                <w:sz w:val="18"/>
                <w:szCs w:val="18"/>
              </w:rPr>
              <w:t>行间距为</w:t>
            </w:r>
            <w:r>
              <w:rPr>
                <w:rFonts w:ascii="Times New Roman" w:hAnsi="Times New Roman"/>
                <w:color w:val="000000"/>
                <w:sz w:val="18"/>
                <w:szCs w:val="18"/>
              </w:rPr>
              <w:t>1.5</w:t>
            </w:r>
            <w:r>
              <w:rPr>
                <w:rFonts w:hint="eastAsia" w:ascii="Times New Roman" w:hAnsi="Times New Roman"/>
                <w:color w:val="000000"/>
                <w:sz w:val="18"/>
                <w:szCs w:val="18"/>
              </w:rPr>
              <w:t>倍行距</w:t>
            </w:r>
            <w:r>
              <w:rPr>
                <w:rFonts w:hint="eastAsia" w:ascii="Times New Roman" w:hAnsi="Times New Roman"/>
                <w:color w:val="000000"/>
                <w:sz w:val="18"/>
                <w:szCs w:val="18"/>
                <w:lang w:eastAsia="zh-CN"/>
              </w:rPr>
              <w:t>。</w:t>
            </w:r>
          </w:p>
        </w:tc>
      </w:tr>
      <w:tr w14:paraId="67BF7A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35" w:type="pct"/>
            <w:vMerge w:val="restart"/>
            <w:vAlign w:val="center"/>
          </w:tcPr>
          <w:p w14:paraId="57A8F8F6">
            <w:pPr>
              <w:adjustRightInd/>
              <w:spacing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4" w:type="pct"/>
            <w:vMerge w:val="restart"/>
            <w:vAlign w:val="center"/>
          </w:tcPr>
          <w:p w14:paraId="316A14F7">
            <w:pPr>
              <w:adjustRightInd/>
              <w:spacing w:line="240" w:lineRule="auto"/>
              <w:jc w:val="center"/>
              <w:rPr>
                <w:rFonts w:ascii="Times New Roman" w:hAnsi="Times New Roman"/>
                <w:color w:val="000000"/>
                <w:sz w:val="18"/>
                <w:szCs w:val="18"/>
              </w:rPr>
            </w:pPr>
            <w:r>
              <w:rPr>
                <w:rFonts w:hint="eastAsia" w:ascii="Times New Roman" w:hAnsi="Times New Roman"/>
                <w:color w:val="000000"/>
                <w:sz w:val="18"/>
                <w:szCs w:val="18"/>
              </w:rPr>
              <w:t>正文</w:t>
            </w:r>
          </w:p>
        </w:tc>
        <w:tc>
          <w:tcPr>
            <w:tcW w:w="3341" w:type="pct"/>
            <w:noWrap/>
            <w:vAlign w:val="center"/>
          </w:tcPr>
          <w:p w14:paraId="700494A8">
            <w:pPr>
              <w:adjustRightInd/>
              <w:spacing w:line="240" w:lineRule="auto"/>
              <w:rPr>
                <w:rFonts w:hint="eastAsia" w:ascii="Times New Roman" w:hAnsi="Times New Roman" w:eastAsia="宋体"/>
                <w:color w:val="000000"/>
                <w:sz w:val="18"/>
                <w:szCs w:val="18"/>
                <w:lang w:eastAsia="zh-CN"/>
              </w:rPr>
            </w:pPr>
            <w:r>
              <w:rPr>
                <w:rFonts w:ascii="Times New Roman" w:hAnsi="Times New Roman"/>
                <w:color w:val="000000"/>
                <w:sz w:val="18"/>
                <w:szCs w:val="18"/>
              </w:rPr>
              <w:t xml:space="preserve">1 </w:t>
            </w:r>
            <w:r>
              <w:rPr>
                <w:rFonts w:hint="eastAsia" w:ascii="Times New Roman" w:hAnsi="Times New Roman"/>
                <w:color w:val="000000"/>
                <w:sz w:val="18"/>
                <w:szCs w:val="18"/>
              </w:rPr>
              <w:t>章名标题居中，遇章分页</w:t>
            </w:r>
            <w:r>
              <w:rPr>
                <w:rFonts w:hint="eastAsia" w:ascii="Times New Roman" w:hAnsi="Times New Roman"/>
                <w:color w:val="000000"/>
                <w:sz w:val="18"/>
                <w:szCs w:val="18"/>
                <w:lang w:eastAsia="zh-CN"/>
              </w:rPr>
              <w:t>。</w:t>
            </w:r>
          </w:p>
        </w:tc>
      </w:tr>
      <w:tr w14:paraId="4E0AF1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35" w:type="pct"/>
            <w:vMerge w:val="continue"/>
            <w:vAlign w:val="center"/>
          </w:tcPr>
          <w:p w14:paraId="366DE289">
            <w:pPr>
              <w:adjustRightInd/>
              <w:spacing w:line="240" w:lineRule="auto"/>
              <w:jc w:val="center"/>
              <w:rPr>
                <w:rFonts w:ascii="Times New Roman" w:hAnsi="Times New Roman"/>
                <w:color w:val="000000"/>
                <w:sz w:val="18"/>
                <w:szCs w:val="18"/>
              </w:rPr>
            </w:pPr>
          </w:p>
        </w:tc>
        <w:tc>
          <w:tcPr>
            <w:tcW w:w="1024" w:type="pct"/>
            <w:vMerge w:val="continue"/>
            <w:vAlign w:val="center"/>
          </w:tcPr>
          <w:p w14:paraId="2725043F">
            <w:pPr>
              <w:adjustRightInd/>
              <w:spacing w:line="240" w:lineRule="auto"/>
              <w:jc w:val="center"/>
              <w:rPr>
                <w:rFonts w:ascii="Times New Roman" w:hAnsi="Times New Roman"/>
                <w:color w:val="000000"/>
                <w:sz w:val="18"/>
                <w:szCs w:val="18"/>
              </w:rPr>
            </w:pPr>
          </w:p>
        </w:tc>
        <w:tc>
          <w:tcPr>
            <w:tcW w:w="3341" w:type="pct"/>
            <w:noWrap/>
            <w:vAlign w:val="center"/>
          </w:tcPr>
          <w:p w14:paraId="54A386E9">
            <w:pPr>
              <w:adjustRightInd/>
              <w:spacing w:line="240" w:lineRule="auto"/>
              <w:rPr>
                <w:rFonts w:hint="eastAsia" w:ascii="Times New Roman" w:hAnsi="Times New Roman" w:eastAsia="宋体"/>
                <w:color w:val="000000"/>
                <w:sz w:val="18"/>
                <w:szCs w:val="18"/>
                <w:lang w:eastAsia="zh-CN"/>
              </w:rPr>
            </w:pPr>
            <w:r>
              <w:rPr>
                <w:rFonts w:ascii="Times New Roman" w:hAnsi="Times New Roman"/>
                <w:color w:val="000000"/>
                <w:sz w:val="18"/>
                <w:szCs w:val="18"/>
              </w:rPr>
              <w:t xml:space="preserve">1.1 </w:t>
            </w:r>
            <w:r>
              <w:rPr>
                <w:rFonts w:hint="eastAsia" w:ascii="Times New Roman" w:hAnsi="Times New Roman"/>
                <w:color w:val="000000"/>
                <w:sz w:val="18"/>
                <w:szCs w:val="18"/>
              </w:rPr>
              <w:t>节名标题顶格</w:t>
            </w:r>
            <w:r>
              <w:rPr>
                <w:rFonts w:hint="eastAsia" w:ascii="Times New Roman" w:hAnsi="Times New Roman"/>
                <w:color w:val="000000"/>
                <w:sz w:val="18"/>
                <w:szCs w:val="18"/>
                <w:lang w:eastAsia="zh-CN"/>
              </w:rPr>
              <w:t>。</w:t>
            </w:r>
          </w:p>
        </w:tc>
      </w:tr>
      <w:tr w14:paraId="0F3466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635" w:type="pct"/>
            <w:vMerge w:val="continue"/>
            <w:vAlign w:val="center"/>
          </w:tcPr>
          <w:p w14:paraId="072BA7DF">
            <w:pPr>
              <w:adjustRightInd/>
              <w:spacing w:line="240" w:lineRule="auto"/>
              <w:jc w:val="center"/>
              <w:rPr>
                <w:rFonts w:ascii="Times New Roman" w:hAnsi="Times New Roman"/>
                <w:color w:val="000000"/>
                <w:sz w:val="18"/>
                <w:szCs w:val="18"/>
              </w:rPr>
            </w:pPr>
          </w:p>
        </w:tc>
        <w:tc>
          <w:tcPr>
            <w:tcW w:w="1024" w:type="pct"/>
            <w:vMerge w:val="continue"/>
            <w:vAlign w:val="center"/>
          </w:tcPr>
          <w:p w14:paraId="4038A909">
            <w:pPr>
              <w:adjustRightInd/>
              <w:spacing w:line="240" w:lineRule="auto"/>
              <w:jc w:val="center"/>
              <w:rPr>
                <w:rFonts w:ascii="Times New Roman" w:hAnsi="Times New Roman"/>
                <w:color w:val="000000"/>
                <w:sz w:val="18"/>
                <w:szCs w:val="18"/>
              </w:rPr>
            </w:pPr>
          </w:p>
        </w:tc>
        <w:tc>
          <w:tcPr>
            <w:tcW w:w="3341" w:type="pct"/>
            <w:noWrap/>
            <w:vAlign w:val="center"/>
          </w:tcPr>
          <w:p w14:paraId="6C78E73F">
            <w:pPr>
              <w:adjustRightInd/>
              <w:spacing w:line="240" w:lineRule="auto"/>
              <w:rPr>
                <w:rFonts w:hint="eastAsia" w:ascii="Times New Roman" w:hAnsi="Times New Roman" w:eastAsia="宋体"/>
                <w:color w:val="000000"/>
                <w:sz w:val="18"/>
                <w:szCs w:val="18"/>
                <w:lang w:eastAsia="zh-CN"/>
              </w:rPr>
            </w:pPr>
            <w:r>
              <w:rPr>
                <w:rFonts w:ascii="Times New Roman" w:hAnsi="Times New Roman"/>
                <w:color w:val="000000"/>
                <w:sz w:val="18"/>
                <w:szCs w:val="18"/>
              </w:rPr>
              <w:t>1.1.1</w:t>
            </w:r>
            <w:r>
              <w:rPr>
                <w:rFonts w:hint="eastAsia" w:ascii="Times New Roman" w:hAnsi="Times New Roman"/>
                <w:color w:val="000000"/>
                <w:sz w:val="18"/>
                <w:szCs w:val="18"/>
              </w:rPr>
              <w:t>条名标题顶格</w:t>
            </w:r>
            <w:r>
              <w:rPr>
                <w:rFonts w:hint="eastAsia" w:ascii="Times New Roman" w:hAnsi="Times New Roman"/>
                <w:color w:val="000000"/>
                <w:sz w:val="18"/>
                <w:szCs w:val="18"/>
                <w:lang w:eastAsia="zh-CN"/>
              </w:rPr>
              <w:t>。</w:t>
            </w:r>
          </w:p>
        </w:tc>
      </w:tr>
      <w:tr w14:paraId="6816F8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35" w:type="pct"/>
            <w:vMerge w:val="continue"/>
            <w:vAlign w:val="center"/>
          </w:tcPr>
          <w:p w14:paraId="6C977D4A">
            <w:pPr>
              <w:adjustRightInd/>
              <w:spacing w:line="240" w:lineRule="auto"/>
              <w:jc w:val="center"/>
              <w:rPr>
                <w:rFonts w:ascii="Times New Roman" w:hAnsi="Times New Roman"/>
                <w:color w:val="000000"/>
                <w:sz w:val="18"/>
                <w:szCs w:val="18"/>
              </w:rPr>
            </w:pPr>
          </w:p>
        </w:tc>
        <w:tc>
          <w:tcPr>
            <w:tcW w:w="1024" w:type="pct"/>
            <w:vMerge w:val="continue"/>
            <w:vAlign w:val="center"/>
          </w:tcPr>
          <w:p w14:paraId="53911BE4">
            <w:pPr>
              <w:adjustRightInd/>
              <w:spacing w:line="240" w:lineRule="auto"/>
              <w:jc w:val="center"/>
              <w:rPr>
                <w:rFonts w:ascii="Times New Roman" w:hAnsi="Times New Roman"/>
                <w:color w:val="000000"/>
                <w:sz w:val="18"/>
                <w:szCs w:val="18"/>
              </w:rPr>
            </w:pPr>
          </w:p>
        </w:tc>
        <w:tc>
          <w:tcPr>
            <w:tcW w:w="3341" w:type="pct"/>
            <w:noWrap/>
            <w:vAlign w:val="center"/>
          </w:tcPr>
          <w:p w14:paraId="1A882047">
            <w:pPr>
              <w:adjustRightInd/>
              <w:spacing w:line="240" w:lineRule="auto"/>
              <w:rPr>
                <w:rFonts w:hint="eastAsia" w:ascii="Times New Roman" w:hAnsi="Times New Roman" w:eastAsia="宋体"/>
                <w:color w:val="000000"/>
                <w:sz w:val="18"/>
                <w:szCs w:val="18"/>
                <w:lang w:eastAsia="zh-CN"/>
              </w:rPr>
            </w:pPr>
            <w:r>
              <w:rPr>
                <w:rFonts w:ascii="Times New Roman" w:hAnsi="Times New Roman"/>
                <w:color w:val="000000"/>
                <w:sz w:val="18"/>
                <w:szCs w:val="18"/>
              </w:rPr>
              <w:t xml:space="preserve">1.1.1.1 </w:t>
            </w:r>
            <w:r>
              <w:rPr>
                <w:rFonts w:hint="eastAsia" w:ascii="Times New Roman" w:hAnsi="Times New Roman"/>
                <w:color w:val="000000"/>
                <w:sz w:val="18"/>
                <w:szCs w:val="18"/>
              </w:rPr>
              <w:t>条名标题顶格</w:t>
            </w:r>
            <w:r>
              <w:rPr>
                <w:rFonts w:hint="eastAsia" w:ascii="Times New Roman" w:hAnsi="Times New Roman"/>
                <w:color w:val="000000"/>
                <w:sz w:val="18"/>
                <w:szCs w:val="18"/>
                <w:lang w:eastAsia="zh-CN"/>
              </w:rPr>
              <w:t>。</w:t>
            </w:r>
          </w:p>
        </w:tc>
      </w:tr>
      <w:tr w14:paraId="47B20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35" w:type="pct"/>
            <w:vMerge w:val="continue"/>
            <w:vAlign w:val="center"/>
          </w:tcPr>
          <w:p w14:paraId="7C8F37F4">
            <w:pPr>
              <w:adjustRightInd/>
              <w:spacing w:line="240" w:lineRule="auto"/>
              <w:jc w:val="center"/>
              <w:rPr>
                <w:rFonts w:ascii="Times New Roman" w:hAnsi="Times New Roman"/>
                <w:color w:val="000000"/>
                <w:sz w:val="18"/>
                <w:szCs w:val="18"/>
              </w:rPr>
            </w:pPr>
          </w:p>
        </w:tc>
        <w:tc>
          <w:tcPr>
            <w:tcW w:w="1024" w:type="pct"/>
            <w:vMerge w:val="continue"/>
            <w:vAlign w:val="center"/>
          </w:tcPr>
          <w:p w14:paraId="18A4A688">
            <w:pPr>
              <w:adjustRightInd/>
              <w:spacing w:line="240" w:lineRule="auto"/>
              <w:jc w:val="center"/>
              <w:rPr>
                <w:rFonts w:ascii="Times New Roman" w:hAnsi="Times New Roman"/>
                <w:color w:val="000000"/>
                <w:sz w:val="18"/>
                <w:szCs w:val="18"/>
              </w:rPr>
            </w:pPr>
          </w:p>
        </w:tc>
        <w:tc>
          <w:tcPr>
            <w:tcW w:w="3341" w:type="pct"/>
            <w:noWrap/>
            <w:vAlign w:val="center"/>
          </w:tcPr>
          <w:p w14:paraId="580F3593">
            <w:pPr>
              <w:adjustRightInd/>
              <w:spacing w:line="240" w:lineRule="auto"/>
              <w:ind w:left="-2" w:leftChars="-1"/>
              <w:jc w:val="left"/>
              <w:rPr>
                <w:rFonts w:ascii="Times New Roman" w:hAnsi="Times New Roman"/>
                <w:snapToGrid w:val="0"/>
                <w:color w:val="000000"/>
                <w:sz w:val="18"/>
                <w:szCs w:val="18"/>
              </w:rPr>
            </w:pPr>
            <w:r>
              <w:rPr>
                <w:rFonts w:hint="eastAsia" w:ascii="Times New Roman" w:hAnsi="Times New Roman"/>
                <w:snapToGrid w:val="0"/>
                <w:color w:val="000000"/>
                <w:sz w:val="18"/>
                <w:szCs w:val="18"/>
              </w:rPr>
              <w:t>每段文字首行缩进</w:t>
            </w:r>
            <w:r>
              <w:rPr>
                <w:rFonts w:ascii="Times New Roman" w:hAnsi="Times New Roman"/>
                <w:snapToGrid w:val="0"/>
                <w:color w:val="000000"/>
                <w:sz w:val="18"/>
                <w:szCs w:val="18"/>
              </w:rPr>
              <w:t>2</w:t>
            </w:r>
            <w:r>
              <w:rPr>
                <w:rFonts w:hint="eastAsia" w:ascii="Times New Roman" w:hAnsi="Times New Roman"/>
                <w:snapToGrid w:val="0"/>
                <w:color w:val="000000"/>
                <w:sz w:val="18"/>
                <w:szCs w:val="18"/>
              </w:rPr>
              <w:t>字符，回行时顶格；</w:t>
            </w:r>
          </w:p>
          <w:p w14:paraId="017E998C">
            <w:pPr>
              <w:adjustRightInd/>
              <w:spacing w:line="240" w:lineRule="auto"/>
              <w:ind w:left="-2" w:leftChars="-1"/>
              <w:jc w:val="left"/>
              <w:rPr>
                <w:rFonts w:hint="eastAsia" w:ascii="Times New Roman" w:hAnsi="Times New Roman" w:eastAsia="宋体"/>
                <w:color w:val="000000"/>
                <w:sz w:val="18"/>
                <w:szCs w:val="18"/>
                <w:lang w:eastAsia="zh-CN"/>
              </w:rPr>
            </w:pPr>
            <w:r>
              <w:rPr>
                <w:rFonts w:hint="eastAsia" w:ascii="Times New Roman" w:hAnsi="Times New Roman"/>
                <w:snapToGrid w:val="0"/>
                <w:color w:val="000000"/>
                <w:sz w:val="18"/>
                <w:szCs w:val="18"/>
              </w:rPr>
              <w:t>行间距为</w:t>
            </w:r>
            <w:r>
              <w:rPr>
                <w:rFonts w:ascii="Times New Roman" w:hAnsi="Times New Roman"/>
                <w:color w:val="000000"/>
                <w:sz w:val="18"/>
                <w:szCs w:val="18"/>
              </w:rPr>
              <w:t>1.5</w:t>
            </w:r>
            <w:r>
              <w:rPr>
                <w:rFonts w:hint="eastAsia" w:ascii="Times New Roman" w:hAnsi="Times New Roman"/>
                <w:color w:val="000000"/>
                <w:sz w:val="18"/>
                <w:szCs w:val="18"/>
              </w:rPr>
              <w:t>倍行距</w:t>
            </w:r>
            <w:r>
              <w:rPr>
                <w:rFonts w:hint="eastAsia" w:ascii="Times New Roman" w:hAnsi="Times New Roman"/>
                <w:color w:val="000000"/>
                <w:sz w:val="18"/>
                <w:szCs w:val="18"/>
                <w:lang w:eastAsia="zh-CN"/>
              </w:rPr>
              <w:t>。</w:t>
            </w:r>
          </w:p>
        </w:tc>
      </w:tr>
      <w:tr w14:paraId="344924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35" w:type="pct"/>
            <w:vMerge w:val="continue"/>
            <w:vAlign w:val="center"/>
          </w:tcPr>
          <w:p w14:paraId="2C3593AB">
            <w:pPr>
              <w:adjustRightInd/>
              <w:spacing w:line="240" w:lineRule="auto"/>
              <w:jc w:val="center"/>
              <w:rPr>
                <w:rFonts w:ascii="Times New Roman" w:hAnsi="Times New Roman"/>
                <w:color w:val="000000"/>
                <w:sz w:val="18"/>
                <w:szCs w:val="18"/>
              </w:rPr>
            </w:pPr>
          </w:p>
        </w:tc>
        <w:tc>
          <w:tcPr>
            <w:tcW w:w="1024" w:type="pct"/>
            <w:vMerge w:val="continue"/>
            <w:vAlign w:val="center"/>
          </w:tcPr>
          <w:p w14:paraId="1223E933">
            <w:pPr>
              <w:adjustRightInd/>
              <w:spacing w:line="240" w:lineRule="auto"/>
              <w:jc w:val="center"/>
              <w:rPr>
                <w:rFonts w:ascii="Times New Roman" w:hAnsi="Times New Roman"/>
                <w:color w:val="000000"/>
                <w:sz w:val="18"/>
                <w:szCs w:val="18"/>
              </w:rPr>
            </w:pPr>
          </w:p>
        </w:tc>
        <w:tc>
          <w:tcPr>
            <w:tcW w:w="3341" w:type="pct"/>
            <w:noWrap/>
            <w:vAlign w:val="center"/>
          </w:tcPr>
          <w:p w14:paraId="0AE60AA2">
            <w:pPr>
              <w:adjustRightInd/>
              <w:spacing w:line="240" w:lineRule="auto"/>
              <w:rPr>
                <w:rFonts w:hint="eastAsia" w:ascii="Times New Roman" w:hAnsi="Times New Roman" w:eastAsia="宋体"/>
                <w:color w:val="000000"/>
                <w:sz w:val="18"/>
                <w:szCs w:val="18"/>
                <w:lang w:eastAsia="zh-CN"/>
              </w:rPr>
            </w:pPr>
            <w:r>
              <w:rPr>
                <w:rFonts w:hint="eastAsia" w:ascii="Times New Roman" w:hAnsi="Times New Roman"/>
                <w:color w:val="000000"/>
                <w:sz w:val="18"/>
                <w:szCs w:val="18"/>
              </w:rPr>
              <w:t>表名</w:t>
            </w:r>
            <w:r>
              <w:rPr>
                <w:rFonts w:hint="eastAsia" w:ascii="Times New Roman" w:hAnsi="Times New Roman"/>
                <w:snapToGrid w:val="0"/>
                <w:color w:val="000000"/>
                <w:sz w:val="18"/>
                <w:szCs w:val="18"/>
              </w:rPr>
              <w:t>位于表的上方，居中；图名位于图的下方，居中</w:t>
            </w:r>
            <w:r>
              <w:rPr>
                <w:rFonts w:hint="eastAsia" w:ascii="Times New Roman" w:hAnsi="Times New Roman"/>
                <w:snapToGrid w:val="0"/>
                <w:color w:val="000000"/>
                <w:sz w:val="18"/>
                <w:szCs w:val="18"/>
                <w:lang w:eastAsia="zh-CN"/>
              </w:rPr>
              <w:t>。</w:t>
            </w:r>
          </w:p>
        </w:tc>
      </w:tr>
      <w:tr w14:paraId="65083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35" w:type="pct"/>
            <w:vAlign w:val="center"/>
          </w:tcPr>
          <w:p w14:paraId="5D9D1EE6">
            <w:pPr>
              <w:adjustRightInd/>
              <w:spacing w:line="240" w:lineRule="auto"/>
              <w:jc w:val="center"/>
              <w:rPr>
                <w:rFonts w:ascii="Times New Roman" w:hAnsi="Times New Roman"/>
                <w:color w:val="000000"/>
                <w:sz w:val="18"/>
                <w:szCs w:val="18"/>
              </w:rPr>
            </w:pPr>
            <w:r>
              <w:rPr>
                <w:rFonts w:ascii="Times New Roman" w:hAnsi="Times New Roman"/>
                <w:color w:val="000000"/>
                <w:sz w:val="18"/>
                <w:szCs w:val="18"/>
              </w:rPr>
              <w:t>4</w:t>
            </w:r>
          </w:p>
        </w:tc>
        <w:tc>
          <w:tcPr>
            <w:tcW w:w="1024" w:type="pct"/>
            <w:vAlign w:val="center"/>
          </w:tcPr>
          <w:p w14:paraId="3AA5FACF">
            <w:pPr>
              <w:adjustRightInd/>
              <w:spacing w:line="240" w:lineRule="auto"/>
              <w:jc w:val="center"/>
              <w:rPr>
                <w:rFonts w:ascii="Times New Roman" w:hAnsi="Times New Roman"/>
                <w:color w:val="000000"/>
                <w:sz w:val="18"/>
                <w:szCs w:val="18"/>
              </w:rPr>
            </w:pPr>
            <w:r>
              <w:rPr>
                <w:rFonts w:hint="eastAsia" w:ascii="Times New Roman" w:hAnsi="Times New Roman"/>
                <w:color w:val="000000"/>
                <w:sz w:val="18"/>
                <w:szCs w:val="18"/>
              </w:rPr>
              <w:t>附件、附图</w:t>
            </w:r>
          </w:p>
        </w:tc>
        <w:tc>
          <w:tcPr>
            <w:tcW w:w="3341" w:type="pct"/>
            <w:noWrap/>
            <w:vAlign w:val="center"/>
          </w:tcPr>
          <w:p w14:paraId="110897C1">
            <w:pPr>
              <w:adjustRightInd/>
              <w:spacing w:line="240" w:lineRule="auto"/>
              <w:rPr>
                <w:rFonts w:hint="eastAsia" w:ascii="Times New Roman" w:hAnsi="Times New Roman" w:eastAsia="宋体"/>
                <w:color w:val="000000"/>
                <w:sz w:val="18"/>
                <w:szCs w:val="18"/>
                <w:lang w:eastAsia="zh-CN"/>
              </w:rPr>
            </w:pPr>
            <w:r>
              <w:rPr>
                <w:rFonts w:hint="eastAsia" w:ascii="Times New Roman" w:hAnsi="Times New Roman"/>
                <w:color w:val="000000"/>
                <w:sz w:val="18"/>
                <w:szCs w:val="18"/>
              </w:rPr>
              <w:t>附件、附图的标题居中</w:t>
            </w:r>
            <w:r>
              <w:rPr>
                <w:rFonts w:hint="eastAsia" w:ascii="Times New Roman" w:hAnsi="Times New Roman"/>
                <w:color w:val="000000"/>
                <w:sz w:val="18"/>
                <w:szCs w:val="18"/>
                <w:lang w:eastAsia="zh-CN"/>
              </w:rPr>
              <w:t>。</w:t>
            </w:r>
          </w:p>
        </w:tc>
      </w:tr>
    </w:tbl>
    <w:p w14:paraId="47A33AF2">
      <w:pPr>
        <w:pStyle w:val="81"/>
        <w:spacing w:before="120" w:after="120"/>
      </w:pPr>
      <w:bookmarkStart w:id="277" w:name="_Toc22492"/>
      <w:bookmarkStart w:id="278" w:name="_Toc174118011"/>
      <w:bookmarkStart w:id="279" w:name="_Toc16200"/>
      <w:bookmarkStart w:id="280" w:name="_Toc193042509"/>
      <w:bookmarkStart w:id="281" w:name="_Toc5467"/>
      <w:bookmarkStart w:id="282" w:name="_Toc151"/>
      <w:bookmarkStart w:id="283" w:name="_Toc18534"/>
      <w:bookmarkStart w:id="284" w:name="_Toc26602"/>
      <w:bookmarkStart w:id="285" w:name="_Toc29655"/>
      <w:r>
        <w:rPr>
          <w:rFonts w:hint="eastAsia"/>
        </w:rPr>
        <w:t>封装</w:t>
      </w:r>
      <w:bookmarkEnd w:id="277"/>
      <w:bookmarkEnd w:id="278"/>
      <w:bookmarkEnd w:id="279"/>
      <w:bookmarkEnd w:id="280"/>
      <w:bookmarkEnd w:id="281"/>
      <w:bookmarkEnd w:id="282"/>
      <w:bookmarkEnd w:id="283"/>
      <w:bookmarkEnd w:id="284"/>
      <w:bookmarkEnd w:id="285"/>
    </w:p>
    <w:p w14:paraId="174956D8">
      <w:pPr>
        <w:adjustRightInd/>
        <w:spacing w:line="360" w:lineRule="exact"/>
        <w:ind w:firstLine="420" w:firstLineChars="200"/>
        <w:rPr>
          <w:rFonts w:ascii="宋体" w:hAnsi="宋体" w:cs="宋体"/>
          <w:color w:val="000000"/>
        </w:rPr>
      </w:pPr>
      <w:r>
        <w:rPr>
          <w:rFonts w:hint="eastAsia" w:ascii="宋体" w:hAnsi="宋体" w:cs="宋体"/>
          <w:color w:val="000000"/>
          <w:highlight w:val="none"/>
        </w:rPr>
        <w:t>报告左侧装订，</w:t>
      </w:r>
      <w:r>
        <w:rPr>
          <w:rFonts w:hint="eastAsia" w:ascii="宋体" w:hAnsi="宋体" w:cs="宋体"/>
          <w:color w:val="000000"/>
        </w:rPr>
        <w:t>应在报告以下位置加盖公章或签字：</w:t>
      </w:r>
    </w:p>
    <w:p w14:paraId="3B8AC47E">
      <w:pPr>
        <w:adjustRightInd/>
        <w:spacing w:line="360" w:lineRule="exact"/>
        <w:ind w:firstLine="420" w:firstLineChars="200"/>
        <w:rPr>
          <w:rFonts w:ascii="宋体" w:hAnsi="宋体" w:cs="宋体"/>
          <w:color w:val="000000"/>
        </w:rPr>
      </w:pPr>
      <w:r>
        <w:rPr>
          <w:rFonts w:hint="eastAsia" w:ascii="宋体" w:hAnsi="宋体" w:cs="宋体"/>
          <w:color w:val="000000"/>
        </w:rPr>
        <w:t>a</w:t>
      </w:r>
      <w:r>
        <w:rPr>
          <w:rFonts w:hint="eastAsia" w:ascii="宋体" w:hAnsi="宋体" w:cs="宋体"/>
          <w:color w:val="000000"/>
          <w:lang w:val="zh-CN"/>
        </w:rPr>
        <w:t xml:space="preserve">） </w:t>
      </w:r>
      <w:r>
        <w:rPr>
          <w:rFonts w:hint="eastAsia" w:ascii="Times New Roman" w:hAnsi="Times New Roman"/>
          <w:color w:val="000000"/>
          <w:szCs w:val="24"/>
        </w:rPr>
        <w:t>著录项首页</w:t>
      </w:r>
      <w:r>
        <w:rPr>
          <w:rFonts w:hint="eastAsia" w:ascii="宋体" w:hAnsi="宋体" w:cs="宋体"/>
          <w:color w:val="000000"/>
        </w:rPr>
        <w:t>加盖安全评价机构公章；</w:t>
      </w:r>
    </w:p>
    <w:p w14:paraId="5C5940E3">
      <w:pPr>
        <w:adjustRightInd/>
        <w:spacing w:line="360" w:lineRule="exact"/>
        <w:ind w:firstLine="420" w:firstLineChars="200"/>
        <w:rPr>
          <w:rFonts w:ascii="宋体" w:hAnsi="宋体" w:cs="宋体"/>
          <w:color w:val="000000"/>
        </w:rPr>
      </w:pPr>
      <w:r>
        <w:rPr>
          <w:rFonts w:hint="eastAsia" w:ascii="宋体" w:hAnsi="宋体" w:cs="宋体"/>
          <w:color w:val="000000"/>
        </w:rPr>
        <w:t>b</w:t>
      </w:r>
      <w:r>
        <w:rPr>
          <w:rFonts w:hint="eastAsia" w:ascii="宋体" w:hAnsi="宋体" w:cs="宋体"/>
          <w:color w:val="000000"/>
          <w:lang w:val="zh-CN"/>
        </w:rPr>
        <w:t xml:space="preserve">） </w:t>
      </w:r>
      <w:r>
        <w:rPr>
          <w:rFonts w:hint="eastAsia" w:ascii="宋体" w:hAnsi="宋体" w:cs="宋体"/>
          <w:color w:val="000000"/>
        </w:rPr>
        <w:t>评价人员名单手签；</w:t>
      </w:r>
    </w:p>
    <w:p w14:paraId="155F7B57">
      <w:pPr>
        <w:adjustRightInd/>
        <w:spacing w:line="360" w:lineRule="exact"/>
        <w:ind w:firstLine="420" w:firstLineChars="200"/>
        <w:rPr>
          <w:rFonts w:ascii="宋体" w:hAnsi="宋体" w:cs="宋体"/>
          <w:color w:val="000000"/>
        </w:rPr>
      </w:pPr>
      <w:r>
        <w:rPr>
          <w:rFonts w:hint="eastAsia" w:ascii="宋体" w:hAnsi="宋体" w:cs="宋体"/>
          <w:color w:val="000000"/>
        </w:rPr>
        <w:t>c</w:t>
      </w:r>
      <w:r>
        <w:rPr>
          <w:rFonts w:hint="eastAsia" w:ascii="宋体" w:hAnsi="宋体" w:cs="宋体"/>
          <w:color w:val="000000"/>
          <w:lang w:val="zh-CN"/>
        </w:rPr>
        <w:t xml:space="preserve">） </w:t>
      </w:r>
      <w:r>
        <w:rPr>
          <w:rFonts w:hint="eastAsia" w:ascii="宋体" w:hAnsi="宋体" w:cs="宋体"/>
          <w:color w:val="000000"/>
        </w:rPr>
        <w:t>结论加盖安全评价机构公章；</w:t>
      </w:r>
    </w:p>
    <w:p w14:paraId="71B4B043">
      <w:pPr>
        <w:adjustRightInd/>
        <w:spacing w:line="360" w:lineRule="exact"/>
        <w:ind w:firstLine="420" w:firstLineChars="200"/>
        <w:rPr>
          <w:rFonts w:ascii="宋体" w:hAnsi="宋体" w:cs="宋体"/>
          <w:color w:val="000000"/>
        </w:rPr>
      </w:pPr>
      <w:r>
        <w:rPr>
          <w:rFonts w:hint="eastAsia" w:ascii="宋体" w:hAnsi="宋体" w:cs="宋体"/>
          <w:color w:val="000000"/>
        </w:rPr>
        <w:t>d</w:t>
      </w:r>
      <w:r>
        <w:rPr>
          <w:rFonts w:hint="eastAsia" w:ascii="宋体" w:hAnsi="宋体" w:cs="宋体"/>
          <w:color w:val="000000"/>
          <w:lang w:val="zh-CN"/>
        </w:rPr>
        <w:t xml:space="preserve">） </w:t>
      </w:r>
      <w:r>
        <w:rPr>
          <w:rFonts w:hint="eastAsia" w:ascii="宋体" w:hAnsi="宋体" w:cs="宋体"/>
          <w:color w:val="000000"/>
        </w:rPr>
        <w:t>报告加盖安全评价机构骑缝章。</w:t>
      </w:r>
    </w:p>
    <w:bookmarkEnd w:id="215"/>
    <w:bookmarkEnd w:id="216"/>
    <w:p w14:paraId="52F9AF56">
      <w:pPr>
        <w:pStyle w:val="59"/>
        <w:ind w:firstLine="420"/>
      </w:pPr>
    </w:p>
    <w:p w14:paraId="2BC0884D">
      <w:pPr>
        <w:pStyle w:val="59"/>
        <w:ind w:firstLine="420"/>
      </w:pPr>
    </w:p>
    <w:p w14:paraId="056A3C72">
      <w:pPr>
        <w:pStyle w:val="59"/>
        <w:ind w:firstLine="420"/>
      </w:pPr>
    </w:p>
    <w:p w14:paraId="26F34003">
      <w:pPr>
        <w:pStyle w:val="59"/>
        <w:ind w:firstLine="420"/>
      </w:pPr>
    </w:p>
    <w:bookmarkEnd w:id="204"/>
    <w:p w14:paraId="28A236FF">
      <w:pPr>
        <w:pStyle w:val="59"/>
        <w:ind w:firstLine="420"/>
        <w:sectPr>
          <w:pgSz w:w="11906" w:h="16838"/>
          <w:pgMar w:top="1928" w:right="1134" w:bottom="1134" w:left="1134" w:header="1418" w:footer="1134" w:gutter="284"/>
          <w:pgNumType w:fmt="decimal"/>
          <w:cols w:space="425" w:num="1"/>
          <w:formProt w:val="0"/>
          <w:docGrid w:linePitch="312" w:charSpace="0"/>
        </w:sectPr>
      </w:pPr>
      <w:bookmarkStart w:id="286" w:name="BookMark6"/>
    </w:p>
    <w:p w14:paraId="503B0141">
      <w:pPr>
        <w:pStyle w:val="66"/>
        <w:spacing w:after="120"/>
      </w:pPr>
      <w:bookmarkStart w:id="287" w:name="_Toc19006"/>
      <w:r>
        <w:rPr>
          <w:rFonts w:hint="eastAsia"/>
          <w:spacing w:val="105"/>
        </w:rPr>
        <w:t>参考文</w:t>
      </w:r>
      <w:r>
        <w:rPr>
          <w:rFonts w:hint="eastAsia"/>
        </w:rPr>
        <w:t>献</w:t>
      </w:r>
      <w:bookmarkEnd w:id="287"/>
    </w:p>
    <w:p w14:paraId="305A59B3">
      <w:pPr>
        <w:pStyle w:val="59"/>
        <w:ind w:firstLine="420"/>
        <w:rPr>
          <w:highlight w:val="none"/>
        </w:rPr>
      </w:pPr>
      <w:r>
        <w:rPr>
          <w:rFonts w:hint="eastAsia"/>
          <w:highlight w:val="none"/>
        </w:rPr>
        <w:t>[</w:t>
      </w:r>
      <w:r>
        <w:rPr>
          <w:highlight w:val="none"/>
        </w:rPr>
        <w:t>1</w:t>
      </w:r>
      <w:r>
        <w:rPr>
          <w:rFonts w:hint="eastAsia"/>
          <w:highlight w:val="none"/>
        </w:rPr>
        <w:t>]GB/T 13861</w:t>
      </w:r>
      <w:r>
        <w:rPr>
          <w:highlight w:val="none"/>
        </w:rPr>
        <w:t xml:space="preserve">  </w:t>
      </w:r>
      <w:r>
        <w:rPr>
          <w:rFonts w:hint="eastAsia"/>
          <w:highlight w:val="none"/>
        </w:rPr>
        <w:t>生产过程危险和有害因素分类与代码</w:t>
      </w:r>
    </w:p>
    <w:p w14:paraId="25D8CCE8">
      <w:pPr>
        <w:pStyle w:val="59"/>
        <w:ind w:firstLine="420"/>
        <w:rPr>
          <w:highlight w:val="none"/>
        </w:rPr>
      </w:pPr>
      <w:r>
        <w:rPr>
          <w:highlight w:val="none"/>
        </w:rPr>
        <w:t>[2]</w:t>
      </w:r>
      <w:r>
        <w:rPr>
          <w:rFonts w:hint="eastAsia"/>
          <w:highlight w:val="none"/>
        </w:rPr>
        <w:t xml:space="preserve">GB/T 23694 </w:t>
      </w:r>
      <w:r>
        <w:rPr>
          <w:highlight w:val="none"/>
        </w:rPr>
        <w:t xml:space="preserve"> </w:t>
      </w:r>
      <w:r>
        <w:rPr>
          <w:rFonts w:hint="eastAsia"/>
          <w:highlight w:val="none"/>
        </w:rPr>
        <w:t>风险管理 术语</w:t>
      </w:r>
    </w:p>
    <w:p w14:paraId="3AA4C980">
      <w:pPr>
        <w:pStyle w:val="59"/>
        <w:ind w:firstLine="420"/>
        <w:rPr>
          <w:highlight w:val="none"/>
        </w:rPr>
      </w:pPr>
      <w:bookmarkStart w:id="288" w:name="OLE_LINK86"/>
      <w:bookmarkStart w:id="289" w:name="OLE_LINK83"/>
      <w:bookmarkStart w:id="290" w:name="OLE_LINK84"/>
      <w:bookmarkStart w:id="291" w:name="OLE_LINK85"/>
      <w:r>
        <w:rPr>
          <w:highlight w:val="none"/>
        </w:rPr>
        <w:t>[3]</w:t>
      </w:r>
      <w:bookmarkEnd w:id="288"/>
      <w:bookmarkEnd w:id="289"/>
      <w:bookmarkEnd w:id="290"/>
      <w:bookmarkEnd w:id="291"/>
      <w:r>
        <w:rPr>
          <w:rFonts w:hint="eastAsia"/>
          <w:highlight w:val="none"/>
        </w:rPr>
        <w:t xml:space="preserve">GB 40554.1 </w:t>
      </w:r>
      <w:r>
        <w:rPr>
          <w:highlight w:val="none"/>
        </w:rPr>
        <w:t xml:space="preserve"> </w:t>
      </w:r>
      <w:r>
        <w:rPr>
          <w:rFonts w:hint="eastAsia"/>
          <w:highlight w:val="none"/>
        </w:rPr>
        <w:t>海洋石油天然气开采安全规程 第1部分：总则</w:t>
      </w:r>
    </w:p>
    <w:bookmarkEnd w:id="286"/>
    <w:p w14:paraId="6E10D22C">
      <w:pPr>
        <w:pStyle w:val="59"/>
        <w:ind w:firstLine="420"/>
        <w:rPr>
          <w:highlight w:val="none"/>
        </w:rPr>
      </w:pPr>
      <w:r>
        <w:rPr>
          <w:highlight w:val="none"/>
        </w:rPr>
        <w:t>[</w:t>
      </w:r>
      <w:r>
        <w:rPr>
          <w:rFonts w:hint="eastAsia"/>
          <w:highlight w:val="none"/>
          <w:lang w:val="en-US" w:eastAsia="zh-CN"/>
        </w:rPr>
        <w:t>4</w:t>
      </w:r>
      <w:r>
        <w:rPr>
          <w:highlight w:val="none"/>
        </w:rPr>
        <w:t>]</w:t>
      </w:r>
      <w:r>
        <w:rPr>
          <w:rFonts w:hint="eastAsia"/>
          <w:highlight w:val="none"/>
        </w:rPr>
        <w:t xml:space="preserve">GB/T 44310 </w:t>
      </w:r>
      <w:r>
        <w:rPr>
          <w:highlight w:val="none"/>
        </w:rPr>
        <w:t xml:space="preserve"> </w:t>
      </w:r>
      <w:r>
        <w:rPr>
          <w:rFonts w:hint="eastAsia"/>
          <w:highlight w:val="none"/>
        </w:rPr>
        <w:t>海上固定平台总体设计规范</w:t>
      </w:r>
    </w:p>
    <w:p w14:paraId="6BF77C75">
      <w:pPr>
        <w:pStyle w:val="59"/>
        <w:ind w:firstLine="420"/>
        <w:rPr>
          <w:highlight w:val="none"/>
        </w:rPr>
      </w:pPr>
      <w:r>
        <w:rPr>
          <w:highlight w:val="none"/>
        </w:rPr>
        <w:t>[</w:t>
      </w:r>
      <w:r>
        <w:rPr>
          <w:rFonts w:hint="eastAsia"/>
          <w:highlight w:val="none"/>
          <w:lang w:val="en-US" w:eastAsia="zh-CN"/>
        </w:rPr>
        <w:t>5</w:t>
      </w:r>
      <w:r>
        <w:rPr>
          <w:highlight w:val="none"/>
        </w:rPr>
        <w:t>]</w:t>
      </w:r>
      <w:r>
        <w:rPr>
          <w:rFonts w:hint="eastAsia"/>
          <w:highlight w:val="none"/>
        </w:rPr>
        <w:t xml:space="preserve">AQ 8001 </w:t>
      </w:r>
      <w:r>
        <w:rPr>
          <w:highlight w:val="none"/>
        </w:rPr>
        <w:t xml:space="preserve"> </w:t>
      </w:r>
      <w:r>
        <w:rPr>
          <w:rFonts w:hint="eastAsia"/>
          <w:highlight w:val="none"/>
        </w:rPr>
        <w:t>安全评价通则</w:t>
      </w:r>
    </w:p>
    <w:p w14:paraId="4666F657">
      <w:pPr>
        <w:pStyle w:val="59"/>
        <w:ind w:firstLine="420"/>
        <w:rPr>
          <w:highlight w:val="none"/>
        </w:rPr>
      </w:pPr>
      <w:r>
        <w:rPr>
          <w:highlight w:val="none"/>
        </w:rPr>
        <w:t>[</w:t>
      </w:r>
      <w:r>
        <w:rPr>
          <w:rFonts w:hint="eastAsia"/>
          <w:highlight w:val="none"/>
          <w:lang w:val="en-US" w:eastAsia="zh-CN"/>
        </w:rPr>
        <w:t>6</w:t>
      </w:r>
      <w:r>
        <w:rPr>
          <w:highlight w:val="none"/>
        </w:rPr>
        <w:t>]</w:t>
      </w:r>
      <w:r>
        <w:rPr>
          <w:rFonts w:hint="eastAsia"/>
          <w:highlight w:val="none"/>
        </w:rPr>
        <w:t xml:space="preserve">AQ 8002 </w:t>
      </w:r>
      <w:r>
        <w:rPr>
          <w:highlight w:val="none"/>
        </w:rPr>
        <w:t xml:space="preserve"> </w:t>
      </w:r>
      <w:r>
        <w:rPr>
          <w:rFonts w:hint="eastAsia"/>
          <w:highlight w:val="none"/>
        </w:rPr>
        <w:t>安全预评价导则</w:t>
      </w:r>
    </w:p>
    <w:p w14:paraId="56624FB5">
      <w:pPr>
        <w:pStyle w:val="59"/>
        <w:ind w:firstLine="0" w:firstLineChars="0"/>
        <w:jc w:val="center"/>
      </w:pPr>
      <w:bookmarkStart w:id="292"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92"/>
    </w:p>
    <w:p w14:paraId="7BAE14B4">
      <w:pPr>
        <w:pStyle w:val="59"/>
        <w:ind w:firstLine="0" w:firstLineChars="0"/>
        <w:jc w:val="center"/>
      </w:pPr>
    </w:p>
    <w:p w14:paraId="6C432BD9">
      <w:pPr>
        <w:pStyle w:val="59"/>
        <w:ind w:firstLine="0" w:firstLineChars="0"/>
        <w:jc w:val="center"/>
      </w:pPr>
    </w:p>
    <w:p w14:paraId="7022C07E">
      <w:pPr>
        <w:pStyle w:val="59"/>
        <w:ind w:firstLine="0" w:firstLineChars="0"/>
        <w:jc w:val="center"/>
      </w:pPr>
    </w:p>
    <w:p w14:paraId="40A727FA">
      <w:pPr>
        <w:pStyle w:val="59"/>
        <w:ind w:firstLine="0" w:firstLineChars="0"/>
        <w:jc w:val="center"/>
        <w:sectPr>
          <w:pgSz w:w="11906" w:h="16838"/>
          <w:pgMar w:top="1928" w:right="1134" w:bottom="1134" w:left="1134" w:header="1418" w:footer="1134" w:gutter="284"/>
          <w:pgNumType w:fmt="decimal"/>
          <w:cols w:space="425" w:num="1"/>
          <w:formProt w:val="0"/>
          <w:docGrid w:linePitch="312" w:charSpace="0"/>
        </w:sectPr>
      </w:pPr>
    </w:p>
    <w:p w14:paraId="453CD964">
      <w:pPr>
        <w:rPr>
          <w:rFonts w:ascii="宋体" w:hAnsi="宋体" w:eastAsia="仿宋"/>
          <w:sz w:val="30"/>
          <w:szCs w:val="30"/>
        </w:rPr>
      </w:pPr>
    </w:p>
    <w:p w14:paraId="1689FC80">
      <w:pPr>
        <w:rPr>
          <w:rFonts w:ascii="宋体" w:hAnsi="宋体" w:eastAsia="仿宋"/>
          <w:sz w:val="30"/>
          <w:szCs w:val="30"/>
        </w:rPr>
      </w:pPr>
    </w:p>
    <w:p w14:paraId="3D3758E8">
      <w:pPr>
        <w:adjustRightInd/>
        <w:spacing w:line="240" w:lineRule="auto"/>
        <w:jc w:val="center"/>
        <w:rPr>
          <w:rFonts w:hint="eastAsia" w:ascii="宋体" w:hAnsi="宋体" w:eastAsia="方正小标宋简体"/>
          <w:sz w:val="44"/>
          <w:szCs w:val="44"/>
          <w:lang w:eastAsia="zh-CN"/>
        </w:rPr>
      </w:pPr>
    </w:p>
    <w:p w14:paraId="5B6A7CFF">
      <w:pPr>
        <w:adjustRightInd/>
        <w:spacing w:line="240" w:lineRule="auto"/>
        <w:jc w:val="center"/>
        <w:rPr>
          <w:rFonts w:hint="eastAsia" w:ascii="宋体" w:hAnsi="宋体" w:eastAsia="方正小标宋简体"/>
          <w:sz w:val="44"/>
          <w:szCs w:val="44"/>
          <w:lang w:eastAsia="zh-CN"/>
        </w:rPr>
      </w:pPr>
    </w:p>
    <w:p w14:paraId="2F3AFF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lang w:val="en-US" w:eastAsia="zh-CN"/>
        </w:rPr>
      </w:pPr>
      <w:bookmarkStart w:id="293" w:name="_Toc2085077807_WPSOffice_Level2"/>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海洋石油天然气开采建设项目</w:t>
      </w:r>
    </w:p>
    <w:p w14:paraId="03F6ED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安全预评价导则</w:t>
      </w:r>
      <w:r>
        <w:rPr>
          <w:rFonts w:hint="eastAsia" w:ascii="方正小标宋简体" w:hAnsi="方正小标宋简体" w:eastAsia="方正小标宋简体" w:cs="方正小标宋简体"/>
          <w:sz w:val="44"/>
          <w:szCs w:val="44"/>
          <w:lang w:eastAsia="zh-CN"/>
        </w:rPr>
        <w:t>》</w:t>
      </w:r>
    </w:p>
    <w:p w14:paraId="1889BAB6">
      <w:pPr>
        <w:jc w:val="center"/>
        <w:rPr>
          <w:rFonts w:ascii="宋体" w:hAnsi="宋体" w:eastAsia="仿宋_GB2312"/>
          <w:sz w:val="32"/>
          <w:szCs w:val="32"/>
        </w:rPr>
      </w:pPr>
      <w:r>
        <w:rPr>
          <w:rFonts w:hint="eastAsia" w:ascii="宋体" w:hAnsi="宋体" w:eastAsia="仿宋_GB2312"/>
          <w:sz w:val="32"/>
          <w:szCs w:val="32"/>
        </w:rPr>
        <w:t>（</w:t>
      </w:r>
      <w:r>
        <w:rPr>
          <w:rFonts w:ascii="宋体" w:hAnsi="宋体" w:eastAsia="仿宋_GB2312"/>
          <w:sz w:val="32"/>
          <w:szCs w:val="32"/>
        </w:rPr>
        <w:t xml:space="preserve"> </w:t>
      </w:r>
      <w:r>
        <w:rPr>
          <w:rFonts w:hint="eastAsia" w:ascii="宋体" w:hAnsi="宋体" w:eastAsia="仿宋_GB2312"/>
          <w:sz w:val="32"/>
          <w:szCs w:val="32"/>
        </w:rPr>
        <w:t>■征求意见稿</w:t>
      </w:r>
      <w:r>
        <w:rPr>
          <w:rFonts w:ascii="宋体" w:hAnsi="宋体" w:eastAsia="仿宋_GB2312"/>
          <w:sz w:val="32"/>
          <w:szCs w:val="32"/>
        </w:rPr>
        <w:t xml:space="preserve">  </w:t>
      </w:r>
      <w:r>
        <w:rPr>
          <w:rFonts w:hint="eastAsia" w:ascii="宋体" w:hAnsi="宋体" w:eastAsia="仿宋_GB2312"/>
          <w:sz w:val="32"/>
          <w:szCs w:val="32"/>
        </w:rPr>
        <w:t>□送审稿</w:t>
      </w:r>
      <w:r>
        <w:rPr>
          <w:rFonts w:ascii="宋体" w:hAnsi="宋体" w:eastAsia="仿宋_GB2312"/>
          <w:sz w:val="32"/>
          <w:szCs w:val="32"/>
        </w:rPr>
        <w:t xml:space="preserve">  </w:t>
      </w:r>
      <w:r>
        <w:rPr>
          <w:rFonts w:hint="eastAsia" w:ascii="宋体" w:hAnsi="宋体" w:eastAsia="仿宋_GB2312"/>
          <w:sz w:val="32"/>
          <w:szCs w:val="32"/>
        </w:rPr>
        <w:t>□报批稿）</w:t>
      </w:r>
    </w:p>
    <w:p w14:paraId="609D7B8C">
      <w:pPr>
        <w:jc w:val="center"/>
        <w:rPr>
          <w:rFonts w:hint="eastAsia" w:ascii="宋体" w:hAnsi="宋体" w:eastAsia="方正小标宋简体"/>
          <w:sz w:val="44"/>
          <w:szCs w:val="44"/>
          <w:lang w:eastAsia="zh-CN"/>
        </w:rPr>
      </w:pPr>
    </w:p>
    <w:bookmarkEnd w:id="293"/>
    <w:p w14:paraId="2E5A5DB0">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黑体"/>
          <w:lang w:val="en-US" w:eastAsia="zh-CN"/>
        </w:rPr>
      </w:pPr>
      <w:r>
        <w:rPr>
          <w:rFonts w:hint="eastAsia" w:ascii="宋体" w:hAnsi="宋体" w:eastAsia="黑体" w:cs="黑体"/>
          <w:sz w:val="44"/>
          <w:szCs w:val="44"/>
          <w:lang w:val="en-US" w:eastAsia="zh-CN"/>
        </w:rPr>
        <w:t>编制说明</w:t>
      </w:r>
    </w:p>
    <w:p w14:paraId="0E65B1F1">
      <w:pPr>
        <w:jc w:val="center"/>
        <w:rPr>
          <w:rFonts w:ascii="宋体" w:hAnsi="宋体" w:eastAsia="仿宋_GB2312"/>
          <w:i/>
          <w:iCs/>
          <w:sz w:val="28"/>
          <w:szCs w:val="28"/>
        </w:rPr>
      </w:pPr>
      <w:r>
        <w:rPr>
          <w:rFonts w:ascii="宋体" w:hAnsi="宋体" w:eastAsia="仿宋"/>
          <w:i/>
          <w:iCs/>
          <w:sz w:val="28"/>
          <w:szCs w:val="28"/>
        </w:rPr>
        <w:br w:type="textWrapping"/>
      </w:r>
    </w:p>
    <w:p w14:paraId="1BBC99DE">
      <w:pPr>
        <w:rPr>
          <w:rFonts w:ascii="宋体" w:hAnsi="宋体" w:eastAsia="仿宋_GB2312"/>
          <w:i/>
          <w:iCs/>
          <w:sz w:val="28"/>
          <w:szCs w:val="28"/>
        </w:rPr>
      </w:pPr>
    </w:p>
    <w:p w14:paraId="42E7C71F">
      <w:pPr>
        <w:jc w:val="center"/>
        <w:rPr>
          <w:rFonts w:ascii="宋体" w:hAnsi="宋体" w:eastAsia="仿宋_GB2312"/>
          <w:i/>
          <w:iCs/>
          <w:sz w:val="28"/>
          <w:szCs w:val="28"/>
        </w:rPr>
      </w:pPr>
    </w:p>
    <w:p w14:paraId="3F37670F">
      <w:pPr>
        <w:jc w:val="center"/>
        <w:rPr>
          <w:rFonts w:ascii="宋体" w:hAnsi="宋体" w:eastAsia="仿宋_GB2312"/>
          <w:i/>
          <w:iCs/>
          <w:sz w:val="28"/>
          <w:szCs w:val="28"/>
        </w:rPr>
      </w:pPr>
    </w:p>
    <w:p w14:paraId="22C1D711">
      <w:pPr>
        <w:jc w:val="center"/>
        <w:rPr>
          <w:rFonts w:ascii="宋体" w:hAnsi="宋体" w:eastAsia="仿宋_GB2312"/>
          <w:i/>
          <w:iCs/>
          <w:sz w:val="28"/>
          <w:szCs w:val="28"/>
        </w:rPr>
      </w:pPr>
    </w:p>
    <w:p w14:paraId="4C1CD83B">
      <w:pPr>
        <w:jc w:val="center"/>
        <w:rPr>
          <w:rFonts w:ascii="宋体" w:hAnsi="宋体" w:eastAsia="仿宋_GB2312"/>
          <w:i/>
          <w:iCs/>
          <w:sz w:val="28"/>
          <w:szCs w:val="28"/>
        </w:rPr>
      </w:pPr>
    </w:p>
    <w:p w14:paraId="325F681F">
      <w:pPr>
        <w:pStyle w:val="2"/>
        <w:rPr>
          <w:rFonts w:ascii="宋体" w:hAnsi="宋体" w:eastAsia="仿宋_GB2312"/>
          <w:i/>
          <w:iCs/>
          <w:sz w:val="28"/>
          <w:szCs w:val="28"/>
        </w:rPr>
      </w:pPr>
    </w:p>
    <w:p w14:paraId="22B1BBB0">
      <w:pPr>
        <w:pStyle w:val="2"/>
        <w:rPr>
          <w:rFonts w:ascii="宋体" w:hAnsi="宋体" w:eastAsia="仿宋_GB2312"/>
          <w:i/>
          <w:iCs/>
          <w:sz w:val="28"/>
          <w:szCs w:val="28"/>
        </w:rPr>
      </w:pPr>
    </w:p>
    <w:p w14:paraId="3CE39403">
      <w:pPr>
        <w:pStyle w:val="2"/>
        <w:rPr>
          <w:rFonts w:ascii="宋体" w:hAnsi="宋体" w:eastAsia="仿宋_GB2312"/>
          <w:i/>
          <w:iCs/>
          <w:sz w:val="28"/>
          <w:szCs w:val="28"/>
        </w:rPr>
      </w:pPr>
    </w:p>
    <w:p w14:paraId="37CACFF5">
      <w:pPr>
        <w:pStyle w:val="2"/>
        <w:rPr>
          <w:rFonts w:ascii="宋体" w:hAnsi="宋体" w:eastAsia="仿宋_GB2312"/>
          <w:i/>
          <w:iCs/>
          <w:sz w:val="28"/>
          <w:szCs w:val="28"/>
        </w:rPr>
      </w:pPr>
    </w:p>
    <w:p w14:paraId="680661C9">
      <w:pPr>
        <w:jc w:val="center"/>
        <w:rPr>
          <w:rFonts w:hint="eastAsia" w:ascii="仿宋" w:hAnsi="仿宋" w:eastAsia="仿宋" w:cs="仿宋"/>
          <w:i w:val="0"/>
          <w:iCs w:val="0"/>
          <w:sz w:val="32"/>
          <w:szCs w:val="32"/>
          <w:lang w:eastAsia="zh-CN"/>
        </w:rPr>
      </w:pPr>
      <w:r>
        <w:rPr>
          <w:rFonts w:hint="eastAsia" w:ascii="仿宋" w:hAnsi="仿宋" w:eastAsia="仿宋" w:cs="仿宋"/>
          <w:i w:val="0"/>
          <w:iCs w:val="0"/>
          <w:sz w:val="32"/>
          <w:szCs w:val="32"/>
          <w:lang w:eastAsia="zh-CN"/>
        </w:rPr>
        <w:t>标准编制组</w:t>
      </w:r>
    </w:p>
    <w:p w14:paraId="2EA6C89C">
      <w:pPr>
        <w:jc w:val="center"/>
        <w:rPr>
          <w:rFonts w:hint="eastAsia" w:ascii="宋体" w:hAnsi="宋体" w:eastAsia="宋体" w:cs="宋体"/>
          <w:b/>
          <w:i w:val="0"/>
          <w:iCs w:val="0"/>
          <w:sz w:val="32"/>
          <w:szCs w:val="32"/>
          <w:highlight w:val="none"/>
          <w:lang w:val="en-US"/>
        </w:rPr>
      </w:pPr>
      <w:r>
        <w:rPr>
          <w:rFonts w:hint="eastAsia" w:ascii="宋体" w:hAnsi="宋体" w:eastAsia="宋体" w:cs="宋体"/>
          <w:i w:val="0"/>
          <w:iCs w:val="0"/>
          <w:sz w:val="32"/>
          <w:szCs w:val="32"/>
          <w:lang w:val="en-US" w:eastAsia="zh-CN"/>
        </w:rPr>
        <w:t>2025</w:t>
      </w:r>
      <w:r>
        <w:rPr>
          <w:rFonts w:hint="eastAsia" w:ascii="宋体" w:hAnsi="宋体" w:eastAsia="宋体" w:cs="宋体"/>
          <w:i w:val="0"/>
          <w:iCs w:val="0"/>
          <w:sz w:val="32"/>
          <w:szCs w:val="32"/>
          <w:highlight w:val="none"/>
          <w:lang w:val="en-US" w:eastAsia="zh-CN"/>
        </w:rPr>
        <w:t>年</w:t>
      </w:r>
      <w:r>
        <w:rPr>
          <w:rFonts w:hint="eastAsia" w:ascii="宋体" w:hAnsi="宋体" w:cs="宋体"/>
          <w:i w:val="0"/>
          <w:iCs w:val="0"/>
          <w:sz w:val="32"/>
          <w:szCs w:val="32"/>
          <w:highlight w:val="none"/>
          <w:lang w:val="en-US" w:eastAsia="zh-CN"/>
        </w:rPr>
        <w:t>4</w:t>
      </w:r>
      <w:r>
        <w:rPr>
          <w:rFonts w:hint="eastAsia" w:ascii="宋体" w:hAnsi="宋体" w:eastAsia="宋体" w:cs="宋体"/>
          <w:i w:val="0"/>
          <w:iCs w:val="0"/>
          <w:sz w:val="32"/>
          <w:szCs w:val="32"/>
          <w:highlight w:val="none"/>
          <w:lang w:val="en-US" w:eastAsia="zh-CN"/>
        </w:rPr>
        <w:t>月</w:t>
      </w:r>
    </w:p>
    <w:p w14:paraId="18AA7B8B">
      <w:pPr>
        <w:ind w:firstLine="880" w:firstLineChars="200"/>
        <w:jc w:val="center"/>
        <w:rPr>
          <w:rFonts w:hint="eastAsia" w:ascii="宋体" w:hAnsi="宋体" w:eastAsia="方正小标宋_GBK" w:cs="方正小标宋_GBK"/>
          <w:sz w:val="44"/>
          <w:szCs w:val="44"/>
          <w:lang w:eastAsia="zh-CN"/>
        </w:rPr>
        <w:sectPr>
          <w:headerReference r:id="rId28" w:type="default"/>
          <w:headerReference r:id="rId29" w:type="even"/>
          <w:footerReference r:id="rId30" w:type="even"/>
          <w:pgSz w:w="11906" w:h="16838"/>
          <w:pgMar w:top="1701" w:right="1474" w:bottom="1474" w:left="1587" w:header="851" w:footer="992" w:gutter="0"/>
          <w:pgNumType w:fmt="decimal"/>
          <w:cols w:space="720" w:num="1"/>
          <w:rtlGutter w:val="0"/>
          <w:docGrid w:type="lines" w:linePitch="312" w:charSpace="0"/>
        </w:sectPr>
      </w:pPr>
    </w:p>
    <w:p w14:paraId="26D924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方正小标宋_GBK" w:cs="方正小标宋_GBK"/>
          <w:sz w:val="44"/>
          <w:szCs w:val="44"/>
          <w:lang w:eastAsia="zh-CN"/>
        </w:rPr>
      </w:pPr>
      <w:r>
        <w:rPr>
          <w:rFonts w:hint="eastAsia" w:ascii="宋体" w:hAnsi="宋体" w:eastAsia="方正小标宋_GBK" w:cs="方正小标宋_GBK"/>
          <w:sz w:val="44"/>
          <w:szCs w:val="44"/>
          <w:lang w:eastAsia="zh-CN"/>
        </w:rPr>
        <w:t>说</w:t>
      </w:r>
      <w:r>
        <w:rPr>
          <w:rFonts w:hint="eastAsia" w:ascii="宋体" w:hAnsi="宋体" w:eastAsia="方正小标宋_GBK" w:cs="方正小标宋_GBK"/>
          <w:sz w:val="44"/>
          <w:szCs w:val="44"/>
          <w:lang w:val="en-US" w:eastAsia="zh-CN"/>
        </w:rPr>
        <w:t xml:space="preserve"> </w:t>
      </w:r>
      <w:r>
        <w:rPr>
          <w:rFonts w:hint="eastAsia" w:ascii="宋体" w:hAnsi="宋体" w:eastAsia="方正小标宋_GBK" w:cs="方正小标宋_GBK"/>
          <w:sz w:val="44"/>
          <w:szCs w:val="44"/>
          <w:lang w:eastAsia="zh-CN"/>
        </w:rPr>
        <w:t>明</w:t>
      </w:r>
    </w:p>
    <w:p w14:paraId="192A0D9F">
      <w:pPr>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仿宋_GB2312"/>
          <w:sz w:val="24"/>
          <w:szCs w:val="21"/>
        </w:rPr>
      </w:pPr>
      <w:r>
        <w:rPr>
          <w:rFonts w:hint="eastAsia" w:ascii="宋体" w:hAnsi="宋体" w:eastAsia="仿宋_GB2312"/>
          <w:sz w:val="24"/>
          <w:szCs w:val="21"/>
          <w:lang w:val="en-US" w:eastAsia="zh-CN"/>
        </w:rPr>
        <w:t xml:space="preserve">    </w:t>
      </w:r>
      <w:r>
        <w:rPr>
          <w:rFonts w:hint="eastAsia" w:ascii="宋体" w:hAnsi="宋体" w:eastAsia="仿宋_GB2312"/>
          <w:sz w:val="24"/>
          <w:szCs w:val="21"/>
        </w:rPr>
        <w:t>1．标准编制说明的封面</w:t>
      </w:r>
    </w:p>
    <w:p w14:paraId="22181FED">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仿宋_GB2312"/>
          <w:sz w:val="24"/>
          <w:szCs w:val="21"/>
        </w:rPr>
      </w:pPr>
      <w:r>
        <w:rPr>
          <w:rFonts w:hint="eastAsia" w:ascii="宋体" w:hAnsi="宋体" w:eastAsia="仿宋_GB2312"/>
          <w:sz w:val="24"/>
          <w:szCs w:val="21"/>
        </w:rPr>
        <w:t>（1）</w:t>
      </w:r>
      <w:r>
        <w:rPr>
          <w:rFonts w:hint="eastAsia" w:ascii="宋体" w:hAnsi="宋体" w:eastAsia="仿宋_GB2312"/>
          <w:sz w:val="24"/>
          <w:szCs w:val="21"/>
          <w:lang w:val="en-US" w:eastAsia="zh-CN"/>
        </w:rPr>
        <w:t>标准名称。</w:t>
      </w:r>
      <w:r>
        <w:rPr>
          <w:rFonts w:hint="eastAsia" w:ascii="宋体" w:hAnsi="宋体" w:eastAsia="仿宋_GB2312"/>
          <w:sz w:val="24"/>
          <w:szCs w:val="21"/>
        </w:rPr>
        <w:t>应在封面靠上居中位置</w:t>
      </w:r>
      <w:r>
        <w:rPr>
          <w:rFonts w:hint="eastAsia" w:ascii="宋体" w:hAnsi="宋体" w:eastAsia="仿宋_GB2312"/>
          <w:sz w:val="24"/>
          <w:szCs w:val="21"/>
          <w:lang w:eastAsia="zh-CN"/>
        </w:rPr>
        <w:t>，与标准稿名称保持一致</w:t>
      </w:r>
      <w:r>
        <w:rPr>
          <w:rFonts w:hint="eastAsia" w:ascii="宋体" w:hAnsi="宋体" w:eastAsia="仿宋_GB2312"/>
          <w:sz w:val="24"/>
          <w:szCs w:val="21"/>
        </w:rPr>
        <w:t>。字体字号为</w:t>
      </w:r>
      <w:r>
        <w:rPr>
          <w:rFonts w:hint="eastAsia" w:ascii="宋体" w:hAnsi="宋体" w:eastAsia="仿宋_GB2312"/>
          <w:sz w:val="24"/>
          <w:szCs w:val="21"/>
          <w:lang w:eastAsia="zh-CN"/>
        </w:rPr>
        <w:t>方正小标宋</w:t>
      </w:r>
      <w:r>
        <w:rPr>
          <w:rFonts w:hint="eastAsia" w:ascii="宋体" w:hAnsi="宋体" w:eastAsia="仿宋_GB2312"/>
          <w:sz w:val="24"/>
          <w:szCs w:val="21"/>
        </w:rPr>
        <w:t>二号。</w:t>
      </w:r>
    </w:p>
    <w:p w14:paraId="2457E28A">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仿宋_GB2312"/>
          <w:sz w:val="24"/>
          <w:szCs w:val="21"/>
        </w:rPr>
      </w:pPr>
      <w:r>
        <w:rPr>
          <w:rFonts w:hint="eastAsia" w:ascii="宋体" w:hAnsi="宋体" w:eastAsia="仿宋_GB2312"/>
          <w:sz w:val="24"/>
          <w:szCs w:val="21"/>
        </w:rPr>
        <w:t>（2）标准文稿版次</w:t>
      </w:r>
      <w:r>
        <w:rPr>
          <w:rFonts w:hint="eastAsia" w:ascii="宋体" w:hAnsi="宋体" w:eastAsia="仿宋_GB2312"/>
          <w:sz w:val="24"/>
          <w:szCs w:val="21"/>
          <w:lang w:eastAsia="zh-CN"/>
        </w:rPr>
        <w:t>。</w:t>
      </w:r>
      <w:r>
        <w:rPr>
          <w:rFonts w:hint="eastAsia" w:ascii="宋体" w:hAnsi="宋体" w:eastAsia="仿宋_GB2312"/>
          <w:sz w:val="24"/>
          <w:szCs w:val="21"/>
        </w:rPr>
        <w:t>在</w:t>
      </w:r>
      <w:r>
        <w:rPr>
          <w:rFonts w:hint="eastAsia" w:ascii="宋体" w:hAnsi="宋体" w:eastAsia="仿宋_GB2312"/>
          <w:sz w:val="24"/>
          <w:szCs w:val="21"/>
          <w:lang w:eastAsia="zh-CN"/>
        </w:rPr>
        <w:t>标准名称下方“征求意见稿、送审稿、报批稿”前的方框凃选其一，例如“</w:t>
      </w:r>
      <w:r>
        <w:rPr>
          <w:rFonts w:hint="eastAsia" w:ascii="宋体" w:hAnsi="宋体" w:eastAsia="华文宋体" w:cs="华文宋体"/>
          <w:sz w:val="24"/>
          <w:szCs w:val="21"/>
          <w:lang w:eastAsia="zh-CN"/>
        </w:rPr>
        <w:t>■</w:t>
      </w:r>
      <w:r>
        <w:rPr>
          <w:rFonts w:hint="eastAsia" w:ascii="宋体" w:hAnsi="宋体" w:eastAsia="仿宋_GB2312"/>
          <w:sz w:val="24"/>
          <w:szCs w:val="21"/>
          <w:lang w:eastAsia="zh-CN"/>
        </w:rPr>
        <w:t>征求意见稿”。</w:t>
      </w:r>
      <w:r>
        <w:rPr>
          <w:rFonts w:hint="eastAsia" w:ascii="宋体" w:hAnsi="宋体" w:eastAsia="仿宋_GB2312"/>
          <w:sz w:val="24"/>
          <w:szCs w:val="21"/>
        </w:rPr>
        <w:t>字体字号为</w:t>
      </w:r>
      <w:r>
        <w:rPr>
          <w:rFonts w:hint="eastAsia" w:ascii="宋体" w:hAnsi="宋体" w:eastAsia="仿宋_GB2312"/>
          <w:sz w:val="24"/>
          <w:szCs w:val="21"/>
          <w:lang w:eastAsia="zh-CN"/>
        </w:rPr>
        <w:t>仿宋三</w:t>
      </w:r>
      <w:r>
        <w:rPr>
          <w:rFonts w:hint="eastAsia" w:ascii="宋体" w:hAnsi="宋体" w:eastAsia="仿宋_GB2312"/>
          <w:sz w:val="24"/>
          <w:szCs w:val="21"/>
        </w:rPr>
        <w:t>号。</w:t>
      </w:r>
    </w:p>
    <w:p w14:paraId="43AC8AF1">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仿宋_GB2312"/>
          <w:sz w:val="24"/>
          <w:szCs w:val="21"/>
        </w:rPr>
      </w:pPr>
      <w:r>
        <w:rPr>
          <w:rFonts w:hint="eastAsia" w:ascii="宋体" w:hAnsi="宋体" w:eastAsia="仿宋_GB2312"/>
          <w:sz w:val="24"/>
          <w:szCs w:val="21"/>
          <w:lang w:eastAsia="zh-CN"/>
        </w:rPr>
        <w:t>（</w:t>
      </w:r>
      <w:r>
        <w:rPr>
          <w:rFonts w:hint="eastAsia" w:ascii="宋体" w:hAnsi="宋体" w:eastAsia="仿宋_GB2312"/>
          <w:sz w:val="24"/>
          <w:szCs w:val="21"/>
          <w:lang w:val="en-US" w:eastAsia="zh-CN"/>
        </w:rPr>
        <w:t>3</w:t>
      </w:r>
      <w:r>
        <w:rPr>
          <w:rFonts w:hint="eastAsia" w:ascii="宋体" w:hAnsi="宋体" w:eastAsia="仿宋_GB2312"/>
          <w:sz w:val="24"/>
          <w:szCs w:val="21"/>
          <w:lang w:eastAsia="zh-CN"/>
        </w:rPr>
        <w:t>）标准编制组。</w:t>
      </w:r>
      <w:r>
        <w:rPr>
          <w:rFonts w:hint="eastAsia" w:ascii="宋体" w:hAnsi="宋体" w:eastAsia="仿宋_GB2312"/>
          <w:sz w:val="24"/>
          <w:szCs w:val="21"/>
        </w:rPr>
        <w:t>在封面靠下居中位置。字体字号为</w:t>
      </w:r>
      <w:r>
        <w:rPr>
          <w:rFonts w:hint="eastAsia" w:ascii="宋体" w:hAnsi="宋体" w:eastAsia="仿宋_GB2312"/>
          <w:sz w:val="24"/>
          <w:szCs w:val="21"/>
          <w:lang w:eastAsia="zh-CN"/>
        </w:rPr>
        <w:t>仿宋</w:t>
      </w:r>
      <w:r>
        <w:rPr>
          <w:rFonts w:hint="eastAsia" w:ascii="宋体" w:hAnsi="宋体" w:eastAsia="仿宋_GB2312"/>
          <w:sz w:val="24"/>
          <w:szCs w:val="21"/>
        </w:rPr>
        <w:t>三号。</w:t>
      </w:r>
    </w:p>
    <w:p w14:paraId="76E01940">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仿宋_GB2312"/>
          <w:sz w:val="24"/>
          <w:szCs w:val="21"/>
        </w:rPr>
      </w:pPr>
      <w:r>
        <w:rPr>
          <w:rFonts w:hint="eastAsia" w:ascii="宋体" w:hAnsi="宋体" w:eastAsia="仿宋_GB2312"/>
          <w:sz w:val="24"/>
          <w:szCs w:val="21"/>
          <w:lang w:eastAsia="zh-CN"/>
        </w:rPr>
        <w:t>（</w:t>
      </w:r>
      <w:r>
        <w:rPr>
          <w:rFonts w:hint="eastAsia" w:ascii="宋体" w:hAnsi="宋体" w:eastAsia="仿宋_GB2312"/>
          <w:sz w:val="24"/>
          <w:szCs w:val="21"/>
          <w:lang w:val="en-US" w:eastAsia="zh-CN"/>
        </w:rPr>
        <w:t>4</w:t>
      </w:r>
      <w:r>
        <w:rPr>
          <w:rFonts w:hint="eastAsia" w:ascii="宋体" w:hAnsi="宋体" w:eastAsia="仿宋_GB2312"/>
          <w:sz w:val="24"/>
          <w:szCs w:val="21"/>
          <w:lang w:eastAsia="zh-CN"/>
        </w:rPr>
        <w:t>）</w:t>
      </w:r>
      <w:r>
        <w:rPr>
          <w:rFonts w:hint="eastAsia" w:ascii="宋体" w:hAnsi="宋体" w:eastAsia="仿宋_GB2312"/>
          <w:sz w:val="24"/>
          <w:szCs w:val="21"/>
        </w:rPr>
        <w:t>编制日期</w:t>
      </w:r>
      <w:r>
        <w:rPr>
          <w:rFonts w:hint="eastAsia" w:ascii="宋体" w:hAnsi="宋体" w:eastAsia="仿宋_GB2312"/>
          <w:sz w:val="24"/>
          <w:szCs w:val="21"/>
          <w:lang w:eastAsia="zh-CN"/>
        </w:rPr>
        <w:t>。</w:t>
      </w:r>
      <w:r>
        <w:rPr>
          <w:rFonts w:hint="eastAsia" w:ascii="宋体" w:hAnsi="宋体" w:eastAsia="仿宋_GB2312"/>
          <w:sz w:val="24"/>
          <w:szCs w:val="21"/>
        </w:rPr>
        <w:t>编制日期</w:t>
      </w:r>
      <w:r>
        <w:rPr>
          <w:rFonts w:hint="eastAsia" w:ascii="宋体" w:hAnsi="宋体" w:eastAsia="仿宋_GB2312"/>
          <w:sz w:val="24"/>
          <w:szCs w:val="21"/>
          <w:lang w:eastAsia="zh-CN"/>
        </w:rPr>
        <w:t>为本阶段完成的日期，</w:t>
      </w:r>
      <w:r>
        <w:rPr>
          <w:rFonts w:hint="eastAsia" w:ascii="宋体" w:hAnsi="宋体" w:eastAsia="仿宋_GB2312"/>
          <w:sz w:val="24"/>
          <w:szCs w:val="21"/>
        </w:rPr>
        <w:t>以数字格式书写，字体为</w:t>
      </w:r>
      <w:r>
        <w:rPr>
          <w:rFonts w:hint="eastAsia" w:ascii="宋体" w:hAnsi="宋体" w:eastAsia="仿宋_GB2312"/>
          <w:sz w:val="24"/>
          <w:szCs w:val="21"/>
          <w:lang w:eastAsia="zh-CN"/>
        </w:rPr>
        <w:t>宋体</w:t>
      </w:r>
      <w:r>
        <w:rPr>
          <w:rFonts w:hint="eastAsia" w:ascii="宋体" w:hAnsi="宋体" w:eastAsia="仿宋_GB2312"/>
          <w:sz w:val="24"/>
          <w:szCs w:val="21"/>
        </w:rPr>
        <w:t>，字号为三号。如：“2020</w:t>
      </w:r>
      <w:r>
        <w:rPr>
          <w:rFonts w:hint="eastAsia" w:ascii="宋体" w:hAnsi="宋体" w:eastAsia="仿宋_GB2312" w:cs="仿宋_GB2312"/>
          <w:sz w:val="24"/>
          <w:szCs w:val="21"/>
        </w:rPr>
        <w:t>年3月30日”</w:t>
      </w:r>
      <w:r>
        <w:rPr>
          <w:rFonts w:hint="eastAsia" w:ascii="宋体" w:hAnsi="宋体" w:eastAsia="仿宋_GB2312"/>
          <w:sz w:val="24"/>
          <w:szCs w:val="21"/>
        </w:rPr>
        <w:t>。</w:t>
      </w:r>
    </w:p>
    <w:p w14:paraId="06AC0A17">
      <w:pPr>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仿宋_GB2312"/>
          <w:sz w:val="24"/>
          <w:szCs w:val="21"/>
        </w:rPr>
      </w:pPr>
      <w:r>
        <w:rPr>
          <w:rFonts w:hint="eastAsia" w:ascii="宋体" w:hAnsi="宋体" w:eastAsia="仿宋_GB2312"/>
          <w:sz w:val="24"/>
          <w:szCs w:val="21"/>
          <w:lang w:val="en-US" w:eastAsia="zh-CN"/>
        </w:rPr>
        <w:t xml:space="preserve">    2</w:t>
      </w:r>
      <w:r>
        <w:rPr>
          <w:rFonts w:hint="eastAsia" w:ascii="宋体" w:hAnsi="宋体" w:eastAsia="仿宋_GB2312"/>
          <w:sz w:val="24"/>
          <w:szCs w:val="21"/>
        </w:rPr>
        <w:t>．标准编制说明的正文</w:t>
      </w:r>
    </w:p>
    <w:p w14:paraId="0BC4161D">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仿宋_GB2312"/>
          <w:sz w:val="24"/>
          <w:szCs w:val="21"/>
          <w:lang w:val="en-US" w:eastAsia="zh-CN"/>
        </w:rPr>
      </w:pPr>
      <w:r>
        <w:rPr>
          <w:rFonts w:hint="eastAsia" w:ascii="宋体" w:hAnsi="宋体" w:eastAsia="仿宋_GB2312"/>
          <w:sz w:val="24"/>
          <w:szCs w:val="21"/>
        </w:rPr>
        <w:t>（1）</w:t>
      </w:r>
      <w:r>
        <w:rPr>
          <w:rFonts w:hint="eastAsia" w:ascii="宋体" w:hAnsi="宋体" w:eastAsia="仿宋_GB2312"/>
          <w:sz w:val="24"/>
          <w:szCs w:val="21"/>
          <w:lang w:eastAsia="zh-CN"/>
        </w:rPr>
        <w:t>正文页边距为上</w:t>
      </w:r>
      <w:r>
        <w:rPr>
          <w:rFonts w:hint="eastAsia" w:ascii="宋体" w:hAnsi="宋体" w:eastAsia="仿宋_GB2312"/>
          <w:sz w:val="24"/>
          <w:szCs w:val="21"/>
          <w:lang w:val="en-US" w:eastAsia="zh-CN"/>
        </w:rPr>
        <w:t>3cm、下</w:t>
      </w:r>
      <w:r>
        <w:rPr>
          <w:rFonts w:hint="default" w:ascii="宋体" w:hAnsi="宋体" w:eastAsia="仿宋_GB2312"/>
          <w:sz w:val="24"/>
          <w:szCs w:val="21"/>
          <w:lang w:val="en-US" w:eastAsia="zh-CN"/>
        </w:rPr>
        <w:t>2.6</w:t>
      </w:r>
      <w:r>
        <w:rPr>
          <w:rFonts w:hint="eastAsia" w:ascii="宋体" w:hAnsi="宋体" w:eastAsia="仿宋_GB2312"/>
          <w:sz w:val="24"/>
          <w:szCs w:val="21"/>
          <w:lang w:val="en-US" w:eastAsia="zh-CN"/>
        </w:rPr>
        <w:t>cm、左2.8cm、右2.6cm。</w:t>
      </w:r>
    </w:p>
    <w:p w14:paraId="41DB955E">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仿宋_GB2312"/>
          <w:sz w:val="24"/>
          <w:szCs w:val="21"/>
          <w:lang w:val="en-US" w:eastAsia="zh-CN"/>
        </w:rPr>
      </w:pPr>
      <w:r>
        <w:rPr>
          <w:rFonts w:hint="eastAsia" w:ascii="宋体" w:hAnsi="宋体" w:eastAsia="仿宋_GB2312"/>
          <w:sz w:val="24"/>
          <w:szCs w:val="21"/>
          <w:lang w:val="en-US" w:eastAsia="zh-CN"/>
        </w:rPr>
        <w:t>（2）正文标题，</w:t>
      </w:r>
      <w:r>
        <w:rPr>
          <w:rFonts w:hint="eastAsia" w:ascii="宋体" w:hAnsi="宋体" w:eastAsia="仿宋_GB2312"/>
          <w:sz w:val="24"/>
          <w:szCs w:val="21"/>
        </w:rPr>
        <w:t>一级标题用黑体三号字，二级标题用</w:t>
      </w:r>
      <w:r>
        <w:rPr>
          <w:rFonts w:hint="eastAsia" w:ascii="宋体" w:hAnsi="宋体" w:eastAsia="仿宋_GB2312"/>
          <w:sz w:val="24"/>
          <w:szCs w:val="21"/>
          <w:lang w:eastAsia="zh-CN"/>
        </w:rPr>
        <w:t>楷体</w:t>
      </w:r>
      <w:r>
        <w:rPr>
          <w:rFonts w:hint="eastAsia" w:ascii="宋体" w:hAnsi="宋体" w:eastAsia="仿宋_GB2312"/>
          <w:sz w:val="24"/>
          <w:szCs w:val="21"/>
        </w:rPr>
        <w:t>三号字</w:t>
      </w:r>
      <w:r>
        <w:rPr>
          <w:rFonts w:hint="eastAsia" w:ascii="宋体" w:hAnsi="宋体" w:eastAsia="仿宋_GB2312"/>
          <w:sz w:val="24"/>
          <w:szCs w:val="21"/>
          <w:lang w:eastAsia="zh-CN"/>
        </w:rPr>
        <w:t>不加粗</w:t>
      </w:r>
      <w:r>
        <w:rPr>
          <w:rFonts w:hint="eastAsia" w:ascii="宋体" w:hAnsi="宋体" w:eastAsia="仿宋_GB2312"/>
          <w:sz w:val="24"/>
          <w:szCs w:val="21"/>
        </w:rPr>
        <w:t>。</w:t>
      </w:r>
      <w:r>
        <w:rPr>
          <w:rFonts w:hint="eastAsia" w:ascii="宋体" w:hAnsi="宋体" w:eastAsia="仿宋_GB2312"/>
          <w:sz w:val="24"/>
          <w:szCs w:val="21"/>
          <w:lang w:eastAsia="zh-CN"/>
        </w:rPr>
        <w:t>三级、四级标题用仿宋</w:t>
      </w:r>
      <w:r>
        <w:rPr>
          <w:rFonts w:hint="eastAsia" w:ascii="宋体" w:hAnsi="宋体" w:eastAsia="仿宋_GB2312"/>
          <w:sz w:val="24"/>
          <w:szCs w:val="21"/>
          <w:lang w:val="en-US" w:eastAsia="zh-CN"/>
        </w:rPr>
        <w:t>GB-2312</w:t>
      </w:r>
      <w:r>
        <w:rPr>
          <w:rFonts w:hint="eastAsia" w:ascii="宋体" w:hAnsi="宋体" w:eastAsia="仿宋_GB2312"/>
          <w:sz w:val="24"/>
          <w:szCs w:val="21"/>
          <w:lang w:eastAsia="zh-CN"/>
        </w:rPr>
        <w:t>三号字不加粗。文中结构层次序数为“一、”“（一）”“</w:t>
      </w:r>
      <w:r>
        <w:rPr>
          <w:rFonts w:hint="eastAsia" w:ascii="宋体" w:hAnsi="宋体" w:eastAsia="仿宋_GB2312"/>
          <w:sz w:val="24"/>
          <w:szCs w:val="21"/>
          <w:lang w:val="en-US" w:eastAsia="zh-CN"/>
        </w:rPr>
        <w:t>1.”“（1）”标注。</w:t>
      </w:r>
    </w:p>
    <w:p w14:paraId="66368F81">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仿宋_GB2312"/>
          <w:sz w:val="24"/>
          <w:szCs w:val="21"/>
        </w:rPr>
      </w:pPr>
      <w:r>
        <w:rPr>
          <w:rFonts w:hint="eastAsia" w:ascii="宋体" w:hAnsi="宋体" w:eastAsia="仿宋_GB2312"/>
          <w:sz w:val="24"/>
          <w:szCs w:val="21"/>
        </w:rPr>
        <w:t>（</w:t>
      </w:r>
      <w:r>
        <w:rPr>
          <w:rFonts w:hint="eastAsia" w:ascii="宋体" w:hAnsi="宋体" w:eastAsia="仿宋_GB2312"/>
          <w:sz w:val="24"/>
          <w:szCs w:val="21"/>
          <w:lang w:val="en-US" w:eastAsia="zh-CN"/>
        </w:rPr>
        <w:t>3</w:t>
      </w:r>
      <w:r>
        <w:rPr>
          <w:rFonts w:hint="eastAsia" w:ascii="宋体" w:hAnsi="宋体" w:eastAsia="仿宋_GB2312"/>
          <w:sz w:val="24"/>
          <w:szCs w:val="21"/>
        </w:rPr>
        <w:t>）正文</w:t>
      </w:r>
      <w:r>
        <w:rPr>
          <w:rFonts w:hint="eastAsia" w:ascii="宋体" w:hAnsi="宋体" w:eastAsia="仿宋_GB2312"/>
          <w:sz w:val="24"/>
          <w:szCs w:val="21"/>
          <w:lang w:eastAsia="zh-CN"/>
        </w:rPr>
        <w:t>中文字体字号为</w:t>
      </w:r>
      <w:r>
        <w:rPr>
          <w:rFonts w:hint="eastAsia" w:ascii="宋体" w:hAnsi="宋体" w:eastAsia="仿宋_GB2312"/>
          <w:sz w:val="24"/>
          <w:szCs w:val="21"/>
        </w:rPr>
        <w:t>仿宋</w:t>
      </w:r>
      <w:r>
        <w:rPr>
          <w:rFonts w:hint="eastAsia" w:ascii="宋体" w:hAnsi="宋体" w:eastAsia="仿宋_GB2312"/>
          <w:sz w:val="24"/>
          <w:szCs w:val="21"/>
          <w:lang w:val="en-US" w:eastAsia="zh-CN"/>
        </w:rPr>
        <w:t>GB-2312</w:t>
      </w:r>
      <w:r>
        <w:rPr>
          <w:rFonts w:hint="eastAsia" w:ascii="宋体" w:hAnsi="宋体" w:eastAsia="仿宋_GB2312"/>
          <w:sz w:val="24"/>
          <w:szCs w:val="21"/>
          <w:lang w:eastAsia="zh-CN"/>
        </w:rPr>
        <w:t>三</w:t>
      </w:r>
      <w:r>
        <w:rPr>
          <w:rFonts w:hint="eastAsia" w:ascii="宋体" w:hAnsi="宋体" w:eastAsia="仿宋_GB2312"/>
          <w:sz w:val="24"/>
          <w:szCs w:val="21"/>
        </w:rPr>
        <w:t>号字</w:t>
      </w:r>
      <w:r>
        <w:rPr>
          <w:rFonts w:hint="eastAsia" w:ascii="宋体" w:hAnsi="宋体" w:eastAsia="仿宋_GB2312"/>
          <w:sz w:val="24"/>
          <w:szCs w:val="21"/>
          <w:lang w:eastAsia="zh-CN"/>
        </w:rPr>
        <w:t>，数字、字母等西文字体为宋体三号字，</w:t>
      </w:r>
      <w:r>
        <w:rPr>
          <w:rFonts w:hint="eastAsia" w:ascii="宋体" w:hAnsi="宋体" w:eastAsia="仿宋_GB2312"/>
          <w:sz w:val="24"/>
          <w:szCs w:val="21"/>
        </w:rPr>
        <w:t>段落</w:t>
      </w:r>
      <w:r>
        <w:rPr>
          <w:rFonts w:hint="eastAsia" w:ascii="宋体" w:hAnsi="宋体" w:eastAsia="仿宋_GB2312"/>
          <w:sz w:val="24"/>
          <w:szCs w:val="21"/>
          <w:lang w:eastAsia="zh-CN"/>
        </w:rPr>
        <w:t>行距</w:t>
      </w:r>
      <w:r>
        <w:rPr>
          <w:rFonts w:hint="eastAsia" w:ascii="宋体" w:hAnsi="宋体" w:eastAsia="仿宋_GB2312"/>
          <w:sz w:val="24"/>
          <w:szCs w:val="21"/>
        </w:rPr>
        <w:t>为</w:t>
      </w:r>
      <w:r>
        <w:rPr>
          <w:rFonts w:hint="eastAsia" w:ascii="宋体" w:hAnsi="宋体" w:eastAsia="仿宋_GB2312"/>
          <w:sz w:val="24"/>
          <w:szCs w:val="21"/>
          <w:lang w:val="en-US" w:eastAsia="zh-CN"/>
        </w:rPr>
        <w:t>28磅</w:t>
      </w:r>
      <w:r>
        <w:rPr>
          <w:rFonts w:hint="eastAsia" w:ascii="宋体" w:hAnsi="宋体" w:eastAsia="仿宋_GB2312"/>
          <w:sz w:val="24"/>
          <w:szCs w:val="21"/>
        </w:rPr>
        <w:t>，首行缩进2字符。</w:t>
      </w:r>
    </w:p>
    <w:p w14:paraId="24A733BE">
      <w:pPr>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仿宋_GB2312"/>
          <w:sz w:val="24"/>
          <w:szCs w:val="21"/>
          <w:lang w:val="en-US" w:eastAsia="zh-CN"/>
        </w:rPr>
      </w:pPr>
      <w:r>
        <w:rPr>
          <w:rFonts w:hint="eastAsia" w:ascii="宋体" w:hAnsi="宋体" w:eastAsia="仿宋_GB2312"/>
          <w:sz w:val="24"/>
          <w:szCs w:val="21"/>
          <w:lang w:val="en-US" w:eastAsia="zh-CN"/>
        </w:rPr>
        <w:t xml:space="preserve">    3.编制说明的内容</w:t>
      </w:r>
    </w:p>
    <w:p w14:paraId="710B8A69">
      <w:pPr>
        <w:keepNext w:val="0"/>
        <w:keepLines w:val="0"/>
        <w:pageBreakBefore w:val="0"/>
        <w:widowControl/>
        <w:kinsoku/>
        <w:wordWrap/>
        <w:overflowPunct/>
        <w:topLinePunct w:val="0"/>
        <w:autoSpaceDE/>
        <w:autoSpaceDN/>
        <w:bidi w:val="0"/>
        <w:adjustRightInd/>
        <w:snapToGrid/>
        <w:spacing w:line="360" w:lineRule="auto"/>
        <w:ind w:firstLine="480"/>
        <w:textAlignment w:val="auto"/>
        <w:outlineLvl w:val="9"/>
        <w:rPr>
          <w:rFonts w:hint="eastAsia" w:ascii="宋体" w:hAnsi="宋体" w:eastAsia="仿宋_GB2312"/>
          <w:sz w:val="24"/>
          <w:szCs w:val="21"/>
          <w:lang w:eastAsia="zh-CN"/>
        </w:rPr>
      </w:pPr>
      <w:r>
        <w:rPr>
          <w:rFonts w:hint="eastAsia" w:ascii="宋体" w:hAnsi="宋体" w:eastAsia="仿宋_GB2312"/>
          <w:sz w:val="24"/>
          <w:szCs w:val="21"/>
        </w:rPr>
        <w:t>（1）</w:t>
      </w:r>
      <w:r>
        <w:rPr>
          <w:rFonts w:hint="eastAsia" w:ascii="宋体" w:hAnsi="宋体" w:eastAsia="仿宋_GB2312"/>
          <w:sz w:val="24"/>
          <w:szCs w:val="21"/>
          <w:lang w:eastAsia="zh-CN"/>
        </w:rPr>
        <w:t>应按照格式要求逐条说明，不涉及的填“无”。</w:t>
      </w:r>
    </w:p>
    <w:p w14:paraId="6D72E1FF">
      <w:pPr>
        <w:keepNext w:val="0"/>
        <w:keepLines w:val="0"/>
        <w:pageBreakBefore w:val="0"/>
        <w:widowControl/>
        <w:kinsoku/>
        <w:wordWrap/>
        <w:overflowPunct/>
        <w:topLinePunct w:val="0"/>
        <w:autoSpaceDE/>
        <w:autoSpaceDN/>
        <w:bidi w:val="0"/>
        <w:adjustRightInd/>
        <w:snapToGrid/>
        <w:spacing w:line="360" w:lineRule="auto"/>
        <w:ind w:firstLine="480"/>
        <w:textAlignment w:val="auto"/>
        <w:outlineLvl w:val="9"/>
        <w:rPr>
          <w:rFonts w:hint="eastAsia" w:ascii="宋体" w:hAnsi="宋体" w:eastAsia="仿宋_GB2312"/>
          <w:sz w:val="24"/>
          <w:szCs w:val="21"/>
          <w:lang w:val="en-US" w:eastAsia="zh-CN"/>
        </w:rPr>
      </w:pPr>
      <w:r>
        <w:rPr>
          <w:rFonts w:hint="eastAsia" w:ascii="宋体" w:hAnsi="宋体" w:eastAsia="仿宋_GB2312"/>
          <w:sz w:val="24"/>
          <w:szCs w:val="21"/>
          <w:lang w:val="en-US" w:eastAsia="zh-CN"/>
        </w:rPr>
        <w:t>（2）应根据工作进度不断补充完善，工作过程有连续性。</w:t>
      </w:r>
    </w:p>
    <w:p w14:paraId="319E1F24">
      <w:pPr>
        <w:keepNext w:val="0"/>
        <w:keepLines w:val="0"/>
        <w:pageBreakBefore w:val="0"/>
        <w:widowControl/>
        <w:kinsoku/>
        <w:wordWrap/>
        <w:overflowPunct/>
        <w:topLinePunct w:val="0"/>
        <w:autoSpaceDE/>
        <w:autoSpaceDN/>
        <w:bidi w:val="0"/>
        <w:adjustRightInd/>
        <w:snapToGrid/>
        <w:spacing w:line="360" w:lineRule="auto"/>
        <w:ind w:firstLine="480"/>
        <w:textAlignment w:val="auto"/>
        <w:outlineLvl w:val="9"/>
        <w:rPr>
          <w:rFonts w:hint="eastAsia" w:ascii="宋体" w:hAnsi="宋体" w:eastAsia="仿宋_GB2312"/>
          <w:sz w:val="24"/>
          <w:szCs w:val="21"/>
          <w:lang w:eastAsia="zh-CN"/>
        </w:rPr>
      </w:pPr>
      <w:r>
        <w:rPr>
          <w:rFonts w:hint="eastAsia" w:ascii="宋体" w:hAnsi="宋体" w:eastAsia="仿宋_GB2312"/>
          <w:sz w:val="24"/>
          <w:szCs w:val="21"/>
          <w:lang w:eastAsia="zh-CN"/>
        </w:rPr>
        <w:t>（</w:t>
      </w:r>
      <w:r>
        <w:rPr>
          <w:rFonts w:hint="eastAsia" w:ascii="宋体" w:hAnsi="宋体" w:eastAsia="仿宋_GB2312"/>
          <w:sz w:val="24"/>
          <w:szCs w:val="21"/>
          <w:lang w:val="en-US" w:eastAsia="zh-CN"/>
        </w:rPr>
        <w:t>3</w:t>
      </w:r>
      <w:r>
        <w:rPr>
          <w:rFonts w:hint="eastAsia" w:ascii="宋体" w:hAnsi="宋体" w:eastAsia="仿宋_GB2312"/>
          <w:sz w:val="24"/>
          <w:szCs w:val="21"/>
          <w:lang w:eastAsia="zh-CN"/>
        </w:rPr>
        <w:t>）编制说明不是对标准内容的复制。</w:t>
      </w:r>
    </w:p>
    <w:p w14:paraId="36DC3036">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仿宋_GB2312"/>
          <w:sz w:val="24"/>
          <w:szCs w:val="21"/>
        </w:rPr>
      </w:pPr>
      <w:r>
        <w:rPr>
          <w:rFonts w:hint="eastAsia" w:ascii="宋体" w:hAnsi="宋体" w:eastAsia="仿宋_GB2312"/>
          <w:sz w:val="24"/>
          <w:szCs w:val="21"/>
          <w:lang w:eastAsia="zh-CN"/>
        </w:rPr>
        <w:t>（</w:t>
      </w:r>
      <w:r>
        <w:rPr>
          <w:rFonts w:hint="eastAsia" w:ascii="宋体" w:hAnsi="宋体" w:eastAsia="仿宋_GB2312"/>
          <w:sz w:val="24"/>
          <w:szCs w:val="21"/>
          <w:lang w:val="en-US" w:eastAsia="zh-CN"/>
        </w:rPr>
        <w:t>4</w:t>
      </w:r>
      <w:r>
        <w:rPr>
          <w:rFonts w:hint="eastAsia" w:ascii="宋体" w:hAnsi="宋体" w:eastAsia="仿宋_GB2312"/>
          <w:sz w:val="24"/>
          <w:szCs w:val="21"/>
          <w:lang w:eastAsia="zh-CN"/>
        </w:rPr>
        <w:t>）应关注强制性标准的依据、修订标准的主要技术内容比对、标准实施过渡期、强制性标准实施政策等重要内容的编写，详见下文模板。</w:t>
      </w:r>
    </w:p>
    <w:p w14:paraId="7A4EE7F4">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宋体" w:hAnsi="宋体" w:eastAsia="仿宋_GB2312"/>
          <w:sz w:val="24"/>
          <w:szCs w:val="21"/>
          <w:lang w:val="en-US" w:eastAsia="zh-CN"/>
        </w:rPr>
      </w:pPr>
      <w:r>
        <w:rPr>
          <w:rFonts w:hint="eastAsia" w:ascii="宋体" w:hAnsi="宋体" w:eastAsia="仿宋_GB2312"/>
          <w:sz w:val="24"/>
          <w:szCs w:val="21"/>
          <w:lang w:val="en-US" w:eastAsia="zh-CN"/>
        </w:rPr>
        <w:t xml:space="preserve">    4.其他</w:t>
      </w:r>
    </w:p>
    <w:p w14:paraId="3564259A">
      <w:pPr>
        <w:keepNext w:val="0"/>
        <w:keepLines w:val="0"/>
        <w:pageBreakBefore w:val="0"/>
        <w:widowControl/>
        <w:kinsoku/>
        <w:wordWrap/>
        <w:overflowPunct/>
        <w:topLinePunct w:val="0"/>
        <w:autoSpaceDE/>
        <w:autoSpaceDN/>
        <w:bidi w:val="0"/>
        <w:adjustRightInd/>
        <w:snapToGrid/>
        <w:spacing w:line="360" w:lineRule="auto"/>
        <w:ind w:firstLine="480"/>
        <w:textAlignment w:val="auto"/>
        <w:outlineLvl w:val="9"/>
        <w:rPr>
          <w:rFonts w:hint="eastAsia" w:ascii="宋体" w:hAnsi="宋体" w:eastAsia="仿宋_GB2312"/>
          <w:sz w:val="24"/>
          <w:szCs w:val="21"/>
          <w:lang w:val="en-US" w:eastAsia="zh-CN"/>
        </w:rPr>
      </w:pPr>
      <w:r>
        <w:rPr>
          <w:rFonts w:hint="eastAsia" w:ascii="宋体" w:hAnsi="宋体" w:eastAsia="仿宋_GB2312"/>
          <w:sz w:val="24"/>
          <w:szCs w:val="21"/>
        </w:rPr>
        <w:t>（1）</w:t>
      </w:r>
      <w:r>
        <w:rPr>
          <w:rFonts w:hint="eastAsia" w:ascii="宋体" w:hAnsi="宋体" w:eastAsia="仿宋_GB2312"/>
          <w:sz w:val="24"/>
          <w:szCs w:val="21"/>
          <w:lang w:val="en-US" w:eastAsia="zh-CN"/>
        </w:rPr>
        <w:t>编制说明内容模板中的斜体文字内容为参考，正式提交后应删除。</w:t>
      </w:r>
    </w:p>
    <w:p w14:paraId="73A570E0">
      <w:pPr>
        <w:keepNext w:val="0"/>
        <w:keepLines w:val="0"/>
        <w:pageBreakBefore w:val="0"/>
        <w:widowControl/>
        <w:kinsoku/>
        <w:wordWrap/>
        <w:overflowPunct/>
        <w:topLinePunct w:val="0"/>
        <w:autoSpaceDE/>
        <w:autoSpaceDN/>
        <w:bidi w:val="0"/>
        <w:adjustRightInd/>
        <w:snapToGrid/>
        <w:spacing w:line="360" w:lineRule="auto"/>
        <w:ind w:firstLine="480"/>
        <w:textAlignment w:val="auto"/>
        <w:outlineLvl w:val="9"/>
        <w:rPr>
          <w:rFonts w:hint="eastAsia" w:ascii="宋体" w:hAnsi="宋体" w:eastAsia="仿宋_GB2312"/>
          <w:sz w:val="24"/>
          <w:szCs w:val="21"/>
          <w:lang w:val="en-US" w:eastAsia="zh-CN"/>
        </w:rPr>
      </w:pPr>
      <w:r>
        <w:rPr>
          <w:rFonts w:hint="eastAsia" w:ascii="宋体" w:hAnsi="宋体" w:eastAsia="仿宋_GB2312"/>
          <w:sz w:val="24"/>
          <w:szCs w:val="21"/>
          <w:lang w:val="en-US" w:eastAsia="zh-CN"/>
        </w:rPr>
        <w:t>（2）编制说明应正反面打印。本说明保留，打印首页反面。</w:t>
      </w:r>
    </w:p>
    <w:p w14:paraId="095B865A">
      <w:pPr>
        <w:keepNext w:val="0"/>
        <w:keepLines w:val="0"/>
        <w:pageBreakBefore w:val="0"/>
        <w:widowControl/>
        <w:kinsoku/>
        <w:wordWrap/>
        <w:overflowPunct/>
        <w:topLinePunct w:val="0"/>
        <w:autoSpaceDE/>
        <w:autoSpaceDN/>
        <w:bidi w:val="0"/>
        <w:adjustRightInd/>
        <w:snapToGrid/>
        <w:spacing w:line="360" w:lineRule="auto"/>
        <w:ind w:firstLine="480"/>
        <w:textAlignment w:val="auto"/>
        <w:outlineLvl w:val="9"/>
        <w:rPr>
          <w:rFonts w:hint="eastAsia" w:ascii="宋体" w:hAnsi="宋体" w:eastAsia="仿宋_GB2312"/>
          <w:sz w:val="24"/>
          <w:szCs w:val="21"/>
          <w:lang w:val="en-US" w:eastAsia="zh-CN"/>
        </w:rPr>
      </w:pPr>
      <w:r>
        <w:rPr>
          <w:rFonts w:hint="eastAsia" w:ascii="宋体" w:hAnsi="宋体" w:eastAsia="仿宋_GB2312"/>
          <w:sz w:val="24"/>
          <w:szCs w:val="21"/>
          <w:lang w:val="en-US" w:eastAsia="zh-CN"/>
        </w:rPr>
        <w:t>（3）页码从第三页开始编，起始页码为“</w:t>
      </w:r>
      <w:r>
        <w:rPr>
          <w:rFonts w:hint="default" w:ascii="宋体" w:hAnsi="宋体" w:eastAsia="仿宋_GB2312"/>
          <w:sz w:val="24"/>
          <w:szCs w:val="21"/>
          <w:lang w:val="en-US" w:eastAsia="zh-CN"/>
        </w:rPr>
        <w:t>1</w:t>
      </w:r>
      <w:r>
        <w:rPr>
          <w:rFonts w:hint="eastAsia" w:ascii="宋体" w:hAnsi="宋体" w:eastAsia="仿宋_GB2312"/>
          <w:sz w:val="24"/>
          <w:szCs w:val="21"/>
          <w:lang w:val="en-US" w:eastAsia="zh-CN"/>
        </w:rPr>
        <w:t>”，页码为五号宋体。</w:t>
      </w:r>
    </w:p>
    <w:p w14:paraId="6B85D126">
      <w:pPr>
        <w:pStyle w:val="2"/>
        <w:rPr>
          <w:rFonts w:hint="eastAsia" w:ascii="宋体" w:hAnsi="宋体" w:eastAsia="仿宋_GB2312"/>
          <w:sz w:val="24"/>
          <w:szCs w:val="21"/>
          <w:lang w:val="en-US" w:eastAsia="zh-CN"/>
        </w:rPr>
      </w:pPr>
    </w:p>
    <w:p w14:paraId="4A30CD23">
      <w:pPr>
        <w:rPr>
          <w:rFonts w:hint="eastAsia"/>
          <w:lang w:val="en-US" w:eastAsia="zh-CN"/>
        </w:rPr>
      </w:pPr>
      <w:r>
        <w:rPr>
          <w:rFonts w:hint="eastAsia"/>
          <w:lang w:val="en-US" w:eastAsia="zh-CN"/>
        </w:rPr>
        <w:br w:type="page"/>
      </w:r>
    </w:p>
    <w:p w14:paraId="7006B78C">
      <w:pPr>
        <w:snapToGrid w:val="0"/>
        <w:spacing w:line="360" w:lineRule="auto"/>
        <w:ind w:firstLine="560" w:firstLineChars="200"/>
        <w:rPr>
          <w:rFonts w:ascii="Times New Roman" w:hAnsi="Times New Roman" w:eastAsia="仿宋"/>
          <w:sz w:val="28"/>
          <w:szCs w:val="28"/>
        </w:rPr>
        <w:sectPr>
          <w:pgSz w:w="11906" w:h="16838"/>
          <w:pgMar w:top="1701" w:right="1474" w:bottom="1474" w:left="1587" w:header="851" w:footer="992" w:gutter="0"/>
          <w:pgNumType w:fmt="decimal"/>
          <w:cols w:space="720" w:num="1"/>
          <w:rtlGutter w:val="0"/>
          <w:docGrid w:type="lines" w:linePitch="312" w:charSpace="0"/>
        </w:sectPr>
      </w:pPr>
    </w:p>
    <w:p w14:paraId="7C9AEF7C">
      <w:pPr>
        <w:widowControl/>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rPr>
        <w:t>一、工作简况</w:t>
      </w:r>
    </w:p>
    <w:p w14:paraId="6E9E403F">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（一）任务来源</w:t>
      </w:r>
    </w:p>
    <w:p w14:paraId="3A2A6425">
      <w:pPr>
        <w:spacing w:line="560" w:lineRule="exact"/>
        <w:ind w:firstLine="620" w:firstLineChars="200"/>
        <w:rPr>
          <w:rFonts w:hint="eastAsia" w:ascii="宋体" w:hAnsi="宋体" w:eastAsia="仿宋_GB2312" w:cs="仿宋_GB2312"/>
          <w:spacing w:val="-5"/>
          <w:kern w:val="0"/>
          <w:sz w:val="32"/>
          <w:szCs w:val="32"/>
          <w:lang w:val="en-US" w:eastAsia="zh-CN" w:bidi="ar-SA"/>
        </w:rPr>
      </w:pPr>
      <w:r>
        <w:rPr>
          <w:rFonts w:hint="eastAsia" w:ascii="宋体" w:hAnsi="宋体" w:eastAsia="仿宋_GB2312" w:cs="仿宋_GB2312"/>
          <w:spacing w:val="-5"/>
          <w:kern w:val="0"/>
          <w:sz w:val="32"/>
          <w:szCs w:val="32"/>
          <w:lang w:val="en-US" w:eastAsia="zh-CN" w:bidi="ar-SA"/>
        </w:rPr>
        <w:t>根据应急管理部办公厅《关于印发34项行业标准制修订计划的通知》（应急厅函〔2024〕262号），《海洋石油天然气开采建设项目安全预评价导则》（以下简称《导则》）的计划号为2024-AQ-33，项目周期18个月，由全国安全生产标准化技术委员会石油天然气开采分技术委员会（TC 288/SC 10）组织起草和审查。</w:t>
      </w:r>
    </w:p>
    <w:p w14:paraId="1A4F62FA">
      <w:pPr>
        <w:spacing w:line="560" w:lineRule="exact"/>
        <w:ind w:firstLine="640" w:firstLineChars="200"/>
        <w:rPr>
          <w:rFonts w:hint="eastAsia" w:ascii="楷体" w:hAnsi="楷体" w:eastAsia="楷体"/>
          <w:sz w:val="32"/>
          <w:szCs w:val="32"/>
          <w:shd w:val="clear" w:color="auto" w:fill="FFFFFF"/>
        </w:rPr>
      </w:pPr>
      <w:r>
        <w:rPr>
          <w:rFonts w:hint="eastAsia" w:ascii="楷体" w:hAnsi="楷体" w:eastAsia="楷体"/>
          <w:sz w:val="32"/>
          <w:szCs w:val="32"/>
          <w:shd w:val="clear" w:color="auto" w:fill="FFFFFF"/>
        </w:rPr>
        <w:t>（二）制定背景</w:t>
      </w:r>
    </w:p>
    <w:p w14:paraId="3349F5E5">
      <w:pPr>
        <w:spacing w:line="560" w:lineRule="exact"/>
        <w:ind w:firstLine="620" w:firstLineChars="200"/>
        <w:rPr>
          <w:rFonts w:hint="eastAsia" w:ascii="宋体" w:hAnsi="宋体" w:eastAsia="仿宋_GB2312" w:cs="仿宋_GB2312"/>
          <w:spacing w:val="-5"/>
          <w:kern w:val="0"/>
          <w:sz w:val="32"/>
          <w:szCs w:val="32"/>
          <w:lang w:val="en-US" w:eastAsia="zh-CN" w:bidi="ar-SA"/>
        </w:rPr>
      </w:pPr>
      <w:r>
        <w:rPr>
          <w:rFonts w:hint="eastAsia" w:ascii="宋体" w:hAnsi="宋体" w:eastAsia="仿宋_GB2312" w:cs="仿宋_GB2312"/>
          <w:spacing w:val="-5"/>
          <w:kern w:val="0"/>
          <w:sz w:val="32"/>
          <w:szCs w:val="32"/>
          <w:lang w:val="en-US" w:eastAsia="zh-CN" w:bidi="ar-SA"/>
        </w:rPr>
        <w:t>近年来，我国海洋油气资源探明储量和开发均呈上升趋势。随着国内海洋石油天然气开采业的发展，海洋油气资源开发已发展成为保障我国能源安全的重要力量。</w:t>
      </w:r>
    </w:p>
    <w:p w14:paraId="42D18FA8">
      <w:pPr>
        <w:spacing w:line="560" w:lineRule="exact"/>
        <w:ind w:firstLine="620" w:firstLineChars="200"/>
        <w:rPr>
          <w:rFonts w:hint="eastAsia" w:ascii="宋体" w:hAnsi="宋体" w:eastAsia="仿宋_GB2312" w:cs="仿宋_GB2312"/>
          <w:spacing w:val="-5"/>
          <w:kern w:val="0"/>
          <w:sz w:val="32"/>
          <w:szCs w:val="32"/>
          <w:lang w:val="en-US" w:eastAsia="zh-CN" w:bidi="ar-SA"/>
        </w:rPr>
      </w:pPr>
      <w:r>
        <w:rPr>
          <w:rFonts w:hint="eastAsia" w:ascii="宋体" w:hAnsi="宋体" w:eastAsia="仿宋_GB2312" w:cs="仿宋_GB2312"/>
          <w:spacing w:val="-5"/>
          <w:kern w:val="0"/>
          <w:sz w:val="32"/>
          <w:szCs w:val="32"/>
          <w:lang w:val="en-US" w:eastAsia="zh-CN" w:bidi="ar-SA"/>
        </w:rPr>
        <w:t>海洋石油天然气开采建设项目是海洋石油天然气开发、生产的重要手段。随着我国海洋石油天然气开采行业的快速发展，海洋油气向深水、超深水进军，钢质导管架平台、FPSO、半潜式平台、人工岛等开发方式日益多样化，海洋石油设施又面临如恶劣天气、复杂海况、高盐高湿、空间不足等特殊作业环境风险，给海洋石油天然气开采建设项目带来了巨大安全挑战。实践证明开展海洋石油天然气开采建设项目安全预评价工作，提高建设项目安全准入门槛，从建设项目源头介入，将安全关口前移，能够避免建设项目在安全方面“先天不足”，有效预防、化解建设项目潜在安全风险。</w:t>
      </w:r>
    </w:p>
    <w:p w14:paraId="70AB8172">
      <w:pPr>
        <w:spacing w:line="560" w:lineRule="exact"/>
        <w:ind w:firstLine="620" w:firstLineChars="200"/>
        <w:rPr>
          <w:rFonts w:hint="eastAsia" w:ascii="宋体" w:hAnsi="宋体" w:eastAsia="仿宋_GB2312" w:cs="仿宋_GB2312"/>
          <w:spacing w:val="-5"/>
          <w:kern w:val="0"/>
          <w:sz w:val="32"/>
          <w:szCs w:val="32"/>
          <w:lang w:val="en-US" w:eastAsia="zh-CN" w:bidi="ar-SA"/>
        </w:rPr>
      </w:pPr>
      <w:r>
        <w:rPr>
          <w:rFonts w:hint="eastAsia" w:ascii="宋体" w:hAnsi="宋体" w:eastAsia="仿宋_GB2312" w:cs="仿宋_GB2312"/>
          <w:spacing w:val="-5"/>
          <w:kern w:val="0"/>
          <w:sz w:val="32"/>
          <w:szCs w:val="32"/>
          <w:lang w:val="en-US" w:eastAsia="zh-CN" w:bidi="ar-SA"/>
        </w:rPr>
        <w:t>目前，针对国内海洋石油天然气行业安全预评价没有强制标准。国内已有全国安全生产标准化技术委员会归口的《安全预评价导则》（AQ 8002-2007），该标准已使用十几年，在实施过程中暴露出了部分问题，反映出对建设项目安全预评价工作要求不够细致具体，且存在标准执行过程中条款遵循不一致等问题，不能满足当前安全评价工作开展和安全监管要求。</w:t>
      </w:r>
    </w:p>
    <w:p w14:paraId="7B0B9341">
      <w:pPr>
        <w:spacing w:line="560" w:lineRule="exact"/>
        <w:ind w:firstLine="620" w:firstLineChars="200"/>
        <w:rPr>
          <w:rFonts w:hint="eastAsia" w:ascii="宋体" w:hAnsi="宋体" w:eastAsia="仿宋_GB2312" w:cs="仿宋_GB2312"/>
          <w:spacing w:val="-5"/>
          <w:kern w:val="0"/>
          <w:sz w:val="32"/>
          <w:szCs w:val="32"/>
          <w:lang w:val="en-US" w:eastAsia="zh-CN" w:bidi="ar-SA"/>
        </w:rPr>
      </w:pPr>
      <w:r>
        <w:rPr>
          <w:rFonts w:hint="eastAsia" w:ascii="宋体" w:hAnsi="宋体" w:eastAsia="仿宋_GB2312" w:cs="仿宋_GB2312"/>
          <w:spacing w:val="-5"/>
          <w:kern w:val="0"/>
          <w:sz w:val="32"/>
          <w:szCs w:val="32"/>
          <w:lang w:val="en-US" w:eastAsia="zh-CN" w:bidi="ar-SA"/>
        </w:rPr>
        <w:t>石油工业安全专业标准化技术委员会归口的《石油天然气行业建设项目（工程）安全预评价报告编写细则》（SY/T 6607-2019），该文件属于行业内推荐性标准，对安全技术服务机构开展安全预评价工作约束力度不够。</w:t>
      </w:r>
    </w:p>
    <w:p w14:paraId="1C88958E">
      <w:pPr>
        <w:spacing w:line="560" w:lineRule="exact"/>
        <w:ind w:firstLine="620" w:firstLineChars="200"/>
        <w:rPr>
          <w:rFonts w:hint="eastAsia" w:ascii="宋体" w:hAnsi="宋体" w:eastAsia="仿宋_GB2312" w:cs="仿宋_GB2312"/>
          <w:spacing w:val="-5"/>
          <w:kern w:val="0"/>
          <w:sz w:val="32"/>
          <w:szCs w:val="32"/>
          <w:lang w:val="en-US" w:eastAsia="zh-CN" w:bidi="ar-SA"/>
        </w:rPr>
      </w:pPr>
      <w:r>
        <w:rPr>
          <w:rFonts w:hint="eastAsia" w:ascii="宋体" w:hAnsi="宋体" w:eastAsia="仿宋_GB2312" w:cs="仿宋_GB2312"/>
          <w:spacing w:val="-5"/>
          <w:kern w:val="0"/>
          <w:sz w:val="32"/>
          <w:szCs w:val="32"/>
          <w:lang w:val="en-US" w:eastAsia="zh-CN" w:bidi="ar-SA"/>
        </w:rPr>
        <w:t>此标准的出台，可指导安全评价机构按统一的标准和要求开展安全预评价工作，更好地适应国家安全生产的新形势和新要求，提高海洋石油天然气建设项目安全预评价的技术水平；同时优化完善应急管理标准体系，统筹扩大强制性标准规模，确保标准管用好用，满足《建设项目安全设施“三同时”监督管理暂行办法》关于建设项目安全预评价报告应当符合国家标准或者行业标准的规定要求，填补石油天然气开采业建设项目“三同时”管理中无强制性标准的空白。</w:t>
      </w:r>
    </w:p>
    <w:p w14:paraId="3B137C5A">
      <w:pPr>
        <w:spacing w:line="560" w:lineRule="exact"/>
        <w:ind w:firstLine="640" w:firstLineChars="200"/>
        <w:rPr>
          <w:rFonts w:hint="eastAsia" w:ascii="楷体" w:hAnsi="楷体" w:eastAsia="楷体"/>
          <w:sz w:val="32"/>
          <w:szCs w:val="32"/>
          <w:shd w:val="clear" w:color="auto" w:fill="FFFFFF"/>
        </w:rPr>
      </w:pPr>
      <w:r>
        <w:rPr>
          <w:rFonts w:hint="eastAsia" w:ascii="楷体" w:hAnsi="楷体" w:eastAsia="楷体"/>
          <w:sz w:val="32"/>
          <w:szCs w:val="32"/>
          <w:shd w:val="clear" w:color="auto" w:fill="FFFFFF"/>
        </w:rPr>
        <w:t>（三）起草小组人员组成及所在单位</w:t>
      </w:r>
    </w:p>
    <w:p w14:paraId="0A97E17B">
      <w:pPr>
        <w:spacing w:line="560" w:lineRule="exact"/>
        <w:ind w:firstLine="620" w:firstLineChars="200"/>
        <w:rPr>
          <w:rFonts w:ascii="宋体" w:hAnsi="宋体" w:eastAsia="仿宋_GB2312" w:cs="汉仪中秀体简"/>
          <w:sz w:val="32"/>
          <w:szCs w:val="28"/>
          <w:highlight w:val="none"/>
          <w:shd w:val="clear" w:color="auto" w:fill="FFFFFF"/>
        </w:rPr>
      </w:pPr>
      <w:r>
        <w:rPr>
          <w:rFonts w:hint="eastAsia" w:ascii="宋体" w:hAnsi="宋体" w:eastAsia="仿宋_GB2312" w:cs="仿宋_GB2312"/>
          <w:spacing w:val="-5"/>
          <w:kern w:val="0"/>
          <w:sz w:val="32"/>
          <w:szCs w:val="32"/>
          <w:lang w:val="en-US" w:eastAsia="zh-CN" w:bidi="ar-SA"/>
        </w:rPr>
        <w:t>根据立项计划，2024年4月成立标准起草工作组，</w:t>
      </w:r>
      <w:r>
        <w:rPr>
          <w:rFonts w:hint="eastAsia" w:ascii="宋体" w:hAnsi="宋体" w:eastAsia="仿宋_GB2312" w:cs="仿宋_GB2312"/>
          <w:spacing w:val="-5"/>
          <w:kern w:val="0"/>
          <w:sz w:val="32"/>
          <w:szCs w:val="32"/>
          <w:highlight w:val="none"/>
          <w:lang w:val="en-US" w:eastAsia="zh-CN" w:bidi="ar-SA"/>
        </w:rPr>
        <w:t>中海油安全技术服务有限公司牵头</w:t>
      </w:r>
      <w:r>
        <w:rPr>
          <w:rFonts w:hint="eastAsia" w:ascii="宋体" w:hAnsi="宋体" w:eastAsia="仿宋_GB2312" w:cs="Times New Roman"/>
          <w:i w:val="0"/>
          <w:iCs w:val="0"/>
          <w:color w:val="auto"/>
          <w:sz w:val="32"/>
          <w:szCs w:val="32"/>
          <w:lang w:val="en-US" w:eastAsia="zh-CN"/>
        </w:rPr>
        <w:t>负责本文件的制订工作</w:t>
      </w:r>
      <w:r>
        <w:rPr>
          <w:rFonts w:hint="eastAsia" w:ascii="宋体" w:hAnsi="宋体" w:eastAsia="仿宋_GB2312" w:cs="仿宋_GB2312"/>
          <w:spacing w:val="-5"/>
          <w:kern w:val="0"/>
          <w:sz w:val="32"/>
          <w:szCs w:val="32"/>
          <w:highlight w:val="none"/>
          <w:lang w:val="en-US" w:eastAsia="zh-CN" w:bidi="ar-SA"/>
        </w:rPr>
        <w:t>，</w:t>
      </w:r>
      <w:r>
        <w:rPr>
          <w:rFonts w:hint="eastAsia" w:ascii="宋体" w:hAnsi="宋体" w:eastAsia="仿宋_GB2312" w:cs="仿宋_GB2312"/>
          <w:spacing w:val="-5"/>
          <w:kern w:val="0"/>
          <w:sz w:val="32"/>
          <w:szCs w:val="32"/>
          <w:lang w:val="en-US" w:eastAsia="zh-CN" w:bidi="ar-SA"/>
        </w:rPr>
        <w:t>中国石油集团安全环保技术研究院有限公司、中石化（山东）检测评价研究有限公司、中国石油大学(北京)、中海油研究总院有限责任公司、中海石油（中国）有限公司天津分公司、中海石油（中国）有限公司北京新能源分公司、中国石化胜利油田分公司、天时集团能源有限公司参加标准的制订工作。</w:t>
      </w:r>
    </w:p>
    <w:p w14:paraId="0EC44380">
      <w:pPr>
        <w:spacing w:line="560" w:lineRule="exact"/>
        <w:ind w:firstLine="640" w:firstLineChars="200"/>
        <w:rPr>
          <w:rFonts w:hint="eastAsia" w:ascii="楷体" w:hAnsi="楷体" w:eastAsia="楷体"/>
          <w:sz w:val="32"/>
          <w:szCs w:val="32"/>
          <w:shd w:val="clear" w:color="auto" w:fill="FFFFFF"/>
        </w:rPr>
      </w:pPr>
      <w:r>
        <w:rPr>
          <w:rFonts w:hint="eastAsia" w:ascii="楷体" w:hAnsi="楷体" w:eastAsia="楷体"/>
          <w:sz w:val="32"/>
          <w:szCs w:val="32"/>
          <w:shd w:val="clear" w:color="auto" w:fill="FFFFFF"/>
        </w:rPr>
        <w:t>（四）</w:t>
      </w:r>
      <w:r>
        <w:rPr>
          <w:rFonts w:hint="eastAsia" w:ascii="楷体" w:hAnsi="楷体" w:eastAsia="楷体"/>
          <w:sz w:val="32"/>
          <w:szCs w:val="32"/>
          <w:shd w:val="clear" w:color="auto" w:fill="FFFFFF"/>
          <w:lang w:eastAsia="zh-CN"/>
        </w:rPr>
        <w:t>主要起草</w:t>
      </w:r>
      <w:r>
        <w:rPr>
          <w:rFonts w:hint="eastAsia" w:ascii="楷体" w:hAnsi="楷体" w:eastAsia="楷体"/>
          <w:sz w:val="32"/>
          <w:szCs w:val="32"/>
          <w:shd w:val="clear" w:color="auto" w:fill="FFFFFF"/>
        </w:rPr>
        <w:t>过程</w:t>
      </w:r>
    </w:p>
    <w:p w14:paraId="199FBE52">
      <w:pPr>
        <w:spacing w:line="560" w:lineRule="exact"/>
        <w:ind w:firstLine="616" w:firstLineChars="200"/>
        <w:rPr>
          <w:rFonts w:hint="eastAsia" w:ascii="宋体" w:hAnsi="宋体" w:eastAsia="仿宋_GB2312" w:cs="仿宋_GB2312"/>
          <w:spacing w:val="-6"/>
          <w:kern w:val="0"/>
          <w:sz w:val="32"/>
          <w:szCs w:val="32"/>
          <w:lang w:val="en-US" w:eastAsia="zh-CN" w:bidi="ar-SA"/>
        </w:rPr>
      </w:pPr>
      <w:r>
        <w:rPr>
          <w:rFonts w:hint="default" w:ascii="宋体" w:hAnsi="宋体" w:eastAsia="仿宋_GB2312" w:cs="仿宋_GB2312"/>
          <w:spacing w:val="-6"/>
          <w:kern w:val="0"/>
          <w:sz w:val="32"/>
          <w:szCs w:val="32"/>
          <w:lang w:val="en-US" w:eastAsia="zh-CN" w:bidi="ar-SA"/>
        </w:rPr>
        <w:t>202</w:t>
      </w:r>
      <w:r>
        <w:rPr>
          <w:rFonts w:hint="eastAsia" w:ascii="宋体" w:hAnsi="宋体" w:eastAsia="仿宋_GB2312" w:cs="仿宋_GB2312"/>
          <w:spacing w:val="-6"/>
          <w:kern w:val="0"/>
          <w:sz w:val="32"/>
          <w:szCs w:val="32"/>
          <w:lang w:val="en-US" w:eastAsia="zh-CN" w:bidi="ar-SA"/>
        </w:rPr>
        <w:t>4</w:t>
      </w:r>
      <w:r>
        <w:rPr>
          <w:rFonts w:hint="default" w:ascii="宋体" w:hAnsi="宋体" w:eastAsia="仿宋_GB2312" w:cs="仿宋_GB2312"/>
          <w:spacing w:val="-6"/>
          <w:kern w:val="0"/>
          <w:sz w:val="32"/>
          <w:szCs w:val="32"/>
          <w:lang w:val="en-US" w:eastAsia="zh-CN" w:bidi="ar-SA"/>
        </w:rPr>
        <w:t>年3月</w:t>
      </w:r>
      <w:r>
        <w:rPr>
          <w:rFonts w:hint="eastAsia" w:ascii="宋体" w:hAnsi="宋体" w:eastAsia="仿宋_GB2312" w:cs="仿宋_GB2312"/>
          <w:spacing w:val="-6"/>
          <w:kern w:val="0"/>
          <w:sz w:val="32"/>
          <w:szCs w:val="32"/>
          <w:lang w:val="en-US" w:eastAsia="zh-CN" w:bidi="ar-SA"/>
        </w:rPr>
        <w:t>，全国安全生产标准化技术委员会石油天然气开采安全分技术委员会（以下简称“石油安全分标委”）先后组织召开标准立项论证会和审查会，起草工作组进行了汇报，本标准顺利通过了论证和审查。</w:t>
      </w:r>
    </w:p>
    <w:p w14:paraId="01304C4D">
      <w:pPr>
        <w:spacing w:line="560" w:lineRule="exact"/>
        <w:ind w:firstLine="616" w:firstLineChars="200"/>
        <w:rPr>
          <w:rFonts w:hint="default" w:ascii="宋体" w:hAnsi="宋体" w:eastAsia="仿宋_GB2312" w:cs="仿宋_GB2312"/>
          <w:spacing w:val="-6"/>
          <w:kern w:val="0"/>
          <w:sz w:val="32"/>
          <w:szCs w:val="32"/>
          <w:lang w:val="en-US" w:eastAsia="zh-CN" w:bidi="ar-SA"/>
        </w:rPr>
      </w:pPr>
      <w:r>
        <w:rPr>
          <w:rFonts w:hint="default" w:ascii="宋体" w:hAnsi="宋体" w:eastAsia="仿宋_GB2312" w:cs="仿宋_GB2312"/>
          <w:spacing w:val="-6"/>
          <w:kern w:val="0"/>
          <w:sz w:val="32"/>
          <w:szCs w:val="32"/>
          <w:lang w:val="en-US" w:eastAsia="zh-CN" w:bidi="ar-SA"/>
        </w:rPr>
        <w:t>202</w:t>
      </w:r>
      <w:r>
        <w:rPr>
          <w:rFonts w:hint="eastAsia" w:ascii="宋体" w:hAnsi="宋体" w:eastAsia="仿宋_GB2312" w:cs="仿宋_GB2312"/>
          <w:spacing w:val="-6"/>
          <w:kern w:val="0"/>
          <w:sz w:val="32"/>
          <w:szCs w:val="32"/>
          <w:lang w:val="en-US" w:eastAsia="zh-CN" w:bidi="ar-SA"/>
        </w:rPr>
        <w:t>4</w:t>
      </w:r>
      <w:r>
        <w:rPr>
          <w:rFonts w:hint="default" w:ascii="宋体" w:hAnsi="宋体" w:eastAsia="仿宋_GB2312" w:cs="仿宋_GB2312"/>
          <w:spacing w:val="-6"/>
          <w:kern w:val="0"/>
          <w:sz w:val="32"/>
          <w:szCs w:val="32"/>
          <w:lang w:val="en-US" w:eastAsia="zh-CN" w:bidi="ar-SA"/>
        </w:rPr>
        <w:t>年</w:t>
      </w:r>
      <w:r>
        <w:rPr>
          <w:rFonts w:hint="eastAsia" w:ascii="宋体" w:hAnsi="宋体" w:eastAsia="仿宋_GB2312" w:cs="仿宋_GB2312"/>
          <w:spacing w:val="-6"/>
          <w:kern w:val="0"/>
          <w:sz w:val="32"/>
          <w:szCs w:val="32"/>
          <w:lang w:val="en-US" w:eastAsia="zh-CN" w:bidi="ar-SA"/>
        </w:rPr>
        <w:t>5</w:t>
      </w:r>
      <w:r>
        <w:rPr>
          <w:rFonts w:hint="default" w:ascii="宋体" w:hAnsi="宋体" w:eastAsia="仿宋_GB2312" w:cs="仿宋_GB2312"/>
          <w:spacing w:val="-6"/>
          <w:kern w:val="0"/>
          <w:sz w:val="32"/>
          <w:szCs w:val="32"/>
          <w:lang w:val="en-US" w:eastAsia="zh-CN" w:bidi="ar-SA"/>
        </w:rPr>
        <w:t>月，牵头单位</w:t>
      </w:r>
      <w:r>
        <w:rPr>
          <w:rFonts w:hint="eastAsia" w:ascii="宋体" w:hAnsi="宋体" w:eastAsia="仿宋_GB2312" w:cs="仿宋_GB2312"/>
          <w:spacing w:val="-6"/>
          <w:kern w:val="0"/>
          <w:sz w:val="32"/>
          <w:szCs w:val="32"/>
          <w:lang w:val="en-US" w:eastAsia="zh-CN" w:bidi="ar-SA"/>
        </w:rPr>
        <w:t>中海油安全技术服务有限公司</w:t>
      </w:r>
      <w:r>
        <w:rPr>
          <w:rFonts w:hint="default" w:ascii="宋体" w:hAnsi="宋体" w:eastAsia="仿宋_GB2312" w:cs="仿宋_GB2312"/>
          <w:spacing w:val="-6"/>
          <w:kern w:val="0"/>
          <w:sz w:val="32"/>
          <w:szCs w:val="32"/>
          <w:lang w:val="en-US" w:eastAsia="zh-CN" w:bidi="ar-SA"/>
        </w:rPr>
        <w:t>组织参编单位商讨标准编制思路，</w:t>
      </w:r>
      <w:r>
        <w:rPr>
          <w:rFonts w:hint="eastAsia" w:ascii="宋体" w:hAnsi="宋体" w:eastAsia="仿宋_GB2312" w:cs="仿宋_GB2312"/>
          <w:spacing w:val="-6"/>
          <w:kern w:val="0"/>
          <w:sz w:val="32"/>
          <w:szCs w:val="32"/>
          <w:lang w:val="en-US" w:eastAsia="zh-CN" w:bidi="ar-SA"/>
        </w:rPr>
        <w:t>确定</w:t>
      </w:r>
      <w:r>
        <w:rPr>
          <w:rFonts w:hint="default" w:ascii="宋体" w:hAnsi="宋体" w:eastAsia="仿宋_GB2312" w:cs="仿宋_GB2312"/>
          <w:spacing w:val="-6"/>
          <w:kern w:val="0"/>
          <w:sz w:val="32"/>
          <w:szCs w:val="32"/>
          <w:lang w:val="en-US" w:eastAsia="zh-CN" w:bidi="ar-SA"/>
        </w:rPr>
        <w:t>标准编写框架结构。</w:t>
      </w:r>
    </w:p>
    <w:p w14:paraId="1048D3BF">
      <w:pPr>
        <w:spacing w:line="560" w:lineRule="exact"/>
        <w:ind w:firstLine="616" w:firstLineChars="200"/>
        <w:rPr>
          <w:rFonts w:hint="eastAsia" w:ascii="宋体" w:hAnsi="宋体" w:eastAsia="仿宋_GB2312" w:cs="仿宋_GB2312"/>
          <w:spacing w:val="-6"/>
          <w:kern w:val="0"/>
          <w:sz w:val="32"/>
          <w:szCs w:val="32"/>
          <w:lang w:val="en-US" w:eastAsia="zh-CN" w:bidi="ar-SA"/>
        </w:rPr>
      </w:pPr>
      <w:r>
        <w:rPr>
          <w:rFonts w:hint="eastAsia" w:ascii="宋体" w:hAnsi="宋体" w:eastAsia="仿宋_GB2312" w:cs="仿宋_GB2312"/>
          <w:spacing w:val="-6"/>
          <w:kern w:val="0"/>
          <w:sz w:val="32"/>
          <w:szCs w:val="32"/>
          <w:lang w:val="en-US" w:eastAsia="zh-CN" w:bidi="ar-SA"/>
        </w:rPr>
        <w:t>2024年6月-9月，起草工作组收集并研究海洋石油天然气开采建设项目安全预评价目前存在的主要问题，各起草单位讨论了标准草案，并按照职责分工进行了完善。</w:t>
      </w:r>
    </w:p>
    <w:p w14:paraId="6468A34D">
      <w:pPr>
        <w:spacing w:line="560" w:lineRule="exact"/>
        <w:ind w:firstLine="616" w:firstLineChars="200"/>
        <w:rPr>
          <w:rFonts w:hint="eastAsia" w:ascii="宋体" w:hAnsi="宋体" w:eastAsia="仿宋_GB2312" w:cs="仿宋_GB2312"/>
          <w:spacing w:val="-6"/>
          <w:kern w:val="0"/>
          <w:sz w:val="32"/>
          <w:szCs w:val="32"/>
          <w:lang w:val="en-US" w:eastAsia="zh-CN" w:bidi="ar-SA"/>
        </w:rPr>
      </w:pPr>
      <w:r>
        <w:rPr>
          <w:rFonts w:hint="eastAsia" w:ascii="宋体" w:hAnsi="宋体" w:eastAsia="仿宋_GB2312" w:cs="仿宋_GB2312"/>
          <w:spacing w:val="-6"/>
          <w:kern w:val="0"/>
          <w:sz w:val="32"/>
          <w:szCs w:val="32"/>
          <w:lang w:val="en-US" w:eastAsia="zh-CN" w:bidi="ar-SA"/>
        </w:rPr>
        <w:t>2024年10月-11月，</w:t>
      </w:r>
      <w:r>
        <w:rPr>
          <w:rFonts w:hint="default" w:ascii="宋体" w:hAnsi="宋体" w:eastAsia="仿宋_GB2312" w:cs="仿宋_GB2312"/>
          <w:spacing w:val="-6"/>
          <w:kern w:val="0"/>
          <w:sz w:val="32"/>
          <w:szCs w:val="32"/>
          <w:lang w:val="en-US" w:eastAsia="zh-CN" w:bidi="ar-SA"/>
        </w:rPr>
        <w:t>起草工作组调研</w:t>
      </w:r>
      <w:r>
        <w:rPr>
          <w:rFonts w:hint="eastAsia" w:ascii="宋体" w:hAnsi="宋体" w:eastAsia="仿宋_GB2312" w:cs="仿宋_GB2312"/>
          <w:spacing w:val="-6"/>
          <w:kern w:val="0"/>
          <w:sz w:val="32"/>
          <w:szCs w:val="32"/>
          <w:lang w:val="en-US" w:eastAsia="zh-CN" w:bidi="ar-SA"/>
        </w:rPr>
        <w:t>并收集整理海洋石油主要作业者、海洋石油安全评价机构的意见建议，</w:t>
      </w:r>
      <w:r>
        <w:rPr>
          <w:rFonts w:hint="eastAsia" w:ascii="仿宋_GB2312" w:eastAsia="仿宋_GB2312"/>
          <w:sz w:val="32"/>
          <w:szCs w:val="32"/>
          <w:shd w:val="clear" w:color="auto" w:fill="FFFFFF"/>
        </w:rPr>
        <w:t>工作组按照相关意见和建议对标准的内容进一步修订完善</w:t>
      </w:r>
      <w:r>
        <w:rPr>
          <w:rFonts w:hint="eastAsia" w:ascii="宋体" w:hAnsi="宋体" w:eastAsia="仿宋_GB2312" w:cs="仿宋_GB2312"/>
          <w:spacing w:val="-6"/>
          <w:kern w:val="0"/>
          <w:sz w:val="32"/>
          <w:szCs w:val="32"/>
          <w:lang w:val="en-US" w:eastAsia="zh-CN" w:bidi="ar-SA"/>
        </w:rPr>
        <w:t>。</w:t>
      </w:r>
    </w:p>
    <w:p w14:paraId="4B2D20F8">
      <w:pPr>
        <w:spacing w:line="560" w:lineRule="exact"/>
        <w:ind w:firstLine="620" w:firstLineChars="200"/>
        <w:rPr>
          <w:rFonts w:hint="default" w:ascii="宋体" w:hAnsi="宋体" w:eastAsia="仿宋_GB2312" w:cs="仿宋_GB2312"/>
          <w:spacing w:val="-5"/>
          <w:sz w:val="32"/>
          <w:szCs w:val="32"/>
          <w:lang w:val="en-US" w:eastAsia="zh-CN"/>
        </w:rPr>
      </w:pPr>
      <w:r>
        <w:rPr>
          <w:rFonts w:hint="eastAsia" w:ascii="宋体" w:hAnsi="宋体" w:eastAsia="仿宋_GB2312" w:cs="仿宋_GB2312"/>
          <w:spacing w:val="-5"/>
          <w:sz w:val="32"/>
          <w:szCs w:val="32"/>
        </w:rPr>
        <w:t>2024年11月，在天津进行了交流讨论，进一步修改完善了标准内容</w:t>
      </w:r>
      <w:r>
        <w:rPr>
          <w:rFonts w:hint="eastAsia" w:ascii="宋体" w:hAnsi="宋体" w:eastAsia="仿宋_GB2312" w:cs="仿宋_GB2312"/>
          <w:spacing w:val="-5"/>
          <w:sz w:val="32"/>
          <w:szCs w:val="32"/>
          <w:lang w:eastAsia="zh-CN"/>
        </w:rPr>
        <w:t>，</w:t>
      </w:r>
      <w:r>
        <w:rPr>
          <w:rFonts w:hint="eastAsia" w:ascii="宋体" w:hAnsi="宋体" w:eastAsia="仿宋_GB2312" w:cs="仿宋_GB2312"/>
          <w:spacing w:val="-5"/>
          <w:sz w:val="32"/>
          <w:szCs w:val="32"/>
          <w:lang w:val="en-US" w:eastAsia="zh-CN"/>
        </w:rPr>
        <w:t>形成标准初稿。</w:t>
      </w:r>
    </w:p>
    <w:p w14:paraId="6742635C">
      <w:pPr>
        <w:spacing w:line="560" w:lineRule="exact"/>
        <w:ind w:firstLine="616" w:firstLineChars="200"/>
        <w:rPr>
          <w:rFonts w:hint="eastAsia" w:ascii="宋体" w:hAnsi="宋体" w:eastAsia="仿宋_GB2312" w:cs="仿宋_GB2312"/>
          <w:spacing w:val="-5"/>
          <w:sz w:val="32"/>
          <w:szCs w:val="32"/>
        </w:rPr>
      </w:pPr>
      <w:r>
        <w:rPr>
          <w:rFonts w:hint="eastAsia" w:ascii="宋体" w:hAnsi="宋体" w:eastAsia="仿宋_GB2312" w:cs="仿宋_GB2312"/>
          <w:spacing w:val="-6"/>
          <w:kern w:val="0"/>
          <w:sz w:val="32"/>
          <w:szCs w:val="32"/>
          <w:lang w:val="en-US" w:eastAsia="zh-CN" w:bidi="ar-SA"/>
        </w:rPr>
        <w:t>2024年12月-2025年1月，石油安全分标委先后组织两次标准初稿审核会，与会代表与专家听取了起草工作组的汇报，就初稿全文进行了讨论，提出了相关修改意见</w:t>
      </w:r>
      <w:r>
        <w:rPr>
          <w:rFonts w:hint="eastAsia" w:ascii="宋体" w:hAnsi="宋体" w:eastAsia="仿宋_GB2312" w:cs="仿宋_GB2312"/>
          <w:spacing w:val="-5"/>
          <w:sz w:val="32"/>
          <w:szCs w:val="32"/>
        </w:rPr>
        <w:t>，编制小组根据审核意见对标准进行修改完善。</w:t>
      </w:r>
    </w:p>
    <w:p w14:paraId="010CFE37">
      <w:pPr>
        <w:spacing w:line="560" w:lineRule="exact"/>
        <w:ind w:firstLine="616"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仿宋_GB2312"/>
          <w:spacing w:val="-6"/>
          <w:kern w:val="0"/>
          <w:sz w:val="32"/>
          <w:szCs w:val="32"/>
          <w:highlight w:val="none"/>
          <w:lang w:val="en-US" w:eastAsia="zh-CN" w:bidi="ar-SA"/>
        </w:rPr>
        <w:t>2025年3月-4月，石油安全分标委再次组织专家对标准进行了研讨，</w:t>
      </w:r>
      <w:r>
        <w:rPr>
          <w:rFonts w:hint="eastAsia" w:ascii="宋体" w:hAnsi="宋体" w:eastAsia="仿宋_GB2312" w:cs="Times New Roman"/>
          <w:i w:val="0"/>
          <w:iCs/>
          <w:color w:val="auto"/>
          <w:sz w:val="32"/>
          <w:szCs w:val="32"/>
          <w:highlight w:val="none"/>
          <w:lang w:val="en-US" w:eastAsia="zh-CN"/>
        </w:rPr>
        <w:t>同时征求了海油安监办海油分部的意见，修改完善形成了标准征求意见稿。</w:t>
      </w:r>
    </w:p>
    <w:p w14:paraId="1C0A00DD">
      <w:pPr>
        <w:widowControl/>
        <w:spacing w:line="560" w:lineRule="exact"/>
        <w:ind w:firstLine="640" w:firstLineChars="200"/>
        <w:outlineLvl w:val="0"/>
        <w:rPr>
          <w:rFonts w:hint="eastAsia" w:ascii="黑体" w:hAnsi="黑体" w:eastAsia="黑体"/>
          <w:sz w:val="32"/>
          <w:szCs w:val="32"/>
          <w:lang w:eastAsia="zh-CN"/>
        </w:rPr>
      </w:pPr>
      <w:r>
        <w:rPr>
          <w:rFonts w:hint="eastAsia" w:ascii="黑体" w:hAnsi="黑体" w:eastAsia="黑体"/>
          <w:sz w:val="32"/>
          <w:szCs w:val="32"/>
          <w:lang w:val="en-US" w:eastAsia="zh-CN"/>
        </w:rPr>
        <w:t>二、</w:t>
      </w:r>
      <w:r>
        <w:rPr>
          <w:rFonts w:hint="eastAsia" w:ascii="黑体" w:hAnsi="黑体" w:eastAsia="黑体"/>
          <w:sz w:val="32"/>
          <w:szCs w:val="32"/>
        </w:rPr>
        <w:t>标准编制原则</w:t>
      </w:r>
      <w:r>
        <w:rPr>
          <w:rFonts w:hint="eastAsia" w:ascii="黑体" w:hAnsi="黑体" w:eastAsia="黑体"/>
          <w:sz w:val="32"/>
          <w:szCs w:val="32"/>
          <w:lang w:eastAsia="zh-CN"/>
        </w:rPr>
        <w:t>、</w:t>
      </w:r>
      <w:r>
        <w:rPr>
          <w:rFonts w:hint="eastAsia" w:ascii="黑体" w:hAnsi="黑体" w:eastAsia="黑体"/>
          <w:sz w:val="32"/>
          <w:szCs w:val="32"/>
        </w:rPr>
        <w:t>主要</w:t>
      </w:r>
      <w:r>
        <w:rPr>
          <w:rFonts w:hint="eastAsia" w:ascii="黑体" w:hAnsi="黑体" w:eastAsia="黑体"/>
          <w:sz w:val="32"/>
          <w:szCs w:val="32"/>
          <w:lang w:eastAsia="zh-CN"/>
        </w:rPr>
        <w:t>技术</w:t>
      </w:r>
      <w:r>
        <w:rPr>
          <w:rFonts w:hint="eastAsia" w:ascii="黑体" w:hAnsi="黑体" w:eastAsia="黑体"/>
          <w:sz w:val="32"/>
          <w:szCs w:val="32"/>
        </w:rPr>
        <w:t>内容</w:t>
      </w:r>
      <w:r>
        <w:rPr>
          <w:rFonts w:hint="eastAsia" w:ascii="黑体" w:hAnsi="黑体" w:eastAsia="黑体"/>
          <w:sz w:val="32"/>
          <w:szCs w:val="32"/>
          <w:lang w:eastAsia="zh-CN"/>
        </w:rPr>
        <w:t>及其确定依据</w:t>
      </w:r>
    </w:p>
    <w:p w14:paraId="47A8048A">
      <w:pPr>
        <w:spacing w:line="560" w:lineRule="exact"/>
        <w:ind w:firstLine="640" w:firstLineChars="200"/>
        <w:rPr>
          <w:rFonts w:hint="eastAsia" w:ascii="楷体" w:hAnsi="楷体" w:eastAsia="楷体"/>
          <w:sz w:val="32"/>
          <w:szCs w:val="32"/>
          <w:shd w:val="clear" w:color="auto" w:fill="FFFFFF"/>
        </w:rPr>
      </w:pPr>
      <w:r>
        <w:rPr>
          <w:rFonts w:hint="eastAsia" w:ascii="楷体" w:hAnsi="楷体" w:eastAsia="楷体"/>
          <w:sz w:val="32"/>
          <w:szCs w:val="32"/>
          <w:shd w:val="clear" w:color="auto" w:fill="FFFFFF"/>
          <w:lang w:eastAsia="zh-CN"/>
        </w:rPr>
        <w:t>（</w:t>
      </w:r>
      <w:r>
        <w:rPr>
          <w:rFonts w:hint="eastAsia" w:ascii="楷体" w:hAnsi="楷体" w:eastAsia="楷体"/>
          <w:sz w:val="32"/>
          <w:szCs w:val="32"/>
          <w:shd w:val="clear" w:color="auto" w:fill="FFFFFF"/>
          <w:lang w:val="en-US" w:eastAsia="zh-CN"/>
        </w:rPr>
        <w:t>一</w:t>
      </w:r>
      <w:r>
        <w:rPr>
          <w:rFonts w:hint="eastAsia" w:ascii="楷体" w:hAnsi="楷体" w:eastAsia="楷体"/>
          <w:sz w:val="32"/>
          <w:szCs w:val="32"/>
          <w:shd w:val="clear" w:color="auto" w:fill="FFFFFF"/>
          <w:lang w:eastAsia="zh-CN"/>
        </w:rPr>
        <w:t>）</w:t>
      </w:r>
      <w:r>
        <w:rPr>
          <w:rFonts w:hint="eastAsia" w:ascii="楷体" w:hAnsi="楷体" w:eastAsia="楷体"/>
          <w:sz w:val="32"/>
          <w:szCs w:val="32"/>
          <w:shd w:val="clear" w:color="auto" w:fill="FFFFFF"/>
        </w:rPr>
        <w:t>标准编制原则</w:t>
      </w:r>
    </w:p>
    <w:p w14:paraId="244A65A2">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1.协调性</w:t>
      </w:r>
    </w:p>
    <w:p w14:paraId="7B039B7D">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本文件编制过程中注意保证与现行法律法规、规章规范的协调性。</w:t>
      </w:r>
      <w:r>
        <w:rPr>
          <w:rFonts w:hint="eastAsia" w:ascii="宋体" w:hAnsi="宋体" w:eastAsia="仿宋_GB2312" w:cs="宋体"/>
          <w:spacing w:val="5"/>
          <w:kern w:val="0"/>
          <w:sz w:val="32"/>
          <w:szCs w:val="32"/>
        </w:rPr>
        <w:t>与《中华人民共和国安全生产法》《建设项目安全设施“三同时”监督管理办法》以及</w:t>
      </w:r>
      <w:r>
        <w:rPr>
          <w:rFonts w:hint="eastAsia" w:ascii="宋体" w:hAnsi="宋体" w:eastAsia="仿宋_GB2312" w:cs="宋体"/>
          <w:spacing w:val="5"/>
          <w:kern w:val="0"/>
          <w:sz w:val="32"/>
          <w:szCs w:val="32"/>
          <w:highlight w:val="none"/>
        </w:rPr>
        <w:t>《安全评价通则》（AQ</w:t>
      </w:r>
      <w:r>
        <w:rPr>
          <w:rFonts w:hint="eastAsia" w:ascii="宋体" w:hAnsi="宋体" w:eastAsia="仿宋_GB2312" w:cs="宋体"/>
          <w:spacing w:val="5"/>
          <w:kern w:val="0"/>
          <w:sz w:val="32"/>
          <w:szCs w:val="32"/>
          <w:highlight w:val="none"/>
          <w:lang w:val="en-US" w:eastAsia="zh-CN"/>
        </w:rPr>
        <w:t xml:space="preserve"> </w:t>
      </w:r>
      <w:r>
        <w:rPr>
          <w:rFonts w:hint="eastAsia" w:ascii="宋体" w:hAnsi="宋体" w:eastAsia="仿宋_GB2312" w:cs="宋体"/>
          <w:spacing w:val="5"/>
          <w:kern w:val="0"/>
          <w:sz w:val="32"/>
          <w:szCs w:val="32"/>
          <w:highlight w:val="none"/>
        </w:rPr>
        <w:t>8001）、《安全预评价导则》（AQ</w:t>
      </w:r>
      <w:r>
        <w:rPr>
          <w:rFonts w:hint="eastAsia" w:ascii="宋体" w:hAnsi="宋体" w:eastAsia="仿宋_GB2312" w:cs="宋体"/>
          <w:spacing w:val="5"/>
          <w:kern w:val="0"/>
          <w:sz w:val="32"/>
          <w:szCs w:val="32"/>
          <w:highlight w:val="none"/>
          <w:lang w:val="en-US" w:eastAsia="zh-CN"/>
        </w:rPr>
        <w:t xml:space="preserve"> </w:t>
      </w:r>
      <w:r>
        <w:rPr>
          <w:rFonts w:hint="eastAsia" w:ascii="宋体" w:hAnsi="宋体" w:eastAsia="仿宋_GB2312" w:cs="宋体"/>
          <w:spacing w:val="5"/>
          <w:kern w:val="0"/>
          <w:sz w:val="32"/>
          <w:szCs w:val="32"/>
          <w:highlight w:val="none"/>
        </w:rPr>
        <w:t>8002）</w:t>
      </w:r>
      <w:r>
        <w:rPr>
          <w:rFonts w:hint="eastAsia" w:ascii="宋体" w:hAnsi="宋体" w:eastAsia="仿宋_GB2312" w:cs="宋体"/>
          <w:spacing w:val="5"/>
          <w:kern w:val="0"/>
          <w:sz w:val="32"/>
          <w:szCs w:val="32"/>
        </w:rPr>
        <w:t>等法律法规及相关标准的最新版本和要求保持一致，</w:t>
      </w:r>
      <w:r>
        <w:rPr>
          <w:rFonts w:hint="eastAsia" w:ascii="宋体" w:hAnsi="宋体" w:eastAsia="仿宋_GB2312" w:cs="Times New Roman"/>
          <w:i w:val="0"/>
          <w:iCs/>
          <w:color w:val="auto"/>
          <w:sz w:val="32"/>
          <w:szCs w:val="32"/>
          <w:highlight w:val="none"/>
          <w:lang w:val="en-US" w:eastAsia="zh-CN"/>
        </w:rPr>
        <w:t>同时具体条款不能与法律法规、相关标准之间出现矛盾，避免给标准的实施造成困难。</w:t>
      </w:r>
    </w:p>
    <w:p w14:paraId="553E4274">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2.适用性</w:t>
      </w:r>
    </w:p>
    <w:p w14:paraId="69BDA56D">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本文件编制过程广泛收集现行法律、法规、标准、规范，总结分析了海洋石油天然气开采建设项目安全预评价的相关要求，确保标准条款与发展实际相结合，确保标准的适用性。</w:t>
      </w:r>
    </w:p>
    <w:p w14:paraId="7782FEF5">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3.科学性</w:t>
      </w:r>
    </w:p>
    <w:p w14:paraId="6733F9F7">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本文件在充分调查研究、广泛征求意见的基础上完成。标准编制由行业内具有丰富实践经验的多家单位共同完成，充分吸收、总结海洋石油天然气开采建设项目安全预评价良好实践经验，保证标准的科学性。</w:t>
      </w:r>
    </w:p>
    <w:p w14:paraId="2EFAFAF6">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4.规范性</w:t>
      </w:r>
    </w:p>
    <w:p w14:paraId="40D0B653">
      <w:pPr>
        <w:spacing w:line="560" w:lineRule="exact"/>
        <w:ind w:firstLine="640" w:firstLineChars="200"/>
        <w:rPr>
          <w:rFonts w:hint="default" w:ascii="宋体" w:hAnsi="宋体" w:eastAsia="仿宋_GB2312" w:cs="Times New Roman"/>
          <w:i w:val="0"/>
          <w:iCs/>
          <w:color w:val="auto"/>
          <w:sz w:val="32"/>
          <w:szCs w:val="32"/>
          <w:highlight w:val="none"/>
          <w:lang w:val="en-US" w:eastAsia="zh-CN"/>
        </w:rPr>
      </w:pPr>
      <w:r>
        <w:rPr>
          <w:rFonts w:hint="default" w:ascii="宋体" w:hAnsi="宋体" w:eastAsia="仿宋_GB2312" w:cs="Times New Roman"/>
          <w:i w:val="0"/>
          <w:iCs/>
          <w:color w:val="auto"/>
          <w:sz w:val="32"/>
          <w:szCs w:val="32"/>
          <w:highlight w:val="none"/>
          <w:lang w:val="en-US" w:eastAsia="zh-CN"/>
        </w:rPr>
        <w:t>本文件在格式和文字表述方面严格按照《标准化工作导则 第1部分：标准的结构和编写规则》</w:t>
      </w:r>
      <w:r>
        <w:rPr>
          <w:rFonts w:hint="eastAsia" w:ascii="宋体" w:hAnsi="宋体" w:eastAsia="仿宋_GB2312" w:cs="Times New Roman"/>
          <w:i w:val="0"/>
          <w:iCs/>
          <w:color w:val="auto"/>
          <w:sz w:val="32"/>
          <w:szCs w:val="32"/>
          <w:highlight w:val="none"/>
          <w:lang w:val="en-US" w:eastAsia="zh-CN"/>
        </w:rPr>
        <w:t>（</w:t>
      </w:r>
      <w:r>
        <w:rPr>
          <w:rFonts w:hint="default" w:ascii="宋体" w:hAnsi="宋体" w:eastAsia="仿宋_GB2312" w:cs="Times New Roman"/>
          <w:i w:val="0"/>
          <w:iCs/>
          <w:color w:val="auto"/>
          <w:sz w:val="32"/>
          <w:szCs w:val="32"/>
          <w:highlight w:val="none"/>
          <w:lang w:val="en-US" w:eastAsia="zh-CN"/>
        </w:rPr>
        <w:t>GB/T</w:t>
      </w:r>
      <w:r>
        <w:rPr>
          <w:rFonts w:hint="eastAsia" w:ascii="宋体" w:hAnsi="宋体" w:eastAsia="仿宋_GB2312" w:cs="Times New Roman"/>
          <w:i w:val="0"/>
          <w:iCs/>
          <w:color w:val="auto"/>
          <w:sz w:val="32"/>
          <w:szCs w:val="32"/>
          <w:highlight w:val="none"/>
          <w:lang w:val="en-US" w:eastAsia="zh-CN"/>
        </w:rPr>
        <w:t xml:space="preserve"> </w:t>
      </w:r>
      <w:r>
        <w:rPr>
          <w:rFonts w:hint="default" w:ascii="宋体" w:hAnsi="宋体" w:eastAsia="仿宋_GB2312" w:cs="Times New Roman"/>
          <w:i w:val="0"/>
          <w:iCs/>
          <w:color w:val="auto"/>
          <w:sz w:val="32"/>
          <w:szCs w:val="32"/>
          <w:highlight w:val="none"/>
          <w:lang w:val="en-US" w:eastAsia="zh-CN"/>
        </w:rPr>
        <w:t>1.1-2020</w:t>
      </w:r>
      <w:r>
        <w:rPr>
          <w:rFonts w:hint="eastAsia" w:ascii="宋体" w:hAnsi="宋体" w:eastAsia="仿宋_GB2312" w:cs="Times New Roman"/>
          <w:i w:val="0"/>
          <w:iCs/>
          <w:color w:val="auto"/>
          <w:sz w:val="32"/>
          <w:szCs w:val="32"/>
          <w:highlight w:val="none"/>
          <w:lang w:val="en-US" w:eastAsia="zh-CN"/>
        </w:rPr>
        <w:t>）</w:t>
      </w:r>
      <w:r>
        <w:rPr>
          <w:rFonts w:hint="default" w:ascii="宋体" w:hAnsi="宋体" w:eastAsia="仿宋_GB2312" w:cs="Times New Roman"/>
          <w:i w:val="0"/>
          <w:iCs/>
          <w:color w:val="auto"/>
          <w:sz w:val="32"/>
          <w:szCs w:val="32"/>
          <w:highlight w:val="none"/>
          <w:lang w:val="en-US" w:eastAsia="zh-CN"/>
        </w:rPr>
        <w:t>的要求进行编写，做到文件</w:t>
      </w:r>
      <w:r>
        <w:rPr>
          <w:rFonts w:hint="eastAsia" w:ascii="宋体" w:hAnsi="宋体" w:eastAsia="仿宋_GB2312" w:cs="Times New Roman"/>
          <w:i w:val="0"/>
          <w:iCs/>
          <w:color w:val="auto"/>
          <w:sz w:val="32"/>
          <w:szCs w:val="32"/>
          <w:highlight w:val="none"/>
          <w:lang w:val="en-US" w:eastAsia="zh-CN"/>
        </w:rPr>
        <w:t>内容</w:t>
      </w:r>
      <w:r>
        <w:rPr>
          <w:rFonts w:hint="default" w:ascii="宋体" w:hAnsi="宋体" w:eastAsia="仿宋_GB2312" w:cs="Times New Roman"/>
          <w:i w:val="0"/>
          <w:iCs/>
          <w:color w:val="auto"/>
          <w:sz w:val="32"/>
          <w:szCs w:val="32"/>
          <w:highlight w:val="none"/>
          <w:lang w:val="en-US" w:eastAsia="zh-CN"/>
        </w:rPr>
        <w:t>表述的</w:t>
      </w:r>
      <w:r>
        <w:rPr>
          <w:rFonts w:hint="eastAsia" w:ascii="宋体" w:hAnsi="宋体" w:eastAsia="仿宋_GB2312" w:cs="Times New Roman"/>
          <w:i w:val="0"/>
          <w:iCs/>
          <w:color w:val="auto"/>
          <w:sz w:val="32"/>
          <w:szCs w:val="32"/>
          <w:highlight w:val="none"/>
          <w:lang w:val="en-US" w:eastAsia="zh-CN"/>
        </w:rPr>
        <w:t>规范性</w:t>
      </w:r>
      <w:r>
        <w:rPr>
          <w:rFonts w:hint="default" w:ascii="宋体" w:hAnsi="宋体" w:eastAsia="仿宋_GB2312" w:cs="Times New Roman"/>
          <w:i w:val="0"/>
          <w:iCs/>
          <w:color w:val="auto"/>
          <w:sz w:val="32"/>
          <w:szCs w:val="32"/>
          <w:highlight w:val="none"/>
          <w:lang w:val="en-US" w:eastAsia="zh-CN"/>
        </w:rPr>
        <w:t>。</w:t>
      </w:r>
    </w:p>
    <w:p w14:paraId="36E25665">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5.可执行性</w:t>
      </w:r>
    </w:p>
    <w:p w14:paraId="49F84D7E">
      <w:pPr>
        <w:keepNext w:val="0"/>
        <w:keepLines w:val="0"/>
        <w:pageBreakBefore w:val="0"/>
        <w:widowControl/>
        <w:kinsoku/>
        <w:wordWrap/>
        <w:overflowPunct w:val="0"/>
        <w:topLinePunct w:val="0"/>
        <w:autoSpaceDE/>
        <w:autoSpaceDN/>
        <w:bidi w:val="0"/>
        <w:adjustRightInd/>
        <w:snapToGrid/>
        <w:spacing w:line="560" w:lineRule="exact"/>
        <w:ind w:firstLine="640" w:firstLineChars="200"/>
        <w:textAlignment w:val="auto"/>
        <w:rPr>
          <w:rFonts w:hint="eastAsia" w:ascii="宋体" w:hAnsi="宋体" w:eastAsia="仿宋_GB2312" w:cs="宋体"/>
          <w:spacing w:val="5"/>
          <w:kern w:val="0"/>
          <w:sz w:val="32"/>
          <w:szCs w:val="32"/>
          <w:lang w:val="en-US" w:eastAsia="zh-CN"/>
        </w:rPr>
      </w:pPr>
      <w:r>
        <w:rPr>
          <w:rFonts w:hint="eastAsia" w:ascii="宋体" w:hAnsi="宋体" w:eastAsia="仿宋_GB2312" w:cs="Times New Roman"/>
          <w:i w:val="0"/>
          <w:iCs/>
          <w:color w:val="auto"/>
          <w:sz w:val="32"/>
          <w:szCs w:val="32"/>
          <w:highlight w:val="none"/>
          <w:lang w:val="en-US" w:eastAsia="zh-CN"/>
        </w:rPr>
        <w:t>本文件编制过程中多次组织专家研讨会、评审会，标准条款内容广泛征求相关单位的意见建议，对于反馈的意见建议起草工作组组织专题讨论，采纳吸收科学合理的意见建议，确保标准内容贴近实际需求，兼顾标准的可执行性。</w:t>
      </w:r>
    </w:p>
    <w:p w14:paraId="4FD848BB">
      <w:pPr>
        <w:spacing w:line="560" w:lineRule="exact"/>
        <w:ind w:firstLine="640" w:firstLineChars="200"/>
        <w:rPr>
          <w:rFonts w:hint="default" w:ascii="楷体" w:hAnsi="楷体" w:eastAsia="楷体"/>
          <w:sz w:val="32"/>
          <w:szCs w:val="32"/>
          <w:highlight w:val="none"/>
          <w:shd w:val="clear" w:color="auto" w:fill="FFFFFF"/>
          <w:lang w:val="en-US" w:eastAsia="zh-CN"/>
        </w:rPr>
      </w:pPr>
      <w:r>
        <w:rPr>
          <w:rFonts w:hint="eastAsia" w:ascii="楷体" w:hAnsi="楷体" w:eastAsia="楷体"/>
          <w:sz w:val="32"/>
          <w:szCs w:val="32"/>
          <w:highlight w:val="none"/>
          <w:shd w:val="clear" w:color="auto" w:fill="FFFFFF"/>
        </w:rPr>
        <w:t>（二）标准主要技术内容及确定依据</w:t>
      </w:r>
    </w:p>
    <w:p w14:paraId="665DC48F">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1.范围</w:t>
      </w:r>
    </w:p>
    <w:p w14:paraId="0D73543F">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参考《海洋石油安全生产规定》第十一条，同时结合监管部门对安全评价机构业务范围的划分，对本文件的适用范围予以明确。</w:t>
      </w:r>
    </w:p>
    <w:p w14:paraId="114E2DAD">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2.规范性引用文件</w:t>
      </w:r>
    </w:p>
    <w:p w14:paraId="346307B2">
      <w:pPr>
        <w:spacing w:line="560" w:lineRule="exact"/>
        <w:ind w:firstLine="640" w:firstLineChars="200"/>
        <w:rPr>
          <w:rFonts w:hint="default"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本文件以规范性引用的方式引用了《风险管理 术语》（GB/T 23694）、《海洋石油天然气开采安全规程 第1部分：总则》（GB 40554.1）、《安全评价通则》（AQ 8001）中的术语和定义。</w:t>
      </w:r>
    </w:p>
    <w:p w14:paraId="41F31B81">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3.术语与定义</w:t>
      </w:r>
      <w:bookmarkStart w:id="294" w:name="_Hlk68821606"/>
    </w:p>
    <w:p w14:paraId="2CD6EF72">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本文件列出了文中涉及的“依托设施”行业术语和定义。同时引用了GB/T 23694、GB 40554.1、AQ 8001中界定的行业术语和定义。</w:t>
      </w:r>
    </w:p>
    <w:p w14:paraId="5F342DE3">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术语和定义的描述参考了国家标准《海洋石油天然气开采安全规程 第1部分：总则》（GB 40554.1-2021），同时根据行业内统一认识并结合评审会意见、公开征求意见修改相关表述。</w:t>
      </w:r>
    </w:p>
    <w:bookmarkEnd w:id="294"/>
    <w:p w14:paraId="3B114321">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bookmarkStart w:id="295" w:name="_Toc28161"/>
      <w:bookmarkStart w:id="296" w:name="_Toc10984"/>
      <w:bookmarkStart w:id="297" w:name="_Toc501931577"/>
      <w:r>
        <w:rPr>
          <w:rFonts w:hint="eastAsia" w:ascii="宋体" w:hAnsi="宋体" w:eastAsia="仿宋_GB2312" w:cs="Times New Roman"/>
          <w:i w:val="0"/>
          <w:iCs/>
          <w:color w:val="auto"/>
          <w:sz w:val="32"/>
          <w:szCs w:val="32"/>
          <w:highlight w:val="none"/>
          <w:lang w:val="en-US" w:eastAsia="zh-CN"/>
        </w:rPr>
        <w:t>4.总体要求</w:t>
      </w:r>
    </w:p>
    <w:p w14:paraId="66553054">
      <w:pPr>
        <w:spacing w:line="560" w:lineRule="exact"/>
        <w:ind w:firstLine="640" w:firstLineChars="200"/>
        <w:rPr>
          <w:rFonts w:hint="default"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根据评审会专家意见，将开展安全预评价活动的总体要求单独成章。对评价机构资质和评价项目组人员，安全预评价程序以及安全预评价报告编制的要求进行了规定。</w:t>
      </w:r>
    </w:p>
    <w:p w14:paraId="30E1FC0D">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5.评价概述</w:t>
      </w:r>
    </w:p>
    <w:p w14:paraId="17F6E048">
      <w:pPr>
        <w:spacing w:line="560" w:lineRule="exact"/>
        <w:ind w:firstLine="640" w:firstLineChars="200"/>
        <w:rPr>
          <w:rFonts w:hint="default"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参照《石油天然气行业建设项目（工程）安全预评价报告编写细则》（SY/T 6607-2019），同时结合行业良好作业实践，对海洋石油天然气开采建设项目安全预评价目的、范围、依据</w:t>
      </w:r>
      <w:bookmarkEnd w:id="295"/>
      <w:bookmarkEnd w:id="296"/>
      <w:r>
        <w:rPr>
          <w:rFonts w:hint="eastAsia" w:ascii="宋体" w:hAnsi="宋体" w:eastAsia="仿宋_GB2312" w:cs="Times New Roman"/>
          <w:i w:val="0"/>
          <w:iCs/>
          <w:color w:val="auto"/>
          <w:sz w:val="32"/>
          <w:szCs w:val="32"/>
          <w:highlight w:val="none"/>
          <w:lang w:val="en-US" w:eastAsia="zh-CN"/>
        </w:rPr>
        <w:t>进行了规定。</w:t>
      </w:r>
    </w:p>
    <w:p w14:paraId="4C6334A5">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6.建设项目概况</w:t>
      </w:r>
    </w:p>
    <w:p w14:paraId="20DF73AD">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hint="default"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根据</w:t>
      </w:r>
      <w:r>
        <w:rPr>
          <w:rFonts w:hint="eastAsia" w:ascii="宋体" w:hAnsi="宋体" w:eastAsia="仿宋_GB2312" w:cs="Times New Roman"/>
          <w:i w:val="0"/>
          <w:iCs/>
          <w:color w:val="auto"/>
          <w:sz w:val="32"/>
          <w:szCs w:val="32"/>
          <w:highlight w:val="none"/>
          <w:lang w:val="en-US" w:eastAsia="zh-CN"/>
        </w:rPr>
        <w:t>评审会专家意见，参照《陆上</w:t>
      </w:r>
      <w:bookmarkStart w:id="298" w:name="_Hlk173833675"/>
      <w:r>
        <w:rPr>
          <w:rFonts w:hint="eastAsia" w:ascii="宋体" w:hAnsi="宋体" w:eastAsia="仿宋_GB2312" w:cs="Times New Roman"/>
          <w:i w:val="0"/>
          <w:iCs/>
          <w:color w:val="auto"/>
          <w:sz w:val="32"/>
          <w:szCs w:val="32"/>
          <w:highlight w:val="none"/>
          <w:lang w:val="en-US" w:eastAsia="zh-CN"/>
        </w:rPr>
        <w:t>油气长输管道建设项目</w:t>
      </w:r>
      <w:bookmarkEnd w:id="298"/>
      <w:r>
        <w:rPr>
          <w:rFonts w:hint="eastAsia" w:ascii="宋体" w:hAnsi="宋体" w:eastAsia="仿宋_GB2312" w:cs="Times New Roman"/>
          <w:i w:val="0"/>
          <w:iCs/>
          <w:color w:val="auto"/>
          <w:sz w:val="32"/>
          <w:szCs w:val="32"/>
          <w:highlight w:val="none"/>
          <w:lang w:val="en-US" w:eastAsia="zh-CN"/>
        </w:rPr>
        <w:t>安全预评价导则》（AQ 3057），将建设项目概况单独成章。</w:t>
      </w:r>
    </w:p>
    <w:p w14:paraId="41F6163D">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hint="default"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参照《</w:t>
      </w:r>
      <w:r>
        <w:rPr>
          <w:rFonts w:hint="default" w:ascii="宋体" w:hAnsi="宋体" w:eastAsia="仿宋_GB2312" w:cs="宋体"/>
          <w:spacing w:val="5"/>
          <w:kern w:val="0"/>
          <w:sz w:val="32"/>
          <w:szCs w:val="32"/>
          <w:highlight w:val="none"/>
          <w:lang w:val="en-US" w:eastAsia="zh-CN"/>
        </w:rPr>
        <w:t>油田开发方案编制指南</w:t>
      </w:r>
      <w:r>
        <w:rPr>
          <w:rFonts w:hint="eastAsia" w:ascii="宋体" w:hAnsi="宋体" w:eastAsia="仿宋_GB2312" w:cs="宋体"/>
          <w:spacing w:val="5"/>
          <w:kern w:val="0"/>
          <w:sz w:val="32"/>
          <w:szCs w:val="32"/>
          <w:highlight w:val="none"/>
          <w:lang w:val="en-US" w:eastAsia="zh-CN"/>
        </w:rPr>
        <w:t>》（SY/T 10011-2023）以及《海洋石油安全生产规定》、《海洋石油安全管理细则》等要求，从建设项目基本信息、建设及生产管理单位介绍、海域自然及海洋环境、可行性研究报告/开发方案主要技术指标及油（气）藏工程、钻井工程、采油（气）工程、海上开发工程、组织机构及定员等八个方面进行了详细规定，明确了各部分包括的主要内容。</w:t>
      </w:r>
    </w:p>
    <w:p w14:paraId="1D2A0C28">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7.评价单元划分与评价方法选择</w:t>
      </w:r>
    </w:p>
    <w:p w14:paraId="048D019D">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hint="default"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明确了评价单元划分与评价方法选择的原则。经多轮深入研讨，并广泛征求各方意见，结合专家意见，最终确定并给出了推荐划分的评价单元以及可选用的评价方法。</w:t>
      </w:r>
    </w:p>
    <w:p w14:paraId="009ED1B6">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bookmarkStart w:id="299" w:name="_Toc19279"/>
      <w:r>
        <w:rPr>
          <w:rFonts w:hint="eastAsia" w:ascii="宋体" w:hAnsi="宋体" w:eastAsia="仿宋_GB2312" w:cs="Times New Roman"/>
          <w:i w:val="0"/>
          <w:iCs/>
          <w:color w:val="auto"/>
          <w:sz w:val="32"/>
          <w:szCs w:val="32"/>
          <w:highlight w:val="none"/>
          <w:lang w:val="en-US" w:eastAsia="zh-CN"/>
        </w:rPr>
        <w:t>8.危险有害因素辨识</w:t>
      </w:r>
      <w:bookmarkEnd w:id="299"/>
    </w:p>
    <w:p w14:paraId="4CEB0736">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hint="eastAsia"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参照《安全预评价导则》（AQ 8002-2007）、《石油天然气行业建设项目（工程）安全预评价报告编写细则》（SY/T 6607-2019）等，同时结合评审专家意见，将本章划分为四节，包括危险有害物质辨识、评价单元危险有害因素辨识、自然和社会环境危险有害因素辨识，以及主要危险作业分析。</w:t>
      </w:r>
    </w:p>
    <w:p w14:paraId="6D9D8E37">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hint="default" w:ascii="宋体" w:hAnsi="宋体" w:eastAsia="仿宋_GB2312" w:cs="宋体"/>
          <w:spacing w:val="6"/>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对各评价单元的危险有害因素结合</w:t>
      </w:r>
      <w:r>
        <w:rPr>
          <w:rFonts w:hint="default" w:ascii="宋体" w:hAnsi="宋体" w:eastAsia="仿宋_GB2312" w:cs="宋体"/>
          <w:spacing w:val="5"/>
          <w:kern w:val="0"/>
          <w:sz w:val="32"/>
          <w:szCs w:val="32"/>
          <w:highlight w:val="none"/>
          <w:lang w:val="en-US" w:eastAsia="zh-CN"/>
        </w:rPr>
        <w:t>《生产过程危险和有害因素分类与代码》</w:t>
      </w:r>
      <w:r>
        <w:rPr>
          <w:rFonts w:hint="eastAsia" w:ascii="宋体" w:hAnsi="宋体" w:eastAsia="仿宋_GB2312" w:cs="宋体"/>
          <w:spacing w:val="5"/>
          <w:kern w:val="0"/>
          <w:sz w:val="32"/>
          <w:szCs w:val="32"/>
          <w:highlight w:val="none"/>
          <w:lang w:val="en-US" w:eastAsia="zh-CN"/>
        </w:rPr>
        <w:t>（</w:t>
      </w:r>
      <w:r>
        <w:rPr>
          <w:rFonts w:hint="default" w:ascii="宋体" w:hAnsi="宋体" w:eastAsia="仿宋_GB2312" w:cs="宋体"/>
          <w:spacing w:val="5"/>
          <w:kern w:val="0"/>
          <w:sz w:val="32"/>
          <w:szCs w:val="32"/>
          <w:highlight w:val="none"/>
          <w:lang w:val="en-US" w:eastAsia="zh-CN"/>
        </w:rPr>
        <w:t>GB/T</w:t>
      </w:r>
      <w:r>
        <w:rPr>
          <w:rFonts w:hint="eastAsia" w:ascii="宋体" w:hAnsi="宋体" w:eastAsia="仿宋_GB2312" w:cs="宋体"/>
          <w:spacing w:val="5"/>
          <w:kern w:val="0"/>
          <w:sz w:val="32"/>
          <w:szCs w:val="32"/>
          <w:highlight w:val="none"/>
          <w:lang w:val="en-US" w:eastAsia="zh-CN"/>
        </w:rPr>
        <w:t xml:space="preserve"> </w:t>
      </w:r>
      <w:r>
        <w:rPr>
          <w:rFonts w:hint="default" w:ascii="宋体" w:hAnsi="宋体" w:eastAsia="仿宋_GB2312" w:cs="宋体"/>
          <w:spacing w:val="5"/>
          <w:kern w:val="0"/>
          <w:sz w:val="32"/>
          <w:szCs w:val="32"/>
          <w:highlight w:val="none"/>
          <w:lang w:val="en-US" w:eastAsia="zh-CN"/>
        </w:rPr>
        <w:t>13861-2022</w:t>
      </w:r>
      <w:r>
        <w:rPr>
          <w:rFonts w:hint="eastAsia" w:ascii="宋体" w:hAnsi="宋体" w:eastAsia="仿宋_GB2312" w:cs="宋体"/>
          <w:spacing w:val="5"/>
          <w:kern w:val="0"/>
          <w:sz w:val="32"/>
          <w:szCs w:val="32"/>
          <w:highlight w:val="none"/>
          <w:lang w:val="en-US" w:eastAsia="zh-CN"/>
        </w:rPr>
        <w:t>）进行了详细规定。</w:t>
      </w:r>
    </w:p>
    <w:p w14:paraId="4E624446">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9.单元安全评价</w:t>
      </w:r>
    </w:p>
    <w:p w14:paraId="303E9FC2">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hint="eastAsia"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本文件参照《安全预评价导则》（AQ 8002-2007）、《石油天然气行业建设项目（工程）安全预评价报告编写细则》（SY/T 6607-2019）等的要求，明确了单元安全评价的一般要求。</w:t>
      </w:r>
    </w:p>
    <w:p w14:paraId="454FA626">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hint="eastAsia"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参照《海上固定平台安全规则》、《浮式生产储油装置（FPSO）安全规则》、《海上移动平台安全规则》以及《海洋钻井工程设计规范》（SY/T 6920-2018）、《海洋丛式井组防碰及碰后处理要求》（SY/T 7488-2020）、《海洋石油天然气开采安全规程 第1部分：总则》（GB 40554.1-2021）、《海上固定平台总体设计规范》（GB/T 44310-2024）、《浮式生产储油装置总体技术规范》（GB/T 42034-2022）等对钻井工程单元、采（油）气工程单元、总图布置及结构单元、工艺及设备设施单元、海底管道/海底电缆单元、依托设施单元等进行了规定。</w:t>
      </w:r>
    </w:p>
    <w:p w14:paraId="696599B4">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hint="eastAsia"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参照《</w:t>
      </w:r>
      <w:r>
        <w:rPr>
          <w:rFonts w:hint="default" w:ascii="宋体" w:hAnsi="宋体" w:eastAsia="仿宋_GB2312" w:cs="宋体"/>
          <w:spacing w:val="5"/>
          <w:kern w:val="0"/>
          <w:sz w:val="32"/>
          <w:szCs w:val="32"/>
          <w:highlight w:val="none"/>
          <w:lang w:val="en-US" w:eastAsia="zh-CN"/>
        </w:rPr>
        <w:t>滩海陆岸石油作业安全规程</w:t>
      </w:r>
      <w:r>
        <w:rPr>
          <w:rFonts w:hint="eastAsia" w:ascii="宋体" w:hAnsi="宋体" w:eastAsia="仿宋_GB2312" w:cs="宋体"/>
          <w:spacing w:val="5"/>
          <w:kern w:val="0"/>
          <w:sz w:val="32"/>
          <w:szCs w:val="32"/>
          <w:highlight w:val="none"/>
          <w:lang w:val="en-US" w:eastAsia="zh-CN"/>
        </w:rPr>
        <w:t>》（SY/T 6634-2022）、</w:t>
      </w:r>
    </w:p>
    <w:p w14:paraId="7D836767">
      <w:pPr>
        <w:keepNext w:val="0"/>
        <w:keepLines w:val="0"/>
        <w:pageBreakBefore w:val="0"/>
        <w:widowControl/>
        <w:kinsoku/>
        <w:wordWrap/>
        <w:overflowPunct w:val="0"/>
        <w:topLinePunct w:val="0"/>
        <w:autoSpaceDE/>
        <w:autoSpaceDN/>
        <w:bidi w:val="0"/>
        <w:adjustRightInd/>
        <w:snapToGrid/>
        <w:spacing w:line="560" w:lineRule="exact"/>
        <w:textAlignment w:val="auto"/>
        <w:rPr>
          <w:rFonts w:hint="default"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w:t>
      </w:r>
      <w:r>
        <w:rPr>
          <w:rFonts w:hint="default" w:ascii="宋体" w:hAnsi="宋体" w:eastAsia="仿宋_GB2312" w:cs="宋体"/>
          <w:spacing w:val="5"/>
          <w:kern w:val="0"/>
          <w:sz w:val="32"/>
          <w:szCs w:val="32"/>
          <w:highlight w:val="none"/>
          <w:lang w:val="en-US" w:eastAsia="zh-CN"/>
        </w:rPr>
        <w:t>滩海石油人工岛安全规则</w:t>
      </w:r>
      <w:r>
        <w:rPr>
          <w:rFonts w:hint="eastAsia" w:ascii="宋体" w:hAnsi="宋体" w:eastAsia="仿宋_GB2312" w:cs="宋体"/>
          <w:spacing w:val="5"/>
          <w:kern w:val="0"/>
          <w:sz w:val="32"/>
          <w:szCs w:val="32"/>
          <w:highlight w:val="none"/>
          <w:lang w:val="en-US" w:eastAsia="zh-CN"/>
        </w:rPr>
        <w:t>》（SY/T 6777-2017）以及《石油天然气工程设计防火规范》（GB 50183-2004）对涉及陆岸终端、滩海陆岸石油设施、滩海人工岛的情况进行了规定。</w:t>
      </w:r>
    </w:p>
    <w:p w14:paraId="731C49A1">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hint="eastAsia"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参照《</w:t>
      </w:r>
      <w:r>
        <w:rPr>
          <w:rFonts w:hint="default" w:ascii="宋体" w:hAnsi="宋体" w:eastAsia="仿宋_GB2312" w:cs="宋体"/>
          <w:spacing w:val="5"/>
          <w:kern w:val="0"/>
          <w:sz w:val="32"/>
          <w:szCs w:val="32"/>
          <w:highlight w:val="none"/>
          <w:lang w:val="en-US" w:eastAsia="zh-CN"/>
        </w:rPr>
        <w:t>石油天然气工业</w:t>
      </w:r>
      <w:r>
        <w:rPr>
          <w:rFonts w:hint="eastAsia" w:ascii="宋体" w:hAnsi="宋体" w:eastAsia="仿宋_GB2312" w:cs="宋体"/>
          <w:spacing w:val="5"/>
          <w:kern w:val="0"/>
          <w:sz w:val="32"/>
          <w:szCs w:val="32"/>
          <w:highlight w:val="none"/>
          <w:lang w:val="en-US" w:eastAsia="zh-CN"/>
        </w:rPr>
        <w:t xml:space="preserve"> </w:t>
      </w:r>
      <w:r>
        <w:rPr>
          <w:rFonts w:hint="default" w:ascii="宋体" w:hAnsi="宋体" w:eastAsia="仿宋_GB2312" w:cs="宋体"/>
          <w:spacing w:val="5"/>
          <w:kern w:val="0"/>
          <w:sz w:val="32"/>
          <w:szCs w:val="32"/>
          <w:highlight w:val="none"/>
          <w:lang w:val="en-US" w:eastAsia="zh-CN"/>
        </w:rPr>
        <w:t>水下生产系统的设计与操作 第1部分：一般要求和推荐做法</w:t>
      </w:r>
      <w:r>
        <w:rPr>
          <w:rFonts w:hint="eastAsia" w:ascii="宋体" w:hAnsi="宋体" w:eastAsia="仿宋_GB2312" w:cs="宋体"/>
          <w:spacing w:val="5"/>
          <w:kern w:val="0"/>
          <w:sz w:val="32"/>
          <w:szCs w:val="32"/>
          <w:highlight w:val="none"/>
          <w:lang w:val="en-US" w:eastAsia="zh-CN"/>
        </w:rPr>
        <w:t>》（GB/T 21412.1-2010）、《</w:t>
      </w:r>
      <w:r>
        <w:rPr>
          <w:rFonts w:hint="default" w:ascii="宋体" w:hAnsi="宋体" w:eastAsia="仿宋_GB2312" w:cs="宋体"/>
          <w:spacing w:val="5"/>
          <w:kern w:val="0"/>
          <w:sz w:val="32"/>
          <w:szCs w:val="32"/>
          <w:highlight w:val="none"/>
          <w:lang w:val="en-US" w:eastAsia="zh-CN"/>
        </w:rPr>
        <w:t>石油天然气工业 水下生产系统的设计与操作 第4部分：水下井口装置和采油树设备</w:t>
      </w:r>
      <w:r>
        <w:rPr>
          <w:rFonts w:hint="eastAsia" w:ascii="宋体" w:hAnsi="宋体" w:eastAsia="仿宋_GB2312" w:cs="宋体"/>
          <w:spacing w:val="5"/>
          <w:kern w:val="0"/>
          <w:sz w:val="32"/>
          <w:szCs w:val="32"/>
          <w:highlight w:val="none"/>
          <w:lang w:val="en-US" w:eastAsia="zh-CN"/>
        </w:rPr>
        <w:t>》（GB/T 21412.4-2013）、《</w:t>
      </w:r>
      <w:r>
        <w:rPr>
          <w:rFonts w:hint="default" w:ascii="宋体" w:hAnsi="宋体" w:eastAsia="仿宋_GB2312" w:cs="宋体"/>
          <w:spacing w:val="5"/>
          <w:kern w:val="0"/>
          <w:sz w:val="32"/>
          <w:szCs w:val="32"/>
          <w:highlight w:val="none"/>
          <w:lang w:val="en-US" w:eastAsia="zh-CN"/>
        </w:rPr>
        <w:t>石油天然气工业 水下生产系统的设计与操作 第6部分：水下生产控制系统</w:t>
      </w:r>
      <w:r>
        <w:rPr>
          <w:rFonts w:hint="eastAsia" w:ascii="宋体" w:hAnsi="宋体" w:eastAsia="仿宋_GB2312" w:cs="宋体"/>
          <w:spacing w:val="5"/>
          <w:kern w:val="0"/>
          <w:sz w:val="32"/>
          <w:szCs w:val="32"/>
          <w:highlight w:val="none"/>
          <w:lang w:val="en-US" w:eastAsia="zh-CN"/>
        </w:rPr>
        <w:t>》（GB/T 21412.6-2018）、《</w:t>
      </w:r>
      <w:r>
        <w:rPr>
          <w:rFonts w:hint="default" w:ascii="宋体" w:hAnsi="宋体" w:eastAsia="仿宋_GB2312" w:cs="宋体"/>
          <w:spacing w:val="5"/>
          <w:kern w:val="0"/>
          <w:sz w:val="32"/>
          <w:szCs w:val="32"/>
          <w:highlight w:val="none"/>
          <w:lang w:val="en-US" w:eastAsia="zh-CN"/>
        </w:rPr>
        <w:t>石油天然气工业 水下生产系统的设计和操作 第15部分：水下结构物及管汇</w:t>
      </w:r>
      <w:r>
        <w:rPr>
          <w:rFonts w:hint="eastAsia" w:ascii="宋体" w:hAnsi="宋体" w:eastAsia="仿宋_GB2312" w:cs="宋体"/>
          <w:spacing w:val="5"/>
          <w:kern w:val="0"/>
          <w:sz w:val="32"/>
          <w:szCs w:val="32"/>
          <w:highlight w:val="none"/>
          <w:lang w:val="en-US" w:eastAsia="zh-CN"/>
        </w:rPr>
        <w:t>》（GB/T 21412.15-2017）对工艺及设备设施单元中的水下生产系统进行了规定。</w:t>
      </w:r>
    </w:p>
    <w:p w14:paraId="5F84B6F3">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hint="default"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参照《安全生产法》、《海洋石油安全生产规定》、《海洋石油安全管理细则》等相关要求对安全管理单元进行了规定。</w:t>
      </w:r>
    </w:p>
    <w:p w14:paraId="15D79124">
      <w:pPr>
        <w:spacing w:line="560" w:lineRule="exact"/>
        <w:ind w:firstLine="640" w:firstLineChars="200"/>
        <w:rPr>
          <w:rFonts w:hint="eastAsia"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10.安全对策措施及建议</w:t>
      </w:r>
    </w:p>
    <w:p w14:paraId="5AE2E682">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hint="default"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参照《安全预评价导则》（AQ 8002-2007）、《石油天然气行业建设项目（工程）安全预评价报告编写细则》（SY/T 6607-2019）、《陆上油气长输管道建设项目安全预评价导则》（AQ 3057-征求意见稿）等标准，同时结合专家意见，明确了安全对策措施及建议的要求。</w:t>
      </w:r>
    </w:p>
    <w:p w14:paraId="535D6899">
      <w:pPr>
        <w:spacing w:line="560" w:lineRule="exact"/>
        <w:ind w:firstLine="640" w:firstLineChars="200"/>
        <w:rPr>
          <w:rFonts w:hint="default"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11.评价结果综述</w:t>
      </w:r>
    </w:p>
    <w:p w14:paraId="497D3EB0">
      <w:pPr>
        <w:spacing w:line="560" w:lineRule="exact"/>
        <w:ind w:firstLine="660" w:firstLineChars="200"/>
        <w:rPr>
          <w:rFonts w:hint="default" w:ascii="宋体" w:hAnsi="宋体" w:eastAsia="仿宋_GB2312" w:cs="宋体"/>
          <w:spacing w:val="5"/>
          <w:kern w:val="0"/>
          <w:sz w:val="32"/>
          <w:szCs w:val="32"/>
          <w:highlight w:val="none"/>
          <w:lang w:val="en-US" w:eastAsia="zh-CN"/>
        </w:rPr>
      </w:pPr>
      <w:r>
        <w:rPr>
          <w:rFonts w:hint="eastAsia" w:ascii="宋体" w:hAnsi="宋体" w:eastAsia="仿宋_GB2312" w:cs="宋体"/>
          <w:spacing w:val="5"/>
          <w:kern w:val="0"/>
          <w:sz w:val="32"/>
          <w:szCs w:val="32"/>
          <w:highlight w:val="none"/>
          <w:lang w:val="en-US" w:eastAsia="zh-CN"/>
        </w:rPr>
        <w:t>结合行业良好作业实践，经多轮深入研讨，并广泛征求各方意见，对评价结果综述进行了规定。</w:t>
      </w:r>
    </w:p>
    <w:p w14:paraId="1CFF0F9C">
      <w:pPr>
        <w:spacing w:line="560" w:lineRule="exact"/>
        <w:ind w:firstLine="640" w:firstLineChars="200"/>
        <w:rPr>
          <w:rFonts w:hint="default"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12.报告格式要求</w:t>
      </w:r>
    </w:p>
    <w:p w14:paraId="6320115A">
      <w:pPr>
        <w:keepNext w:val="0"/>
        <w:keepLines w:val="0"/>
        <w:pageBreakBefore w:val="0"/>
        <w:widowControl/>
        <w:kinsoku/>
        <w:wordWrap/>
        <w:overflowPunct w:val="0"/>
        <w:topLinePunct w:val="0"/>
        <w:autoSpaceDE/>
        <w:autoSpaceDN/>
        <w:bidi w:val="0"/>
        <w:adjustRightInd/>
        <w:snapToGrid/>
        <w:spacing w:line="560" w:lineRule="exact"/>
        <w:ind w:firstLine="660" w:firstLineChars="200"/>
        <w:textAlignment w:val="auto"/>
        <w:rPr>
          <w:rFonts w:ascii="宋体" w:hAnsi="宋体" w:eastAsia="仿宋_GB2312" w:cs="宋体"/>
          <w:spacing w:val="5"/>
          <w:kern w:val="0"/>
          <w:sz w:val="32"/>
          <w:szCs w:val="32"/>
          <w:highlight w:val="none"/>
        </w:rPr>
      </w:pPr>
      <w:r>
        <w:rPr>
          <w:rFonts w:hint="eastAsia" w:ascii="宋体" w:hAnsi="宋体" w:eastAsia="仿宋_GB2312" w:cs="宋体"/>
          <w:spacing w:val="5"/>
          <w:kern w:val="0"/>
          <w:sz w:val="32"/>
          <w:szCs w:val="32"/>
          <w:highlight w:val="none"/>
          <w:lang w:val="en-US" w:eastAsia="zh-CN"/>
        </w:rPr>
        <w:t>参照《石油天然气行业建设项目（工程）安全预评价报告编写细则》（SY/T 6607-2019）、《陆上油气长输管道建设项目安全预评价导则》（AQ 3057-征求意见稿）对</w:t>
      </w:r>
      <w:r>
        <w:rPr>
          <w:rFonts w:hint="eastAsia" w:ascii="宋体" w:hAnsi="宋体" w:eastAsia="仿宋_GB2312" w:cs="宋体"/>
          <w:spacing w:val="5"/>
          <w:kern w:val="0"/>
          <w:sz w:val="32"/>
          <w:szCs w:val="32"/>
          <w:highlight w:val="none"/>
        </w:rPr>
        <w:t>海洋石油天然气开采建设项目安全预评价报告</w:t>
      </w:r>
      <w:r>
        <w:rPr>
          <w:rFonts w:hint="eastAsia" w:ascii="宋体" w:hAnsi="宋体" w:eastAsia="仿宋_GB2312" w:cs="宋体"/>
          <w:spacing w:val="5"/>
          <w:kern w:val="0"/>
          <w:sz w:val="32"/>
          <w:szCs w:val="32"/>
          <w:highlight w:val="none"/>
          <w:lang w:val="en-US" w:eastAsia="zh-CN"/>
        </w:rPr>
        <w:t>格式进行了规定</w:t>
      </w:r>
      <w:r>
        <w:rPr>
          <w:rFonts w:hint="eastAsia" w:ascii="宋体" w:hAnsi="宋体" w:eastAsia="仿宋_GB2312" w:cs="宋体"/>
          <w:spacing w:val="5"/>
          <w:kern w:val="0"/>
          <w:sz w:val="32"/>
          <w:szCs w:val="32"/>
          <w:highlight w:val="none"/>
        </w:rPr>
        <w:t>。</w:t>
      </w:r>
    </w:p>
    <w:p w14:paraId="0B9B7924">
      <w:pPr>
        <w:spacing w:line="560" w:lineRule="exact"/>
        <w:ind w:firstLine="640" w:firstLineChars="200"/>
        <w:rPr>
          <w:rFonts w:hint="default"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13.附录</w:t>
      </w:r>
    </w:p>
    <w:bookmarkEnd w:id="297"/>
    <w:p w14:paraId="7F282C06">
      <w:pPr>
        <w:keepNext w:val="0"/>
        <w:keepLines w:val="0"/>
        <w:pageBreakBefore w:val="0"/>
        <w:widowControl/>
        <w:kinsoku/>
        <w:wordWrap/>
        <w:overflowPunct w:val="0"/>
        <w:topLinePunct w:val="0"/>
        <w:autoSpaceDE/>
        <w:autoSpaceDN/>
        <w:bidi w:val="0"/>
        <w:adjustRightInd/>
        <w:snapToGrid/>
        <w:spacing w:line="560" w:lineRule="exact"/>
        <w:ind w:firstLine="664" w:firstLineChars="200"/>
        <w:textAlignment w:val="auto"/>
        <w:rPr>
          <w:rFonts w:hint="eastAsia" w:ascii="宋体" w:hAnsi="宋体" w:eastAsia="仿宋_GB2312" w:cs="宋体"/>
          <w:spacing w:val="6"/>
          <w:kern w:val="0"/>
          <w:sz w:val="32"/>
          <w:szCs w:val="32"/>
          <w:highlight w:val="none"/>
          <w:lang w:val="en-US" w:eastAsia="zh-CN"/>
        </w:rPr>
      </w:pPr>
      <w:bookmarkStart w:id="300" w:name="_Toc20391"/>
      <w:bookmarkStart w:id="301" w:name="_Toc2248"/>
      <w:bookmarkStart w:id="302" w:name="_Toc13286"/>
      <w:r>
        <w:rPr>
          <w:rFonts w:hint="eastAsia" w:ascii="宋体" w:hAnsi="宋体" w:eastAsia="仿宋_GB2312" w:cs="宋体"/>
          <w:i w:val="0"/>
          <w:iCs w:val="0"/>
          <w:spacing w:val="6"/>
          <w:kern w:val="0"/>
          <w:sz w:val="32"/>
          <w:szCs w:val="32"/>
          <w:highlight w:val="none"/>
          <w:u w:val="none"/>
          <w:lang w:val="en-US" w:eastAsia="zh-CN"/>
        </w:rPr>
        <mc:AlternateContent>
          <mc:Choice Requires="wps">
            <w:drawing>
              <wp:anchor distT="0" distB="0" distL="114300" distR="114300" simplePos="0" relativeHeight="251672576" behindDoc="0" locked="0" layoutInCell="1" hidden="1" allowOverlap="1">
                <wp:simplePos x="0" y="0"/>
                <wp:positionH relativeFrom="column">
                  <wp:posOffset>2644775</wp:posOffset>
                </wp:positionH>
                <wp:positionV relativeFrom="paragraph">
                  <wp:posOffset>-192405</wp:posOffset>
                </wp:positionV>
                <wp:extent cx="0" cy="539750"/>
                <wp:effectExtent l="0" t="0" r="0" b="0"/>
                <wp:wrapNone/>
                <wp:docPr id="92" name="直接连接符 92" hidden="1"/>
                <wp:cNvGraphicFramePr/>
                <a:graphic xmlns:a="http://schemas.openxmlformats.org/drawingml/2006/main">
                  <a:graphicData uri="http://schemas.microsoft.com/office/word/2010/wordprocessingShape">
                    <wps:wsp>
                      <wps:cNvCnPr/>
                      <wps:spPr>
                        <a:xfrm>
                          <a:off x="3364865" y="1037590"/>
                          <a:ext cx="0" cy="539750"/>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_x0000_s1026" o:spid="_x0000_s1026" o:spt="20" style="position:absolute;left:0pt;margin-left:208.25pt;margin-top:-15.15pt;height:42.5pt;width:0pt;visibility:hidden;z-index:251672576;mso-width-relative:page;mso-height-relative:page;" filled="f" stroked="t" coordsize="21600,21600" o:gfxdata="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JrSDNcAAAAKAQAADwAAAAAAAAABACAA&#10;AAAiAAAAZHJzL2Rvd25yZXYueG1sUEsBAhQAFAAAAAgAh07iQJdkh7gOAgAA+QMAAA4AAAAAAAAA&#10;AQAgAAAAJgEAAGRycy9lMm9Eb2MueG1sUEsFBgAAAAAGAAYAWQEAAKYFAAAAAA==&#10;">
                <v:fill on="f" focussize="0,0"/>
                <v:stroke color="#BD4643" joinstyle="round"/>
                <v:imagedata o:title=""/>
                <o:lock v:ext="edit" aspectratio="f"/>
              </v:line>
            </w:pict>
          </mc:Fallback>
        </mc:AlternateContent>
      </w:r>
      <w:r>
        <w:rPr>
          <w:rFonts w:hint="eastAsia" w:ascii="宋体" w:hAnsi="宋体" w:eastAsia="仿宋_GB2312" w:cs="宋体"/>
          <w:i w:val="0"/>
          <w:iCs w:val="0"/>
          <w:spacing w:val="6"/>
          <w:kern w:val="0"/>
          <w:sz w:val="32"/>
          <w:szCs w:val="32"/>
          <w:highlight w:val="none"/>
          <w:u w:val="none"/>
          <w:lang w:val="en-US" w:eastAsia="zh-CN"/>
        </w:rPr>
        <mc:AlternateContent>
          <mc:Choice Requires="wps">
            <w:drawing>
              <wp:anchor distT="0" distB="0" distL="114300" distR="114300" simplePos="0" relativeHeight="251671552" behindDoc="0" locked="0" layoutInCell="1" hidden="1" allowOverlap="1">
                <wp:simplePos x="0" y="0"/>
                <wp:positionH relativeFrom="column">
                  <wp:posOffset>-157480</wp:posOffset>
                </wp:positionH>
                <wp:positionV relativeFrom="paragraph">
                  <wp:posOffset>-200025</wp:posOffset>
                </wp:positionV>
                <wp:extent cx="3460750" cy="0"/>
                <wp:effectExtent l="0" t="0" r="0" b="0"/>
                <wp:wrapNone/>
                <wp:docPr id="91" name="直接连接符 91" hidden="1"/>
                <wp:cNvGraphicFramePr/>
                <a:graphic xmlns:a="http://schemas.openxmlformats.org/drawingml/2006/main">
                  <a:graphicData uri="http://schemas.microsoft.com/office/word/2010/wordprocessingShape">
                    <wps:wsp>
                      <wps:cNvCnPr/>
                      <wps:spPr>
                        <a:xfrm>
                          <a:off x="911860" y="1029970"/>
                          <a:ext cx="3460750" cy="0"/>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_x0000_s1026" o:spid="_x0000_s1026" o:spt="20" style="position:absolute;left:0pt;margin-left:-12.4pt;margin-top:-15.75pt;height:0pt;width:272.5pt;visibility:hidden;z-index:251671552;mso-width-relative:page;mso-height-relative:page;" filled="f" stroked="t" coordsize="21600,21600" o:gfxdata="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bGvdPYAAAACwEAAA8AAAAAAAAAAQAgAAAA&#10;IgAAAGRycy9kb3ducmV2LnhtbFBLAQIUABQAAAAIAIdO4kCHghK8CwIAAPkDAAAOAAAAAAAAAAEA&#10;IAAAACcBAABkcnMvZTJvRG9jLnhtbFBLBQYAAAAABgAGAFkBAACkBQAAAAA=&#10;">
                <v:fill on="f" focussize="0,0"/>
                <v:stroke color="#BD4643" joinstyle="round"/>
                <v:imagedata o:title=""/>
                <o:lock v:ext="edit" aspectratio="f"/>
              </v:line>
            </w:pict>
          </mc:Fallback>
        </mc:AlternateContent>
      </w:r>
      <w:r>
        <w:rPr>
          <w:rFonts w:hint="eastAsia" w:ascii="宋体" w:hAnsi="宋体" w:eastAsia="仿宋_GB2312" w:cs="宋体"/>
          <w:i w:val="0"/>
          <w:iCs w:val="0"/>
          <w:spacing w:val="6"/>
          <w:kern w:val="0"/>
          <w:sz w:val="32"/>
          <w:szCs w:val="32"/>
          <w:highlight w:val="none"/>
          <w:u w:val="none"/>
          <w:lang w:val="en-US" w:eastAsia="zh-CN"/>
        </w:rPr>
        <mc:AlternateContent>
          <mc:Choice Requires="wps">
            <w:drawing>
              <wp:anchor distT="0" distB="0" distL="114300" distR="114300" simplePos="0" relativeHeight="251670528" behindDoc="0" locked="0" layoutInCell="1" hidden="1" allowOverlap="1">
                <wp:simplePos x="0" y="0"/>
                <wp:positionH relativeFrom="column">
                  <wp:posOffset>374650</wp:posOffset>
                </wp:positionH>
                <wp:positionV relativeFrom="paragraph">
                  <wp:posOffset>-1224280</wp:posOffset>
                </wp:positionV>
                <wp:extent cx="0" cy="899795"/>
                <wp:effectExtent l="0" t="0" r="0" b="0"/>
                <wp:wrapNone/>
                <wp:docPr id="90" name="直接连接符 90" hidden="1"/>
                <wp:cNvGraphicFramePr/>
                <a:graphic xmlns:a="http://schemas.openxmlformats.org/drawingml/2006/main">
                  <a:graphicData uri="http://schemas.microsoft.com/office/word/2010/wordprocessingShape">
                    <wps:wsp>
                      <wps:cNvCnPr/>
                      <wps:spPr>
                        <a:xfrm>
                          <a:off x="1094740" y="5715"/>
                          <a:ext cx="0" cy="899795"/>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_x0000_s1026" o:spid="_x0000_s1026" o:spt="20" style="position:absolute;left:0pt;margin-left:29.5pt;margin-top:-96.4pt;height:70.85pt;width:0pt;visibility:hidden;z-index:251670528;mso-width-relative:page;mso-height-relative:page;" filled="f" stroked="t" coordsize="21600,21600" o:gfxdata="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RHdGNcAAAAKAQAADwAAAAAAAAABACAAAAAi&#10;AAAAZHJzL2Rvd25yZXYueG1sUEsBAhQAFAAAAAgAh07iQMBKBn4LAgAA9gMAAA4AAAAAAAAAAQAg&#10;AAAAJgEAAGRycy9lMm9Eb2MueG1sUEsFBgAAAAAGAAYAWQEAAKMFAAAAAA==&#10;">
                <v:fill on="f" focussize="0,0"/>
                <v:stroke color="#BD4643" joinstyle="round"/>
                <v:imagedata o:title=""/>
                <o:lock v:ext="edit" aspectratio="f"/>
              </v:line>
            </w:pict>
          </mc:Fallback>
        </mc:AlternateContent>
      </w:r>
      <w:r>
        <w:rPr>
          <w:rFonts w:hint="eastAsia" w:ascii="宋体" w:hAnsi="宋体" w:eastAsia="仿宋_GB2312" w:cs="宋体"/>
          <w:i w:val="0"/>
          <w:iCs w:val="0"/>
          <w:spacing w:val="6"/>
          <w:kern w:val="0"/>
          <w:sz w:val="32"/>
          <w:szCs w:val="32"/>
          <w:highlight w:val="none"/>
          <w:u w:val="none"/>
          <w:lang w:val="en-US" w:eastAsia="zh-CN"/>
        </w:rPr>
        <w:t>附录A</w:t>
      </w:r>
      <w:bookmarkEnd w:id="300"/>
      <w:bookmarkEnd w:id="301"/>
      <w:bookmarkEnd w:id="302"/>
      <w:bookmarkStart w:id="303" w:name="_Toc47195915"/>
      <w:bookmarkStart w:id="304" w:name="_Toc47195699"/>
      <w:bookmarkStart w:id="305" w:name="_Toc47195677"/>
      <w:r>
        <w:rPr>
          <w:rFonts w:hint="eastAsia" w:ascii="宋体" w:hAnsi="宋体" w:eastAsia="仿宋_GB2312" w:cs="宋体"/>
          <w:spacing w:val="6"/>
          <w:kern w:val="0"/>
          <w:sz w:val="32"/>
          <w:szCs w:val="32"/>
          <w:highlight w:val="none"/>
          <w:lang w:val="en-US" w:eastAsia="zh-CN"/>
        </w:rPr>
        <mc:AlternateContent>
          <mc:Choice Requires="wps">
            <w:drawing>
              <wp:anchor distT="0" distB="0" distL="114300" distR="114300" simplePos="0" relativeHeight="251673600" behindDoc="0" locked="0" layoutInCell="1" hidden="1" allowOverlap="1">
                <wp:simplePos x="0" y="0"/>
                <wp:positionH relativeFrom="column">
                  <wp:posOffset>1581150</wp:posOffset>
                </wp:positionH>
                <wp:positionV relativeFrom="paragraph">
                  <wp:posOffset>170815</wp:posOffset>
                </wp:positionV>
                <wp:extent cx="0" cy="179705"/>
                <wp:effectExtent l="0" t="0" r="0" b="0"/>
                <wp:wrapNone/>
                <wp:docPr id="93" name="直接连接符 93" hidden="1"/>
                <wp:cNvGraphicFramePr/>
                <a:graphic xmlns:a="http://schemas.openxmlformats.org/drawingml/2006/main">
                  <a:graphicData uri="http://schemas.microsoft.com/office/word/2010/wordprocessingShape">
                    <wps:wsp>
                      <wps:cNvCnPr/>
                      <wps:spPr>
                        <a:xfrm>
                          <a:off x="2301240" y="2109470"/>
                          <a:ext cx="0" cy="179705"/>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_x0000_s1026" o:spid="_x0000_s1026" o:spt="20" style="position:absolute;left:0pt;margin-left:124.5pt;margin-top:13.45pt;height:14.15pt;width:0pt;visibility:hidden;z-index:251673600;mso-width-relative:page;mso-height-relative:page;" filled="f" stroked="t" coordsize="21600,21600" o:gfxdata="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4wXnkNcAAAAJAQAADwAAAAAAAAABACAAAAAi&#10;AAAAZHJzL2Rvd25yZXYueG1sUEsBAhQAFAAAAAgAh07iQJWUfs8LAgAA+QMAAA4AAAAAAAAAAQAg&#10;AAAAJgEAAGRycy9lMm9Eb2MueG1sUEsFBgAAAAAGAAYAWQEAAKMFAAAAAA==&#10;">
                <v:fill on="f" focussize="0,0"/>
                <v:stroke color="#BD4643" joinstyle="round"/>
                <v:imagedata o:title=""/>
                <o:lock v:ext="edit" aspectratio="f"/>
              </v:line>
            </w:pict>
          </mc:Fallback>
        </mc:AlternateContent>
      </w:r>
      <w:bookmarkEnd w:id="303"/>
      <w:bookmarkEnd w:id="304"/>
      <w:bookmarkEnd w:id="305"/>
      <w:r>
        <w:rPr>
          <w:rFonts w:hint="eastAsia" w:ascii="宋体" w:hAnsi="宋体" w:eastAsia="仿宋_GB2312" w:cs="宋体"/>
          <w:spacing w:val="6"/>
          <w:kern w:val="0"/>
          <w:sz w:val="32"/>
          <w:szCs w:val="32"/>
          <w:highlight w:val="none"/>
          <w:lang w:val="en-US" w:eastAsia="zh-CN"/>
        </w:rPr>
        <w:t>给出了各评价单元可选的评价方法。</w:t>
      </w:r>
    </w:p>
    <w:p w14:paraId="49D4B3AC">
      <w:pPr>
        <w:keepNext w:val="0"/>
        <w:keepLines w:val="0"/>
        <w:pageBreakBefore w:val="0"/>
        <w:widowControl/>
        <w:kinsoku/>
        <w:wordWrap/>
        <w:overflowPunct w:val="0"/>
        <w:topLinePunct w:val="0"/>
        <w:autoSpaceDE/>
        <w:autoSpaceDN/>
        <w:bidi w:val="0"/>
        <w:adjustRightInd/>
        <w:snapToGrid/>
        <w:spacing w:line="560" w:lineRule="exact"/>
        <w:ind w:firstLine="664" w:firstLineChars="200"/>
        <w:textAlignment w:val="auto"/>
        <w:rPr>
          <w:rFonts w:hint="default" w:ascii="宋体" w:hAnsi="宋体" w:eastAsia="仿宋_GB2312" w:cs="宋体"/>
          <w:spacing w:val="5"/>
          <w:kern w:val="0"/>
          <w:sz w:val="32"/>
          <w:szCs w:val="32"/>
          <w:highlight w:val="none"/>
          <w:lang w:val="en-US" w:eastAsia="zh-CN"/>
        </w:rPr>
      </w:pPr>
      <w:bookmarkStart w:id="306" w:name="_Toc1456"/>
      <w:bookmarkStart w:id="307" w:name="_Toc20716"/>
      <w:bookmarkStart w:id="308" w:name="_Toc21971"/>
      <w:bookmarkStart w:id="309" w:name="_Toc11472"/>
      <w:bookmarkStart w:id="310" w:name="_Toc19897"/>
      <w:r>
        <w:rPr>
          <w:rFonts w:hint="eastAsia" w:ascii="宋体" w:hAnsi="宋体" w:eastAsia="仿宋_GB2312" w:cs="宋体"/>
          <w:i w:val="0"/>
          <w:iCs w:val="0"/>
          <w:spacing w:val="6"/>
          <w:kern w:val="0"/>
          <w:sz w:val="32"/>
          <w:szCs w:val="32"/>
          <w:highlight w:val="none"/>
          <w:u w:val="none"/>
          <w:lang w:val="en-US" w:eastAsia="zh-CN"/>
        </w:rPr>
        <mc:AlternateContent>
          <mc:Choice Requires="wps">
            <w:drawing>
              <wp:anchor distT="0" distB="0" distL="114300" distR="114300" simplePos="0" relativeHeight="251676672" behindDoc="0" locked="0" layoutInCell="1" hidden="1" allowOverlap="1">
                <wp:simplePos x="0" y="0"/>
                <wp:positionH relativeFrom="column">
                  <wp:posOffset>2956560</wp:posOffset>
                </wp:positionH>
                <wp:positionV relativeFrom="paragraph">
                  <wp:posOffset>-196215</wp:posOffset>
                </wp:positionV>
                <wp:extent cx="0" cy="539750"/>
                <wp:effectExtent l="0" t="0" r="0" b="0"/>
                <wp:wrapNone/>
                <wp:docPr id="4" name="直接连接符 96" hidden="1"/>
                <wp:cNvGraphicFramePr/>
                <a:graphic xmlns:a="http://schemas.openxmlformats.org/drawingml/2006/main">
                  <a:graphicData uri="http://schemas.microsoft.com/office/word/2010/wordprocessingShape">
                    <wps:wsp>
                      <wps:cNvCnPr/>
                      <wps:spPr>
                        <a:xfrm>
                          <a:off x="4357370" y="1014730"/>
                          <a:ext cx="0" cy="539750"/>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直接连接符 96" o:spid="_x0000_s1026" o:spt="20" style="position:absolute;left:0pt;margin-left:232.8pt;margin-top:-15.45pt;height:42.5pt;width:0pt;visibility:hidden;z-index:251676672;mso-width-relative:page;mso-height-relative:page;" filled="f" stroked="t" coordsize="21600,21600" o:gfxdata="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lInSnXAAAACgEAAA8AAAAAAAAAAQAg&#10;AAAAIgAAAGRycy9kb3ducmV2LnhtbFBLAQIUABQAAAAIAIdO4kALnBioDwIAAPgDAAAOAAAAAAAA&#10;AAEAIAAAACYBAABkcnMvZTJvRG9jLnhtbFBLBQYAAAAABgAGAFkBAACnBQAAAAA=&#10;">
                <v:fill on="f" focussize="0,0"/>
                <v:stroke color="#BD4643" joinstyle="round"/>
                <v:imagedata o:title=""/>
                <o:lock v:ext="edit" aspectratio="f"/>
              </v:line>
            </w:pict>
          </mc:Fallback>
        </mc:AlternateContent>
      </w:r>
      <w:r>
        <w:rPr>
          <w:rFonts w:hint="eastAsia" w:ascii="宋体" w:hAnsi="宋体" w:eastAsia="仿宋_GB2312" w:cs="宋体"/>
          <w:i w:val="0"/>
          <w:iCs w:val="0"/>
          <w:spacing w:val="6"/>
          <w:kern w:val="0"/>
          <w:sz w:val="32"/>
          <w:szCs w:val="32"/>
          <w:highlight w:val="none"/>
          <w:u w:val="none"/>
          <w:lang w:val="en-US" w:eastAsia="zh-CN"/>
        </w:rPr>
        <mc:AlternateContent>
          <mc:Choice Requires="wps">
            <w:drawing>
              <wp:anchor distT="0" distB="0" distL="114300" distR="114300" simplePos="0" relativeHeight="251675648" behindDoc="0" locked="0" layoutInCell="1" hidden="1" allowOverlap="1">
                <wp:simplePos x="0" y="0"/>
                <wp:positionH relativeFrom="column">
                  <wp:posOffset>2561590</wp:posOffset>
                </wp:positionH>
                <wp:positionV relativeFrom="paragraph">
                  <wp:posOffset>-203835</wp:posOffset>
                </wp:positionV>
                <wp:extent cx="2828925" cy="0"/>
                <wp:effectExtent l="0" t="0" r="0" b="0"/>
                <wp:wrapNone/>
                <wp:docPr id="3" name="直接连接符 95" hidden="1"/>
                <wp:cNvGraphicFramePr/>
                <a:graphic xmlns:a="http://schemas.openxmlformats.org/drawingml/2006/main">
                  <a:graphicData uri="http://schemas.microsoft.com/office/word/2010/wordprocessingShape">
                    <wps:wsp>
                      <wps:cNvCnPr/>
                      <wps:spPr>
                        <a:xfrm flipH="1">
                          <a:off x="3281045" y="1043305"/>
                          <a:ext cx="2828925" cy="0"/>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直接连接符 95" o:spid="_x0000_s1026" o:spt="20" style="position:absolute;left:0pt;flip:x;margin-left:201.7pt;margin-top:-16.05pt;height:0pt;width:222.75pt;visibility:hidden;z-index:251675648;mso-width-relative:page;mso-height-relative:page;" filled="f" stroked="t" coordsize="21600,21600" o:gfxdata="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cWlGdYAAAALAQAADwAAAAAA&#10;AAABACAAAAAiAAAAZHJzL2Rvd25yZXYueG1sUEsBAhQAFAAAAAgAh07iQJJoImUVAgAAAwQAAA4A&#10;AAAAAAAAAQAgAAAAJQEAAGRycy9lMm9Eb2MueG1sUEsFBgAAAAAGAAYAWQEAAKwFAAAAAA==&#10;">
                <v:fill on="f" focussize="0,0"/>
                <v:stroke color="#BD4643" joinstyle="round"/>
                <v:imagedata o:title=""/>
                <o:lock v:ext="edit" aspectratio="f"/>
              </v:line>
            </w:pict>
          </mc:Fallback>
        </mc:AlternateContent>
      </w:r>
      <w:r>
        <w:rPr>
          <w:rFonts w:hint="eastAsia" w:ascii="宋体" w:hAnsi="宋体" w:eastAsia="仿宋_GB2312" w:cs="宋体"/>
          <w:i w:val="0"/>
          <w:iCs w:val="0"/>
          <w:spacing w:val="6"/>
          <w:kern w:val="0"/>
          <w:sz w:val="32"/>
          <w:szCs w:val="32"/>
          <w:highlight w:val="none"/>
          <w:u w:val="none"/>
          <w:lang w:val="en-US" w:eastAsia="zh-CN"/>
        </w:rPr>
        <mc:AlternateContent>
          <mc:Choice Requires="wps">
            <w:drawing>
              <wp:anchor distT="0" distB="0" distL="114300" distR="114300" simplePos="0" relativeHeight="251674624" behindDoc="0" locked="0" layoutInCell="1" hidden="1" allowOverlap="1">
                <wp:simplePos x="0" y="0"/>
                <wp:positionH relativeFrom="column">
                  <wp:posOffset>5028565</wp:posOffset>
                </wp:positionH>
                <wp:positionV relativeFrom="paragraph">
                  <wp:posOffset>-1229995</wp:posOffset>
                </wp:positionV>
                <wp:extent cx="0" cy="899795"/>
                <wp:effectExtent l="0" t="0" r="0" b="0"/>
                <wp:wrapNone/>
                <wp:docPr id="2" name="直接连接符 94" hidden="1"/>
                <wp:cNvGraphicFramePr/>
                <a:graphic xmlns:a="http://schemas.openxmlformats.org/drawingml/2006/main">
                  <a:graphicData uri="http://schemas.microsoft.com/office/word/2010/wordprocessingShape">
                    <wps:wsp>
                      <wps:cNvCnPr/>
                      <wps:spPr>
                        <a:xfrm>
                          <a:off x="5719445" y="14605"/>
                          <a:ext cx="0" cy="899795"/>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直接连接符 94" o:spid="_x0000_s1026" o:spt="20" style="position:absolute;left:0pt;margin-left:395.95pt;margin-top:-96.85pt;height:70.85pt;width:0pt;visibility:hidden;z-index:251674624;mso-width-relative:page;mso-height-relative:page;" filled="f" stroked="t" coordsize="21600,21600" o:gfxdata="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w1SNc2QAAAAwBAAAPAAAAAAAAAAEA&#10;IAAAACIAAABkcnMvZG93bnJldi54bWxQSwECFAAUAAAACACHTuJAs7Augw4CAAD2AwAADgAAAAAA&#10;AAABACAAAAAoAQAAZHJzL2Uyb0RvYy54bWxQSwUGAAAAAAYABgBZAQAAqAUAAAAA&#10;">
                <v:fill on="f" focussize="0,0"/>
                <v:stroke color="#BD4643" joinstyle="round"/>
                <v:imagedata o:title=""/>
                <o:lock v:ext="edit" aspectratio="f"/>
              </v:line>
            </w:pict>
          </mc:Fallback>
        </mc:AlternateContent>
      </w:r>
      <w:bookmarkEnd w:id="306"/>
      <w:r>
        <w:rPr>
          <w:rFonts w:hint="eastAsia" w:ascii="宋体" w:hAnsi="宋体" w:eastAsia="仿宋_GB2312" w:cs="宋体"/>
          <w:i w:val="0"/>
          <w:iCs w:val="0"/>
          <w:spacing w:val="6"/>
          <w:kern w:val="0"/>
          <w:sz w:val="32"/>
          <w:szCs w:val="32"/>
          <w:highlight w:val="none"/>
          <w:u w:val="none"/>
          <w:lang w:val="en-US" w:eastAsia="zh-CN"/>
        </w:rPr>
        <mc:AlternateContent>
          <mc:Choice Requires="wps">
            <w:drawing>
              <wp:anchor distT="0" distB="0" distL="114300" distR="114300" simplePos="0" relativeHeight="251679744" behindDoc="0" locked="0" layoutInCell="1" hidden="1" allowOverlap="1">
                <wp:simplePos x="0" y="0"/>
                <wp:positionH relativeFrom="column">
                  <wp:posOffset>2970530</wp:posOffset>
                </wp:positionH>
                <wp:positionV relativeFrom="paragraph">
                  <wp:posOffset>-187325</wp:posOffset>
                </wp:positionV>
                <wp:extent cx="0" cy="539750"/>
                <wp:effectExtent l="0" t="0" r="0" b="0"/>
                <wp:wrapNone/>
                <wp:docPr id="8" name="直接连接符 99" hidden="1"/>
                <wp:cNvGraphicFramePr/>
                <a:graphic xmlns:a="http://schemas.openxmlformats.org/drawingml/2006/main">
                  <a:graphicData uri="http://schemas.microsoft.com/office/word/2010/wordprocessingShape">
                    <wps:wsp>
                      <wps:cNvCnPr/>
                      <wps:spPr>
                        <a:xfrm>
                          <a:off x="3690620" y="1033145"/>
                          <a:ext cx="0" cy="539750"/>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直接连接符 99" o:spid="_x0000_s1026" o:spt="20" style="position:absolute;left:0pt;margin-left:233.9pt;margin-top:-14.75pt;height:42.5pt;width:0pt;visibility:hidden;z-index:251679744;mso-width-relative:page;mso-height-relative:page;" filled="f" stroked="t" coordsize="21600,21600" o:gfxdata="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7Ou/d1wAAAAoBAAAPAAAAAAAAAAEA&#10;IAAAACIAAABkcnMvZG93bnJldi54bWxQSwECFAAUAAAACACHTuJA0tCXTxACAAD4AwAADgAAAAAA&#10;AAABACAAAAAmAQAAZHJzL2Uyb0RvYy54bWxQSwUGAAAAAAYABgBZAQAAqAUAAAAA&#10;">
                <v:fill on="f" focussize="0,0"/>
                <v:stroke color="#BD4643" joinstyle="round"/>
                <v:imagedata o:title=""/>
                <o:lock v:ext="edit" aspectratio="f"/>
              </v:line>
            </w:pict>
          </mc:Fallback>
        </mc:AlternateContent>
      </w:r>
      <w:r>
        <w:rPr>
          <w:rFonts w:hint="eastAsia" w:ascii="宋体" w:hAnsi="宋体" w:eastAsia="仿宋_GB2312" w:cs="宋体"/>
          <w:i w:val="0"/>
          <w:iCs w:val="0"/>
          <w:spacing w:val="6"/>
          <w:kern w:val="0"/>
          <w:sz w:val="32"/>
          <w:szCs w:val="32"/>
          <w:highlight w:val="none"/>
          <w:u w:val="none"/>
          <w:lang w:val="en-US" w:eastAsia="zh-CN"/>
        </w:rPr>
        <mc:AlternateContent>
          <mc:Choice Requires="wps">
            <w:drawing>
              <wp:anchor distT="0" distB="0" distL="114300" distR="114300" simplePos="0" relativeHeight="251678720" behindDoc="0" locked="0" layoutInCell="1" hidden="1" allowOverlap="1">
                <wp:simplePos x="0" y="0"/>
                <wp:positionH relativeFrom="column">
                  <wp:posOffset>-191770</wp:posOffset>
                </wp:positionH>
                <wp:positionV relativeFrom="paragraph">
                  <wp:posOffset>-195580</wp:posOffset>
                </wp:positionV>
                <wp:extent cx="3419475" cy="0"/>
                <wp:effectExtent l="0" t="0" r="0" b="0"/>
                <wp:wrapNone/>
                <wp:docPr id="7" name="直接连接符 98" hidden="1"/>
                <wp:cNvGraphicFramePr/>
                <a:graphic xmlns:a="http://schemas.openxmlformats.org/drawingml/2006/main">
                  <a:graphicData uri="http://schemas.microsoft.com/office/word/2010/wordprocessingShape">
                    <wps:wsp>
                      <wps:cNvCnPr/>
                      <wps:spPr>
                        <a:xfrm>
                          <a:off x="909320" y="1034415"/>
                          <a:ext cx="3419475" cy="0"/>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直接连接符 98" o:spid="_x0000_s1026" o:spt="20" style="position:absolute;left:0pt;margin-left:-15.1pt;margin-top:-15.4pt;height:0pt;width:269.25pt;visibility:hidden;z-index:251678720;mso-width-relative:page;mso-height-relative:page;" filled="f" stroked="t" coordsize="21600,21600" o:gfxdata="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aLNHdYAAAALAQAADwAAAAAAAAABACAA&#10;AAAiAAAAZHJzL2Rvd25yZXYueG1sUEsBAhQAFAAAAAgAh07iQIDJVtwPAgAA+AMAAA4AAAAAAAAA&#10;AQAgAAAAJQEAAGRycy9lMm9Eb2MueG1sUEsFBgAAAAAGAAYAWQEAAKYFAAAAAA==&#10;">
                <v:fill on="f" focussize="0,0"/>
                <v:stroke color="#BD4643" joinstyle="round"/>
                <v:imagedata o:title=""/>
                <o:lock v:ext="edit" aspectratio="f"/>
              </v:line>
            </w:pict>
          </mc:Fallback>
        </mc:AlternateContent>
      </w:r>
      <w:r>
        <w:rPr>
          <w:rFonts w:hint="eastAsia" w:ascii="宋体" w:hAnsi="宋体" w:eastAsia="仿宋_GB2312" w:cs="宋体"/>
          <w:i w:val="0"/>
          <w:iCs w:val="0"/>
          <w:spacing w:val="6"/>
          <w:kern w:val="0"/>
          <w:sz w:val="32"/>
          <w:szCs w:val="32"/>
          <w:highlight w:val="none"/>
          <w:u w:val="none"/>
          <w:lang w:val="en-US" w:eastAsia="zh-CN"/>
        </w:rPr>
        <mc:AlternateContent>
          <mc:Choice Requires="wps">
            <w:drawing>
              <wp:anchor distT="0" distB="0" distL="114300" distR="114300" simplePos="0" relativeHeight="251677696" behindDoc="0" locked="0" layoutInCell="1" hidden="1" allowOverlap="1">
                <wp:simplePos x="0" y="0"/>
                <wp:positionH relativeFrom="column">
                  <wp:posOffset>36830</wp:posOffset>
                </wp:positionH>
                <wp:positionV relativeFrom="paragraph">
                  <wp:posOffset>-1233805</wp:posOffset>
                </wp:positionV>
                <wp:extent cx="0" cy="899795"/>
                <wp:effectExtent l="0" t="0" r="0" b="0"/>
                <wp:wrapNone/>
                <wp:docPr id="6" name="直接连接符 97" hidden="1"/>
                <wp:cNvGraphicFramePr/>
                <a:graphic xmlns:a="http://schemas.openxmlformats.org/drawingml/2006/main">
                  <a:graphicData uri="http://schemas.microsoft.com/office/word/2010/wordprocessingShape">
                    <wps:wsp>
                      <wps:cNvCnPr/>
                      <wps:spPr>
                        <a:xfrm>
                          <a:off x="1099820" y="5715"/>
                          <a:ext cx="0" cy="899795"/>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直接连接符 97" o:spid="_x0000_s1026" o:spt="20" style="position:absolute;left:0pt;margin-left:2.9pt;margin-top:-97.15pt;height:70.85pt;width:0pt;visibility:hidden;z-index:251677696;mso-width-relative:page;mso-height-relative:page;" filled="f" stroked="t" coordsize="21600,21600" o:gfxdata="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dbm2HWAAAACAEAAA8AAAAAAAAAAQAgAAAA&#10;IgAAAGRycy9kb3ducmV2LnhtbFBLAQIUABQAAAAIAIdO4kBn5pQFDQIAAPUDAAAOAAAAAAAAAAEA&#10;IAAAACUBAABkcnMvZTJvRG9jLnhtbFBLBQYAAAAABgAGAFkBAACkBQAAAAA=&#10;">
                <v:fill on="f" focussize="0,0"/>
                <v:stroke color="#BD4643" joinstyle="round"/>
                <v:imagedata o:title=""/>
                <o:lock v:ext="edit" aspectratio="f"/>
              </v:line>
            </w:pict>
          </mc:Fallback>
        </mc:AlternateContent>
      </w:r>
      <w:r>
        <w:rPr>
          <w:rFonts w:hint="eastAsia" w:ascii="宋体" w:hAnsi="宋体" w:eastAsia="仿宋_GB2312" w:cs="宋体"/>
          <w:i w:val="0"/>
          <w:iCs w:val="0"/>
          <w:spacing w:val="6"/>
          <w:kern w:val="0"/>
          <w:sz w:val="32"/>
          <w:szCs w:val="32"/>
          <w:highlight w:val="none"/>
          <w:u w:val="none"/>
          <w:lang w:val="en-US" w:eastAsia="zh-CN"/>
        </w:rPr>
        <w:t>附录B</w:t>
      </w:r>
      <w:bookmarkEnd w:id="307"/>
      <w:bookmarkEnd w:id="308"/>
      <w:bookmarkEnd w:id="309"/>
      <w:bookmarkEnd w:id="310"/>
      <w:r>
        <w:rPr>
          <w:rFonts w:hint="eastAsia" w:ascii="宋体" w:hAnsi="宋体" w:eastAsia="仿宋_GB2312" w:cs="宋体"/>
          <w:i w:val="0"/>
          <w:iCs w:val="0"/>
          <w:spacing w:val="5"/>
          <w:kern w:val="0"/>
          <w:sz w:val="32"/>
          <w:szCs w:val="32"/>
          <w:highlight w:val="none"/>
          <w:lang w:val="en-US" w:eastAsia="zh-CN"/>
        </w:rPr>
        <w:t>规范了</w:t>
      </w:r>
      <w:r>
        <w:rPr>
          <w:rFonts w:hint="eastAsia" w:ascii="宋体" w:hAnsi="宋体" w:eastAsia="仿宋_GB2312" w:cs="宋体"/>
          <w:i w:val="0"/>
          <w:iCs w:val="0"/>
          <w:spacing w:val="5"/>
          <w:kern w:val="0"/>
          <w:sz w:val="32"/>
          <w:szCs w:val="32"/>
          <w:highlight w:val="none"/>
          <w:lang w:val="en-US" w:eastAsia="zh-CN"/>
        </w:rPr>
        <mc:AlternateContent>
          <mc:Choice Requires="wps">
            <w:drawing>
              <wp:anchor distT="0" distB="0" distL="114300" distR="114300" simplePos="0" relativeHeight="251681792" behindDoc="0" locked="0" layoutInCell="1" hidden="1" allowOverlap="1">
                <wp:simplePos x="0" y="0"/>
                <wp:positionH relativeFrom="column">
                  <wp:posOffset>732155</wp:posOffset>
                </wp:positionH>
                <wp:positionV relativeFrom="paragraph">
                  <wp:posOffset>160655</wp:posOffset>
                </wp:positionV>
                <wp:extent cx="0" cy="179705"/>
                <wp:effectExtent l="0" t="0" r="0" b="0"/>
                <wp:wrapNone/>
                <wp:docPr id="10" name="直接连接符 102" hidden="1"/>
                <wp:cNvGraphicFramePr/>
                <a:graphic xmlns:a="http://schemas.openxmlformats.org/drawingml/2006/main">
                  <a:graphicData uri="http://schemas.microsoft.com/office/word/2010/wordprocessingShape">
                    <wps:wsp>
                      <wps:cNvCnPr/>
                      <wps:spPr>
                        <a:xfrm>
                          <a:off x="1452245" y="2104390"/>
                          <a:ext cx="0" cy="179705"/>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直接连接符 102" o:spid="_x0000_s1026" o:spt="20" style="position:absolute;left:0pt;margin-left:57.65pt;margin-top:12.65pt;height:14.15pt;width:0pt;visibility:hidden;z-index:251681792;mso-width-relative:page;mso-height-relative:page;" filled="f" stroked="t" coordsize="21600,21600" o:gfxdata="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BHmY/VAAAACQEAAA8AAAAAAAAAAQAgAAAA&#10;IgAAAGRycy9kb3ducmV2LnhtbFBLAQIUABQAAAAIAIdO4kB+4787DgIAAPoDAAAOAAAAAAAAAAEA&#10;IAAAACQBAABkcnMvZTJvRG9jLnhtbFBLBQYAAAAABgAGAFkBAACkBQAAAAA=&#10;">
                <v:fill on="f" focussize="0,0"/>
                <v:stroke color="#BD4643" joinstyle="round"/>
                <v:imagedata o:title=""/>
                <o:lock v:ext="edit" aspectratio="f"/>
              </v:line>
            </w:pict>
          </mc:Fallback>
        </mc:AlternateContent>
      </w:r>
      <w:r>
        <w:rPr>
          <w:rFonts w:hint="eastAsia" w:ascii="宋体" w:hAnsi="宋体" w:eastAsia="仿宋_GB2312" w:cs="宋体"/>
          <w:i w:val="0"/>
          <w:iCs w:val="0"/>
          <w:spacing w:val="5"/>
          <w:kern w:val="0"/>
          <w:sz w:val="32"/>
          <w:szCs w:val="32"/>
          <w:highlight w:val="none"/>
          <w:lang w:val="en-US" w:eastAsia="zh-CN"/>
        </w:rPr>
        <mc:AlternateContent>
          <mc:Choice Requires="wps">
            <w:drawing>
              <wp:anchor distT="0" distB="0" distL="114300" distR="114300" simplePos="0" relativeHeight="251680768" behindDoc="0" locked="0" layoutInCell="1" hidden="1" allowOverlap="1">
                <wp:simplePos x="0" y="0"/>
                <wp:positionH relativeFrom="column">
                  <wp:posOffset>-210820</wp:posOffset>
                </wp:positionH>
                <wp:positionV relativeFrom="paragraph">
                  <wp:posOffset>160655</wp:posOffset>
                </wp:positionV>
                <wp:extent cx="3267075" cy="0"/>
                <wp:effectExtent l="0" t="0" r="0" b="0"/>
                <wp:wrapNone/>
                <wp:docPr id="9" name="直接连接符 101" hidden="1"/>
                <wp:cNvGraphicFramePr/>
                <a:graphic xmlns:a="http://schemas.openxmlformats.org/drawingml/2006/main">
                  <a:graphicData uri="http://schemas.microsoft.com/office/word/2010/wordprocessingShape">
                    <wps:wsp>
                      <wps:cNvCnPr/>
                      <wps:spPr>
                        <a:xfrm flipH="1">
                          <a:off x="509270" y="2104390"/>
                          <a:ext cx="3267075" cy="0"/>
                        </a:xfrm>
                        <a:prstGeom prst="line">
                          <a:avLst/>
                        </a:prstGeom>
                        <a:noFill/>
                        <a:ln w="9525" cap="flat" cmpd="sng" algn="ctr">
                          <a:solidFill>
                            <a:srgbClr val="BE4B48">
                              <a:shade val="95000"/>
                              <a:satMod val="105000"/>
                            </a:srgbClr>
                          </a:solidFill>
                          <a:prstDash val="solid"/>
                        </a:ln>
                        <a:effectLst/>
                      </wps:spPr>
                      <wps:bodyPr/>
                    </wps:wsp>
                  </a:graphicData>
                </a:graphic>
              </wp:anchor>
            </w:drawing>
          </mc:Choice>
          <mc:Fallback>
            <w:pict>
              <v:line id="直接连接符 101" o:spid="_x0000_s1026" o:spt="20" style="position:absolute;left:0pt;flip:x;margin-left:-16.6pt;margin-top:12.65pt;height:0pt;width:257.25pt;visibility:hidden;z-index:251680768;mso-width-relative:page;mso-height-relative:page;" filled="f" stroked="t" coordsize="21600,21600" o:gfxdata="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9108/UAAAACQEAAA8AAAAAAAAA&#10;AQAgAAAAIgAAAGRycy9kb3ducmV2LnhtbFBLAQIUABQAAAAIAIdO4kDfyV8tFQIAAAMEAAAOAAAA&#10;AAAAAAEAIAAAACMBAABkcnMvZTJvRG9jLnhtbFBLBQYAAAAABgAGAFkBAACqBQAAAAA=&#10;">
                <v:fill on="f" focussize="0,0"/>
                <v:stroke color="#BD4643" joinstyle="round"/>
                <v:imagedata o:title=""/>
                <o:lock v:ext="edit" aspectratio="f"/>
              </v:line>
            </w:pict>
          </mc:Fallback>
        </mc:AlternateContent>
      </w:r>
      <w:r>
        <w:rPr>
          <w:rFonts w:hint="eastAsia" w:ascii="宋体" w:hAnsi="宋体" w:eastAsia="仿宋_GB2312" w:cs="宋体"/>
          <w:i w:val="0"/>
          <w:iCs w:val="0"/>
          <w:spacing w:val="5"/>
          <w:kern w:val="0"/>
          <w:sz w:val="32"/>
          <w:szCs w:val="32"/>
          <w:highlight w:val="none"/>
          <w:lang w:val="en-US" w:eastAsia="zh-CN"/>
        </w:rPr>
        <w:t>海洋</w:t>
      </w:r>
      <w:r>
        <w:rPr>
          <w:rFonts w:hint="eastAsia" w:ascii="宋体" w:hAnsi="宋体" w:eastAsia="仿宋_GB2312" w:cs="宋体"/>
          <w:spacing w:val="5"/>
          <w:kern w:val="0"/>
          <w:sz w:val="32"/>
          <w:szCs w:val="32"/>
          <w:highlight w:val="none"/>
          <w:lang w:val="en-US" w:eastAsia="zh-CN"/>
        </w:rPr>
        <w:t>石油天然气开采建设项目安全预评价报告的结构及格式、纸张、排版及封装的要求。</w:t>
      </w:r>
    </w:p>
    <w:p w14:paraId="11D2DFE2">
      <w:pPr>
        <w:spacing w:line="560" w:lineRule="exact"/>
        <w:ind w:firstLine="640" w:firstLineChars="200"/>
        <w:rPr>
          <w:rFonts w:hint="eastAsia" w:ascii="楷体" w:hAnsi="楷体" w:eastAsia="楷体"/>
          <w:sz w:val="32"/>
          <w:szCs w:val="32"/>
          <w:shd w:val="clear" w:color="auto" w:fill="FFFFFF"/>
        </w:rPr>
      </w:pPr>
      <w:r>
        <w:rPr>
          <w:rFonts w:hint="eastAsia" w:ascii="楷体" w:hAnsi="楷体" w:eastAsia="楷体"/>
          <w:sz w:val="32"/>
          <w:szCs w:val="32"/>
          <w:shd w:val="clear" w:color="auto" w:fill="FFFFFF"/>
        </w:rPr>
        <w:t>（三）标准修订变化及依据（仅修订标准需要列出）</w:t>
      </w:r>
    </w:p>
    <w:p w14:paraId="6E8732F3">
      <w:pPr>
        <w:spacing w:line="560" w:lineRule="exact"/>
        <w:ind w:firstLine="640" w:firstLineChars="200"/>
        <w:rPr>
          <w:rFonts w:hint="default" w:ascii="宋体" w:hAnsi="宋体" w:eastAsia="仿宋_GB2312" w:cs="Times New Roman"/>
          <w:i w:val="0"/>
          <w:iCs/>
          <w:color w:val="auto"/>
          <w:sz w:val="32"/>
          <w:szCs w:val="32"/>
          <w:highlight w:val="none"/>
          <w:lang w:val="en-US" w:eastAsia="zh-CN"/>
        </w:rPr>
      </w:pPr>
      <w:r>
        <w:rPr>
          <w:rFonts w:hint="eastAsia" w:ascii="宋体" w:hAnsi="宋体" w:eastAsia="仿宋_GB2312" w:cs="Times New Roman"/>
          <w:i w:val="0"/>
          <w:iCs/>
          <w:color w:val="auto"/>
          <w:sz w:val="32"/>
          <w:szCs w:val="32"/>
          <w:highlight w:val="none"/>
          <w:lang w:val="en-US" w:eastAsia="zh-CN"/>
        </w:rPr>
        <w:t>无。</w:t>
      </w:r>
    </w:p>
    <w:p w14:paraId="32119614">
      <w:pPr>
        <w:widowControl/>
        <w:spacing w:line="560" w:lineRule="exact"/>
        <w:ind w:firstLine="640" w:firstLineChars="200"/>
        <w:outlineLvl w:val="0"/>
        <w:rPr>
          <w:rFonts w:hint="eastAsia" w:ascii="黑体" w:hAnsi="黑体" w:eastAsia="黑体"/>
          <w:sz w:val="32"/>
          <w:szCs w:val="32"/>
          <w:lang w:eastAsia="zh-CN"/>
        </w:rPr>
      </w:pPr>
      <w:r>
        <w:rPr>
          <w:rFonts w:hint="eastAsia" w:ascii="黑体" w:hAnsi="黑体" w:eastAsia="黑体"/>
          <w:sz w:val="32"/>
          <w:szCs w:val="32"/>
        </w:rPr>
        <w:t>三、</w:t>
      </w:r>
      <w:r>
        <w:rPr>
          <w:rFonts w:hint="eastAsia" w:ascii="黑体" w:hAnsi="黑体" w:eastAsia="黑体"/>
          <w:sz w:val="32"/>
          <w:szCs w:val="32"/>
          <w:lang w:eastAsia="zh-CN"/>
        </w:rPr>
        <w:t>试验验证的分析、综述报告、技术经济论证，预期的经济效益、社会效益和生态效益。</w:t>
      </w:r>
    </w:p>
    <w:p w14:paraId="458943C9">
      <w:pPr>
        <w:spacing w:line="560" w:lineRule="exact"/>
        <w:ind w:firstLine="640" w:firstLineChars="200"/>
        <w:rPr>
          <w:rFonts w:ascii="仿宋_GB2312" w:eastAsia="仿宋_GB2312"/>
          <w:sz w:val="32"/>
          <w:szCs w:val="32"/>
        </w:rPr>
      </w:pPr>
      <w:r>
        <w:rPr>
          <w:rFonts w:hint="eastAsia" w:ascii="仿宋_GB2312" w:eastAsia="仿宋_GB2312"/>
          <w:sz w:val="32"/>
          <w:szCs w:val="32"/>
        </w:rPr>
        <w:t>本</w:t>
      </w:r>
      <w:r>
        <w:rPr>
          <w:rFonts w:hint="eastAsia" w:ascii="仿宋_GB2312" w:eastAsia="仿宋_GB2312"/>
          <w:sz w:val="32"/>
          <w:szCs w:val="32"/>
          <w:lang w:val="en-US" w:eastAsia="zh-CN"/>
        </w:rPr>
        <w:t>文件</w:t>
      </w:r>
      <w:r>
        <w:rPr>
          <w:rFonts w:hint="eastAsia" w:ascii="仿宋_GB2312" w:eastAsia="仿宋_GB2312"/>
          <w:sz w:val="32"/>
          <w:szCs w:val="32"/>
        </w:rPr>
        <w:t>是根据</w:t>
      </w:r>
      <w:r>
        <w:rPr>
          <w:rFonts w:hint="eastAsia" w:ascii="仿宋_GB2312" w:eastAsia="仿宋_GB2312"/>
          <w:sz w:val="32"/>
          <w:szCs w:val="32"/>
          <w:lang w:val="en-US" w:eastAsia="zh-CN"/>
        </w:rPr>
        <w:t>海洋石油天然气开采</w:t>
      </w:r>
      <w:r>
        <w:rPr>
          <w:rFonts w:hint="eastAsia" w:ascii="仿宋_GB2312" w:eastAsia="仿宋_GB2312"/>
          <w:sz w:val="32"/>
          <w:szCs w:val="32"/>
        </w:rPr>
        <w:t>行业安全评价技术发展和需要制定的，能为目前</w:t>
      </w:r>
      <w:r>
        <w:rPr>
          <w:rFonts w:hint="eastAsia" w:ascii="仿宋_GB2312" w:eastAsia="仿宋_GB2312"/>
          <w:sz w:val="32"/>
          <w:szCs w:val="32"/>
          <w:lang w:val="en-US" w:eastAsia="zh-CN"/>
        </w:rPr>
        <w:t>海洋石油天然气开采建设项目</w:t>
      </w:r>
      <w:r>
        <w:rPr>
          <w:rFonts w:hint="eastAsia" w:ascii="仿宋_GB2312" w:eastAsia="仿宋_GB2312"/>
          <w:sz w:val="32"/>
          <w:szCs w:val="32"/>
        </w:rPr>
        <w:t>安全</w:t>
      </w:r>
      <w:r>
        <w:rPr>
          <w:rFonts w:hint="eastAsia" w:ascii="仿宋_GB2312" w:eastAsia="仿宋_GB2312"/>
          <w:sz w:val="32"/>
          <w:szCs w:val="32"/>
          <w:lang w:val="en-US" w:eastAsia="zh-CN"/>
        </w:rPr>
        <w:t>预</w:t>
      </w:r>
      <w:r>
        <w:rPr>
          <w:rFonts w:hint="eastAsia" w:ascii="仿宋_GB2312" w:eastAsia="仿宋_GB2312"/>
          <w:sz w:val="32"/>
          <w:szCs w:val="32"/>
        </w:rPr>
        <w:t>评价提供有效的技术指导。本标准意在规范</w:t>
      </w:r>
      <w:r>
        <w:rPr>
          <w:rFonts w:hint="eastAsia" w:ascii="仿宋_GB2312" w:eastAsia="仿宋_GB2312"/>
          <w:sz w:val="32"/>
          <w:szCs w:val="32"/>
          <w:lang w:val="en-US" w:eastAsia="zh-CN"/>
        </w:rPr>
        <w:t>海洋石油天然气开采建设项目安全预评价内容和报告编制的要求</w:t>
      </w:r>
      <w:r>
        <w:rPr>
          <w:rFonts w:hint="eastAsia" w:ascii="仿宋_GB2312" w:eastAsia="仿宋_GB2312"/>
          <w:sz w:val="32"/>
          <w:szCs w:val="32"/>
        </w:rPr>
        <w:t>，提高</w:t>
      </w:r>
      <w:r>
        <w:rPr>
          <w:rFonts w:hint="eastAsia" w:ascii="仿宋_GB2312" w:eastAsia="仿宋_GB2312"/>
          <w:sz w:val="32"/>
          <w:szCs w:val="32"/>
          <w:lang w:val="en-US" w:eastAsia="zh-CN"/>
        </w:rPr>
        <w:t>海洋石油天然气开采建设项目</w:t>
      </w:r>
      <w:r>
        <w:rPr>
          <w:rFonts w:hint="eastAsia" w:ascii="仿宋_GB2312" w:eastAsia="仿宋_GB2312"/>
          <w:sz w:val="32"/>
          <w:szCs w:val="32"/>
        </w:rPr>
        <w:t>安全</w:t>
      </w:r>
      <w:r>
        <w:rPr>
          <w:rFonts w:hint="eastAsia" w:ascii="仿宋_GB2312" w:eastAsia="仿宋_GB2312"/>
          <w:sz w:val="32"/>
          <w:szCs w:val="32"/>
          <w:lang w:val="en-US" w:eastAsia="zh-CN"/>
        </w:rPr>
        <w:t>预</w:t>
      </w:r>
      <w:r>
        <w:rPr>
          <w:rFonts w:hint="eastAsia" w:ascii="仿宋_GB2312" w:eastAsia="仿宋_GB2312"/>
          <w:sz w:val="32"/>
          <w:szCs w:val="32"/>
        </w:rPr>
        <w:t>评价的质量，对</w:t>
      </w:r>
      <w:r>
        <w:rPr>
          <w:rFonts w:hint="eastAsia" w:ascii="仿宋_GB2312" w:eastAsia="仿宋_GB2312"/>
          <w:sz w:val="32"/>
          <w:szCs w:val="32"/>
          <w:lang w:val="en-US" w:eastAsia="zh-CN"/>
        </w:rPr>
        <w:t>海洋石油天然气开采</w:t>
      </w:r>
      <w:r>
        <w:rPr>
          <w:rFonts w:hint="eastAsia" w:ascii="仿宋_GB2312" w:eastAsia="仿宋_GB2312"/>
          <w:sz w:val="32"/>
          <w:szCs w:val="32"/>
        </w:rPr>
        <w:t>行业建设项目的本质安全化起到重要的作用，为</w:t>
      </w:r>
      <w:r>
        <w:rPr>
          <w:rFonts w:hint="eastAsia" w:ascii="仿宋_GB2312" w:eastAsia="仿宋_GB2312"/>
          <w:sz w:val="32"/>
          <w:szCs w:val="32"/>
          <w:lang w:val="en-US" w:eastAsia="zh-CN"/>
        </w:rPr>
        <w:t>海洋石油天然气开采</w:t>
      </w:r>
      <w:r>
        <w:rPr>
          <w:rFonts w:hint="eastAsia" w:ascii="仿宋_GB2312" w:eastAsia="仿宋_GB2312"/>
          <w:sz w:val="32"/>
          <w:szCs w:val="32"/>
        </w:rPr>
        <w:t>行业建设项目提供技术支撑，对保证国家能源安全具有重要的意义。</w:t>
      </w:r>
    </w:p>
    <w:p w14:paraId="73DF313E">
      <w:pPr>
        <w:widowControl/>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lang w:val="en-US" w:eastAsia="zh-CN"/>
        </w:rPr>
        <w:t>四、</w:t>
      </w:r>
      <w:r>
        <w:rPr>
          <w:rFonts w:hint="eastAsia" w:ascii="黑体" w:hAnsi="黑体" w:eastAsia="黑体"/>
          <w:sz w:val="32"/>
          <w:szCs w:val="32"/>
        </w:rPr>
        <w:t>与国际、国外</w:t>
      </w:r>
      <w:r>
        <w:rPr>
          <w:rFonts w:hint="eastAsia" w:ascii="黑体" w:hAnsi="黑体" w:eastAsia="黑体"/>
          <w:sz w:val="32"/>
          <w:szCs w:val="32"/>
          <w:lang w:eastAsia="zh-CN"/>
        </w:rPr>
        <w:t>同类标准技术内容的对比情况</w:t>
      </w:r>
    </w:p>
    <w:p w14:paraId="54185872">
      <w:pPr>
        <w:spacing w:line="560" w:lineRule="exact"/>
        <w:ind w:firstLine="640" w:firstLineChars="200"/>
        <w:rPr>
          <w:rFonts w:hint="eastAsia" w:ascii="仿宋_GB2312" w:hAnsi="Times New Roman" w:eastAsia="仿宋_GB2312" w:cs="Times New Roman"/>
          <w:i w:val="0"/>
          <w:iCs w:val="0"/>
          <w:color w:val="auto"/>
          <w:sz w:val="32"/>
          <w:szCs w:val="32"/>
          <w:shd w:val="clear" w:color="auto" w:fill="FFFFFF"/>
          <w:lang w:val="en-US" w:eastAsia="zh-CN"/>
        </w:rPr>
      </w:pPr>
      <w:r>
        <w:rPr>
          <w:rFonts w:hint="eastAsia" w:ascii="仿宋_GB2312" w:hAnsi="Times New Roman" w:eastAsia="仿宋_GB2312" w:cs="Times New Roman"/>
          <w:i w:val="0"/>
          <w:iCs w:val="0"/>
          <w:color w:val="auto"/>
          <w:sz w:val="32"/>
          <w:szCs w:val="32"/>
          <w:shd w:val="clear" w:color="auto" w:fill="FFFFFF"/>
          <w:lang w:val="en-US" w:eastAsia="zh-CN"/>
        </w:rPr>
        <w:t>无。</w:t>
      </w:r>
    </w:p>
    <w:p w14:paraId="7D281CDB">
      <w:pPr>
        <w:widowControl/>
        <w:spacing w:line="560" w:lineRule="exact"/>
        <w:ind w:firstLine="640" w:firstLineChars="200"/>
        <w:outlineLvl w:val="0"/>
        <w:rPr>
          <w:rFonts w:hint="eastAsia" w:ascii="黑体" w:hAnsi="黑体" w:eastAsia="黑体"/>
          <w:sz w:val="32"/>
          <w:szCs w:val="32"/>
          <w:lang w:eastAsia="zh-CN"/>
        </w:rPr>
      </w:pPr>
      <w:r>
        <w:rPr>
          <w:rFonts w:hint="eastAsia" w:ascii="黑体" w:hAnsi="黑体" w:eastAsia="黑体"/>
          <w:sz w:val="32"/>
          <w:szCs w:val="32"/>
          <w:lang w:val="en-US" w:eastAsia="zh-CN"/>
        </w:rPr>
        <w:t>五、</w:t>
      </w:r>
      <w:r>
        <w:rPr>
          <w:rFonts w:hint="eastAsia" w:ascii="黑体" w:hAnsi="黑体" w:eastAsia="黑体"/>
          <w:sz w:val="32"/>
          <w:szCs w:val="32"/>
          <w:lang w:eastAsia="zh-CN"/>
        </w:rPr>
        <w:t>以国际标准为基础的起草情况、是否合规引用或采用国际国外标准以及未采用国际标准的原因</w:t>
      </w:r>
    </w:p>
    <w:p w14:paraId="6E93DAE1">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本文件</w:t>
      </w:r>
      <w:r>
        <w:rPr>
          <w:rFonts w:hint="eastAsia" w:ascii="仿宋_GB2312" w:hAnsi="仿宋" w:eastAsia="仿宋_GB2312"/>
          <w:sz w:val="32"/>
          <w:szCs w:val="32"/>
        </w:rPr>
        <w:t>是为规范国内</w:t>
      </w:r>
      <w:r>
        <w:rPr>
          <w:rFonts w:hint="eastAsia" w:ascii="仿宋_GB2312" w:hAnsi="仿宋" w:eastAsia="仿宋_GB2312"/>
          <w:sz w:val="32"/>
          <w:szCs w:val="32"/>
          <w:highlight w:val="none"/>
          <w:lang w:val="en-US" w:eastAsia="zh-CN"/>
        </w:rPr>
        <w:t>海洋石油天然气开采建设项目</w:t>
      </w:r>
      <w:r>
        <w:rPr>
          <w:rFonts w:hint="eastAsia" w:ascii="仿宋_GB2312" w:hAnsi="仿宋" w:eastAsia="仿宋_GB2312"/>
          <w:sz w:val="32"/>
          <w:szCs w:val="32"/>
          <w:highlight w:val="none"/>
        </w:rPr>
        <w:t>的安全预评价活动，而做出的相关技</w:t>
      </w:r>
      <w:r>
        <w:rPr>
          <w:rFonts w:hint="eastAsia" w:ascii="仿宋_GB2312" w:hAnsi="仿宋" w:eastAsia="仿宋_GB2312"/>
          <w:sz w:val="32"/>
          <w:szCs w:val="32"/>
        </w:rPr>
        <w:t>术要求。国外目前还没有</w:t>
      </w:r>
      <w:r>
        <w:rPr>
          <w:rFonts w:hint="eastAsia" w:ascii="仿宋_GB2312" w:hAnsi="仿宋" w:eastAsia="仿宋_GB2312"/>
          <w:sz w:val="32"/>
          <w:szCs w:val="32"/>
          <w:lang w:val="en-US" w:eastAsia="zh-CN"/>
        </w:rPr>
        <w:t>此方面</w:t>
      </w:r>
      <w:r>
        <w:rPr>
          <w:rFonts w:hint="eastAsia" w:ascii="仿宋_GB2312" w:hAnsi="仿宋" w:eastAsia="仿宋_GB2312"/>
          <w:sz w:val="32"/>
          <w:szCs w:val="32"/>
        </w:rPr>
        <w:t>相关的法律法规和标准。</w:t>
      </w:r>
    </w:p>
    <w:p w14:paraId="2B776318">
      <w:pPr>
        <w:widowControl/>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lang w:val="en-US" w:eastAsia="zh-CN"/>
        </w:rPr>
        <w:t>六、</w:t>
      </w:r>
      <w:r>
        <w:rPr>
          <w:rFonts w:hint="eastAsia" w:ascii="黑体" w:hAnsi="黑体" w:eastAsia="黑体"/>
          <w:sz w:val="32"/>
          <w:szCs w:val="32"/>
          <w:lang w:eastAsia="zh-CN"/>
        </w:rPr>
        <w:t>与</w:t>
      </w:r>
      <w:r>
        <w:rPr>
          <w:rFonts w:hint="eastAsia" w:ascii="黑体" w:hAnsi="黑体" w:eastAsia="黑体"/>
          <w:sz w:val="32"/>
          <w:szCs w:val="32"/>
        </w:rPr>
        <w:t>有关法律</w:t>
      </w:r>
      <w:r>
        <w:rPr>
          <w:rFonts w:hint="eastAsia" w:ascii="黑体" w:hAnsi="黑体" w:eastAsia="黑体"/>
          <w:sz w:val="32"/>
          <w:szCs w:val="32"/>
          <w:lang w:eastAsia="zh-CN"/>
        </w:rPr>
        <w:t>、行政</w:t>
      </w:r>
      <w:r>
        <w:rPr>
          <w:rFonts w:hint="eastAsia" w:ascii="黑体" w:hAnsi="黑体" w:eastAsia="黑体"/>
          <w:sz w:val="32"/>
          <w:szCs w:val="32"/>
        </w:rPr>
        <w:t>法规</w:t>
      </w:r>
      <w:r>
        <w:rPr>
          <w:rFonts w:hint="eastAsia" w:ascii="黑体" w:hAnsi="黑体" w:eastAsia="黑体"/>
          <w:sz w:val="32"/>
          <w:szCs w:val="32"/>
          <w:lang w:eastAsia="zh-CN"/>
        </w:rPr>
        <w:t>及相关</w:t>
      </w:r>
      <w:r>
        <w:rPr>
          <w:rFonts w:hint="eastAsia" w:ascii="黑体" w:hAnsi="黑体" w:eastAsia="黑体"/>
          <w:sz w:val="32"/>
          <w:szCs w:val="32"/>
        </w:rPr>
        <w:t>标准水平的</w:t>
      </w:r>
      <w:r>
        <w:rPr>
          <w:rFonts w:hint="eastAsia" w:ascii="黑体" w:hAnsi="黑体" w:eastAsia="黑体"/>
          <w:sz w:val="32"/>
          <w:szCs w:val="32"/>
          <w:lang w:eastAsia="zh-CN"/>
        </w:rPr>
        <w:t>关系</w:t>
      </w:r>
    </w:p>
    <w:p w14:paraId="72BBB0B4">
      <w:pPr>
        <w:spacing w:line="560" w:lineRule="exact"/>
        <w:ind w:firstLine="640" w:firstLineChars="200"/>
        <w:rPr>
          <w:rFonts w:hint="eastAsia" w:ascii="楷体" w:hAnsi="楷体" w:eastAsia="楷体"/>
          <w:sz w:val="32"/>
          <w:szCs w:val="32"/>
          <w:shd w:val="clear" w:color="auto" w:fill="FFFFFF"/>
          <w:lang w:eastAsia="zh-CN"/>
        </w:rPr>
      </w:pPr>
      <w:r>
        <w:rPr>
          <w:rFonts w:hint="eastAsia" w:ascii="楷体" w:hAnsi="楷体" w:eastAsia="楷体"/>
          <w:sz w:val="32"/>
          <w:szCs w:val="32"/>
          <w:shd w:val="clear" w:color="auto" w:fill="FFFFFF"/>
          <w:lang w:eastAsia="zh-CN"/>
        </w:rPr>
        <w:t>（</w:t>
      </w:r>
      <w:r>
        <w:rPr>
          <w:rFonts w:hint="eastAsia" w:ascii="楷体" w:hAnsi="楷体" w:eastAsia="楷体"/>
          <w:sz w:val="32"/>
          <w:szCs w:val="32"/>
          <w:shd w:val="clear" w:color="auto" w:fill="FFFFFF"/>
          <w:lang w:val="en-US" w:eastAsia="zh-CN"/>
        </w:rPr>
        <w:t>一</w:t>
      </w:r>
      <w:r>
        <w:rPr>
          <w:rFonts w:hint="eastAsia" w:ascii="楷体" w:hAnsi="楷体" w:eastAsia="楷体"/>
          <w:sz w:val="32"/>
          <w:szCs w:val="32"/>
          <w:shd w:val="clear" w:color="auto" w:fill="FFFFFF"/>
          <w:lang w:eastAsia="zh-CN"/>
        </w:rPr>
        <w:t>）与有关法律、行政法规、标准关系</w:t>
      </w:r>
    </w:p>
    <w:p w14:paraId="2229E300">
      <w:pPr>
        <w:tabs>
          <w:tab w:val="left" w:pos="0"/>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本标准的编制工作根据应急管理部《“十四五”应急管理标准化发展计划》</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《应急管理标准化工作管理办法》等文件精神开展，在全国安全生产标准化技术委员会石油天然气开采安全分技术委员会（TC 288/SC 10）的工作指导下进行，符合《安全生产法》《标准化法》等相关法律要求。</w:t>
      </w:r>
    </w:p>
    <w:p w14:paraId="54F45935">
      <w:pPr>
        <w:tabs>
          <w:tab w:val="left" w:pos="0"/>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本标准依据《标准化工作导则第1部分：标准化文件的结构和起草规则》（GB/T 1.1-2020）的规定起草。</w:t>
      </w:r>
    </w:p>
    <w:p w14:paraId="59D84D5D">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本标准遵循《中华人民共和国安全生产法》</w:t>
      </w:r>
      <w:r>
        <w:rPr>
          <w:rFonts w:hint="eastAsia" w:ascii="仿宋_GB2312" w:eastAsia="仿宋_GB2312"/>
          <w:sz w:val="32"/>
          <w:szCs w:val="32"/>
          <w:shd w:val="clear" w:color="auto" w:fill="FFFFFF"/>
          <w:lang w:val="en-US" w:eastAsia="zh-CN"/>
        </w:rPr>
        <w:t>和</w:t>
      </w:r>
      <w:r>
        <w:rPr>
          <w:rFonts w:hint="eastAsia" w:ascii="仿宋_GB2312" w:eastAsia="仿宋_GB2312"/>
          <w:sz w:val="32"/>
          <w:szCs w:val="32"/>
          <w:shd w:val="clear" w:color="auto" w:fill="FFFFFF"/>
        </w:rPr>
        <w:t>《建设项目安全设施“三同时”监督管理办法》等相关要求而制定</w:t>
      </w:r>
      <w:r>
        <w:rPr>
          <w:rFonts w:hint="eastAsia" w:ascii="仿宋_GB2312" w:eastAsia="仿宋_GB2312"/>
          <w:sz w:val="32"/>
          <w:szCs w:val="32"/>
          <w:shd w:val="clear" w:color="auto" w:fill="FFFFFF"/>
          <w:lang w:eastAsia="zh-CN"/>
        </w:rPr>
        <w:t>的</w:t>
      </w:r>
      <w:r>
        <w:rPr>
          <w:rFonts w:hint="eastAsia" w:ascii="仿宋_GB2312" w:eastAsia="仿宋_GB2312"/>
          <w:sz w:val="32"/>
          <w:szCs w:val="32"/>
          <w:shd w:val="clear" w:color="auto" w:fill="FFFFFF"/>
          <w:lang w:val="en-US" w:eastAsia="zh-CN"/>
        </w:rPr>
        <w:t>技术文件</w:t>
      </w:r>
      <w:r>
        <w:rPr>
          <w:rFonts w:hint="eastAsia" w:ascii="仿宋_GB2312" w:eastAsia="仿宋_GB2312"/>
          <w:sz w:val="32"/>
          <w:szCs w:val="32"/>
          <w:shd w:val="clear" w:color="auto" w:fill="FFFFFF"/>
        </w:rPr>
        <w:t>，标准内容是对法律、法规的进一步落实和细化，是</w:t>
      </w:r>
      <w:r>
        <w:rPr>
          <w:rFonts w:hint="eastAsia" w:ascii="仿宋_GB2312" w:eastAsia="仿宋_GB2312"/>
          <w:sz w:val="32"/>
          <w:szCs w:val="32"/>
          <w:shd w:val="clear" w:color="auto" w:fill="FFFFFF"/>
          <w:lang w:val="en-US" w:eastAsia="zh-CN"/>
        </w:rPr>
        <w:t>具体</w:t>
      </w:r>
      <w:r>
        <w:rPr>
          <w:rFonts w:hint="eastAsia" w:ascii="仿宋_GB2312" w:eastAsia="仿宋_GB2312"/>
          <w:sz w:val="32"/>
          <w:szCs w:val="32"/>
          <w:shd w:val="clear" w:color="auto" w:fill="FFFFFF"/>
        </w:rPr>
        <w:t>指导</w:t>
      </w:r>
      <w:r>
        <w:rPr>
          <w:rFonts w:hint="eastAsia" w:ascii="仿宋_GB2312" w:eastAsia="仿宋_GB2312"/>
          <w:sz w:val="32"/>
          <w:szCs w:val="32"/>
          <w:shd w:val="clear" w:color="auto" w:fill="FFFFFF"/>
          <w:lang w:val="en-US" w:eastAsia="zh-CN"/>
        </w:rPr>
        <w:t>海洋</w:t>
      </w:r>
      <w:r>
        <w:rPr>
          <w:rFonts w:hint="eastAsia" w:ascii="仿宋_GB2312" w:eastAsia="仿宋_GB2312"/>
          <w:sz w:val="32"/>
          <w:szCs w:val="32"/>
          <w:shd w:val="clear" w:color="auto" w:fill="FFFFFF"/>
        </w:rPr>
        <w:t>石油天然气开采建设项目安全预评价工作的重要支撑。</w:t>
      </w:r>
    </w:p>
    <w:p w14:paraId="768BA92E">
      <w:pPr>
        <w:spacing w:line="560" w:lineRule="exact"/>
        <w:ind w:firstLine="640" w:firstLineChars="200"/>
        <w:rPr>
          <w:rFonts w:hint="eastAsia" w:ascii="楷体" w:hAnsi="楷体" w:eastAsia="楷体"/>
          <w:sz w:val="32"/>
          <w:szCs w:val="32"/>
          <w:shd w:val="clear" w:color="auto" w:fill="FFFFFF"/>
          <w:lang w:eastAsia="zh-CN"/>
        </w:rPr>
      </w:pPr>
      <w:r>
        <w:rPr>
          <w:rFonts w:hint="eastAsia" w:ascii="楷体" w:hAnsi="楷体" w:eastAsia="楷体"/>
          <w:sz w:val="32"/>
          <w:szCs w:val="32"/>
          <w:shd w:val="clear" w:color="auto" w:fill="FFFFFF"/>
          <w:lang w:eastAsia="zh-CN"/>
        </w:rPr>
        <w:t>（</w:t>
      </w:r>
      <w:r>
        <w:rPr>
          <w:rFonts w:hint="eastAsia" w:ascii="楷体" w:hAnsi="楷体" w:eastAsia="楷体"/>
          <w:sz w:val="32"/>
          <w:szCs w:val="32"/>
          <w:shd w:val="clear" w:color="auto" w:fill="FFFFFF"/>
          <w:lang w:val="en-US" w:eastAsia="zh-CN"/>
        </w:rPr>
        <w:t>二</w:t>
      </w:r>
      <w:r>
        <w:rPr>
          <w:rFonts w:hint="eastAsia" w:ascii="楷体" w:hAnsi="楷体" w:eastAsia="楷体"/>
          <w:sz w:val="32"/>
          <w:szCs w:val="32"/>
          <w:shd w:val="clear" w:color="auto" w:fill="FFFFFF"/>
          <w:lang w:eastAsia="zh-CN"/>
        </w:rPr>
        <w:t>）配套推荐性标准的制定情况（强制性标准应填写）</w:t>
      </w:r>
    </w:p>
    <w:p w14:paraId="05BE92C9">
      <w:pPr>
        <w:spacing w:line="560" w:lineRule="exact"/>
        <w:ind w:firstLine="620" w:firstLineChars="200"/>
        <w:rPr>
          <w:rFonts w:hint="eastAsia" w:ascii="宋体" w:hAnsi="宋体" w:eastAsia="仿宋_GB2312" w:cs="仿宋_GB2312"/>
          <w:spacing w:val="-5"/>
          <w:kern w:val="0"/>
          <w:sz w:val="32"/>
          <w:szCs w:val="32"/>
          <w:lang w:val="en-US" w:eastAsia="zh-CN" w:bidi="ar-SA"/>
        </w:rPr>
      </w:pPr>
      <w:r>
        <w:rPr>
          <w:rFonts w:hint="eastAsia" w:ascii="宋体" w:hAnsi="宋体" w:eastAsia="仿宋_GB2312" w:cs="仿宋_GB2312"/>
          <w:spacing w:val="-5"/>
          <w:kern w:val="0"/>
          <w:sz w:val="32"/>
          <w:szCs w:val="32"/>
          <w:lang w:val="en-US" w:eastAsia="zh-CN" w:bidi="ar-SA"/>
        </w:rPr>
        <w:t>无。</w:t>
      </w:r>
    </w:p>
    <w:p w14:paraId="3DB71093">
      <w:pPr>
        <w:widowControl/>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重大</w:t>
      </w:r>
      <w:r>
        <w:rPr>
          <w:rFonts w:hint="eastAsia" w:ascii="黑体" w:hAnsi="黑体" w:eastAsia="黑体"/>
          <w:sz w:val="32"/>
          <w:szCs w:val="32"/>
          <w:lang w:eastAsia="zh-CN"/>
        </w:rPr>
        <w:t>分歧</w:t>
      </w:r>
      <w:r>
        <w:rPr>
          <w:rFonts w:hint="eastAsia" w:ascii="黑体" w:hAnsi="黑体" w:eastAsia="黑体"/>
          <w:sz w:val="32"/>
          <w:szCs w:val="32"/>
        </w:rPr>
        <w:t>意见的处理</w:t>
      </w:r>
      <w:r>
        <w:rPr>
          <w:rFonts w:hint="eastAsia" w:ascii="黑体" w:hAnsi="黑体" w:eastAsia="黑体"/>
          <w:sz w:val="32"/>
          <w:szCs w:val="32"/>
          <w:lang w:eastAsia="zh-CN"/>
        </w:rPr>
        <w:t>过程</w:t>
      </w:r>
      <w:r>
        <w:rPr>
          <w:rFonts w:hint="eastAsia" w:ascii="黑体" w:hAnsi="黑体" w:eastAsia="黑体"/>
          <w:sz w:val="32"/>
          <w:szCs w:val="32"/>
        </w:rPr>
        <w:t>及依据</w:t>
      </w:r>
    </w:p>
    <w:p w14:paraId="0A5B9B1F">
      <w:pPr>
        <w:spacing w:line="560" w:lineRule="exact"/>
        <w:ind w:firstLine="620" w:firstLineChars="200"/>
      </w:pPr>
      <w:r>
        <w:rPr>
          <w:rFonts w:hint="eastAsia" w:ascii="宋体" w:hAnsi="宋体" w:eastAsia="仿宋_GB2312" w:cs="仿宋_GB2312"/>
          <w:spacing w:val="-5"/>
          <w:kern w:val="0"/>
          <w:sz w:val="32"/>
          <w:szCs w:val="32"/>
          <w:lang w:val="en-US" w:eastAsia="zh-CN" w:bidi="ar-SA"/>
        </w:rPr>
        <w:t>无。</w:t>
      </w:r>
    </w:p>
    <w:p w14:paraId="045C1E21">
      <w:pPr>
        <w:widowControl/>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作为强制性标准或推荐性标准的建议及理由</w:t>
      </w:r>
    </w:p>
    <w:p w14:paraId="6EBFB65B">
      <w:pPr>
        <w:spacing w:line="560" w:lineRule="exact"/>
        <w:ind w:firstLine="640" w:firstLineChars="200"/>
        <w:rPr>
          <w:rFonts w:hint="eastAsia" w:ascii="宋体" w:hAnsi="宋体" w:eastAsia="仿宋_GB2312" w:cs="Times New Roman"/>
          <w:i w:val="0"/>
          <w:iCs w:val="0"/>
          <w:color w:val="auto"/>
          <w:sz w:val="32"/>
          <w:szCs w:val="32"/>
          <w:shd w:val="clear" w:color="auto" w:fill="FFFFFF"/>
          <w:lang w:val="en-US" w:eastAsia="zh-CN"/>
        </w:rPr>
      </w:pPr>
      <w:r>
        <w:rPr>
          <w:rFonts w:hint="eastAsia" w:ascii="宋体" w:hAnsi="宋体" w:eastAsia="仿宋_GB2312" w:cs="Times New Roman"/>
          <w:i w:val="0"/>
          <w:iCs w:val="0"/>
          <w:color w:val="auto"/>
          <w:sz w:val="32"/>
          <w:szCs w:val="32"/>
          <w:shd w:val="clear" w:color="auto" w:fill="FFFFFF"/>
          <w:lang w:val="en-US" w:eastAsia="zh-CN"/>
        </w:rPr>
        <w:t>建议本文件为强制性标准。</w:t>
      </w:r>
    </w:p>
    <w:p w14:paraId="1B708055">
      <w:pPr>
        <w:spacing w:line="560" w:lineRule="exact"/>
        <w:ind w:firstLine="640" w:firstLineChars="200"/>
        <w:rPr>
          <w:rFonts w:hint="default" w:ascii="宋体" w:hAnsi="宋体" w:eastAsia="仿宋_GB2312" w:cs="Times New Roman"/>
          <w:i w:val="0"/>
          <w:iCs w:val="0"/>
          <w:color w:val="auto"/>
          <w:sz w:val="32"/>
          <w:szCs w:val="32"/>
          <w:shd w:val="clear" w:color="auto" w:fill="FFFFFF"/>
          <w:lang w:val="en-US" w:eastAsia="zh-CN"/>
        </w:rPr>
      </w:pPr>
      <w:r>
        <w:rPr>
          <w:rFonts w:hint="eastAsia" w:ascii="宋体" w:hAnsi="宋体" w:eastAsia="仿宋_GB2312" w:cs="Times New Roman"/>
          <w:i w:val="0"/>
          <w:iCs w:val="0"/>
          <w:color w:val="auto"/>
          <w:sz w:val="32"/>
          <w:szCs w:val="32"/>
          <w:shd w:val="clear" w:color="auto" w:fill="FFFFFF"/>
          <w:lang w:val="en-US" w:eastAsia="zh-CN"/>
        </w:rPr>
        <w:t>依据《标准化法》（2017年修订）第十条“对保障人身健康和生命财产安全，满足社会经济管理基本需要的技术要求，应当制定强制性的国家标准”和《应急管理标准化工作管理办法》第二十条“对于依法需要强制实施的应急管理标准，应当制定强制性标准”的规定，本文件是海洋石油天然气开采建设项目安全预评价内容和报告编制的一般要求，应作为强制性标准实施，使其成为政府规章制度的技术支撑，从而便于海洋石油天然气开采建设项目的监督管理。</w:t>
      </w:r>
    </w:p>
    <w:p w14:paraId="65E91A7D">
      <w:pPr>
        <w:widowControl/>
        <w:spacing w:line="560" w:lineRule="exact"/>
        <w:ind w:firstLine="640" w:firstLineChars="200"/>
        <w:outlineLvl w:val="0"/>
        <w:rPr>
          <w:rFonts w:hint="eastAsia" w:ascii="黑体" w:hAnsi="黑体" w:eastAsia="黑体"/>
          <w:sz w:val="32"/>
          <w:szCs w:val="32"/>
          <w:lang w:eastAsia="zh-CN"/>
        </w:rPr>
      </w:pPr>
      <w:r>
        <w:rPr>
          <w:rFonts w:hint="eastAsia" w:ascii="黑体" w:hAnsi="黑体" w:eastAsia="黑体"/>
          <w:sz w:val="32"/>
          <w:szCs w:val="32"/>
          <w:lang w:val="en-US" w:eastAsia="zh-CN"/>
        </w:rPr>
        <w:t>九、</w:t>
      </w:r>
      <w:r>
        <w:rPr>
          <w:rFonts w:hint="eastAsia" w:ascii="黑体" w:hAnsi="黑体" w:eastAsia="黑体"/>
          <w:sz w:val="32"/>
          <w:szCs w:val="32"/>
        </w:rPr>
        <w:t>标准</w:t>
      </w:r>
      <w:r>
        <w:rPr>
          <w:rFonts w:hint="eastAsia" w:ascii="黑体" w:hAnsi="黑体" w:eastAsia="黑体"/>
          <w:sz w:val="32"/>
          <w:szCs w:val="32"/>
          <w:lang w:eastAsia="zh-CN"/>
        </w:rPr>
        <w:t>自发布日期至实施日期的过渡期建议及理由</w:t>
      </w:r>
    </w:p>
    <w:p w14:paraId="24B8C233">
      <w:pPr>
        <w:spacing w:line="560" w:lineRule="exact"/>
        <w:ind w:firstLine="640" w:firstLineChars="200"/>
        <w:rPr>
          <w:rFonts w:hint="eastAsia" w:ascii="宋体" w:hAnsi="宋体" w:eastAsia="仿宋_GB2312" w:cs="Times New Roman"/>
          <w:i w:val="0"/>
          <w:iCs w:val="0"/>
          <w:color w:val="auto"/>
          <w:sz w:val="32"/>
          <w:szCs w:val="32"/>
          <w:shd w:val="clear" w:color="auto" w:fill="FFFFFF"/>
          <w:lang w:val="en-US" w:eastAsia="zh-CN"/>
        </w:rPr>
      </w:pPr>
      <w:r>
        <w:rPr>
          <w:rFonts w:hint="eastAsia" w:ascii="宋体" w:hAnsi="宋体" w:eastAsia="仿宋_GB2312" w:cs="Times New Roman"/>
          <w:i w:val="0"/>
          <w:iCs w:val="0"/>
          <w:color w:val="auto"/>
          <w:sz w:val="32"/>
          <w:szCs w:val="32"/>
          <w:shd w:val="clear" w:color="auto" w:fill="FFFFFF"/>
          <w:lang w:val="en-US" w:eastAsia="zh-CN"/>
        </w:rPr>
        <w:t>建议本文件从批准发布到正式实施设置6个月的过渡期，具体以公告规定的实施日期为准。</w:t>
      </w:r>
    </w:p>
    <w:p w14:paraId="00C6C86F">
      <w:pPr>
        <w:spacing w:line="560" w:lineRule="exact"/>
        <w:ind w:firstLine="640" w:firstLineChars="200"/>
        <w:rPr>
          <w:rFonts w:hint="default" w:ascii="宋体" w:hAnsi="宋体" w:eastAsia="仿宋_GB2312" w:cs="Times New Roman"/>
          <w:i w:val="0"/>
          <w:iCs w:val="0"/>
          <w:color w:val="auto"/>
          <w:sz w:val="32"/>
          <w:szCs w:val="32"/>
          <w:shd w:val="clear" w:color="auto" w:fill="FFFFFF"/>
          <w:lang w:val="en-US" w:eastAsia="zh-CN"/>
        </w:rPr>
      </w:pPr>
      <w:r>
        <w:rPr>
          <w:rFonts w:hint="eastAsia" w:ascii="宋体" w:hAnsi="宋体" w:eastAsia="仿宋_GB2312" w:cs="Times New Roman"/>
          <w:i w:val="0"/>
          <w:iCs w:val="0"/>
          <w:color w:val="auto"/>
          <w:sz w:val="32"/>
          <w:szCs w:val="32"/>
          <w:shd w:val="clear" w:color="auto" w:fill="FFFFFF"/>
          <w:lang w:val="en-US" w:eastAsia="zh-CN"/>
        </w:rPr>
        <w:t>理由如下：本文件对海洋石油天然气开采建设项目的安全预评价内容和报告编制都提出了规定，对规范行业准则起到了关键作用。本文件发布后，需要对海洋石油安全评价机构、项目建设单位以及监督管理部门等进行宣贯和培训，保证相关单位了解本文件要求，并贯彻执行。本文件发布后，各海洋石油安全评价机构需按照本文件要求开展海洋石油天然气开采建设项目安全预评价，设置6个月的过渡期，各评价机构可逐步调整，完善安全预评价的程序、内容及报告编制工作等。</w:t>
      </w:r>
    </w:p>
    <w:p w14:paraId="1F069E3C">
      <w:pPr>
        <w:widowControl/>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lang w:val="en-US" w:eastAsia="zh-CN"/>
        </w:rPr>
        <w:t>十、</w:t>
      </w:r>
      <w:r>
        <w:rPr>
          <w:rFonts w:hint="eastAsia" w:ascii="黑体" w:hAnsi="黑体" w:eastAsia="黑体"/>
          <w:sz w:val="32"/>
          <w:szCs w:val="32"/>
        </w:rPr>
        <w:t>与实施标准有关的政策措施</w:t>
      </w:r>
    </w:p>
    <w:p w14:paraId="6B71BF38">
      <w:pPr>
        <w:spacing w:line="560" w:lineRule="exact"/>
        <w:ind w:firstLine="640" w:firstLineChars="200"/>
        <w:rPr>
          <w:rFonts w:hint="eastAsia" w:ascii="宋体" w:hAnsi="宋体" w:eastAsia="仿宋_GB2312" w:cs="Times New Roman"/>
          <w:i w:val="0"/>
          <w:iCs w:val="0"/>
          <w:color w:val="auto"/>
          <w:sz w:val="32"/>
          <w:szCs w:val="32"/>
          <w:shd w:val="clear" w:color="auto" w:fill="FFFFFF"/>
          <w:lang w:val="en-US" w:eastAsia="zh-CN"/>
        </w:rPr>
      </w:pPr>
      <w:r>
        <w:rPr>
          <w:rFonts w:hint="eastAsia" w:ascii="宋体" w:hAnsi="宋体" w:eastAsia="仿宋_GB2312" w:cs="Times New Roman"/>
          <w:i w:val="0"/>
          <w:iCs w:val="0"/>
          <w:color w:val="auto"/>
          <w:sz w:val="32"/>
          <w:szCs w:val="32"/>
          <w:shd w:val="clear" w:color="auto" w:fill="FFFFFF"/>
          <w:lang w:val="en-US" w:eastAsia="zh-CN"/>
        </w:rPr>
        <w:t>通过标准的宣贯促进标准的有效实施，通过应急管理部官网、技术交流与培训等渠道向相关单位和机构进行宣贯，使他们掌握并贯彻执行本文件的相关规定。</w:t>
      </w:r>
    </w:p>
    <w:p w14:paraId="427C0B28">
      <w:pPr>
        <w:widowControl/>
        <w:spacing w:line="560" w:lineRule="exact"/>
        <w:ind w:firstLine="640" w:firstLineChars="200"/>
        <w:outlineLvl w:val="9"/>
        <w:rPr>
          <w:rFonts w:hint="eastAsia" w:ascii="黑体" w:hAnsi="黑体" w:eastAsia="黑体"/>
          <w:sz w:val="32"/>
          <w:szCs w:val="32"/>
          <w:lang w:eastAsia="zh-CN"/>
        </w:rPr>
      </w:pPr>
      <w:r>
        <w:rPr>
          <w:rFonts w:hint="eastAsia" w:ascii="黑体" w:hAnsi="黑体" w:eastAsia="黑体"/>
          <w:sz w:val="32"/>
          <w:szCs w:val="32"/>
          <w:lang w:val="en-US" w:eastAsia="zh-CN"/>
        </w:rPr>
        <w:t>十一、</w:t>
      </w:r>
      <w:r>
        <w:rPr>
          <w:rFonts w:hint="eastAsia" w:ascii="黑体" w:hAnsi="黑体" w:eastAsia="黑体"/>
          <w:sz w:val="32"/>
          <w:szCs w:val="32"/>
        </w:rPr>
        <w:t>是否需要对外通报的建议及理由</w:t>
      </w:r>
      <w:r>
        <w:rPr>
          <w:rFonts w:hint="eastAsia" w:ascii="黑体" w:hAnsi="黑体" w:eastAsia="黑体"/>
          <w:sz w:val="32"/>
          <w:szCs w:val="32"/>
          <w:lang w:eastAsia="zh-CN"/>
        </w:rPr>
        <w:t>。</w:t>
      </w:r>
    </w:p>
    <w:p w14:paraId="332FF7BB">
      <w:pPr>
        <w:spacing w:line="560" w:lineRule="exact"/>
        <w:ind w:firstLine="640" w:firstLineChars="200"/>
        <w:rPr>
          <w:rFonts w:hint="eastAsia" w:ascii="宋体" w:hAnsi="宋体" w:eastAsia="仿宋_GB2312" w:cs="Times New Roman"/>
          <w:i w:val="0"/>
          <w:iCs w:val="0"/>
          <w:color w:val="auto"/>
          <w:sz w:val="32"/>
          <w:szCs w:val="32"/>
          <w:shd w:val="clear" w:color="auto" w:fill="FFFFFF"/>
          <w:lang w:val="en-US" w:eastAsia="zh-CN"/>
        </w:rPr>
      </w:pPr>
      <w:r>
        <w:rPr>
          <w:rFonts w:hint="eastAsia" w:ascii="宋体" w:hAnsi="宋体" w:eastAsia="仿宋_GB2312" w:cs="Times New Roman"/>
          <w:i w:val="0"/>
          <w:iCs w:val="0"/>
          <w:color w:val="auto"/>
          <w:sz w:val="32"/>
          <w:szCs w:val="32"/>
          <w:shd w:val="clear" w:color="auto" w:fill="FFFFFF"/>
          <w:lang w:val="en-US" w:eastAsia="zh-CN"/>
        </w:rPr>
        <w:t>本文件不需要对外通报。</w:t>
      </w:r>
    </w:p>
    <w:p w14:paraId="1556ED37">
      <w:pPr>
        <w:widowControl/>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lang w:val="en-US" w:eastAsia="zh-CN"/>
        </w:rPr>
        <w:t>十二、</w:t>
      </w:r>
      <w:r>
        <w:rPr>
          <w:rFonts w:hint="eastAsia" w:ascii="黑体" w:hAnsi="黑体" w:eastAsia="黑体"/>
          <w:sz w:val="32"/>
          <w:szCs w:val="32"/>
        </w:rPr>
        <w:t>废止现行有关标准的建议</w:t>
      </w:r>
    </w:p>
    <w:p w14:paraId="0647CA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i/>
          <w:iCs/>
          <w:color w:val="FF0000"/>
          <w:sz w:val="32"/>
          <w:szCs w:val="32"/>
          <w:lang w:eastAsia="zh-CN"/>
        </w:rPr>
      </w:pPr>
      <w:r>
        <w:rPr>
          <w:rFonts w:hint="eastAsia" w:ascii="宋体" w:hAnsi="宋体" w:eastAsia="仿宋_GB2312"/>
          <w:i w:val="0"/>
          <w:iCs w:val="0"/>
          <w:color w:val="auto"/>
          <w:sz w:val="32"/>
          <w:szCs w:val="32"/>
          <w:lang w:val="en-US" w:eastAsia="zh-CN"/>
        </w:rPr>
        <w:t>无</w:t>
      </w:r>
      <w:r>
        <w:rPr>
          <w:rFonts w:hint="eastAsia" w:ascii="宋体" w:hAnsi="宋体" w:eastAsia="仿宋_GB2312"/>
          <w:i w:val="0"/>
          <w:iCs w:val="0"/>
          <w:color w:val="auto"/>
          <w:sz w:val="32"/>
          <w:szCs w:val="32"/>
          <w:lang w:eastAsia="zh-CN"/>
        </w:rPr>
        <w:t>。</w:t>
      </w:r>
    </w:p>
    <w:p w14:paraId="7DDE5C6D">
      <w:pPr>
        <w:widowControl/>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lang w:val="en-US" w:eastAsia="zh-CN"/>
        </w:rPr>
        <w:t>十三、</w:t>
      </w:r>
      <w:r>
        <w:rPr>
          <w:rFonts w:hint="eastAsia" w:ascii="黑体" w:hAnsi="黑体" w:eastAsia="黑体"/>
          <w:sz w:val="32"/>
          <w:szCs w:val="32"/>
        </w:rPr>
        <w:t>涉及专利的有关说明</w:t>
      </w:r>
    </w:p>
    <w:p w14:paraId="4E6E46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i/>
          <w:color w:val="FF0000"/>
          <w:sz w:val="32"/>
          <w:szCs w:val="32"/>
          <w:lang w:eastAsia="zh-CN"/>
        </w:rPr>
      </w:pPr>
      <w:r>
        <w:rPr>
          <w:rFonts w:hint="eastAsia" w:ascii="宋体" w:hAnsi="宋体" w:eastAsia="仿宋_GB2312" w:cs="Times New Roman"/>
          <w:i w:val="0"/>
          <w:iCs w:val="0"/>
          <w:color w:val="auto"/>
          <w:sz w:val="32"/>
          <w:szCs w:val="32"/>
          <w:lang w:val="en-US" w:eastAsia="zh-CN"/>
        </w:rPr>
        <w:t>本文件不涉及专利的内容。</w:t>
      </w:r>
    </w:p>
    <w:p w14:paraId="5846EDF9">
      <w:pPr>
        <w:widowControl/>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lang w:val="en-US" w:eastAsia="zh-CN"/>
        </w:rPr>
        <w:t>十四、</w:t>
      </w:r>
      <w:r>
        <w:rPr>
          <w:rFonts w:hint="eastAsia" w:ascii="黑体" w:hAnsi="黑体" w:eastAsia="黑体"/>
          <w:sz w:val="32"/>
          <w:szCs w:val="32"/>
        </w:rPr>
        <w:t>标准所涉及的产品、过程或者服务目录</w:t>
      </w:r>
    </w:p>
    <w:p w14:paraId="0F7D6980">
      <w:pPr>
        <w:spacing w:line="560" w:lineRule="exact"/>
        <w:ind w:firstLine="640" w:firstLineChars="200"/>
        <w:rPr>
          <w:rFonts w:hint="eastAsia" w:ascii="宋体" w:hAnsi="宋体" w:eastAsia="仿宋_GB2312" w:cs="Times New Roman"/>
          <w:i w:val="0"/>
          <w:iCs w:val="0"/>
          <w:color w:val="auto"/>
          <w:sz w:val="32"/>
          <w:szCs w:val="32"/>
          <w:shd w:val="clear" w:color="auto" w:fill="FFFFFF"/>
          <w:lang w:val="en-US" w:eastAsia="zh-CN"/>
        </w:rPr>
      </w:pPr>
      <w:r>
        <w:rPr>
          <w:rFonts w:hint="default" w:ascii="宋体" w:hAnsi="宋体" w:eastAsia="仿宋_GB2312" w:cs="Times New Roman"/>
          <w:i w:val="0"/>
          <w:iCs w:val="0"/>
          <w:color w:val="auto"/>
          <w:sz w:val="32"/>
          <w:szCs w:val="32"/>
          <w:shd w:val="clear" w:color="auto" w:fill="FFFFFF"/>
          <w:lang w:val="en-US" w:eastAsia="zh-CN"/>
        </w:rPr>
        <w:t>标准所涉及的产品、过程或者服务目录主要有：</w:t>
      </w:r>
      <w:r>
        <w:rPr>
          <w:rFonts w:hint="eastAsia" w:ascii="宋体" w:hAnsi="宋体" w:eastAsia="仿宋_GB2312" w:cs="Times New Roman"/>
          <w:i w:val="0"/>
          <w:iCs w:val="0"/>
          <w:color w:val="auto"/>
          <w:sz w:val="32"/>
          <w:szCs w:val="32"/>
          <w:shd w:val="clear" w:color="auto" w:fill="FFFFFF"/>
          <w:lang w:val="en-US" w:eastAsia="zh-CN"/>
        </w:rPr>
        <w:t>海洋</w:t>
      </w:r>
      <w:r>
        <w:rPr>
          <w:rFonts w:hint="default" w:ascii="宋体" w:hAnsi="宋体" w:eastAsia="仿宋_GB2312" w:cs="Times New Roman"/>
          <w:i w:val="0"/>
          <w:iCs w:val="0"/>
          <w:color w:val="auto"/>
          <w:sz w:val="32"/>
          <w:szCs w:val="32"/>
          <w:shd w:val="clear" w:color="auto" w:fill="FFFFFF"/>
          <w:lang w:val="en-US" w:eastAsia="zh-CN"/>
        </w:rPr>
        <w:t>石油天然气开采建设项目安全预评价报告的编制内容，包括危险有害因素辨识结果，单元安全评价结果，评价方法的运用过程，安全评价过程等。</w:t>
      </w:r>
    </w:p>
    <w:p w14:paraId="4E22D932">
      <w:pPr>
        <w:widowControl/>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lang w:val="en-US" w:eastAsia="zh-CN"/>
        </w:rPr>
        <w:t>十五、</w:t>
      </w:r>
      <w:r>
        <w:rPr>
          <w:rFonts w:hint="eastAsia" w:ascii="黑体" w:hAnsi="黑体" w:eastAsia="黑体"/>
          <w:sz w:val="32"/>
          <w:szCs w:val="32"/>
        </w:rPr>
        <w:t>其他应予以说明的事项</w:t>
      </w:r>
    </w:p>
    <w:p w14:paraId="65F5B1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pPr>
      <w:r>
        <w:rPr>
          <w:rFonts w:hint="eastAsia" w:ascii="宋体" w:hAnsi="宋体" w:eastAsia="仿宋_GB2312"/>
          <w:i w:val="0"/>
          <w:iCs w:val="0"/>
          <w:color w:val="auto"/>
          <w:sz w:val="32"/>
          <w:szCs w:val="32"/>
          <w:lang w:val="en-US" w:eastAsia="zh-CN"/>
        </w:rPr>
        <w:t>无。</w:t>
      </w:r>
    </w:p>
    <w:sectPr>
      <w:headerReference r:id="rId31" w:type="default"/>
      <w:footerReference r:id="rId33" w:type="default"/>
      <w:headerReference r:id="rId32" w:type="even"/>
      <w:footerReference r:id="rId34" w:type="even"/>
      <w:pgSz w:w="11906" w:h="16838"/>
      <w:pgMar w:top="1701" w:right="1474" w:bottom="1474" w:left="1587" w:header="1418" w:footer="1134" w:gutter="283"/>
      <w:pgNumType w:fmt="decimal"/>
      <w:cols w:space="0" w:num="1"/>
      <w:formProt w:val="0"/>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汉仪中秀体简">
    <w:altName w:val="宋体"/>
    <w:panose1 w:val="00020600040101010101"/>
    <w:charset w:val="86"/>
    <w:family w:val="auto"/>
    <w:pitch w:val="default"/>
    <w:sig w:usb0="00000000" w:usb1="00000000"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36FEF">
    <w:pPr>
      <w:pStyle w:val="20"/>
      <w:ind w:right="720"/>
      <w:jc w:val="both"/>
      <w:rPr>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AD1DD">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60045" cy="154940"/>
              <wp:effectExtent l="0" t="0" r="0" b="0"/>
              <wp:wrapNone/>
              <wp:docPr id="11" name="文本框 19"/>
              <wp:cNvGraphicFramePr/>
              <a:graphic xmlns:a="http://schemas.openxmlformats.org/drawingml/2006/main">
                <a:graphicData uri="http://schemas.microsoft.com/office/word/2010/wordprocessingShape">
                  <wps:wsp>
                    <wps:cNvSpPr txBox="1"/>
                    <wps:spPr>
                      <a:xfrm>
                        <a:off x="0" y="0"/>
                        <a:ext cx="360045" cy="154940"/>
                      </a:xfrm>
                      <a:prstGeom prst="rect">
                        <a:avLst/>
                      </a:prstGeom>
                      <a:noFill/>
                      <a:ln>
                        <a:noFill/>
                      </a:ln>
                    </wps:spPr>
                    <wps:txbx>
                      <w:txbxContent>
                        <w:p w14:paraId="07E51FAC">
                          <w:pPr>
                            <w:pStyle w:val="20"/>
                            <w:ind w:right="231" w:rightChars="110"/>
                            <w:rPr>
                              <w:rFonts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3</w:t>
                          </w:r>
                          <w:r>
                            <w:rPr>
                              <w:rFonts w:hint="eastAsia" w:hAnsi="宋体" w:cs="宋体"/>
                            </w:rPr>
                            <w:fldChar w:fldCharType="end"/>
                          </w:r>
                        </w:p>
                      </w:txbxContent>
                    </wps:txbx>
                    <wps:bodyPr lIns="0" tIns="0" rIns="0" bIns="0" upright="1"/>
                  </wps:wsp>
                </a:graphicData>
              </a:graphic>
            </wp:anchor>
          </w:drawing>
        </mc:Choice>
        <mc:Fallback>
          <w:pict>
            <v:shape id="文本框 19" o:spid="_x0000_s1026" o:spt="202" type="#_x0000_t202" style="position:absolute;left:0pt;margin-top:0pt;height:12.2pt;width:28.35pt;mso-position-horizontal:center;mso-position-horizontal-relative:margin;z-index:251659264;mso-width-relative:page;mso-height-relative:page;" filled="f" stroked="f" coordsize="21600,21600" o:gfxdata="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pO1OW1AAAAAMBAAAPAAAAAAAAAAEAIAAAACIAAABkcnMvZG93bnJldi54bWxQSwECFAAU&#10;AAAACACHTuJADl+aXLwBAABzAwAADgAAAAAAAAABACAAAAAjAQAAZHJzL2Uyb0RvYy54bWxQSwUG&#10;AAAAAAYABgBZAQAAUQUAAAAA&#10;">
              <v:fill on="f" focussize="0,0"/>
              <v:stroke on="f"/>
              <v:imagedata o:title=""/>
              <o:lock v:ext="edit" aspectratio="f"/>
              <v:textbox inset="0mm,0mm,0mm,0mm">
                <w:txbxContent>
                  <w:p w14:paraId="07E51FAC">
                    <w:pPr>
                      <w:pStyle w:val="20"/>
                      <w:ind w:right="231" w:rightChars="110"/>
                      <w:rPr>
                        <w:rFonts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3</w:t>
                    </w:r>
                    <w:r>
                      <w:rPr>
                        <w:rFonts w:hint="eastAsia" w:hAnsi="宋体" w:cs="宋体"/>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4272C">
    <w:pPr>
      <w:pStyle w:val="2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E83623">
                          <w:pPr>
                            <w:pStyle w:val="20"/>
                          </w:pPr>
                          <w:r>
                            <w:fldChar w:fldCharType="begin"/>
                          </w:r>
                          <w:r>
                            <w:instrText xml:space="preserve"> PAGE  \* MERGEFORMAT </w:instrText>
                          </w:r>
                          <w:r>
                            <w:fldChar w:fldCharType="separate"/>
                          </w:r>
                          <w:r>
                            <w:t>8</w:t>
                          </w:r>
                          <w: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DqKGjIAQAAmwMAAA4AAAAAAAAAAQAgAAAAHgEAAGRycy9lMm9Eb2Mu&#10;eG1sUEsFBgAAAAAGAAYAWQEAAFgFAAAAAA==&#10;">
              <v:fill on="f" focussize="0,0"/>
              <v:stroke on="f"/>
              <v:imagedata o:title=""/>
              <o:lock v:ext="edit" aspectratio="f"/>
              <v:textbox inset="0mm,0mm,0mm,0mm" style="mso-fit-shape-to-text:t;">
                <w:txbxContent>
                  <w:p w14:paraId="3FE83623">
                    <w:pPr>
                      <w:pStyle w:val="20"/>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61B29">
    <w:pPr>
      <w:pStyle w:val="2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60045" cy="154940"/>
              <wp:effectExtent l="0" t="0" r="0" b="0"/>
              <wp:wrapNone/>
              <wp:docPr id="13" name="文本框 21"/>
              <wp:cNvGraphicFramePr/>
              <a:graphic xmlns:a="http://schemas.openxmlformats.org/drawingml/2006/main">
                <a:graphicData uri="http://schemas.microsoft.com/office/word/2010/wordprocessingShape">
                  <wps:wsp>
                    <wps:cNvSpPr txBox="1"/>
                    <wps:spPr>
                      <a:xfrm>
                        <a:off x="0" y="0"/>
                        <a:ext cx="360045" cy="154940"/>
                      </a:xfrm>
                      <a:prstGeom prst="rect">
                        <a:avLst/>
                      </a:prstGeom>
                      <a:noFill/>
                      <a:ln>
                        <a:noFill/>
                      </a:ln>
                    </wps:spPr>
                    <wps:txbx>
                      <w:txbxContent>
                        <w:p w14:paraId="6CD9AB06">
                          <w:pPr>
                            <w:pStyle w:val="20"/>
                            <w:ind w:right="231" w:rightChars="110"/>
                            <w:rPr>
                              <w:rFonts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7</w:t>
                          </w:r>
                          <w:r>
                            <w:rPr>
                              <w:rFonts w:hint="eastAsia" w:hAnsi="宋体" w:cs="宋体"/>
                            </w:rPr>
                            <w:fldChar w:fldCharType="end"/>
                          </w:r>
                        </w:p>
                      </w:txbxContent>
                    </wps:txbx>
                    <wps:bodyPr lIns="0" tIns="0" rIns="0" bIns="0" upright="1"/>
                  </wps:wsp>
                </a:graphicData>
              </a:graphic>
            </wp:anchor>
          </w:drawing>
        </mc:Choice>
        <mc:Fallback>
          <w:pict>
            <v:shape id="文本框 21" o:spid="_x0000_s1026" o:spt="202" type="#_x0000_t202" style="position:absolute;left:0pt;margin-top:0pt;height:12.2pt;width:28.35pt;mso-position-horizontal:center;mso-position-horizontal-relative:margin;z-index:251661312;mso-width-relative:page;mso-height-relative:page;" filled="f" stroked="f" coordsize="21600,21600" o:gfxdata="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pO1OW1AAAAAMBAAAPAAAAAAAAAAEAIAAAACIAAABkcnMvZG93bnJldi54bWxQSwECFAAU&#10;AAAACACHTuJAcd8horwBAABzAwAADgAAAAAAAAABACAAAAAjAQAAZHJzL2Uyb0RvYy54bWxQSwUG&#10;AAAAAAYABgBZAQAAUQUAAAAA&#10;">
              <v:fill on="f" focussize="0,0"/>
              <v:stroke on="f"/>
              <v:imagedata o:title=""/>
              <o:lock v:ext="edit" aspectratio="f"/>
              <v:textbox inset="0mm,0mm,0mm,0mm">
                <w:txbxContent>
                  <w:p w14:paraId="6CD9AB06">
                    <w:pPr>
                      <w:pStyle w:val="20"/>
                      <w:ind w:right="231" w:rightChars="110"/>
                      <w:rPr>
                        <w:rFonts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7</w:t>
                    </w:r>
                    <w:r>
                      <w:rPr>
                        <w:rFonts w:hint="eastAsia" w:hAnsi="宋体" w:cs="宋体"/>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1A0F9">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93395" cy="136525"/>
              <wp:effectExtent l="0" t="0" r="0" b="0"/>
              <wp:wrapNone/>
              <wp:docPr id="12" name="文本框 20"/>
              <wp:cNvGraphicFramePr/>
              <a:graphic xmlns:a="http://schemas.openxmlformats.org/drawingml/2006/main">
                <a:graphicData uri="http://schemas.microsoft.com/office/word/2010/wordprocessingShape">
                  <wps:wsp>
                    <wps:cNvSpPr txBox="1"/>
                    <wps:spPr>
                      <a:xfrm>
                        <a:off x="0" y="0"/>
                        <a:ext cx="493395" cy="136525"/>
                      </a:xfrm>
                      <a:prstGeom prst="rect">
                        <a:avLst/>
                      </a:prstGeom>
                      <a:noFill/>
                      <a:ln>
                        <a:noFill/>
                      </a:ln>
                    </wps:spPr>
                    <wps:txbx>
                      <w:txbxContent>
                        <w:p w14:paraId="2B8A11AB">
                          <w:pPr>
                            <w:pStyle w:val="20"/>
                            <w:jc w:val="center"/>
                            <w:rPr>
                              <w:rFonts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6</w:t>
                          </w:r>
                          <w:r>
                            <w:rPr>
                              <w:rFonts w:hint="eastAsia" w:hAnsi="宋体" w:cs="宋体"/>
                            </w:rPr>
                            <w:fldChar w:fldCharType="end"/>
                          </w:r>
                        </w:p>
                      </w:txbxContent>
                    </wps:txbx>
                    <wps:bodyPr lIns="0" tIns="0" rIns="0" bIns="0" upright="1"/>
                  </wps:wsp>
                </a:graphicData>
              </a:graphic>
            </wp:anchor>
          </w:drawing>
        </mc:Choice>
        <mc:Fallback>
          <w:pict>
            <v:shape id="文本框 20" o:spid="_x0000_s1026" o:spt="202" type="#_x0000_t202" style="position:absolute;left:0pt;margin-top:0pt;height:10.75pt;width:38.85pt;mso-position-horizontal:center;mso-position-horizontal-relative:margin;z-index:251660288;mso-width-relative:page;mso-height-relative:page;" filled="f" stroked="f" coordsize="21600,21600" o:gfxdata="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ySBrdQAAAADAQAADwAAAAAAAAABACAAAAAiAAAAZHJzL2Rvd25yZXYueG1sUEsBAhQAFAAA&#10;AAgAh07iQAZLxby6AQAAcwMAAA4AAAAAAAAAAQAgAAAAIwEAAGRycy9lMm9Eb2MueG1sUEsFBgAA&#10;AAAGAAYAWQEAAE8FAAAAAA==&#10;">
              <v:fill on="f" focussize="0,0"/>
              <v:stroke on="f"/>
              <v:imagedata o:title=""/>
              <o:lock v:ext="edit" aspectratio="f"/>
              <v:textbox inset="0mm,0mm,0mm,0mm">
                <w:txbxContent>
                  <w:p w14:paraId="2B8A11AB">
                    <w:pPr>
                      <w:pStyle w:val="20"/>
                      <w:jc w:val="center"/>
                      <w:rPr>
                        <w:rFonts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6</w:t>
                    </w:r>
                    <w:r>
                      <w:rPr>
                        <w:rFonts w:hint="eastAsia" w:hAnsi="宋体" w:cs="宋体"/>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BCE11">
    <w:pPr>
      <w:pStyle w:val="20"/>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493395" cy="136525"/>
              <wp:effectExtent l="0" t="0" r="0" b="0"/>
              <wp:wrapNone/>
              <wp:docPr id="25" name="文本框 15"/>
              <wp:cNvGraphicFramePr/>
              <a:graphic xmlns:a="http://schemas.openxmlformats.org/drawingml/2006/main">
                <a:graphicData uri="http://schemas.microsoft.com/office/word/2010/wordprocessingShape">
                  <wps:wsp>
                    <wps:cNvSpPr txBox="1"/>
                    <wps:spPr>
                      <a:xfrm>
                        <a:off x="0" y="0"/>
                        <a:ext cx="493395" cy="136525"/>
                      </a:xfrm>
                      <a:prstGeom prst="rect">
                        <a:avLst/>
                      </a:prstGeom>
                      <a:noFill/>
                      <a:ln>
                        <a:noFill/>
                      </a:ln>
                    </wps:spPr>
                    <wps:txbx>
                      <w:txbxContent>
                        <w:p w14:paraId="52C91E0D">
                          <w:pPr>
                            <w:pStyle w:val="20"/>
                            <w:jc w:val="center"/>
                            <w:rPr>
                              <w:rFonts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6</w:t>
                          </w:r>
                          <w:r>
                            <w:rPr>
                              <w:rFonts w:hint="eastAsia" w:hAnsi="宋体" w:cs="宋体"/>
                            </w:rPr>
                            <w:fldChar w:fldCharType="end"/>
                          </w:r>
                        </w:p>
                      </w:txbxContent>
                    </wps:txbx>
                    <wps:bodyPr lIns="0" tIns="0" rIns="0" bIns="0" upright="1"/>
                  </wps:wsp>
                </a:graphicData>
              </a:graphic>
            </wp:anchor>
          </w:drawing>
        </mc:Choice>
        <mc:Fallback>
          <w:pict>
            <v:shape id="文本框 15" o:spid="_x0000_s1026" o:spt="202" type="#_x0000_t202" style="position:absolute;left:0pt;margin-top:0pt;height:10.75pt;width:38.85pt;mso-position-horizontal:center;mso-position-horizontal-relative:margin;z-index:251679744;mso-width-relative:page;mso-height-relative:page;" filled="f" stroked="f" coordsize="21600,21600" o:gfxdata="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7JIGt1AAAAAMBAAAPAAAAAAAAAAEAIAAAACIAAABkcnMvZG93bnJldi54bWxQSwECFAAU&#10;AAAACACHTuJAxkSym7wBAABzAwAADgAAAAAAAAABACAAAAAjAQAAZHJzL2Uyb0RvYy54bWxQSwUG&#10;AAAAAAYABgBZAQAAUQUAAAAA&#10;">
              <v:fill on="f" focussize="0,0"/>
              <v:stroke on="f"/>
              <v:imagedata o:title=""/>
              <o:lock v:ext="edit" aspectratio="f"/>
              <v:textbox inset="0mm,0mm,0mm,0mm">
                <w:txbxContent>
                  <w:p w14:paraId="52C91E0D">
                    <w:pPr>
                      <w:pStyle w:val="20"/>
                      <w:jc w:val="center"/>
                      <w:rPr>
                        <w:rFonts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6</w:t>
                    </w:r>
                    <w:r>
                      <w:rPr>
                        <w:rFonts w:hint="eastAsia" w:hAnsi="宋体" w:cs="宋体"/>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98A1C">
    <w:pPr>
      <w:pStyle w:val="20"/>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F7E0CA">
                          <w:pPr>
                            <w:pStyle w:val="20"/>
                          </w:pPr>
                          <w:r>
                            <w:fldChar w:fldCharType="begin"/>
                          </w:r>
                          <w:r>
                            <w:instrText xml:space="preserve"> PAGE  \* MERGEFORMAT </w:instrText>
                          </w:r>
                          <w:r>
                            <w:fldChar w:fldCharType="separate"/>
                          </w:r>
                          <w:r>
                            <w:t>XIII</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gWwcoBAACb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OqGEsctTvzy4/vl5+/Lr29k&#10;eZMF6gPUmHcfMDMNb/2AazP7AZ2Z96CizV9kRDCO8p6v8sohEZEfrVfrdYUhgbH5gvjs4XmIkN5J&#10;b0k2GhpxfkVWfvoAaUydU3I15++0MWWGxv3lQMzsYbn3scdspWE/TIT2vj0jnx5H31CHm06Jee9Q&#10;2bwlsxFnYz8bxxD1oStrlOtBeHNM2ETpLVcYYafCOLPCbtqvvBSP7yXr4Z/a/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gWwcoBAACbAwAADgAAAAAAAAABACAAAAAeAQAAZHJzL2Uyb0Rv&#10;Yy54bWxQSwUGAAAAAAYABgBZAQAAWgUAAAAA&#10;">
              <v:fill on="f" focussize="0,0"/>
              <v:stroke on="f"/>
              <v:imagedata o:title=""/>
              <o:lock v:ext="edit" aspectratio="f"/>
              <v:textbox inset="0mm,0mm,0mm,0mm" style="mso-fit-shape-to-text:t;">
                <w:txbxContent>
                  <w:p w14:paraId="17F7E0CA">
                    <w:pPr>
                      <w:pStyle w:val="20"/>
                    </w:pPr>
                    <w:r>
                      <w:fldChar w:fldCharType="begin"/>
                    </w:r>
                    <w:r>
                      <w:instrText xml:space="preserve"> PAGE  \* MERGEFORMAT </w:instrText>
                    </w:r>
                    <w:r>
                      <w:fldChar w:fldCharType="separate"/>
                    </w:r>
                    <w:r>
                      <w:t>XIII</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DF010">
    <w:pPr>
      <w:pStyle w:val="20"/>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0581ED">
                          <w:pPr>
                            <w:pStyle w:val="20"/>
                          </w:pPr>
                          <w:r>
                            <w:fldChar w:fldCharType="begin"/>
                          </w:r>
                          <w:r>
                            <w:instrText xml:space="preserve"> PAGE  \* MERGEFORMAT </w:instrText>
                          </w:r>
                          <w:r>
                            <w:fldChar w:fldCharType="separate"/>
                          </w:r>
                          <w:r>
                            <w:t>I</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mjfmcoBAACbAwAADgAAAGRycy9lMm9Eb2MueG1srVPNjtMwEL4j8Q6W&#10;79RptU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OqGEsctTvzy4/vl5+/Lr29k&#10;eZMF6gPUmHcfMDMNb/2AazP7AZ2Z96CizV9kRDCO8p6v8sohEZEfrVfrdYUhgbH5gvjs4XmIkN5J&#10;b0k2GhpxfkVWfvoAaUydU3I15++0MWWGxv3lQMzsYbn3scdspWE/TIT2vj0jnx5H31CHm06Jee9Q&#10;2bwlsxFnYz8bxxD1oStrlOtBeHNM2ETpLVcYYafCOLPCbtqvvBSP7yXr4Z/a/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mjfmcoBAACbAwAADgAAAAAAAAABACAAAAAeAQAAZHJzL2Uyb0Rv&#10;Yy54bWxQSwUGAAAAAAYABgBZAQAAWgUAAAAA&#10;">
              <v:fill on="f" focussize="0,0"/>
              <v:stroke on="f"/>
              <v:imagedata o:title=""/>
              <o:lock v:ext="edit" aspectratio="f"/>
              <v:textbox inset="0mm,0mm,0mm,0mm" style="mso-fit-shape-to-text:t;">
                <w:txbxContent>
                  <w:p w14:paraId="180581ED">
                    <w:pPr>
                      <w:pStyle w:val="2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FCBB8">
    <w:pPr>
      <w:pStyle w:val="55"/>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890081">
                          <w:pPr>
                            <w:pStyle w:val="55"/>
                            <w:jc w:val="both"/>
                          </w:pPr>
                          <w:r>
                            <w:fldChar w:fldCharType="begin"/>
                          </w:r>
                          <w:r>
                            <w:instrText xml:space="preserve">PAGE   \* MERGEFORMAT</w:instrText>
                          </w:r>
                          <w:r>
                            <w:fldChar w:fldCharType="separate"/>
                          </w:r>
                          <w:r>
                            <w:rPr>
                              <w:lang w:val="zh-CN"/>
                            </w:rPr>
                            <w:t>I</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c60k8gBAACa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XhNieMWJ375/u3y49fl51ey&#10;zPr0AWpMewiYmIY7P2Du7Ad0ZtqDijZ/kRDBOKp7vqorh0REfrRerdcVhgTG5gvis8fnIUJ6K70l&#10;2WhoxPEVVfnpPaQxdU7J1Zy/18aUERr3lwMxs4fl3sces5WG/TAR2vv2jHx6nHxDHS46JeadQ2Hz&#10;ksxGnI39bBxD1IeubFGuB+H2mLCJ0luuMMJOhXFkhd20Xnkn/ryXrMdfav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KHOtJPIAQAAmgMAAA4AAAAAAAAAAQAgAAAAHgEAAGRycy9lMm9Eb2Mu&#10;eG1sUEsFBgAAAAAGAAYAWQEAAFgFAAAAAA==&#10;">
              <v:fill on="f" focussize="0,0"/>
              <v:stroke on="f"/>
              <v:imagedata o:title=""/>
              <o:lock v:ext="edit" aspectratio="f"/>
              <v:textbox inset="0mm,0mm,0mm,0mm" style="mso-fit-shape-to-text:t;">
                <w:txbxContent>
                  <w:p w14:paraId="63890081">
                    <w:pPr>
                      <w:pStyle w:val="55"/>
                      <w:jc w:val="both"/>
                    </w:pPr>
                    <w:r>
                      <w:fldChar w:fldCharType="begin"/>
                    </w:r>
                    <w:r>
                      <w:instrText xml:space="preserve">PAGE   \* MERGEFORMAT</w:instrText>
                    </w:r>
                    <w:r>
                      <w:fldChar w:fldCharType="separate"/>
                    </w:r>
                    <w:r>
                      <w:rPr>
                        <w:lang w:val="zh-CN"/>
                      </w:rP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B69E6">
    <w:pPr>
      <w:pStyle w:val="5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A1D20F">
                          <w:pPr>
                            <w:pStyle w:val="54"/>
                          </w:pPr>
                          <w:r>
                            <w:fldChar w:fldCharType="begin"/>
                          </w:r>
                          <w:r>
                            <w:instrText xml:space="preserve"> PAGE   \* MERGEFORMAT \* MERGEFORMAT </w:instrText>
                          </w:r>
                          <w:r>
                            <w:fldChar w:fldCharType="separate"/>
                          </w:r>
                          <w:r>
                            <w:t>II</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yKlkskBAACa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6T&#10;ZdanD1Bj2l3AxDS89wPmzn5AZ6Y9qGjzFwkRjKO6p4u6ckhE5Eer5WpVYUhgbL4gPnt6HiKkD9Jb&#10;ko2GRhxfUZUfP0EaU+eUXM35W21MGaFxfzkQM3tY7n3sMVtp2A0ToZ1vT8inx8k31OGiU2I+OhQ2&#10;L8lsxNnYzcYhRL3vyhblehDeHRI2UXrLFUbYqTCOrLCb1ivvxJ/3kvX0S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TIqWSyQEAAJoDAAAOAAAAAAAAAAEAIAAAAB4BAABkcnMvZTJvRG9j&#10;LnhtbFBLBQYAAAAABgAGAFkBAABZBQAAAAA=&#10;">
              <v:fill on="f" focussize="0,0"/>
              <v:stroke on="f"/>
              <v:imagedata o:title=""/>
              <o:lock v:ext="edit" aspectratio="f"/>
              <v:textbox inset="0mm,0mm,0mm,0mm" style="mso-fit-shape-to-text:t;">
                <w:txbxContent>
                  <w:p w14:paraId="42A1D20F">
                    <w:pPr>
                      <w:pStyle w:val="54"/>
                    </w:pPr>
                    <w:r>
                      <w:fldChar w:fldCharType="begin"/>
                    </w:r>
                    <w:r>
                      <w:instrText xml:space="preserve"> PAGE   \* MERGEFORMAT \* MERGEFORMAT </w:instrText>
                    </w:r>
                    <w:r>
                      <w:fldChar w:fldCharType="separate"/>
                    </w:r>
                    <w:r>
                      <w:t>II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1FBC3">
    <w:pPr>
      <w:pStyle w:val="55"/>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07760B">
                          <w:pPr>
                            <w:pStyle w:val="55"/>
                          </w:pPr>
                          <w:r>
                            <w:fldChar w:fldCharType="begin"/>
                          </w:r>
                          <w:r>
                            <w:instrText xml:space="preserve">PAGE   \* MERGEFORMAT</w:instrText>
                          </w:r>
                          <w:r>
                            <w:fldChar w:fldCharType="separate"/>
                          </w:r>
                          <w:r>
                            <w:rPr>
                              <w:lang w:val="zh-CN"/>
                            </w:rPr>
                            <w:t>1</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htG5ckBAACa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pJieMWJ375/u3y49fl51fy&#10;O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G0blyQEAAJoDAAAOAAAAAAAAAAEAIAAAAB4BAABkcnMvZTJvRG9j&#10;LnhtbFBLBQYAAAAABgAGAFkBAABZBQAAAAA=&#10;">
              <v:fill on="f" focussize="0,0"/>
              <v:stroke on="f"/>
              <v:imagedata o:title=""/>
              <o:lock v:ext="edit" aspectratio="f"/>
              <v:textbox inset="0mm,0mm,0mm,0mm" style="mso-fit-shape-to-text:t;">
                <w:txbxContent>
                  <w:p w14:paraId="7907760B">
                    <w:pPr>
                      <w:pStyle w:val="55"/>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62895">
    <w:pPr>
      <w:pStyle w:val="54"/>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5E87A5">
                          <w:pPr>
                            <w:pStyle w:val="54"/>
                          </w:pPr>
                          <w:r>
                            <w:fldChar w:fldCharType="begin"/>
                          </w:r>
                          <w:r>
                            <w:instrText xml:space="preserve"> PAGE   \* MERGEFORMAT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qwn73IAQAAmgMAAA4AAAAAAAAAAQAgAAAAHgEAAGRycy9lMm9Eb2Mu&#10;eG1sUEsFBgAAAAAGAAYAWQEAAFgFAAAAAA==&#10;">
              <v:fill on="f" focussize="0,0"/>
              <v:stroke on="f"/>
              <v:imagedata o:title=""/>
              <o:lock v:ext="edit" aspectratio="f"/>
              <v:textbox inset="0mm,0mm,0mm,0mm" style="mso-fit-shape-to-text:t;">
                <w:txbxContent>
                  <w:p w14:paraId="3A5E87A5">
                    <w:pPr>
                      <w:pStyle w:val="54"/>
                    </w:pPr>
                    <w:r>
                      <w:fldChar w:fldCharType="begin"/>
                    </w:r>
                    <w:r>
                      <w:instrText xml:space="preserve"> PAGE   \* MERGEFORMAT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5E888">
    <w:pPr>
      <w:pStyle w:val="55"/>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AF1D36">
                          <w:pPr>
                            <w:pStyle w:val="55"/>
                          </w:pPr>
                          <w:r>
                            <w:fldChar w:fldCharType="begin"/>
                          </w:r>
                          <w:r>
                            <w:instrText xml:space="preserve">PAGE   \* MERGEFORMAT</w:instrText>
                          </w:r>
                          <w:r>
                            <w:fldChar w:fldCharType="separate"/>
                          </w:r>
                          <w:r>
                            <w:rPr>
                              <w:lang w:val="zh-CN"/>
                            </w:rPr>
                            <w:t>1</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D6I8oBAACa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V1eU+K4xYmff/44//pz/v2d&#10;vM369AFqTLsPmJiGd37ArZn9gM5Me1DR5i8SIhhHdU8XdeWQiMiPVsvVqsKQwNh8QXz28DxESO+l&#10;tyQbDY04vqIqP36ENKbOKbma83famDJC4/5xIGb2sNz72GO20rAbJkI7356QT4+Tb6jDRafEfHAo&#10;bF6S2YizsZuNQ4h635UtyvUg3B4SNlF6yxVG2Kkwjqywm9Yr78Tje8l6+KU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D6I8oBAACaAwAADgAAAAAAAAABACAAAAAeAQAAZHJzL2Uyb0Rv&#10;Yy54bWxQSwUGAAAAAAYABgBZAQAAWgUAAAAA&#10;">
              <v:fill on="f" focussize="0,0"/>
              <v:stroke on="f"/>
              <v:imagedata o:title=""/>
              <o:lock v:ext="edit" aspectratio="f"/>
              <v:textbox inset="0mm,0mm,0mm,0mm" style="mso-fit-shape-to-text:t;">
                <w:txbxContent>
                  <w:p w14:paraId="30AF1D36">
                    <w:pPr>
                      <w:pStyle w:val="55"/>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C934B">
    <w:pPr>
      <w:pStyle w:val="54"/>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9CC0CE">
                          <w:pPr>
                            <w:pStyle w:val="54"/>
                          </w:pPr>
                          <w:r>
                            <w:fldChar w:fldCharType="begin"/>
                          </w:r>
                          <w:r>
                            <w:instrText xml:space="preserve"> PAGE   \* MERGEFORMAT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xzrIskBAACaAwAADgAAAGRycy9lMm9Eb2MueG1srVPNjtMwEL4j8Q6W&#10;79TZHpYq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5dvKXHc4sTPP3+cf/05//5O&#10;rrM+fYAa0+4DJqbhnR9wa2Y/oDPTHlS0+YuECMZR3dNFXTkkIvKj1XK1qjAkMDZfEJ89PA8R0nvp&#10;LclGQyOOr6jKjx8hjalzSq7m/J02pozQuH8ciJk9LPc+9pitNOyGidDOtyfk0+PkG+pw0SkxHxwK&#10;m5dkNuJs7GbjEKLed2WLcj0It4eETZTecoURdiqMIyvspvXKO/H4XrIefqnN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PHOsiyQEAAJoDAAAOAAAAAAAAAAEAIAAAAB4BAABkcnMvZTJvRG9j&#10;LnhtbFBLBQYAAAAABgAGAFkBAABZBQAAAAA=&#10;">
              <v:fill on="f" focussize="0,0"/>
              <v:stroke on="f"/>
              <v:imagedata o:title=""/>
              <o:lock v:ext="edit" aspectratio="f"/>
              <v:textbox inset="0mm,0mm,0mm,0mm" style="mso-fit-shape-to-text:t;">
                <w:txbxContent>
                  <w:p w14:paraId="519CC0CE">
                    <w:pPr>
                      <w:pStyle w:val="54"/>
                    </w:pPr>
                    <w:r>
                      <w:fldChar w:fldCharType="begin"/>
                    </w:r>
                    <w:r>
                      <w:instrText xml:space="preserve"> PAGE   \* MERGEFORMAT \* MERGEFORMAT </w:instrText>
                    </w:r>
                    <w:r>
                      <w:fldChar w:fldCharType="separate"/>
                    </w:r>
                    <w:r>
                      <w:t>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F7EF6">
    <w:pPr>
      <w:pStyle w:val="55"/>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6673A9">
                          <w:pPr>
                            <w:pStyle w:val="55"/>
                          </w:pPr>
                          <w:r>
                            <w:fldChar w:fldCharType="begin"/>
                          </w:r>
                          <w:r>
                            <w:instrText xml:space="preserve">PAGE   \* MERGEFORMAT</w:instrText>
                          </w:r>
                          <w:r>
                            <w:fldChar w:fldCharType="separate"/>
                          </w:r>
                          <w:r>
                            <w:rPr>
                              <w:lang w:val="zh-CN"/>
                            </w:rPr>
                            <w:t>7</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safx8gBAACa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gLO3XGLEz///HH+9Xh++E7e&#10;Zn36ADWm3QVMTMN7P2Du7Ad0ZtqDijZ/kRDBOKp7uqgrh0REfrRarlYVhgTG5gvis6fnIUL6IL0l&#10;2WhoxPEVVfnxE6QxdU7J1Zy/1caUERr3lwMxs4fl3sces5WG3TAR2vn2hHx6nHxDHS46JeajQ2Hz&#10;ksxGnI3dbBxC1PuubFGuB+HdIWETpbdcYYSdCuPICrtpvfJO/HkvWU+/1O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KrGn8fIAQAAmgMAAA4AAAAAAAAAAQAgAAAAHgEAAGRycy9lMm9Eb2Mu&#10;eG1sUEsFBgAAAAAGAAYAWQEAAFgFAAAAAA==&#10;">
              <v:fill on="f" focussize="0,0"/>
              <v:stroke on="f"/>
              <v:imagedata o:title=""/>
              <o:lock v:ext="edit" aspectratio="f"/>
              <v:textbox inset="0mm,0mm,0mm,0mm" style="mso-fit-shape-to-text:t;">
                <w:txbxContent>
                  <w:p w14:paraId="416673A9">
                    <w:pPr>
                      <w:pStyle w:val="55"/>
                    </w:pPr>
                    <w:r>
                      <w:fldChar w:fldCharType="begin"/>
                    </w:r>
                    <w:r>
                      <w:instrText xml:space="preserve">PAGE   \* MERGEFORMAT</w:instrText>
                    </w:r>
                    <w:r>
                      <w:fldChar w:fldCharType="separate"/>
                    </w:r>
                    <w:r>
                      <w:rPr>
                        <w:lang w:val="zh-CN"/>
                      </w:rPr>
                      <w:t>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56A71">
    <w:pPr>
      <w:pStyle w:val="54"/>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730EF4">
                          <w:pPr>
                            <w:pStyle w:val="54"/>
                          </w:pPr>
                          <w:r>
                            <w:fldChar w:fldCharType="begin"/>
                          </w:r>
                          <w:r>
                            <w:instrText xml:space="preserve"> PAGE   \* MERGEFORMAT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BZZcccBAACaAwAADgAAAGRycy9lMm9Eb2MueG1srVPNjtMwEL4j8Q6W&#10;79TZHlCI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FeUOG5x4pfv3y4/fl1+fiV1&#10;1mcI0GDafcDENL7xI+YufkBnpj2qaPMXCRGMo7rnq7pyTETkR/W6risMCYwtF8RnD89DhPRWekuy&#10;0dKI4yuq8tN7SFPqkpKrOX+njSkjNO4vB2JmD8u9Tz1mK437cSa0990Z+Qw4+ZY6XHRKzDuHwuYl&#10;WYy4GPvFOIaoD33ZolwPwutjwiZKb7nCBDsXxpEVdvN65Z34816yHn6p7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VBZZcccBAACaAwAADgAAAAAAAAABACAAAAAeAQAAZHJzL2Uyb0RvYy54&#10;bWxQSwUGAAAAAAYABgBZAQAAVwUAAAAA&#10;">
              <v:fill on="f" focussize="0,0"/>
              <v:stroke on="f"/>
              <v:imagedata o:title=""/>
              <o:lock v:ext="edit" aspectratio="f"/>
              <v:textbox inset="0mm,0mm,0mm,0mm" style="mso-fit-shape-to-text:t;">
                <w:txbxContent>
                  <w:p w14:paraId="6F730EF4">
                    <w:pPr>
                      <w:pStyle w:val="54"/>
                    </w:pPr>
                    <w:r>
                      <w:fldChar w:fldCharType="begin"/>
                    </w:r>
                    <w:r>
                      <w:instrText xml:space="preserve"> PAGE   \* MERGEFORMAT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AC6E7">
    <w:pPr>
      <w:pStyle w:val="21"/>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BACDA">
    <w:pPr>
      <w:pStyle w:val="65"/>
    </w:pPr>
    <w:r>
      <w:fldChar w:fldCharType="begin"/>
    </w:r>
    <w:r>
      <w:instrText xml:space="preserve"> STYLEREF  标准文件_文件编号 \* MERGEFORMAT </w:instrText>
    </w:r>
    <w:r>
      <w:fldChar w:fldCharType="separate"/>
    </w:r>
    <w:r>
      <w:t>AQ XXXX—XXXX</w:t>
    </w:r>
    <w:r>
      <w:rPr>
        <w:lang w:eastAsia="en-US"/>
      </w:rPr>
      <w:fldChar w:fldCharType="end"/>
    </w:r>
  </w:p>
  <w:p w14:paraId="12F947FA">
    <w:pPr>
      <w:pStyle w:val="21"/>
      <w:rPr>
        <w:lang w:eastAsia="en-US"/>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5100B">
    <w:pPr>
      <w:pStyle w:val="64"/>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3EF8A">
    <w:pPr>
      <w:pStyle w:val="21"/>
      <w:rPr>
        <w:lang w:eastAsia="en-US"/>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10FD2">
    <w:pPr>
      <w:pStyle w:val="64"/>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F4564">
    <w:pPr>
      <w:pStyle w:val="21"/>
      <w:rPr>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68B67">
    <w:pPr>
      <w:pStyle w:val="21"/>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33860">
    <w:pPr>
      <w:pStyle w:val="64"/>
    </w:pPr>
    <w:r>
      <w:fldChar w:fldCharType="begin"/>
    </w:r>
    <w:r>
      <w:instrText xml:space="preserve"> STYLEREF  标准文件_文件编号  \* MERGEFORMAT </w:instrText>
    </w:r>
    <w:r>
      <w:fldChar w:fldCharType="separate"/>
    </w:r>
    <w:r>
      <w:t>AQ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25C2F">
    <w:pPr>
      <w:pStyle w:val="65"/>
    </w:pPr>
    <w:r>
      <w:fldChar w:fldCharType="begin"/>
    </w:r>
    <w:r>
      <w:instrText xml:space="preserve"> STYLEREF  标准文件_文件编号 \* MERGEFORMAT </w:instrText>
    </w:r>
    <w:r>
      <w:fldChar w:fldCharType="separate"/>
    </w:r>
    <w:r>
      <w:t>AQ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163FA">
    <w:pPr>
      <w:pStyle w:val="64"/>
    </w:pPr>
    <w:r>
      <w:fldChar w:fldCharType="begin"/>
    </w:r>
    <w:r>
      <w:instrText xml:space="preserve"> STYLEREF  标准文件_文件编号  \* MERGEFORMAT </w:instrText>
    </w:r>
    <w:r>
      <w:fldChar w:fldCharType="separate"/>
    </w:r>
    <w:r>
      <w:t>AQ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AC39E">
    <w:pPr>
      <w:pStyle w:val="65"/>
    </w:pPr>
    <w:r>
      <w:fldChar w:fldCharType="begin"/>
    </w:r>
    <w:r>
      <w:instrText xml:space="preserve"> STYLEREF  标准文件_文件编号 \* MERGEFORMAT </w:instrText>
    </w:r>
    <w:r>
      <w:fldChar w:fldCharType="separate"/>
    </w:r>
    <w:r>
      <w:t>AQ 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671B4">
    <w:pPr>
      <w:pStyle w:val="64"/>
    </w:pPr>
    <w:r>
      <w:fldChar w:fldCharType="begin"/>
    </w:r>
    <w:r>
      <w:instrText xml:space="preserve"> STYLEREF  标准文件_文件编号  \* MERGEFORMAT </w:instrText>
    </w:r>
    <w:r>
      <w:fldChar w:fldCharType="separate"/>
    </w:r>
    <w:r>
      <w:t>AQ 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33533">
    <w:pPr>
      <w:pStyle w:val="65"/>
    </w:pPr>
    <w:r>
      <w:fldChar w:fldCharType="begin"/>
    </w:r>
    <w:r>
      <w:instrText xml:space="preserve"> STYLEREF  标准文件_文件编号 \* MERGEFORMAT </w:instrText>
    </w:r>
    <w:r>
      <w:fldChar w:fldCharType="separate"/>
    </w:r>
    <w:r>
      <w:t>AQ 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EE7DF">
    <w:pPr>
      <w:pStyle w:val="65"/>
    </w:pPr>
    <w:r>
      <w:fldChar w:fldCharType="begin"/>
    </w:r>
    <w:r>
      <w:instrText xml:space="preserve"> STYLEREF  标准文件_文件编号 \* MERGEFORMAT </w:instrText>
    </w:r>
    <w:r>
      <w:fldChar w:fldCharType="separate"/>
    </w:r>
    <w:r>
      <w:t>AQ XXXX—XXXX</w:t>
    </w:r>
    <w:r>
      <w:rPr>
        <w:lang w:eastAsia="en-U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7"/>
      <w:lvlText w:val="%1)"/>
      <w:lvlJc w:val="left"/>
      <w:pPr>
        <w:tabs>
          <w:tab w:val="left" w:pos="851"/>
        </w:tabs>
        <w:ind w:left="851" w:hanging="426"/>
      </w:pPr>
      <w:rPr>
        <w:rFonts w:hint="default" w:ascii="宋体" w:hAnsi="Times New Roman" w:eastAsia="宋体"/>
        <w:b w:val="0"/>
        <w:bCs/>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615ECD9"/>
    <w:multiLevelType w:val="singleLevel"/>
    <w:tmpl w:val="6615ECD9"/>
    <w:lvl w:ilvl="0" w:tentative="0">
      <w:start w:val="1"/>
      <w:numFmt w:val="lowerLetter"/>
      <w:suff w:val="space"/>
      <w:lvlText w:val="%1）"/>
      <w:lvlJc w:val="left"/>
      <w:pPr>
        <w:tabs>
          <w:tab w:val="left" w:pos="0"/>
        </w:tabs>
      </w:pPr>
      <w:rPr>
        <w:rFonts w:hint="default" w:ascii="宋体" w:hAnsi="宋体" w:eastAsia="宋体" w:cs="宋体"/>
      </w:rPr>
    </w:lvl>
  </w:abstractNum>
  <w:abstractNum w:abstractNumId="25">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trike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6"/>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30"/>
  </w:num>
  <w:num w:numId="19">
    <w:abstractNumId w:val="15"/>
  </w:num>
  <w:num w:numId="20">
    <w:abstractNumId w:val="1"/>
  </w:num>
  <w:num w:numId="21">
    <w:abstractNumId w:val="10"/>
  </w:num>
  <w:num w:numId="22">
    <w:abstractNumId w:val="31"/>
  </w:num>
  <w:num w:numId="23">
    <w:abstractNumId w:val="20"/>
  </w:num>
  <w:num w:numId="24">
    <w:abstractNumId w:val="6"/>
  </w:num>
  <w:num w:numId="25">
    <w:abstractNumId w:val="27"/>
  </w:num>
  <w:num w:numId="26">
    <w:abstractNumId w:val="29"/>
  </w:num>
  <w:num w:numId="27">
    <w:abstractNumId w:val="2"/>
  </w:num>
  <w:num w:numId="28">
    <w:abstractNumId w:val="4"/>
  </w:num>
  <w:num w:numId="29">
    <w:abstractNumId w:val="14"/>
  </w:num>
  <w:num w:numId="30">
    <w:abstractNumId w:val="25"/>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revisionView w:markup="0"/>
  <w:documentProtection w:edit="forms" w:enforcement="0"/>
  <w:defaultTabStop w:val="420"/>
  <w:evenAndOddHeaders w:val="1"/>
  <w:drawingGridHorizontalSpacing w:val="105"/>
  <w:drawingGridVerticalSpacing w:val="156"/>
  <w:displayHorizontalDrawingGridEvery w:val="1"/>
  <w:displayVerticalDrawingGridEvery w:val="1"/>
  <w:doNotShadeFormData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DD9"/>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10E8"/>
    <w:rsid w:val="0004249A"/>
    <w:rsid w:val="00043282"/>
    <w:rsid w:val="00044286"/>
    <w:rsid w:val="00047F28"/>
    <w:rsid w:val="00047F8C"/>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533A"/>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7666"/>
    <w:rsid w:val="000D0A9C"/>
    <w:rsid w:val="000D1795"/>
    <w:rsid w:val="000D2F41"/>
    <w:rsid w:val="000D329A"/>
    <w:rsid w:val="000D4B9C"/>
    <w:rsid w:val="000D4EB6"/>
    <w:rsid w:val="000D753B"/>
    <w:rsid w:val="000E4C9E"/>
    <w:rsid w:val="000E6FD7"/>
    <w:rsid w:val="000F06E1"/>
    <w:rsid w:val="000F0E3C"/>
    <w:rsid w:val="000F19D5"/>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B06E8"/>
    <w:rsid w:val="001B19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9A4"/>
    <w:rsid w:val="00205F2C"/>
    <w:rsid w:val="00210B15"/>
    <w:rsid w:val="002142EA"/>
    <w:rsid w:val="002204BB"/>
    <w:rsid w:val="00221B79"/>
    <w:rsid w:val="00221C6B"/>
    <w:rsid w:val="00224596"/>
    <w:rsid w:val="002253A1"/>
    <w:rsid w:val="00225CF8"/>
    <w:rsid w:val="0022718D"/>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4BC"/>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3E3"/>
    <w:rsid w:val="002B4508"/>
    <w:rsid w:val="002B5779"/>
    <w:rsid w:val="002B7332"/>
    <w:rsid w:val="002B7F51"/>
    <w:rsid w:val="002C09E7"/>
    <w:rsid w:val="002C3F07"/>
    <w:rsid w:val="002C5278"/>
    <w:rsid w:val="002C7EBB"/>
    <w:rsid w:val="002D06C1"/>
    <w:rsid w:val="002D42B5"/>
    <w:rsid w:val="002D4F1A"/>
    <w:rsid w:val="002D6DA6"/>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E62"/>
    <w:rsid w:val="00324EDD"/>
    <w:rsid w:val="003331E4"/>
    <w:rsid w:val="00335A2E"/>
    <w:rsid w:val="00336C64"/>
    <w:rsid w:val="00337162"/>
    <w:rsid w:val="0034194F"/>
    <w:rsid w:val="00342DB8"/>
    <w:rsid w:val="00344605"/>
    <w:rsid w:val="003474AA"/>
    <w:rsid w:val="00350D1D"/>
    <w:rsid w:val="00351901"/>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0BD9"/>
    <w:rsid w:val="003B1F18"/>
    <w:rsid w:val="003B5BF0"/>
    <w:rsid w:val="003B60BF"/>
    <w:rsid w:val="003B6BE3"/>
    <w:rsid w:val="003C010C"/>
    <w:rsid w:val="003C0A6C"/>
    <w:rsid w:val="003C2859"/>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3F72A3"/>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563CD"/>
    <w:rsid w:val="00463B77"/>
    <w:rsid w:val="00463C7B"/>
    <w:rsid w:val="00463F02"/>
    <w:rsid w:val="004644A6"/>
    <w:rsid w:val="004659BD"/>
    <w:rsid w:val="00470775"/>
    <w:rsid w:val="004715BD"/>
    <w:rsid w:val="004746B1"/>
    <w:rsid w:val="0047583F"/>
    <w:rsid w:val="00484936"/>
    <w:rsid w:val="00485C89"/>
    <w:rsid w:val="00486BE3"/>
    <w:rsid w:val="004905E4"/>
    <w:rsid w:val="00490A89"/>
    <w:rsid w:val="00490AB4"/>
    <w:rsid w:val="004920D8"/>
    <w:rsid w:val="00492F02"/>
    <w:rsid w:val="004939AE"/>
    <w:rsid w:val="004A12DF"/>
    <w:rsid w:val="004A1BA8"/>
    <w:rsid w:val="004A4B57"/>
    <w:rsid w:val="004A63FA"/>
    <w:rsid w:val="004B0272"/>
    <w:rsid w:val="004B2701"/>
    <w:rsid w:val="004B2E1B"/>
    <w:rsid w:val="004B3E93"/>
    <w:rsid w:val="004B7740"/>
    <w:rsid w:val="004C1FBC"/>
    <w:rsid w:val="004C3F1D"/>
    <w:rsid w:val="004C458D"/>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501139"/>
    <w:rsid w:val="00502991"/>
    <w:rsid w:val="0050363E"/>
    <w:rsid w:val="005039BC"/>
    <w:rsid w:val="005043BB"/>
    <w:rsid w:val="00504A3D"/>
    <w:rsid w:val="00505767"/>
    <w:rsid w:val="005073F0"/>
    <w:rsid w:val="00510A7B"/>
    <w:rsid w:val="00512F6E"/>
    <w:rsid w:val="00513038"/>
    <w:rsid w:val="00514174"/>
    <w:rsid w:val="00516088"/>
    <w:rsid w:val="00516B0B"/>
    <w:rsid w:val="005207F4"/>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3544"/>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1E63"/>
    <w:rsid w:val="005D4171"/>
    <w:rsid w:val="005D6A95"/>
    <w:rsid w:val="005D6B2C"/>
    <w:rsid w:val="005D6D9C"/>
    <w:rsid w:val="005E2335"/>
    <w:rsid w:val="005E34CA"/>
    <w:rsid w:val="005E3C18"/>
    <w:rsid w:val="005E63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252D8"/>
    <w:rsid w:val="006259BC"/>
    <w:rsid w:val="0062636B"/>
    <w:rsid w:val="00632182"/>
    <w:rsid w:val="00632AE0"/>
    <w:rsid w:val="00633C17"/>
    <w:rsid w:val="00636E3E"/>
    <w:rsid w:val="006379F7"/>
    <w:rsid w:val="00637E4D"/>
    <w:rsid w:val="00640620"/>
    <w:rsid w:val="00641A1F"/>
    <w:rsid w:val="0064528D"/>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B7562"/>
    <w:rsid w:val="006C1BBA"/>
    <w:rsid w:val="006C2079"/>
    <w:rsid w:val="006C317D"/>
    <w:rsid w:val="006C5A62"/>
    <w:rsid w:val="006C5D68"/>
    <w:rsid w:val="006C6976"/>
    <w:rsid w:val="006C6DD0"/>
    <w:rsid w:val="006D04EA"/>
    <w:rsid w:val="006D16C4"/>
    <w:rsid w:val="006D3E96"/>
    <w:rsid w:val="006D4515"/>
    <w:rsid w:val="006D4BB1"/>
    <w:rsid w:val="006D6593"/>
    <w:rsid w:val="006D686E"/>
    <w:rsid w:val="006F03A8"/>
    <w:rsid w:val="006F126C"/>
    <w:rsid w:val="006F1DD9"/>
    <w:rsid w:val="006F2ACA"/>
    <w:rsid w:val="006F2ADC"/>
    <w:rsid w:val="006F2BFE"/>
    <w:rsid w:val="006F31E9"/>
    <w:rsid w:val="006F56E5"/>
    <w:rsid w:val="006F6284"/>
    <w:rsid w:val="007002C5"/>
    <w:rsid w:val="0070348B"/>
    <w:rsid w:val="00704387"/>
    <w:rsid w:val="00707669"/>
    <w:rsid w:val="00711CBA"/>
    <w:rsid w:val="00711FB5"/>
    <w:rsid w:val="00712A01"/>
    <w:rsid w:val="00714F58"/>
    <w:rsid w:val="00722FBF"/>
    <w:rsid w:val="00722FC2"/>
    <w:rsid w:val="00725949"/>
    <w:rsid w:val="00727FA2"/>
    <w:rsid w:val="007322D9"/>
    <w:rsid w:val="00732BC0"/>
    <w:rsid w:val="00732F4E"/>
    <w:rsid w:val="0073720F"/>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5402"/>
    <w:rsid w:val="00756B26"/>
    <w:rsid w:val="00756EDF"/>
    <w:rsid w:val="00765C43"/>
    <w:rsid w:val="00765EFB"/>
    <w:rsid w:val="007671CA"/>
    <w:rsid w:val="0076744F"/>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2CD6"/>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E0D02"/>
    <w:rsid w:val="007E258B"/>
    <w:rsid w:val="007F0ED8"/>
    <w:rsid w:val="007F0F63"/>
    <w:rsid w:val="007F3748"/>
    <w:rsid w:val="007F75CE"/>
    <w:rsid w:val="008013A4"/>
    <w:rsid w:val="008027CE"/>
    <w:rsid w:val="00802F42"/>
    <w:rsid w:val="00804383"/>
    <w:rsid w:val="00804BB7"/>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73A"/>
    <w:rsid w:val="00854343"/>
    <w:rsid w:val="00860297"/>
    <w:rsid w:val="008603CE"/>
    <w:rsid w:val="008620FC"/>
    <w:rsid w:val="008627A5"/>
    <w:rsid w:val="00863E05"/>
    <w:rsid w:val="0086431E"/>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4767"/>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58DC"/>
    <w:rsid w:val="008F70BD"/>
    <w:rsid w:val="008F788F"/>
    <w:rsid w:val="008F7EA2"/>
    <w:rsid w:val="00902722"/>
    <w:rsid w:val="009027BC"/>
    <w:rsid w:val="009062E6"/>
    <w:rsid w:val="00911AF6"/>
    <w:rsid w:val="00911BE5"/>
    <w:rsid w:val="00913CA9"/>
    <w:rsid w:val="009145AE"/>
    <w:rsid w:val="009146CE"/>
    <w:rsid w:val="00914CA7"/>
    <w:rsid w:val="00915C3E"/>
    <w:rsid w:val="009161A8"/>
    <w:rsid w:val="009245F5"/>
    <w:rsid w:val="009249EC"/>
    <w:rsid w:val="009273B3"/>
    <w:rsid w:val="009305B5"/>
    <w:rsid w:val="00941138"/>
    <w:rsid w:val="00941FA3"/>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4782"/>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464"/>
    <w:rsid w:val="009B6971"/>
    <w:rsid w:val="009C27F1"/>
    <w:rsid w:val="009C3152"/>
    <w:rsid w:val="009C4CFA"/>
    <w:rsid w:val="009C5070"/>
    <w:rsid w:val="009D112C"/>
    <w:rsid w:val="009D47FA"/>
    <w:rsid w:val="009D50D2"/>
    <w:rsid w:val="009D6BCA"/>
    <w:rsid w:val="009D72B9"/>
    <w:rsid w:val="009E0F62"/>
    <w:rsid w:val="009E1848"/>
    <w:rsid w:val="009E4A58"/>
    <w:rsid w:val="009E5A2D"/>
    <w:rsid w:val="009E5AB2"/>
    <w:rsid w:val="009E6219"/>
    <w:rsid w:val="009F03B3"/>
    <w:rsid w:val="00A01757"/>
    <w:rsid w:val="00A028C0"/>
    <w:rsid w:val="00A02BAE"/>
    <w:rsid w:val="00A05AA6"/>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4006C"/>
    <w:rsid w:val="00A40091"/>
    <w:rsid w:val="00A4030F"/>
    <w:rsid w:val="00A41C79"/>
    <w:rsid w:val="00A41CB5"/>
    <w:rsid w:val="00A42CDF"/>
    <w:rsid w:val="00A4307B"/>
    <w:rsid w:val="00A4452E"/>
    <w:rsid w:val="00A4472C"/>
    <w:rsid w:val="00A44E69"/>
    <w:rsid w:val="00A4661E"/>
    <w:rsid w:val="00A55BD6"/>
    <w:rsid w:val="00A55D50"/>
    <w:rsid w:val="00A57142"/>
    <w:rsid w:val="00A61D48"/>
    <w:rsid w:val="00A648CD"/>
    <w:rsid w:val="00A6537A"/>
    <w:rsid w:val="00A67866"/>
    <w:rsid w:val="00A70B07"/>
    <w:rsid w:val="00A723F8"/>
    <w:rsid w:val="00A77CCB"/>
    <w:rsid w:val="00A83D8D"/>
    <w:rsid w:val="00A83E19"/>
    <w:rsid w:val="00A8446B"/>
    <w:rsid w:val="00A8473F"/>
    <w:rsid w:val="00A862D6"/>
    <w:rsid w:val="00A8715E"/>
    <w:rsid w:val="00A87647"/>
    <w:rsid w:val="00A9295B"/>
    <w:rsid w:val="00A93B09"/>
    <w:rsid w:val="00A952D7"/>
    <w:rsid w:val="00A963F7"/>
    <w:rsid w:val="00A96AD8"/>
    <w:rsid w:val="00AA052C"/>
    <w:rsid w:val="00AA1E45"/>
    <w:rsid w:val="00AA30E6"/>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5D89"/>
    <w:rsid w:val="00AE070A"/>
    <w:rsid w:val="00AE101C"/>
    <w:rsid w:val="00AE232F"/>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432"/>
    <w:rsid w:val="00B447A5"/>
    <w:rsid w:val="00B4654C"/>
    <w:rsid w:val="00B47293"/>
    <w:rsid w:val="00B50E50"/>
    <w:rsid w:val="00B52120"/>
    <w:rsid w:val="00B54ABC"/>
    <w:rsid w:val="00B56FBE"/>
    <w:rsid w:val="00B62B58"/>
    <w:rsid w:val="00B64D02"/>
    <w:rsid w:val="00B65149"/>
    <w:rsid w:val="00B66567"/>
    <w:rsid w:val="00B66F52"/>
    <w:rsid w:val="00B66FE5"/>
    <w:rsid w:val="00B72880"/>
    <w:rsid w:val="00B758BF"/>
    <w:rsid w:val="00B827A6"/>
    <w:rsid w:val="00B831CE"/>
    <w:rsid w:val="00B86677"/>
    <w:rsid w:val="00B87131"/>
    <w:rsid w:val="00B939B1"/>
    <w:rsid w:val="00B96D40"/>
    <w:rsid w:val="00B97386"/>
    <w:rsid w:val="00B978DB"/>
    <w:rsid w:val="00BA2253"/>
    <w:rsid w:val="00BA263B"/>
    <w:rsid w:val="00BA42B2"/>
    <w:rsid w:val="00BA58D4"/>
    <w:rsid w:val="00BA5B9E"/>
    <w:rsid w:val="00BA7C9A"/>
    <w:rsid w:val="00BB5F8F"/>
    <w:rsid w:val="00BB657A"/>
    <w:rsid w:val="00BC1A4E"/>
    <w:rsid w:val="00BC5DC7"/>
    <w:rsid w:val="00BC6B41"/>
    <w:rsid w:val="00BC6B8B"/>
    <w:rsid w:val="00BC73D8"/>
    <w:rsid w:val="00BD52D7"/>
    <w:rsid w:val="00BD5AD2"/>
    <w:rsid w:val="00BE22F3"/>
    <w:rsid w:val="00BE5B52"/>
    <w:rsid w:val="00BE7B8D"/>
    <w:rsid w:val="00BF0993"/>
    <w:rsid w:val="00BF10A9"/>
    <w:rsid w:val="00BF1703"/>
    <w:rsid w:val="00BF231C"/>
    <w:rsid w:val="00BF51E5"/>
    <w:rsid w:val="00BF74A6"/>
    <w:rsid w:val="00BF7718"/>
    <w:rsid w:val="00C013AD"/>
    <w:rsid w:val="00C020FB"/>
    <w:rsid w:val="00C04904"/>
    <w:rsid w:val="00C056B3"/>
    <w:rsid w:val="00C103E5"/>
    <w:rsid w:val="00C13319"/>
    <w:rsid w:val="00C13EE9"/>
    <w:rsid w:val="00C21540"/>
    <w:rsid w:val="00C21906"/>
    <w:rsid w:val="00C21BFA"/>
    <w:rsid w:val="00C24C8D"/>
    <w:rsid w:val="00C25FE2"/>
    <w:rsid w:val="00C260F4"/>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EEF"/>
    <w:rsid w:val="00CE0C4F"/>
    <w:rsid w:val="00CE30EA"/>
    <w:rsid w:val="00CF048A"/>
    <w:rsid w:val="00CF155A"/>
    <w:rsid w:val="00CF2947"/>
    <w:rsid w:val="00CF4E76"/>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4CB7"/>
    <w:rsid w:val="00D352A2"/>
    <w:rsid w:val="00D4162B"/>
    <w:rsid w:val="00D4514F"/>
    <w:rsid w:val="00D451E2"/>
    <w:rsid w:val="00D45E89"/>
    <w:rsid w:val="00D45E8D"/>
    <w:rsid w:val="00D466AE"/>
    <w:rsid w:val="00D4734F"/>
    <w:rsid w:val="00D51BF3"/>
    <w:rsid w:val="00D54B98"/>
    <w:rsid w:val="00D56D85"/>
    <w:rsid w:val="00D66846"/>
    <w:rsid w:val="00D675FB"/>
    <w:rsid w:val="00D71F25"/>
    <w:rsid w:val="00D77031"/>
    <w:rsid w:val="00D81136"/>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64F8"/>
    <w:rsid w:val="00DA6C15"/>
    <w:rsid w:val="00DB38EE"/>
    <w:rsid w:val="00DB498B"/>
    <w:rsid w:val="00DB66CA"/>
    <w:rsid w:val="00DB6BCA"/>
    <w:rsid w:val="00DB7113"/>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A10"/>
    <w:rsid w:val="00E01138"/>
    <w:rsid w:val="00E02DFB"/>
    <w:rsid w:val="00E030F9"/>
    <w:rsid w:val="00E0311A"/>
    <w:rsid w:val="00E03138"/>
    <w:rsid w:val="00E06404"/>
    <w:rsid w:val="00E11A85"/>
    <w:rsid w:val="00E12495"/>
    <w:rsid w:val="00E15CCD"/>
    <w:rsid w:val="00E15D9E"/>
    <w:rsid w:val="00E202EF"/>
    <w:rsid w:val="00E210B5"/>
    <w:rsid w:val="00E2552F"/>
    <w:rsid w:val="00E3137A"/>
    <w:rsid w:val="00E32213"/>
    <w:rsid w:val="00E32CCF"/>
    <w:rsid w:val="00E33542"/>
    <w:rsid w:val="00E34A98"/>
    <w:rsid w:val="00E35D1E"/>
    <w:rsid w:val="00E364F9"/>
    <w:rsid w:val="00E365FA"/>
    <w:rsid w:val="00E36789"/>
    <w:rsid w:val="00E44A83"/>
    <w:rsid w:val="00E4625B"/>
    <w:rsid w:val="00E46AD2"/>
    <w:rsid w:val="00E502C1"/>
    <w:rsid w:val="00E502DD"/>
    <w:rsid w:val="00E50D3A"/>
    <w:rsid w:val="00E51387"/>
    <w:rsid w:val="00E51E68"/>
    <w:rsid w:val="00E52EFD"/>
    <w:rsid w:val="00E5408A"/>
    <w:rsid w:val="00E56800"/>
    <w:rsid w:val="00E57D67"/>
    <w:rsid w:val="00E62FF9"/>
    <w:rsid w:val="00E635D6"/>
    <w:rsid w:val="00E639BC"/>
    <w:rsid w:val="00E664CC"/>
    <w:rsid w:val="00E70388"/>
    <w:rsid w:val="00E70B15"/>
    <w:rsid w:val="00E70F92"/>
    <w:rsid w:val="00E74C54"/>
    <w:rsid w:val="00E77A03"/>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1542"/>
    <w:rsid w:val="00F06D37"/>
    <w:rsid w:val="00F07B9D"/>
    <w:rsid w:val="00F10926"/>
    <w:rsid w:val="00F11586"/>
    <w:rsid w:val="00F1183B"/>
    <w:rsid w:val="00F11C9F"/>
    <w:rsid w:val="00F12263"/>
    <w:rsid w:val="00F1409D"/>
    <w:rsid w:val="00F14214"/>
    <w:rsid w:val="00F157A9"/>
    <w:rsid w:val="00F25BB6"/>
    <w:rsid w:val="00F26B7E"/>
    <w:rsid w:val="00F27A3B"/>
    <w:rsid w:val="00F33817"/>
    <w:rsid w:val="00F3447F"/>
    <w:rsid w:val="00F420D5"/>
    <w:rsid w:val="00F451EA"/>
    <w:rsid w:val="00F45447"/>
    <w:rsid w:val="00F456C6"/>
    <w:rsid w:val="00F4577B"/>
    <w:rsid w:val="00F46496"/>
    <w:rsid w:val="00F474D0"/>
    <w:rsid w:val="00F50179"/>
    <w:rsid w:val="00F5081A"/>
    <w:rsid w:val="00F56511"/>
    <w:rsid w:val="00F6194E"/>
    <w:rsid w:val="00F623AC"/>
    <w:rsid w:val="00F6412A"/>
    <w:rsid w:val="00F65893"/>
    <w:rsid w:val="00F66A4A"/>
    <w:rsid w:val="00F71E22"/>
    <w:rsid w:val="00F72142"/>
    <w:rsid w:val="00F72AE7"/>
    <w:rsid w:val="00F77D98"/>
    <w:rsid w:val="00F833BA"/>
    <w:rsid w:val="00F84FD0"/>
    <w:rsid w:val="00F859A8"/>
    <w:rsid w:val="00F9108B"/>
    <w:rsid w:val="00F91349"/>
    <w:rsid w:val="00F93A8A"/>
    <w:rsid w:val="00F95248"/>
    <w:rsid w:val="00F956A9"/>
    <w:rsid w:val="00F963ED"/>
    <w:rsid w:val="00F966CF"/>
    <w:rsid w:val="00F96CAE"/>
    <w:rsid w:val="00F97C99"/>
    <w:rsid w:val="00FA662D"/>
    <w:rsid w:val="00FA6730"/>
    <w:rsid w:val="00FA6A6B"/>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AC24BA"/>
    <w:rsid w:val="028C5218"/>
    <w:rsid w:val="02AD4810"/>
    <w:rsid w:val="04BD0D47"/>
    <w:rsid w:val="04F318EB"/>
    <w:rsid w:val="0501370E"/>
    <w:rsid w:val="05576882"/>
    <w:rsid w:val="058D4C5C"/>
    <w:rsid w:val="066A7A79"/>
    <w:rsid w:val="07125927"/>
    <w:rsid w:val="075D5645"/>
    <w:rsid w:val="07927EAE"/>
    <w:rsid w:val="08244968"/>
    <w:rsid w:val="08B0658D"/>
    <w:rsid w:val="08EB2612"/>
    <w:rsid w:val="092959CA"/>
    <w:rsid w:val="097B189D"/>
    <w:rsid w:val="0B49765E"/>
    <w:rsid w:val="0B6D227A"/>
    <w:rsid w:val="0CB24D39"/>
    <w:rsid w:val="0D157D63"/>
    <w:rsid w:val="0DEB1C5B"/>
    <w:rsid w:val="0E7D24AD"/>
    <w:rsid w:val="0ED45C6E"/>
    <w:rsid w:val="0ED61D65"/>
    <w:rsid w:val="0FAF37CA"/>
    <w:rsid w:val="0FDC4616"/>
    <w:rsid w:val="10A7181A"/>
    <w:rsid w:val="12CD2A77"/>
    <w:rsid w:val="12F366E4"/>
    <w:rsid w:val="138D5AC6"/>
    <w:rsid w:val="1496167B"/>
    <w:rsid w:val="15A05265"/>
    <w:rsid w:val="15EF054A"/>
    <w:rsid w:val="1739090C"/>
    <w:rsid w:val="173A4DA5"/>
    <w:rsid w:val="17445CD2"/>
    <w:rsid w:val="17572835"/>
    <w:rsid w:val="1792102D"/>
    <w:rsid w:val="17AC4D67"/>
    <w:rsid w:val="18345F44"/>
    <w:rsid w:val="194825F5"/>
    <w:rsid w:val="1B102545"/>
    <w:rsid w:val="1E3B3C23"/>
    <w:rsid w:val="1F5C0A73"/>
    <w:rsid w:val="1FA11974"/>
    <w:rsid w:val="20211E04"/>
    <w:rsid w:val="20FD5BFE"/>
    <w:rsid w:val="2117530F"/>
    <w:rsid w:val="2236598D"/>
    <w:rsid w:val="22800520"/>
    <w:rsid w:val="2292080E"/>
    <w:rsid w:val="22946A8C"/>
    <w:rsid w:val="22A30143"/>
    <w:rsid w:val="2320282F"/>
    <w:rsid w:val="25C25679"/>
    <w:rsid w:val="26197C96"/>
    <w:rsid w:val="267E0CAB"/>
    <w:rsid w:val="2682413A"/>
    <w:rsid w:val="26A93FFA"/>
    <w:rsid w:val="27973452"/>
    <w:rsid w:val="27E06F42"/>
    <w:rsid w:val="2BCE6216"/>
    <w:rsid w:val="2C5259F8"/>
    <w:rsid w:val="2CD930DF"/>
    <w:rsid w:val="2D9C65E3"/>
    <w:rsid w:val="2FB82D46"/>
    <w:rsid w:val="2FFC3071"/>
    <w:rsid w:val="305F43DB"/>
    <w:rsid w:val="31102C0A"/>
    <w:rsid w:val="313C3697"/>
    <w:rsid w:val="31593B09"/>
    <w:rsid w:val="34730E7B"/>
    <w:rsid w:val="367D18DE"/>
    <w:rsid w:val="368A397C"/>
    <w:rsid w:val="376A4B5B"/>
    <w:rsid w:val="38B56F92"/>
    <w:rsid w:val="3954751B"/>
    <w:rsid w:val="39D45638"/>
    <w:rsid w:val="3B4C0BB0"/>
    <w:rsid w:val="3C27075C"/>
    <w:rsid w:val="3CCF2C06"/>
    <w:rsid w:val="3D3D1CB9"/>
    <w:rsid w:val="3DCB2851"/>
    <w:rsid w:val="3DEC0025"/>
    <w:rsid w:val="3E350900"/>
    <w:rsid w:val="3F112120"/>
    <w:rsid w:val="412831C4"/>
    <w:rsid w:val="416852BD"/>
    <w:rsid w:val="43514836"/>
    <w:rsid w:val="43852524"/>
    <w:rsid w:val="43F97030"/>
    <w:rsid w:val="440167FE"/>
    <w:rsid w:val="44185647"/>
    <w:rsid w:val="444B5F4A"/>
    <w:rsid w:val="453010B7"/>
    <w:rsid w:val="456D319A"/>
    <w:rsid w:val="461F53EE"/>
    <w:rsid w:val="46D6757D"/>
    <w:rsid w:val="47FF6F25"/>
    <w:rsid w:val="485B2E89"/>
    <w:rsid w:val="48E626E8"/>
    <w:rsid w:val="4A111AEE"/>
    <w:rsid w:val="4ABA28A7"/>
    <w:rsid w:val="4B7428B7"/>
    <w:rsid w:val="4BF4028E"/>
    <w:rsid w:val="4D513305"/>
    <w:rsid w:val="4E16009F"/>
    <w:rsid w:val="4F96791A"/>
    <w:rsid w:val="515A41E2"/>
    <w:rsid w:val="51B0516E"/>
    <w:rsid w:val="51BB07BD"/>
    <w:rsid w:val="51E01348"/>
    <w:rsid w:val="52F22204"/>
    <w:rsid w:val="541C548D"/>
    <w:rsid w:val="546F1475"/>
    <w:rsid w:val="54AE00FE"/>
    <w:rsid w:val="5721105B"/>
    <w:rsid w:val="58241EC3"/>
    <w:rsid w:val="590C4BA6"/>
    <w:rsid w:val="5A2111AC"/>
    <w:rsid w:val="5A234361"/>
    <w:rsid w:val="5A62004F"/>
    <w:rsid w:val="5A8F4E91"/>
    <w:rsid w:val="5B08233D"/>
    <w:rsid w:val="5B7B3CC8"/>
    <w:rsid w:val="5BF546B8"/>
    <w:rsid w:val="5C3E50E4"/>
    <w:rsid w:val="5CF11A01"/>
    <w:rsid w:val="5D9E169F"/>
    <w:rsid w:val="5DE72799"/>
    <w:rsid w:val="5E783C56"/>
    <w:rsid w:val="5EA26B50"/>
    <w:rsid w:val="5EBC07DD"/>
    <w:rsid w:val="602C0B24"/>
    <w:rsid w:val="60BD26C3"/>
    <w:rsid w:val="617D0DF8"/>
    <w:rsid w:val="62A5542C"/>
    <w:rsid w:val="62F37D9B"/>
    <w:rsid w:val="637D2246"/>
    <w:rsid w:val="64293944"/>
    <w:rsid w:val="655C40B2"/>
    <w:rsid w:val="65890E41"/>
    <w:rsid w:val="65F406D1"/>
    <w:rsid w:val="66ED0B38"/>
    <w:rsid w:val="68A0380C"/>
    <w:rsid w:val="69EF78E6"/>
    <w:rsid w:val="6A7476A4"/>
    <w:rsid w:val="6B5060B2"/>
    <w:rsid w:val="6B553416"/>
    <w:rsid w:val="6BEC4CC9"/>
    <w:rsid w:val="6CAC2CED"/>
    <w:rsid w:val="6CB32CE3"/>
    <w:rsid w:val="6D560A21"/>
    <w:rsid w:val="6DCC3677"/>
    <w:rsid w:val="6DDE7634"/>
    <w:rsid w:val="6E563C6F"/>
    <w:rsid w:val="6F202DC3"/>
    <w:rsid w:val="6FA96DF9"/>
    <w:rsid w:val="70B632BF"/>
    <w:rsid w:val="711932F5"/>
    <w:rsid w:val="716C315B"/>
    <w:rsid w:val="71DA6C01"/>
    <w:rsid w:val="72C819FB"/>
    <w:rsid w:val="738F1BF5"/>
    <w:rsid w:val="74AE7F1E"/>
    <w:rsid w:val="74D802BB"/>
    <w:rsid w:val="75395885"/>
    <w:rsid w:val="7568109F"/>
    <w:rsid w:val="757415C3"/>
    <w:rsid w:val="77416534"/>
    <w:rsid w:val="779759AB"/>
    <w:rsid w:val="78B74F24"/>
    <w:rsid w:val="794D7082"/>
    <w:rsid w:val="7A38141D"/>
    <w:rsid w:val="7A761C48"/>
    <w:rsid w:val="7AFA20E6"/>
    <w:rsid w:val="7B6F0435"/>
    <w:rsid w:val="7BA774D1"/>
    <w:rsid w:val="7BFA4777"/>
    <w:rsid w:val="7D502D5B"/>
    <w:rsid w:val="7DAB10A1"/>
    <w:rsid w:val="7DF85C09"/>
    <w:rsid w:val="7E1A3BEB"/>
    <w:rsid w:val="7EEF57CB"/>
    <w:rsid w:val="7FE83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4">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39"/>
    <w:qFormat/>
    <w:uiPriority w:val="0"/>
    <w:pPr>
      <w:keepNext/>
      <w:keepLines/>
      <w:spacing w:before="260" w:after="260" w:line="416" w:lineRule="auto"/>
      <w:outlineLvl w:val="2"/>
    </w:pPr>
    <w:rPr>
      <w:b/>
      <w:bCs/>
      <w:sz w:val="32"/>
      <w:szCs w:val="32"/>
    </w:rPr>
  </w:style>
  <w:style w:type="paragraph" w:styleId="7">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9">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10">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11">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2">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adjustRightInd/>
      <w:snapToGrid/>
      <w:spacing w:after="120" w:line="240" w:lineRule="auto"/>
      <w:ind w:firstLine="420" w:firstLineChars="100"/>
    </w:pPr>
    <w:rPr>
      <w:sz w:val="21"/>
      <w:szCs w:val="22"/>
    </w:rPr>
  </w:style>
  <w:style w:type="paragraph" w:styleId="3">
    <w:name w:val="Body Text"/>
    <w:basedOn w:val="1"/>
    <w:link w:val="89"/>
    <w:qFormat/>
    <w:uiPriority w:val="0"/>
    <w:pPr>
      <w:spacing w:after="120"/>
    </w:pPr>
  </w:style>
  <w:style w:type="paragraph" w:styleId="13">
    <w:name w:val="toc 7"/>
    <w:basedOn w:val="1"/>
    <w:next w:val="1"/>
    <w:unhideWhenUsed/>
    <w:qFormat/>
    <w:uiPriority w:val="39"/>
    <w:pPr>
      <w:tabs>
        <w:tab w:val="right" w:leader="dot" w:pos="9344"/>
      </w:tabs>
      <w:spacing w:line="300" w:lineRule="exact"/>
      <w:ind w:left="1259"/>
    </w:pPr>
    <w:rPr>
      <w:rFonts w:ascii="宋体"/>
    </w:rPr>
  </w:style>
  <w:style w:type="paragraph" w:styleId="14">
    <w:name w:val="Normal Indent"/>
    <w:basedOn w:val="1"/>
    <w:qFormat/>
    <w:uiPriority w:val="0"/>
    <w:pPr>
      <w:ind w:firstLine="420"/>
    </w:pPr>
  </w:style>
  <w:style w:type="paragraph" w:styleId="15">
    <w:name w:val="Document Map"/>
    <w:basedOn w:val="1"/>
    <w:link w:val="233"/>
    <w:semiHidden/>
    <w:unhideWhenUsed/>
    <w:qFormat/>
    <w:uiPriority w:val="99"/>
    <w:rPr>
      <w:rFonts w:ascii="宋体"/>
      <w:sz w:val="18"/>
      <w:szCs w:val="18"/>
    </w:rPr>
  </w:style>
  <w:style w:type="paragraph" w:styleId="16">
    <w:name w:val="annotation text"/>
    <w:basedOn w:val="1"/>
    <w:semiHidden/>
    <w:unhideWhenUsed/>
    <w:qFormat/>
    <w:uiPriority w:val="99"/>
    <w:pPr>
      <w:jc w:val="left"/>
    </w:pPr>
  </w:style>
  <w:style w:type="paragraph" w:styleId="17">
    <w:name w:val="toc 5"/>
    <w:basedOn w:val="1"/>
    <w:next w:val="1"/>
    <w:unhideWhenUsed/>
    <w:qFormat/>
    <w:uiPriority w:val="39"/>
    <w:pPr>
      <w:ind w:left="839"/>
    </w:pPr>
    <w:rPr>
      <w:rFonts w:ascii="宋体"/>
    </w:rPr>
  </w:style>
  <w:style w:type="paragraph" w:styleId="18">
    <w:name w:val="toc 3"/>
    <w:basedOn w:val="1"/>
    <w:next w:val="1"/>
    <w:unhideWhenUsed/>
    <w:qFormat/>
    <w:uiPriority w:val="39"/>
    <w:pPr>
      <w:spacing w:line="300" w:lineRule="exact"/>
      <w:ind w:left="420"/>
    </w:pPr>
    <w:rPr>
      <w:rFonts w:ascii="宋体"/>
    </w:rPr>
  </w:style>
  <w:style w:type="paragraph" w:styleId="19">
    <w:name w:val="Balloon Text"/>
    <w:basedOn w:val="1"/>
    <w:link w:val="48"/>
    <w:semiHidden/>
    <w:unhideWhenUsed/>
    <w:qFormat/>
    <w:uiPriority w:val="99"/>
    <w:rPr>
      <w:sz w:val="18"/>
      <w:szCs w:val="18"/>
    </w:rPr>
  </w:style>
  <w:style w:type="paragraph" w:styleId="20">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21">
    <w:name w:val="header"/>
    <w:basedOn w:val="1"/>
    <w:link w:val="46"/>
    <w:qFormat/>
    <w:uiPriority w:val="99"/>
    <w:pPr>
      <w:tabs>
        <w:tab w:val="center" w:pos="4153"/>
        <w:tab w:val="right" w:pos="8306"/>
      </w:tabs>
      <w:adjustRightInd/>
      <w:snapToGrid w:val="0"/>
      <w:jc w:val="center"/>
    </w:pPr>
    <w:rPr>
      <w:sz w:val="18"/>
      <w:szCs w:val="18"/>
    </w:rPr>
  </w:style>
  <w:style w:type="paragraph" w:styleId="22">
    <w:name w:val="toc 1"/>
    <w:basedOn w:val="1"/>
    <w:next w:val="1"/>
    <w:unhideWhenUsed/>
    <w:qFormat/>
    <w:uiPriority w:val="39"/>
    <w:rPr>
      <w:rFonts w:ascii="宋体"/>
    </w:rPr>
  </w:style>
  <w:style w:type="paragraph" w:styleId="23">
    <w:name w:val="toc 4"/>
    <w:basedOn w:val="1"/>
    <w:next w:val="1"/>
    <w:unhideWhenUsed/>
    <w:qFormat/>
    <w:uiPriority w:val="39"/>
    <w:pPr>
      <w:tabs>
        <w:tab w:val="right" w:leader="dot" w:pos="9344"/>
      </w:tabs>
      <w:spacing w:line="300" w:lineRule="exact"/>
      <w:ind w:left="629"/>
    </w:pPr>
    <w:rPr>
      <w:rFonts w:ascii="宋体"/>
    </w:rPr>
  </w:style>
  <w:style w:type="paragraph" w:styleId="24">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5">
    <w:name w:val="toc 6"/>
    <w:basedOn w:val="1"/>
    <w:next w:val="1"/>
    <w:unhideWhenUsed/>
    <w:qFormat/>
    <w:uiPriority w:val="39"/>
    <w:pPr>
      <w:spacing w:line="300" w:lineRule="exact"/>
      <w:ind w:left="1049"/>
    </w:pPr>
    <w:rPr>
      <w:rFonts w:ascii="宋体"/>
    </w:rPr>
  </w:style>
  <w:style w:type="paragraph" w:styleId="26">
    <w:name w:val="table of figures"/>
    <w:basedOn w:val="1"/>
    <w:next w:val="1"/>
    <w:semiHidden/>
    <w:qFormat/>
    <w:uiPriority w:val="0"/>
    <w:pPr>
      <w:adjustRightInd/>
      <w:spacing w:line="240" w:lineRule="auto"/>
      <w:jc w:val="left"/>
    </w:pPr>
    <w:rPr>
      <w:szCs w:val="24"/>
    </w:rPr>
  </w:style>
  <w:style w:type="paragraph" w:styleId="27">
    <w:name w:val="toc 2"/>
    <w:basedOn w:val="1"/>
    <w:next w:val="1"/>
    <w:unhideWhenUsed/>
    <w:qFormat/>
    <w:uiPriority w:val="39"/>
    <w:pPr>
      <w:tabs>
        <w:tab w:val="right" w:leader="dot" w:pos="9344"/>
      </w:tabs>
      <w:spacing w:line="300" w:lineRule="exact"/>
      <w:ind w:left="210"/>
    </w:pPr>
    <w:rPr>
      <w:rFonts w:ascii="宋体"/>
    </w:rPr>
  </w:style>
  <w:style w:type="paragraph" w:styleId="28">
    <w:name w:val="Title"/>
    <w:basedOn w:val="1"/>
    <w:link w:val="51"/>
    <w:qFormat/>
    <w:uiPriority w:val="0"/>
    <w:pPr>
      <w:spacing w:before="240" w:after="60"/>
      <w:jc w:val="center"/>
      <w:outlineLvl w:val="0"/>
    </w:pPr>
    <w:rPr>
      <w:rFonts w:ascii="Arial" w:hAnsi="Arial" w:cs="Arial"/>
      <w:b/>
      <w:bCs/>
      <w:sz w:val="32"/>
      <w:szCs w:val="32"/>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Char"/>
    <w:link w:val="4"/>
    <w:qFormat/>
    <w:uiPriority w:val="0"/>
    <w:rPr>
      <w:b/>
      <w:bCs/>
      <w:kern w:val="44"/>
      <w:sz w:val="44"/>
      <w:szCs w:val="44"/>
    </w:rPr>
  </w:style>
  <w:style w:type="character" w:customStyle="1" w:styleId="38">
    <w:name w:val="标题 2 Char"/>
    <w:link w:val="5"/>
    <w:qFormat/>
    <w:uiPriority w:val="0"/>
    <w:rPr>
      <w:rFonts w:ascii="Arial" w:hAnsi="Arial" w:eastAsia="黑体"/>
      <w:b/>
      <w:bCs/>
      <w:kern w:val="2"/>
      <w:sz w:val="32"/>
      <w:szCs w:val="32"/>
    </w:rPr>
  </w:style>
  <w:style w:type="character" w:customStyle="1" w:styleId="39">
    <w:name w:val="标题 3 Char"/>
    <w:link w:val="6"/>
    <w:qFormat/>
    <w:uiPriority w:val="0"/>
    <w:rPr>
      <w:b/>
      <w:bCs/>
      <w:kern w:val="2"/>
      <w:sz w:val="32"/>
      <w:szCs w:val="32"/>
    </w:rPr>
  </w:style>
  <w:style w:type="character" w:customStyle="1" w:styleId="40">
    <w:name w:val="标题 4 Char"/>
    <w:link w:val="7"/>
    <w:qFormat/>
    <w:uiPriority w:val="0"/>
    <w:rPr>
      <w:rFonts w:ascii="Arial" w:hAnsi="Arial" w:eastAsia="黑体"/>
      <w:b/>
      <w:bCs/>
      <w:kern w:val="2"/>
      <w:sz w:val="28"/>
      <w:szCs w:val="28"/>
    </w:rPr>
  </w:style>
  <w:style w:type="character" w:customStyle="1" w:styleId="41">
    <w:name w:val="标题 5 Char"/>
    <w:link w:val="8"/>
    <w:qFormat/>
    <w:uiPriority w:val="0"/>
    <w:rPr>
      <w:b/>
      <w:bCs/>
      <w:kern w:val="2"/>
      <w:sz w:val="28"/>
      <w:szCs w:val="28"/>
    </w:rPr>
  </w:style>
  <w:style w:type="character" w:customStyle="1" w:styleId="42">
    <w:name w:val="标题 6 Char"/>
    <w:link w:val="9"/>
    <w:qFormat/>
    <w:uiPriority w:val="0"/>
    <w:rPr>
      <w:rFonts w:ascii="Arial" w:hAnsi="Arial" w:eastAsia="黑体"/>
      <w:b/>
      <w:bCs/>
      <w:kern w:val="2"/>
      <w:sz w:val="24"/>
      <w:szCs w:val="24"/>
    </w:rPr>
  </w:style>
  <w:style w:type="character" w:customStyle="1" w:styleId="43">
    <w:name w:val="标题 7 Char"/>
    <w:link w:val="10"/>
    <w:qFormat/>
    <w:uiPriority w:val="0"/>
    <w:rPr>
      <w:b/>
      <w:bCs/>
      <w:kern w:val="2"/>
      <w:sz w:val="24"/>
      <w:szCs w:val="24"/>
    </w:rPr>
  </w:style>
  <w:style w:type="character" w:customStyle="1" w:styleId="44">
    <w:name w:val="标题 8 Char"/>
    <w:link w:val="11"/>
    <w:qFormat/>
    <w:uiPriority w:val="0"/>
    <w:rPr>
      <w:rFonts w:ascii="Arial" w:hAnsi="Arial" w:eastAsia="黑体"/>
      <w:kern w:val="2"/>
      <w:sz w:val="24"/>
      <w:szCs w:val="24"/>
    </w:rPr>
  </w:style>
  <w:style w:type="character" w:customStyle="1" w:styleId="45">
    <w:name w:val="标题 9 Char"/>
    <w:link w:val="12"/>
    <w:qFormat/>
    <w:uiPriority w:val="0"/>
    <w:rPr>
      <w:rFonts w:ascii="Arial" w:hAnsi="Arial" w:eastAsia="黑体"/>
      <w:kern w:val="2"/>
      <w:sz w:val="21"/>
      <w:szCs w:val="21"/>
    </w:rPr>
  </w:style>
  <w:style w:type="character" w:customStyle="1" w:styleId="46">
    <w:name w:val="页眉 Char"/>
    <w:link w:val="21"/>
    <w:qFormat/>
    <w:uiPriority w:val="99"/>
    <w:rPr>
      <w:kern w:val="2"/>
      <w:sz w:val="18"/>
      <w:szCs w:val="18"/>
    </w:rPr>
  </w:style>
  <w:style w:type="character" w:customStyle="1" w:styleId="47">
    <w:name w:val="页脚 Char"/>
    <w:link w:val="20"/>
    <w:qFormat/>
    <w:uiPriority w:val="99"/>
    <w:rPr>
      <w:rFonts w:ascii="宋体"/>
      <w:kern w:val="2"/>
      <w:sz w:val="18"/>
      <w:szCs w:val="18"/>
    </w:rPr>
  </w:style>
  <w:style w:type="character" w:customStyle="1" w:styleId="48">
    <w:name w:val="批注框文本 Char"/>
    <w:link w:val="19"/>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Char"/>
    <w:link w:val="49"/>
    <w:qFormat/>
    <w:uiPriority w:val="29"/>
    <w:rPr>
      <w:i/>
      <w:iCs/>
      <w:color w:val="000000"/>
      <w:kern w:val="2"/>
      <w:sz w:val="21"/>
      <w:szCs w:val="21"/>
    </w:rPr>
  </w:style>
  <w:style w:type="character" w:customStyle="1" w:styleId="51">
    <w:name w:val="标题 Char"/>
    <w:link w:val="28"/>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6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Lines="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Char"/>
    <w:link w:val="3"/>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Subtle Reference"/>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2">
    <w:name w:val="脚注文本 Char"/>
    <w:link w:val="24"/>
    <w:semiHidden/>
    <w:qFormat/>
    <w:uiPriority w:val="0"/>
    <w:rPr>
      <w:rFonts w:ascii="宋体"/>
      <w:kern w:val="2"/>
      <w:sz w:val="18"/>
      <w:szCs w:val="18"/>
    </w:rPr>
  </w:style>
  <w:style w:type="paragraph" w:customStyle="1" w:styleId="103">
    <w:name w:val="标准文件_条文脚注"/>
    <w:basedOn w:val="24"/>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Lines="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Lines="0" w:afterLines="0"/>
      <w:outlineLvl w:val="9"/>
    </w:pPr>
    <w:rPr>
      <w:rFonts w:ascii="宋体" w:eastAsia="宋体"/>
    </w:rPr>
  </w:style>
  <w:style w:type="paragraph" w:customStyle="1" w:styleId="166">
    <w:name w:val="标准文件_五级无标题"/>
    <w:basedOn w:val="106"/>
    <w:qFormat/>
    <w:uiPriority w:val="0"/>
    <w:pPr>
      <w:spacing w:beforeLines="0" w:afterLines="0"/>
      <w:outlineLvl w:val="9"/>
    </w:pPr>
    <w:rPr>
      <w:rFonts w:ascii="宋体" w:eastAsia="宋体"/>
    </w:rPr>
  </w:style>
  <w:style w:type="paragraph" w:customStyle="1" w:styleId="167">
    <w:name w:val="标准文件_三级无标题"/>
    <w:basedOn w:val="97"/>
    <w:qFormat/>
    <w:uiPriority w:val="0"/>
    <w:pPr>
      <w:spacing w:beforeLines="0" w:afterLines="0"/>
      <w:outlineLvl w:val="9"/>
    </w:pPr>
    <w:rPr>
      <w:rFonts w:ascii="宋体" w:eastAsia="宋体"/>
    </w:rPr>
  </w:style>
  <w:style w:type="paragraph" w:customStyle="1" w:styleId="168">
    <w:name w:val="标准文件_二级无标题"/>
    <w:basedOn w:val="68"/>
    <w:qFormat/>
    <w:uiPriority w:val="0"/>
    <w:pPr>
      <w:spacing w:beforeLines="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Lines="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1"/>
    <w:semiHidden/>
    <w:qFormat/>
    <w:uiPriority w:val="99"/>
    <w:rPr>
      <w:color w:val="808080"/>
    </w:rPr>
  </w:style>
  <w:style w:type="paragraph" w:customStyle="1" w:styleId="190">
    <w:name w:val="标准文件_二级项2"/>
    <w:basedOn w:val="59"/>
    <w:qFormat/>
    <w:uiPriority w:val="0"/>
    <w:pPr>
      <w:numPr>
        <w:ilvl w:val="1"/>
        <w:numId w:val="21"/>
      </w:numPr>
      <w:ind w:firstLine="0" w:firstLineChars="0"/>
    </w:pPr>
  </w:style>
  <w:style w:type="paragraph" w:customStyle="1" w:styleId="191">
    <w:name w:val="标准文件_三级项2"/>
    <w:basedOn w:val="59"/>
    <w:qFormat/>
    <w:uiPriority w:val="0"/>
    <w:pPr>
      <w:numPr>
        <w:ilvl w:val="0"/>
        <w:numId w:val="30"/>
      </w:numPr>
      <w:spacing w:line="300" w:lineRule="exact"/>
      <w:ind w:firstLineChars="0"/>
    </w:pPr>
    <w:rPr>
      <w:rFonts w:ascii="Times New Roman"/>
    </w:rPr>
  </w:style>
  <w:style w:type="paragraph" w:customStyle="1" w:styleId="192">
    <w:name w:val="标准文件_一级项2"/>
    <w:basedOn w:val="59"/>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1"/>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spacing w:before="57"/>
    </w:pPr>
    <w:rPr>
      <w:sz w:val="21"/>
    </w:rPr>
  </w:style>
  <w:style w:type="paragraph" w:customStyle="1" w:styleId="200">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Lines="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Lines="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Lines="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Lines="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Lines="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Lines="0" w:afterLines="0" w:line="276" w:lineRule="auto"/>
      <w:outlineLvl w:val="9"/>
    </w:pPr>
    <w:rPr>
      <w:rFonts w:ascii="宋体" w:eastAsia="宋体"/>
    </w:rPr>
  </w:style>
  <w:style w:type="paragraph" w:customStyle="1" w:styleId="215">
    <w:name w:val="标准文件_附录二级无标题"/>
    <w:basedOn w:val="82"/>
    <w:qFormat/>
    <w:uiPriority w:val="0"/>
    <w:pPr>
      <w:spacing w:beforeLines="0" w:afterLines="0" w:line="276" w:lineRule="auto"/>
      <w:outlineLvl w:val="9"/>
    </w:pPr>
    <w:rPr>
      <w:rFonts w:ascii="宋体" w:eastAsia="宋体"/>
    </w:rPr>
  </w:style>
  <w:style w:type="paragraph" w:customStyle="1" w:styleId="216">
    <w:name w:val="标准文件_附录三级无标题"/>
    <w:basedOn w:val="84"/>
    <w:qFormat/>
    <w:uiPriority w:val="0"/>
    <w:pPr>
      <w:spacing w:beforeLines="0" w:afterLines="0" w:line="276" w:lineRule="auto"/>
      <w:outlineLvl w:val="9"/>
    </w:pPr>
    <w:rPr>
      <w:rFonts w:ascii="宋体" w:eastAsia="宋体"/>
    </w:rPr>
  </w:style>
  <w:style w:type="paragraph" w:customStyle="1" w:styleId="217">
    <w:name w:val="标准文件_附录四级无标题"/>
    <w:basedOn w:val="85"/>
    <w:qFormat/>
    <w:uiPriority w:val="0"/>
    <w:pPr>
      <w:spacing w:beforeLines="0" w:afterLines="0" w:line="276" w:lineRule="auto"/>
      <w:outlineLvl w:val="9"/>
    </w:pPr>
    <w:rPr>
      <w:rFonts w:ascii="宋体" w:eastAsia="宋体"/>
    </w:rPr>
  </w:style>
  <w:style w:type="paragraph" w:customStyle="1" w:styleId="218">
    <w:name w:val="标准文件_附录五级无标题"/>
    <w:basedOn w:val="87"/>
    <w:qFormat/>
    <w:uiPriority w:val="0"/>
    <w:pPr>
      <w:spacing w:beforeLines="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Lines="0" w:afterLines="0" w:line="276" w:lineRule="auto"/>
    </w:pPr>
    <w:rPr>
      <w:rFonts w:ascii="宋体" w:eastAsia="宋体"/>
    </w:rPr>
  </w:style>
  <w:style w:type="paragraph" w:customStyle="1" w:styleId="220">
    <w:name w:val="标准文件_引言二级无标题"/>
    <w:basedOn w:val="204"/>
    <w:next w:val="59"/>
    <w:qFormat/>
    <w:uiPriority w:val="0"/>
    <w:pPr>
      <w:spacing w:beforeLines="0" w:afterLines="0" w:line="276" w:lineRule="auto"/>
    </w:pPr>
    <w:rPr>
      <w:rFonts w:ascii="宋体" w:eastAsia="宋体"/>
    </w:rPr>
  </w:style>
  <w:style w:type="paragraph" w:customStyle="1" w:styleId="221">
    <w:name w:val="标准文件_引言三级无标题"/>
    <w:basedOn w:val="205"/>
    <w:qFormat/>
    <w:uiPriority w:val="0"/>
    <w:pPr>
      <w:spacing w:beforeLines="0" w:afterLines="0" w:line="276" w:lineRule="auto"/>
    </w:pPr>
    <w:rPr>
      <w:rFonts w:ascii="宋体" w:eastAsia="宋体"/>
    </w:rPr>
  </w:style>
  <w:style w:type="paragraph" w:customStyle="1" w:styleId="222">
    <w:name w:val="标准文件_引言四级无标题"/>
    <w:basedOn w:val="206"/>
    <w:next w:val="59"/>
    <w:qFormat/>
    <w:uiPriority w:val="0"/>
    <w:pPr>
      <w:spacing w:beforeLines="0" w:afterLines="0" w:line="276" w:lineRule="auto"/>
    </w:pPr>
    <w:rPr>
      <w:rFonts w:ascii="宋体" w:eastAsia="宋体"/>
    </w:rPr>
  </w:style>
  <w:style w:type="paragraph" w:customStyle="1" w:styleId="223">
    <w:name w:val="标准文件_引言五级无标题"/>
    <w:basedOn w:val="207"/>
    <w:next w:val="59"/>
    <w:qFormat/>
    <w:uiPriority w:val="0"/>
    <w:pPr>
      <w:spacing w:beforeLines="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1"/>
    <w:qFormat/>
    <w:uiPriority w:val="0"/>
    <w:rPr>
      <w:rFonts w:ascii="黑体" w:eastAsia="黑体"/>
      <w:spacing w:val="85"/>
      <w:w w:val="100"/>
      <w:position w:val="3"/>
      <w:sz w:val="28"/>
      <w:szCs w:val="28"/>
    </w:rPr>
  </w:style>
  <w:style w:type="character" w:customStyle="1" w:styleId="233">
    <w:name w:val="文档结构图 Char"/>
    <w:basedOn w:val="31"/>
    <w:link w:val="15"/>
    <w:semiHidden/>
    <w:qFormat/>
    <w:uiPriority w:val="99"/>
    <w:rPr>
      <w:rFonts w:ascii="宋体"/>
      <w:kern w:val="2"/>
      <w:sz w:val="18"/>
      <w:szCs w:val="18"/>
    </w:rPr>
  </w:style>
  <w:style w:type="paragraph" w:customStyle="1" w:styleId="234">
    <w:name w:val="段"/>
    <w:basedOn w:val="1"/>
    <w:qFormat/>
    <w:uiPriority w:val="0"/>
    <w:pPr>
      <w:widowControl/>
      <w:autoSpaceDE w:val="0"/>
      <w:autoSpaceDN w:val="0"/>
      <w:adjustRightInd/>
      <w:spacing w:line="240" w:lineRule="auto"/>
      <w:ind w:firstLine="420" w:firstLineChars="200"/>
    </w:pPr>
    <w:rPr>
      <w:rFonts w:ascii="宋体" w:hAnsi="Times New Roman"/>
      <w:kern w:val="0"/>
    </w:rPr>
  </w:style>
  <w:style w:type="paragraph" w:customStyle="1" w:styleId="235">
    <w:name w:val="样式1"/>
    <w:basedOn w:val="2"/>
    <w:qFormat/>
    <w:uiPriority w:val="0"/>
    <w:pPr>
      <w:spacing w:after="0" w:line="240" w:lineRule="auto"/>
      <w:ind w:firstLine="424" w:firstLineChars="202"/>
    </w:pPr>
    <w:rPr>
      <w:rFonts w:ascii="宋体" w:hAnsi="Times New Roman"/>
      <w:color w:val="auto"/>
      <w:kern w:val="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1" Type="http://schemas.openxmlformats.org/officeDocument/2006/relationships/glossaryDocument" Target="glossary/document.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1.jpeg"/><Relationship Id="rId35" Type="http://schemas.openxmlformats.org/officeDocument/2006/relationships/theme" Target="theme/theme1.xml"/><Relationship Id="rId34" Type="http://schemas.openxmlformats.org/officeDocument/2006/relationships/footer" Target="footer16.xml"/><Relationship Id="rId33" Type="http://schemas.openxmlformats.org/officeDocument/2006/relationships/footer" Target="footer15.xml"/><Relationship Id="rId32" Type="http://schemas.openxmlformats.org/officeDocument/2006/relationships/header" Target="header14.xml"/><Relationship Id="rId31" Type="http://schemas.openxmlformats.org/officeDocument/2006/relationships/header" Target="header13.xml"/><Relationship Id="rId30" Type="http://schemas.openxmlformats.org/officeDocument/2006/relationships/footer" Target="footer14.xml"/><Relationship Id="rId3" Type="http://schemas.openxmlformats.org/officeDocument/2006/relationships/footnotes" Target="footnotes.xml"/><Relationship Id="rId29" Type="http://schemas.openxmlformats.org/officeDocument/2006/relationships/header" Target="header12.xml"/><Relationship Id="rId28" Type="http://schemas.openxmlformats.org/officeDocument/2006/relationships/header" Target="header11.xml"/><Relationship Id="rId27" Type="http://schemas.openxmlformats.org/officeDocument/2006/relationships/footer" Target="footer13.xml"/><Relationship Id="rId26" Type="http://schemas.openxmlformats.org/officeDocument/2006/relationships/footer" Target="footer12.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60D349DF74442B18583560B16BCC588"/>
        <w:style w:val=""/>
        <w:category>
          <w:name w:val="常规"/>
          <w:gallery w:val="placeholder"/>
        </w:category>
        <w:types>
          <w:type w:val="bbPlcHdr"/>
        </w:types>
        <w:behaviors>
          <w:behavior w:val="content"/>
        </w:behaviors>
        <w:description w:val=""/>
        <w:guid w:val="{DDBE8EC4-FDBF-4362-9451-A88FA5245F4D}"/>
      </w:docPartPr>
      <w:docPartBody>
        <w:p w14:paraId="45796E89">
          <w:pPr>
            <w:pStyle w:val="5"/>
          </w:pPr>
          <w:r>
            <w:rPr>
              <w:rStyle w:val="4"/>
              <w:rFonts w:hint="eastAsia"/>
            </w:rPr>
            <w:t>单击或点击此处输入文字。</w:t>
          </w:r>
        </w:p>
      </w:docPartBody>
    </w:docPart>
    <w:docPart>
      <w:docPartPr>
        <w:name w:val="516340E3109541F48E7FEDD9B266CF0D"/>
        <w:style w:val=""/>
        <w:category>
          <w:name w:val="常规"/>
          <w:gallery w:val="placeholder"/>
        </w:category>
        <w:types>
          <w:type w:val="bbPlcHdr"/>
        </w:types>
        <w:behaviors>
          <w:behavior w:val="content"/>
        </w:behaviors>
        <w:description w:val=""/>
        <w:guid w:val="{5C7FD7C0-9585-40E0-A52D-80F623E4C09A}"/>
      </w:docPartPr>
      <w:docPartBody>
        <w:p w14:paraId="74B07AF0">
          <w:pPr>
            <w:pStyle w:val="6"/>
          </w:pPr>
          <w:r>
            <w:rPr>
              <w:rStyle w:val="4"/>
              <w:rFonts w:hint="eastAsia"/>
            </w:rPr>
            <w:t>选择一项。</w:t>
          </w:r>
        </w:p>
      </w:docPartBody>
    </w:docPart>
    <w:docPart>
      <w:docPartPr>
        <w:name w:val="B40EBE6BF10E4F089A0FA803A73CD0E0"/>
        <w:style w:val=""/>
        <w:category>
          <w:name w:val="常规"/>
          <w:gallery w:val="placeholder"/>
        </w:category>
        <w:types>
          <w:type w:val="bbPlcHdr"/>
        </w:types>
        <w:behaviors>
          <w:behavior w:val="content"/>
        </w:behaviors>
        <w:description w:val=""/>
        <w:guid w:val="{B7460595-03B8-444E-A937-3A628BAC255D}"/>
      </w:docPartPr>
      <w:docPartBody>
        <w:p w14:paraId="4DC0C95F">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A17686"/>
    <w:rsid w:val="00554E1C"/>
    <w:rsid w:val="007D0BBD"/>
    <w:rsid w:val="0083047A"/>
    <w:rsid w:val="00A17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60D349DF74442B18583560B16BCC58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16340E3109541F48E7FEDD9B266CF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B40EBE6BF10E4F089A0FA803A73CD0E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F10DBA-AB29-4DA7-83DE-6D5970A5C5ED}">
  <ds:schemaRefs/>
</ds:datastoreItem>
</file>

<file path=docProps/app.xml><?xml version="1.0" encoding="utf-8"?>
<Properties xmlns="http://schemas.openxmlformats.org/officeDocument/2006/extended-properties" xmlns:vt="http://schemas.openxmlformats.org/officeDocument/2006/docPropsVTypes">
  <Template>行业标准</Template>
  <Company>PCMI</Company>
  <Pages>31</Pages>
  <Words>12820</Words>
  <Characters>13730</Characters>
  <Lines>81</Lines>
  <Paragraphs>23</Paragraphs>
  <TotalTime>1</TotalTime>
  <ScaleCrop>false</ScaleCrop>
  <LinksUpToDate>false</LinksUpToDate>
  <CharactersWithSpaces>14697</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2025-03-16T13:39:00Z</dcterms:created>
  <dc:creator>lrx</dc:creator>
  <dc:description>&lt;config cover="true" show_menu="true" version="1.0.0" doctype="SDKXY"&gt;_x000d_
&lt;/config&gt;</dc:description>
  <cp:lastModifiedBy>Administrator</cp:lastModifiedBy>
  <cp:lastPrinted>2021-02-02T08:18:00Z</cp:lastPrinted>
  <dcterms:modified xsi:type="dcterms:W3CDTF">2025-04-28T01:06:20Z</dcterms:modified>
  <dc:title>行业标准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2052-12.8.2.18606</vt:lpwstr>
  </property>
  <property fmtid="{D5CDD505-2E9C-101B-9397-08002B2CF9AE}" pid="15" name="ICV">
    <vt:lpwstr>FA203BC2E5954F64B2611A1157FEB5F3</vt:lpwstr>
  </property>
  <property fmtid="{D5CDD505-2E9C-101B-9397-08002B2CF9AE}" pid="16" name="KSOTemplateDocerSaveRecord">
    <vt:lpwstr>eyJoZGlkIjoiMjQ4NDg2MmY5ZTMwMzJiYTFmODk5NDNiMWJkNzIyNzkiLCJ1c2VySWQiOiIxMDYyMjU4NjU1In0=</vt:lpwstr>
  </property>
</Properties>
</file>