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21DB6">
      <w:pPr>
        <w:widowControl/>
        <w:jc w:val="left"/>
        <w:rPr>
          <w:rFonts w:hAnsi="宋体"/>
        </w:rPr>
        <w:sectPr>
          <w:footerReference r:id="rId3" w:type="default"/>
          <w:footerReference r:id="rId4" w:type="even"/>
          <w:type w:val="continuous"/>
          <w:pgSz w:w="11907" w:h="16840"/>
          <w:pgMar w:top="1418" w:right="1134" w:bottom="1134" w:left="1418" w:header="1418" w:footer="1134" w:gutter="0"/>
          <w:pgNumType w:fmt="upperRoman" w:start="2"/>
          <w:cols w:space="720" w:num="1"/>
          <w:titlePg/>
          <w:docGrid w:type="linesAndChars" w:linePitch="286" w:charSpace="0"/>
        </w:sectPr>
      </w:pPr>
      <w:bookmarkStart w:id="0" w:name="SectionMark0"/>
      <w:r>
        <w:rPr>
          <w:rFonts w:ascii="宋体" w:hAnsi="宋体"/>
          <w:sz w:val="24"/>
        </w:rPr>
        <mc:AlternateContent>
          <mc:Choice Requires="wpg">
            <w:drawing>
              <wp:anchor distT="0" distB="0" distL="114300" distR="114300" simplePos="0" relativeHeight="251667456" behindDoc="0" locked="0" layoutInCell="1" allowOverlap="1">
                <wp:simplePos x="0" y="0"/>
                <wp:positionH relativeFrom="margin">
                  <wp:align>center</wp:align>
                </wp:positionH>
                <wp:positionV relativeFrom="paragraph">
                  <wp:posOffset>8242935</wp:posOffset>
                </wp:positionV>
                <wp:extent cx="6221095" cy="999490"/>
                <wp:effectExtent l="0" t="0" r="8255" b="0"/>
                <wp:wrapNone/>
                <wp:docPr id="2" name="组合 2"/>
                <wp:cNvGraphicFramePr/>
                <a:graphic xmlns:a="http://schemas.openxmlformats.org/drawingml/2006/main">
                  <a:graphicData uri="http://schemas.microsoft.com/office/word/2010/wordprocessingGroup">
                    <wpg:wgp>
                      <wpg:cNvGrpSpPr/>
                      <wpg:grpSpPr>
                        <a:xfrm>
                          <a:off x="0" y="0"/>
                          <a:ext cx="6221095" cy="999490"/>
                          <a:chOff x="6035" y="13426"/>
                          <a:chExt cx="9797" cy="1574"/>
                        </a:xfrm>
                      </wpg:grpSpPr>
                      <wps:wsp>
                        <wps:cNvPr id="3" name="矩形 3"/>
                        <wps:cNvSpPr/>
                        <wps:spPr>
                          <a:xfrm>
                            <a:off x="9871" y="14520"/>
                            <a:ext cx="2000" cy="480"/>
                          </a:xfrm>
                          <a:prstGeom prst="rect">
                            <a:avLst/>
                          </a:prstGeom>
                          <a:solidFill>
                            <a:srgbClr val="FFFFFF"/>
                          </a:solidFill>
                          <a:ln>
                            <a:noFill/>
                          </a:ln>
                        </wps:spPr>
                        <wps:bodyPr upright="1"/>
                      </wps:wsp>
                      <wps:wsp>
                        <wps:cNvPr id="4" name="文本框 4"/>
                        <wps:cNvSpPr txBox="1"/>
                        <wps:spPr>
                          <a:xfrm>
                            <a:off x="6140" y="13426"/>
                            <a:ext cx="3180" cy="492"/>
                          </a:xfrm>
                          <a:prstGeom prst="rect">
                            <a:avLst/>
                          </a:prstGeom>
                          <a:solidFill>
                            <a:srgbClr val="FFFFFF"/>
                          </a:solidFill>
                          <a:ln>
                            <a:noFill/>
                          </a:ln>
                        </wps:spPr>
                        <wps:txbx>
                          <w:txbxContent>
                            <w:p w14:paraId="0C38A15F">
                              <w:pPr>
                                <w:pStyle w:val="264"/>
                                <w:adjustRightInd w:val="0"/>
                                <w:snapToGrid w:val="0"/>
                                <w:spacing w:before="143" w:after="143"/>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××发布</w:t>
                              </w:r>
                            </w:p>
                          </w:txbxContent>
                        </wps:txbx>
                        <wps:bodyPr lIns="0" tIns="0" rIns="0" bIns="0" upright="1"/>
                      </wps:wsp>
                      <wps:wsp>
                        <wps:cNvPr id="5" name="文本框 5"/>
                        <wps:cNvSpPr txBox="1"/>
                        <wps:spPr>
                          <a:xfrm>
                            <a:off x="12440" y="13426"/>
                            <a:ext cx="3180" cy="492"/>
                          </a:xfrm>
                          <a:prstGeom prst="rect">
                            <a:avLst/>
                          </a:prstGeom>
                          <a:solidFill>
                            <a:srgbClr val="FFFFFF"/>
                          </a:solidFill>
                          <a:ln>
                            <a:noFill/>
                          </a:ln>
                        </wps:spPr>
                        <wps:txbx>
                          <w:txbxContent>
                            <w:p w14:paraId="78C36359">
                              <w:pPr>
                                <w:pStyle w:val="291"/>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××实施</w:t>
                              </w:r>
                            </w:p>
                          </w:txbxContent>
                        </wps:txbx>
                        <wps:bodyPr lIns="0" tIns="0" rIns="0" bIns="0" upright="1"/>
                      </wps:wsp>
                      <wps:wsp>
                        <wps:cNvPr id="6" name="文本框 6"/>
                        <wps:cNvSpPr txBox="1"/>
                        <wps:spPr>
                          <a:xfrm>
                            <a:off x="6320" y="14050"/>
                            <a:ext cx="7920" cy="468"/>
                          </a:xfrm>
                          <a:prstGeom prst="rect">
                            <a:avLst/>
                          </a:prstGeom>
                          <a:solidFill>
                            <a:srgbClr val="FFFFFF"/>
                          </a:solidFill>
                          <a:ln>
                            <a:noFill/>
                          </a:ln>
                        </wps:spPr>
                        <wps:txbx>
                          <w:txbxContent>
                            <w:p w14:paraId="499D6209">
                              <w:pPr>
                                <w:pStyle w:val="535"/>
                                <w:jc w:val="distribute"/>
                                <w:rPr>
                                  <w:szCs w:val="28"/>
                                </w:rPr>
                              </w:pPr>
                              <w:r>
                                <w:rPr>
                                  <w:rFonts w:hint="eastAsia"/>
                                  <w:szCs w:val="28"/>
                                </w:rPr>
                                <w:t>××××××××××××</w:t>
                              </w:r>
                            </w:p>
                          </w:txbxContent>
                        </wps:txbx>
                        <wps:bodyPr lIns="0" tIns="0" rIns="0" bIns="0" upright="1"/>
                      </wps:wsp>
                      <wps:wsp>
                        <wps:cNvPr id="7" name="文本框 7"/>
                        <wps:cNvSpPr txBox="1"/>
                        <wps:spPr>
                          <a:xfrm>
                            <a:off x="6320" y="14518"/>
                            <a:ext cx="7920" cy="468"/>
                          </a:xfrm>
                          <a:prstGeom prst="rect">
                            <a:avLst/>
                          </a:prstGeom>
                          <a:solidFill>
                            <a:srgbClr val="FFFFFF"/>
                          </a:solidFill>
                          <a:ln>
                            <a:noFill/>
                          </a:ln>
                        </wps:spPr>
                        <wps:txbx>
                          <w:txbxContent>
                            <w:p w14:paraId="271378B5">
                              <w:pPr>
                                <w:pStyle w:val="258"/>
                                <w:tabs>
                                  <w:tab w:val="center" w:pos="4201"/>
                                  <w:tab w:val="right" w:leader="dot" w:pos="9298"/>
                                </w:tabs>
                                <w:ind w:left="420" w:firstLine="0" w:firstLineChars="0"/>
                                <w:jc w:val="distribute"/>
                                <w:rPr>
                                  <w:sz w:val="28"/>
                                  <w:szCs w:val="28"/>
                                </w:rPr>
                              </w:pPr>
                              <w:r>
                                <w:rPr>
                                  <w:rFonts w:hint="eastAsia"/>
                                  <w:b/>
                                  <w:spacing w:val="20"/>
                                  <w:w w:val="135"/>
                                  <w:sz w:val="28"/>
                                  <w:szCs w:val="28"/>
                                </w:rPr>
                                <w:t>国 家 标 准 化 管 理 委 员 会</w:t>
                              </w:r>
                            </w:p>
                            <w:p w14:paraId="310A805C"/>
                          </w:txbxContent>
                        </wps:txbx>
                        <wps:bodyPr lIns="0" tIns="0" rIns="0" bIns="0" upright="1"/>
                      </wps:wsp>
                      <wps:wsp>
                        <wps:cNvPr id="8" name="直接连接符 8"/>
                        <wps:cNvCnPr/>
                        <wps:spPr>
                          <a:xfrm>
                            <a:off x="6035" y="13916"/>
                            <a:ext cx="9640" cy="0"/>
                          </a:xfrm>
                          <a:prstGeom prst="line">
                            <a:avLst/>
                          </a:prstGeom>
                          <a:ln w="19050" cap="flat" cmpd="sng">
                            <a:solidFill>
                              <a:srgbClr val="080000"/>
                            </a:solidFill>
                            <a:prstDash val="solid"/>
                            <a:headEnd type="none" w="med" len="med"/>
                            <a:tailEnd type="none" w="med" len="med"/>
                          </a:ln>
                        </wps:spPr>
                        <wps:bodyPr/>
                      </wps:wsp>
                      <wps:wsp>
                        <wps:cNvPr id="9" name="文本框 9"/>
                        <wps:cNvSpPr txBox="1"/>
                        <wps:spPr>
                          <a:xfrm>
                            <a:off x="14400" y="14203"/>
                            <a:ext cx="1433" cy="600"/>
                          </a:xfrm>
                          <a:prstGeom prst="rect">
                            <a:avLst/>
                          </a:prstGeom>
                          <a:noFill/>
                          <a:ln>
                            <a:noFill/>
                          </a:ln>
                        </wps:spPr>
                        <wps:txbx>
                          <w:txbxContent>
                            <w:p w14:paraId="29C2F25E">
                              <w:pPr>
                                <w:rPr>
                                  <w:rFonts w:ascii="黑体" w:hAnsi="黑体" w:eastAsia="黑体" w:cs="黑体"/>
                                  <w:b/>
                                  <w:bCs/>
                                  <w:sz w:val="28"/>
                                  <w:szCs w:val="28"/>
                                </w:rPr>
                              </w:pPr>
                              <w:r>
                                <w:rPr>
                                  <w:rFonts w:hint="eastAsia" w:ascii="黑体" w:hAnsi="黑体" w:eastAsia="黑体" w:cs="黑体"/>
                                  <w:b/>
                                  <w:bCs/>
                                  <w:sz w:val="28"/>
                                  <w:szCs w:val="28"/>
                                </w:rPr>
                                <w:t>发布</w:t>
                              </w:r>
                            </w:p>
                          </w:txbxContent>
                        </wps:txbx>
                        <wps:bodyPr lIns="67666" tIns="33833" rIns="67666" bIns="33833" upright="1"/>
                      </wps:wsp>
                    </wpg:wgp>
                  </a:graphicData>
                </a:graphic>
              </wp:anchor>
            </w:drawing>
          </mc:Choice>
          <mc:Fallback>
            <w:pict>
              <v:group id="_x0000_s1026" o:spid="_x0000_s1026" o:spt="203" style="position:absolute;left:0pt;margin-top:649.05pt;height:78.7pt;width:489.85pt;mso-position-horizontal:center;mso-position-horizontal-relative:margin;z-index:251667456;mso-width-relative:page;mso-height-relative:page;" coordorigin="6035,13426" coordsize="9797,1574" o:gfxdata="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BTP0pv2gAAAAoBAAAPAAAAAAAAAAEAIAAAACIAAABkcnMv&#10;ZG93bnJldi54bWxQSwECFAAUAAAACACHTuJA/U9CcskDAAAvDwAADgAAAAAAAAABACAAAAApAQAA&#10;ZHJzL2Uyb0RvYy54bWxQSwUGAAAAAAYABgBZAQAAZAcAAAAA&#10;">
                <o:lock v:ext="edit" aspectratio="f"/>
                <v:rect id="_x0000_s1026" o:spid="_x0000_s1026" o:spt="1" style="position:absolute;left:9871;top:14520;height:480;width:2000;" fillcolor="#FFFFFF" filled="t" stroked="f" coordsize="21600,21600" o:gfxdata="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0kXOvQAA&#10;ANo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202" type="#_x0000_t202" style="position:absolute;left:6140;top:13426;height:492;width:3180;" fillcolor="#FFFFFF" filled="t" stroked="f" coordsize="21600,21600" o:gfxdata="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ud7yvQAA&#10;ANo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0C38A15F">
                        <w:pPr>
                          <w:pStyle w:val="264"/>
                          <w:adjustRightInd w:val="0"/>
                          <w:snapToGrid w:val="0"/>
                          <w:spacing w:before="143" w:after="143"/>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××发布</w:t>
                        </w:r>
                      </w:p>
                    </w:txbxContent>
                  </v:textbox>
                </v:shape>
                <v:shape id="_x0000_s1026" o:spid="_x0000_s1026" o:spt="202" type="#_x0000_t202" style="position:absolute;left:12440;top:13426;height:492;width:3180;" fillcolor="#FFFFFF" filled="t" stroked="f" coordsize="21600,21600" o:gfxdata="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9XtpvQAA&#10;ANo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78C36359">
                        <w:pPr>
                          <w:pStyle w:val="291"/>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××实施</w:t>
                        </w:r>
                      </w:p>
                    </w:txbxContent>
                  </v:textbox>
                </v:shape>
                <v:shape id="_x0000_s1026" o:spid="_x0000_s1026" o:spt="202" type="#_x0000_t202" style="position:absolute;left:6320;top:14050;height:468;width:7920;" fillcolor="#FFFFFF" filled="t" stroked="f" coordsize="21600,21600" o:gfxdata="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CflHrgAAADaAAAA&#10;DwAAAAAAAAABACAAAAAiAAAAZHJzL2Rvd25yZXYueG1sUEsBAhQAFAAAAAgAh07iQDMvBZ47AAAA&#10;OQAAABAAAAAAAAAAAQAgAAAABwEAAGRycy9zaGFwZXhtbC54bWxQSwUGAAAAAAYABgBbAQAAsQMA&#10;AAAA&#10;">
                  <v:fill on="t" focussize="0,0"/>
                  <v:stroke on="f"/>
                  <v:imagedata o:title=""/>
                  <o:lock v:ext="edit" aspectratio="f"/>
                  <v:textbox inset="0mm,0mm,0mm,0mm">
                    <w:txbxContent>
                      <w:p w14:paraId="499D6209">
                        <w:pPr>
                          <w:pStyle w:val="535"/>
                          <w:jc w:val="distribute"/>
                          <w:rPr>
                            <w:szCs w:val="28"/>
                          </w:rPr>
                        </w:pPr>
                        <w:r>
                          <w:rPr>
                            <w:rFonts w:hint="eastAsia"/>
                            <w:szCs w:val="28"/>
                          </w:rPr>
                          <w:t>××××××××××××</w:t>
                        </w:r>
                      </w:p>
                    </w:txbxContent>
                  </v:textbox>
                </v:shape>
                <v:shape id="_x0000_s1026" o:spid="_x0000_s1026" o:spt="202" type="#_x0000_t202" style="position:absolute;left:6320;top:14518;height:468;width:7920;" fillcolor="#FFFFFF" filled="t" stroked="f" coordsize="21600,21600" o:gfxdata="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a0CFvQAA&#10;ANo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271378B5">
                        <w:pPr>
                          <w:pStyle w:val="258"/>
                          <w:tabs>
                            <w:tab w:val="center" w:pos="4201"/>
                            <w:tab w:val="right" w:leader="dot" w:pos="9298"/>
                          </w:tabs>
                          <w:ind w:left="420" w:firstLine="0" w:firstLineChars="0"/>
                          <w:jc w:val="distribute"/>
                          <w:rPr>
                            <w:sz w:val="28"/>
                            <w:szCs w:val="28"/>
                          </w:rPr>
                        </w:pPr>
                        <w:r>
                          <w:rPr>
                            <w:rFonts w:hint="eastAsia"/>
                            <w:b/>
                            <w:spacing w:val="20"/>
                            <w:w w:val="135"/>
                            <w:sz w:val="28"/>
                            <w:szCs w:val="28"/>
                          </w:rPr>
                          <w:t>国 家 标 准 化 管 理 委 员 会</w:t>
                        </w:r>
                      </w:p>
                      <w:p w14:paraId="310A805C"/>
                    </w:txbxContent>
                  </v:textbox>
                </v:shape>
                <v:line id="_x0000_s1026" o:spid="_x0000_s1026" o:spt="20" style="position:absolute;left:6035;top:13916;height:0;width:9640;" filled="f" stroked="t" coordsize="21600,21600" o:gfxdata="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xrkitwAAANoAAAAP&#10;AAAAAAAAAAEAIAAAACIAAABkcnMvZG93bnJldi54bWxQSwECFAAUAAAACACHTuJAMy8FnjsAAAA5&#10;AAAAEAAAAAAAAAABACAAAAAGAQAAZHJzL3NoYXBleG1sLnhtbFBLBQYAAAAABgAGAFsBAACwAwAA&#10;AAA=&#10;">
                  <v:fill on="f" focussize="0,0"/>
                  <v:stroke weight="1.5pt" color="#080000" joinstyle="round"/>
                  <v:imagedata o:title=""/>
                  <o:lock v:ext="edit" aspectratio="f"/>
                </v:line>
                <v:shape id="_x0000_s1026" o:spid="_x0000_s1026" o:spt="202" type="#_x0000_t202" style="position:absolute;left:14400;top:14203;height:600;width:1433;" filled="f" stroked="f" coordsize="21600,21600" o:gfxdata="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2M0TL4A&#10;AADaAAAADwAAAAAAAAABACAAAAAiAAAAZHJzL2Rvd25yZXYueG1sUEsBAhQAFAAAAAgAh07iQDMv&#10;BZ47AAAAOQAAABAAAAAAAAAAAQAgAAAADQEAAGRycy9zaGFwZXhtbC54bWxQSwUGAAAAAAYABgBb&#10;AQAAtwMAAAAA&#10;">
                  <v:fill on="f" focussize="0,0"/>
                  <v:stroke on="f"/>
                  <v:imagedata o:title=""/>
                  <o:lock v:ext="edit" aspectratio="f"/>
                  <v:textbox inset="5.32803149606299pt,2.6640157480315pt,5.32803149606299pt,2.6640157480315pt">
                    <w:txbxContent>
                      <w:p w14:paraId="29C2F25E">
                        <w:pPr>
                          <w:rPr>
                            <w:rFonts w:ascii="黑体" w:hAnsi="黑体" w:eastAsia="黑体" w:cs="黑体"/>
                            <w:b/>
                            <w:bCs/>
                            <w:sz w:val="28"/>
                            <w:szCs w:val="28"/>
                          </w:rPr>
                        </w:pPr>
                        <w:r>
                          <w:rPr>
                            <w:rFonts w:hint="eastAsia" w:ascii="黑体" w:hAnsi="黑体" w:eastAsia="黑体" w:cs="黑体"/>
                            <w:b/>
                            <w:bCs/>
                            <w:sz w:val="28"/>
                            <w:szCs w:val="28"/>
                          </w:rPr>
                          <w:t>发布</w:t>
                        </w:r>
                      </w:p>
                    </w:txbxContent>
                  </v:textbox>
                </v:shape>
              </v:group>
            </w:pict>
          </mc:Fallback>
        </mc:AlternateContent>
      </w:r>
      <w:r>
        <w:rPr>
          <w:rFonts w:ascii="宋体" w:hAnsi="宋体"/>
        </w:rPr>
        <mc:AlternateContent>
          <mc:Choice Requires="wps">
            <w:drawing>
              <wp:anchor distT="0" distB="0" distL="114300" distR="114300" simplePos="0" relativeHeight="251666432" behindDoc="0" locked="1" layoutInCell="1" allowOverlap="1">
                <wp:simplePos x="0" y="0"/>
                <wp:positionH relativeFrom="margin">
                  <wp:posOffset>-324485</wp:posOffset>
                </wp:positionH>
                <wp:positionV relativeFrom="margin">
                  <wp:posOffset>8736330</wp:posOffset>
                </wp:positionV>
                <wp:extent cx="166370" cy="142875"/>
                <wp:effectExtent l="0" t="0" r="5080" b="9525"/>
                <wp:wrapNone/>
                <wp:docPr id="1" name="文本框 1"/>
                <wp:cNvGraphicFramePr/>
                <a:graphic xmlns:a="http://schemas.openxmlformats.org/drawingml/2006/main">
                  <a:graphicData uri="http://schemas.microsoft.com/office/word/2010/wordprocessingShape">
                    <wps:wsp>
                      <wps:cNvSpPr txBox="1"/>
                      <wps:spPr>
                        <a:xfrm>
                          <a:off x="0" y="0"/>
                          <a:ext cx="166370" cy="142875"/>
                        </a:xfrm>
                        <a:prstGeom prst="rect">
                          <a:avLst/>
                        </a:prstGeom>
                        <a:solidFill>
                          <a:srgbClr val="FFFFFF"/>
                        </a:solidFill>
                        <a:ln>
                          <a:noFill/>
                        </a:ln>
                      </wps:spPr>
                      <wps:txbx>
                        <w:txbxContent>
                          <w:p w14:paraId="03486C08">
                            <w:pPr>
                              <w:pStyle w:val="298"/>
                              <w:rPr>
                                <w:b/>
                              </w:rPr>
                            </w:pPr>
                          </w:p>
                        </w:txbxContent>
                      </wps:txbx>
                      <wps:bodyPr wrap="square" lIns="0" tIns="0" rIns="0" bIns="0" upright="1">
                        <a:noAutofit/>
                      </wps:bodyPr>
                    </wps:wsp>
                  </a:graphicData>
                </a:graphic>
              </wp:anchor>
            </w:drawing>
          </mc:Choice>
          <mc:Fallback>
            <w:pict>
              <v:shape id="_x0000_s1026" o:spid="_x0000_s1026" o:spt="202" type="#_x0000_t202" style="position:absolute;left:0pt;margin-left:-25.55pt;margin-top:687.9pt;height:11.25pt;width:13.1pt;mso-position-horizontal-relative:margin;mso-position-vertical-relative:margin;z-index:251666432;mso-width-relative:page;mso-height-relative:page;" fillcolor="#FFFFFF" filled="t" stroked="f" coordsize="21600,21600" o:gfxdata="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I8qJjbAAAA&#10;DQEAAA8AAAAAAAAAAQAgAAAAIgAAAGRycy9kb3ducmV2LnhtbFBLAQIUABQAAAAIAIdO4kAm07kU&#10;4QEAAMIDAAAOAAAAAAAAAAEAIAAAACoBAABkcnMvZTJvRG9jLnhtbFBLBQYAAAAABgAGAFkBAAB9&#10;BQAAAAA=&#10;">
                <v:fill on="t" focussize="0,0"/>
                <v:stroke on="f"/>
                <v:imagedata o:title=""/>
                <o:lock v:ext="edit" aspectratio="f"/>
                <v:textbox inset="0mm,0mm,0mm,0mm">
                  <w:txbxContent>
                    <w:p w14:paraId="03486C08">
                      <w:pPr>
                        <w:pStyle w:val="298"/>
                        <w:rPr>
                          <w:b/>
                        </w:rPr>
                      </w:pPr>
                    </w:p>
                  </w:txbxContent>
                </v:textbox>
                <w10:anchorlock/>
              </v:shape>
            </w:pict>
          </mc:Fallback>
        </mc:AlternateContent>
      </w:r>
      <w:r>
        <w:rPr>
          <w:rFonts w:ascii="宋体" w:hAnsi="宋体"/>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9pt;height:0pt;width:482pt;z-index:251665408;mso-width-relative:page;mso-height-relative:page;" filled="f" stroked="t" coordsize="21600,21600"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E&#10;or7UAAAACAEAAA8AAAAAAAAAAQAgAAAAIgAAAGRycy9kb3ducmV2LnhtbFBLAQIUABQAAAAIAIdO&#10;4kBU2Lo/7gEAANsDAAAOAAAAAAAAAAEAIAAAACMBAABkcnMvZTJvRG9jLnhtbFBLBQYAAAAABgAG&#10;AFkBAACDBQAAAAA=&#10;">
                <v:fill on="f" focussize="0,0"/>
                <v:stroke weight="1pt" color="#800008" joinstyle="round"/>
                <v:imagedata o:title=""/>
                <o:lock v:ext="edit" aspectratio="f"/>
              </v:line>
            </w:pict>
          </mc:Fallback>
        </mc:AlternateContent>
      </w:r>
      <w:r>
        <w:rPr>
          <w:rFonts w:ascii="宋体" w:hAnsi="宋体"/>
        </w:rPr>
        <mc:AlternateContent>
          <mc:Choice Requires="wps">
            <w:drawing>
              <wp:anchor distT="0" distB="0" distL="114300" distR="114300" simplePos="0" relativeHeight="251664384" behindDoc="0" locked="1" layoutInCell="1" allowOverlap="1">
                <wp:simplePos x="0" y="0"/>
                <wp:positionH relativeFrom="margin">
                  <wp:posOffset>1104900</wp:posOffset>
                </wp:positionH>
                <wp:positionV relativeFrom="margin">
                  <wp:posOffset>8890000</wp:posOffset>
                </wp:positionV>
                <wp:extent cx="3286760" cy="594360"/>
                <wp:effectExtent l="0" t="0" r="8890" b="15240"/>
                <wp:wrapNone/>
                <wp:docPr id="15" name="文本框 15"/>
                <wp:cNvGraphicFramePr/>
                <a:graphic xmlns:a="http://schemas.openxmlformats.org/drawingml/2006/main">
                  <a:graphicData uri="http://schemas.microsoft.com/office/word/2010/wordprocessingShape">
                    <wps:wsp>
                      <wps:cNvSpPr txBox="1"/>
                      <wps:spPr>
                        <a:xfrm>
                          <a:off x="0" y="0"/>
                          <a:ext cx="3286760" cy="594360"/>
                        </a:xfrm>
                        <a:prstGeom prst="rect">
                          <a:avLst/>
                        </a:prstGeom>
                        <a:solidFill>
                          <a:srgbClr val="FFFFFF"/>
                        </a:solidFill>
                        <a:ln>
                          <a:noFill/>
                        </a:ln>
                      </wps:spPr>
                      <wps:txbx>
                        <w:txbxContent>
                          <w:p w14:paraId="41E6B188">
                            <w:pPr>
                              <w:pStyle w:val="535"/>
                            </w:pPr>
                          </w:p>
                        </w:txbxContent>
                      </wps:txbx>
                      <wps:bodyPr wrap="none" lIns="0" tIns="0" rIns="0" bIns="0" upright="1">
                        <a:spAutoFit/>
                      </wps:bodyPr>
                    </wps:wsp>
                  </a:graphicData>
                </a:graphic>
              </wp:anchor>
            </w:drawing>
          </mc:Choice>
          <mc:Fallback>
            <w:pict>
              <v:shape id="_x0000_s1026" o:spid="_x0000_s1026" o:spt="202" type="#_x0000_t202" style="position:absolute;left:0pt;margin-left:87pt;margin-top:700pt;height:46.8pt;width:258.8pt;mso-position-horizontal-relative:margin;mso-position-vertical-relative:margin;mso-wrap-style:none;z-index:251664384;mso-width-relative:page;mso-height-relative:page;" fillcolor="#FFFFFF" filled="t" stroked="f" coordsize="21600,21600" o:gfxdata="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t0O6tkAAAAN&#10;AQAADwAAAAAAAAABACAAAAAiAAAAZHJzL2Rvd25yZXYueG1sUEsBAhQAFAAAAAgAh07iQIfXLb/i&#10;AQAAwwMAAA4AAAAAAAAAAQAgAAAAKAEAAGRycy9lMm9Eb2MueG1sUEsFBgAAAAAGAAYAWQEAAHwF&#10;AAAAAA==&#10;">
                <v:fill on="t" focussize="0,0"/>
                <v:stroke on="f"/>
                <v:imagedata o:title=""/>
                <o:lock v:ext="edit" aspectratio="f"/>
                <v:textbox inset="0mm,0mm,0mm,0mm" style="mso-fit-shape-to-text:t;">
                  <w:txbxContent>
                    <w:p w14:paraId="41E6B188">
                      <w:pPr>
                        <w:pStyle w:val="535"/>
                      </w:pPr>
                    </w:p>
                  </w:txbxContent>
                </v:textbox>
                <w10:anchorlock/>
              </v:shape>
            </w:pict>
          </mc:Fallback>
        </mc:AlternateContent>
      </w:r>
      <w:r>
        <w:rPr>
          <w:rFonts w:ascii="宋体" w:hAnsi="宋体"/>
        </w:rPr>
        <mc:AlternateContent>
          <mc:Choice Requires="wps">
            <w:drawing>
              <wp:anchor distT="0" distB="0" distL="114300" distR="114300" simplePos="0" relativeHeight="251663360" behindDoc="0" locked="1" layoutInCell="1" allowOverlap="1">
                <wp:simplePos x="0" y="0"/>
                <wp:positionH relativeFrom="margin">
                  <wp:align>left</wp:align>
                </wp:positionH>
                <wp:positionV relativeFrom="margin">
                  <wp:posOffset>3634740</wp:posOffset>
                </wp:positionV>
                <wp:extent cx="5969000" cy="4453890"/>
                <wp:effectExtent l="0" t="0" r="0" b="3810"/>
                <wp:wrapNone/>
                <wp:docPr id="18" name="文本框 18"/>
                <wp:cNvGraphicFramePr/>
                <a:graphic xmlns:a="http://schemas.openxmlformats.org/drawingml/2006/main">
                  <a:graphicData uri="http://schemas.microsoft.com/office/word/2010/wordprocessingShape">
                    <wps:wsp>
                      <wps:cNvSpPr txBox="1"/>
                      <wps:spPr>
                        <a:xfrm>
                          <a:off x="0" y="0"/>
                          <a:ext cx="5969000" cy="4453890"/>
                        </a:xfrm>
                        <a:prstGeom prst="rect">
                          <a:avLst/>
                        </a:prstGeom>
                        <a:solidFill>
                          <a:srgbClr val="FFFFFF"/>
                        </a:solidFill>
                        <a:ln>
                          <a:noFill/>
                        </a:ln>
                      </wps:spPr>
                      <wps:txbx>
                        <w:txbxContent>
                          <w:p w14:paraId="0176B90C">
                            <w:pPr>
                              <w:pStyle w:val="271"/>
                              <w:rPr>
                                <w:sz w:val="52"/>
                              </w:rPr>
                            </w:pPr>
                            <w:r>
                              <w:rPr>
                                <w:rFonts w:hint="eastAsia"/>
                                <w:sz w:val="52"/>
                              </w:rPr>
                              <w:t>含硫化氢天然气井安全防护规范</w:t>
                            </w:r>
                          </w:p>
                          <w:p w14:paraId="42A5B596">
                            <w:pPr>
                              <w:pStyle w:val="271"/>
                              <w:spacing w:before="440"/>
                            </w:pPr>
                            <w:r>
                              <w:rPr>
                                <w:rFonts w:ascii="Times New Roman"/>
                                <w:b/>
                              </w:rPr>
                              <w:t>Safety protection specification for natural gas well containing hydrogen sulfide</w:t>
                            </w:r>
                          </w:p>
                          <w:p w14:paraId="6A34061F">
                            <w:pPr>
                              <w:pStyle w:val="272"/>
                            </w:pPr>
                            <w:r>
                              <w:rPr>
                                <w:rFonts w:hint="eastAsia"/>
                              </w:rPr>
                              <w:t>(征求意见稿)</w:t>
                            </w:r>
                          </w:p>
                          <w:p w14:paraId="68DBB544">
                            <w:pPr>
                              <w:pStyle w:val="269"/>
                            </w:pPr>
                          </w:p>
                        </w:txbxContent>
                      </wps:txbx>
                      <wps:bodyPr lIns="0" tIns="0" rIns="0" bIns="0" upright="1">
                        <a:noAutofit/>
                      </wps:bodyPr>
                    </wps:wsp>
                  </a:graphicData>
                </a:graphic>
              </wp:anchor>
            </w:drawing>
          </mc:Choice>
          <mc:Fallback>
            <w:pict>
              <v:shape id="_x0000_s1026" o:spid="_x0000_s1026" o:spt="202" type="#_x0000_t202" style="position:absolute;left:0pt;margin-top:286.2pt;height:350.7pt;width:470pt;mso-position-horizontal:left;mso-position-horizontal-relative:margin;mso-position-vertical-relative:margin;z-index:251663360;mso-width-relative:page;mso-height-relative:page;" fillcolor="#FFFFFF" filled="t" stroked="f" coordsize="21600,21600" o:gfxdata="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5+UpbYAAAACQEAAA8A&#10;AAAAAAAAAQAgAAAAIgAAAGRycy9kb3ducmV2LnhtbFBLAQIUABQAAAAIAIdO4kCyGaAM3gEAALgD&#10;AAAOAAAAAAAAAAEAIAAAACcBAABkcnMvZTJvRG9jLnhtbFBLBQYAAAAABgAGAFkBAAB3BQAAAAA=&#10;">
                <v:fill on="t" focussize="0,0"/>
                <v:stroke on="f"/>
                <v:imagedata o:title=""/>
                <o:lock v:ext="edit" aspectratio="f"/>
                <v:textbox inset="0mm,0mm,0mm,0mm">
                  <w:txbxContent>
                    <w:p w14:paraId="0176B90C">
                      <w:pPr>
                        <w:pStyle w:val="271"/>
                        <w:rPr>
                          <w:sz w:val="52"/>
                        </w:rPr>
                      </w:pPr>
                      <w:r>
                        <w:rPr>
                          <w:rFonts w:hint="eastAsia"/>
                          <w:sz w:val="52"/>
                        </w:rPr>
                        <w:t>含硫化氢天然气井安全防护规范</w:t>
                      </w:r>
                    </w:p>
                    <w:p w14:paraId="42A5B596">
                      <w:pPr>
                        <w:pStyle w:val="271"/>
                        <w:spacing w:before="440"/>
                      </w:pPr>
                      <w:r>
                        <w:rPr>
                          <w:rFonts w:ascii="Times New Roman"/>
                          <w:b/>
                        </w:rPr>
                        <w:t>Safety protection specification for natural gas well containing hydrogen sulfide</w:t>
                      </w:r>
                    </w:p>
                    <w:p w14:paraId="6A34061F">
                      <w:pPr>
                        <w:pStyle w:val="272"/>
                      </w:pPr>
                      <w:r>
                        <w:rPr>
                          <w:rFonts w:hint="eastAsia"/>
                        </w:rPr>
                        <w:t>(征求意见稿)</w:t>
                      </w:r>
                    </w:p>
                    <w:p w14:paraId="68DBB544">
                      <w:pPr>
                        <w:pStyle w:val="269"/>
                      </w:pPr>
                    </w:p>
                  </w:txbxContent>
                </v:textbox>
                <w10:anchorlock/>
              </v:shape>
            </w:pict>
          </mc:Fallback>
        </mc:AlternateContent>
      </w:r>
      <w:r>
        <w:rPr>
          <w:rFonts w:ascii="宋体" w:hAnsi="宋体"/>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1510665</wp:posOffset>
                </wp:positionV>
                <wp:extent cx="5820410" cy="751205"/>
                <wp:effectExtent l="0" t="0" r="8890" b="10795"/>
                <wp:wrapNone/>
                <wp:docPr id="21" name="文本框 21"/>
                <wp:cNvGraphicFramePr/>
                <a:graphic xmlns:a="http://schemas.openxmlformats.org/drawingml/2006/main">
                  <a:graphicData uri="http://schemas.microsoft.com/office/word/2010/wordprocessingShape">
                    <wps:wsp>
                      <wps:cNvSpPr txBox="1"/>
                      <wps:spPr>
                        <a:xfrm>
                          <a:off x="0" y="0"/>
                          <a:ext cx="5820410" cy="751205"/>
                        </a:xfrm>
                        <a:prstGeom prst="rect">
                          <a:avLst/>
                        </a:prstGeom>
                        <a:solidFill>
                          <a:srgbClr val="FFFFFF"/>
                        </a:solidFill>
                        <a:ln>
                          <a:noFill/>
                        </a:ln>
                      </wps:spPr>
                      <wps:txbx>
                        <w:txbxContent>
                          <w:p w14:paraId="757CBE5E">
                            <w:pPr>
                              <w:pStyle w:val="266"/>
                              <w:rPr>
                                <w:color w:val="FF0000"/>
                              </w:rPr>
                            </w:pPr>
                            <w:r>
                              <w:rPr>
                                <w:b/>
                              </w:rPr>
                              <w:t>GB</w:t>
                            </w:r>
                            <w:r>
                              <w:rPr>
                                <w:rFonts w:hAnsi="黑体"/>
                              </w:rPr>
                              <w:t xml:space="preserve"> </w:t>
                            </w:r>
                            <w:r>
                              <w:rPr>
                                <w:rFonts w:hint="eastAsia" w:hAnsi="黑体"/>
                              </w:rPr>
                              <w:t>××××</w:t>
                            </w:r>
                            <w:r>
                              <w:t>—</w:t>
                            </w:r>
                            <w:r>
                              <w:rPr>
                                <w:rFonts w:hint="eastAsia" w:hAnsi="黑体"/>
                              </w:rPr>
                              <w:t>××××</w:t>
                            </w:r>
                          </w:p>
                        </w:txbxContent>
                      </wps:txbx>
                      <wps:bodyPr lIns="0" tIns="0" rIns="0" bIns="0" upright="1"/>
                    </wps:wsp>
                  </a:graphicData>
                </a:graphic>
              </wp:anchor>
            </w:drawing>
          </mc:Choice>
          <mc:Fallback>
            <w:pict>
              <v:shape id="_x0000_s1026" o:spid="_x0000_s1026" o:spt="202" type="#_x0000_t202" style="position:absolute;left:0pt;margin-left:0pt;margin-top:118.95pt;height:59.15pt;width:458.3pt;mso-position-horizontal-relative:margin;mso-position-vertical-relative:margin;z-index:251662336;mso-width-relative:page;mso-height-relative:page;" fillcolor="#FFFFFF" filled="t" stroked="f" coordsize="21600,21600" o:gfxdata="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Xlr99gAAAAIAQAADwAAAAAAAAABACAAAAAiAAAA&#10;ZHJzL2Rvd25yZXYueG1sUEsBAhQAFAAAAAgAh07iQK3YFarOAQAAnQMAAA4AAAAAAAAAAQAgAAAA&#10;JwEAAGRycy9lMm9Eb2MueG1sUEsFBgAAAAAGAAYAWQEAAGcFAAAAAA==&#10;">
                <v:fill on="t" focussize="0,0"/>
                <v:stroke on="f"/>
                <v:imagedata o:title=""/>
                <o:lock v:ext="edit" aspectratio="f"/>
                <v:textbox inset="0mm,0mm,0mm,0mm">
                  <w:txbxContent>
                    <w:p w14:paraId="757CBE5E">
                      <w:pPr>
                        <w:pStyle w:val="266"/>
                        <w:rPr>
                          <w:color w:val="FF0000"/>
                        </w:rPr>
                      </w:pPr>
                      <w:r>
                        <w:rPr>
                          <w:b/>
                        </w:rPr>
                        <w:t>GB</w:t>
                      </w:r>
                      <w:r>
                        <w:rPr>
                          <w:rFonts w:hAnsi="黑体"/>
                        </w:rPr>
                        <w:t xml:space="preserve"> </w:t>
                      </w:r>
                      <w:r>
                        <w:rPr>
                          <w:rFonts w:hint="eastAsia" w:hAnsi="黑体"/>
                        </w:rPr>
                        <w:t>××××</w:t>
                      </w:r>
                      <w:r>
                        <w:t>—</w:t>
                      </w:r>
                      <w:r>
                        <w:rPr>
                          <w:rFonts w:hint="eastAsia" w:hAnsi="黑体"/>
                        </w:rPr>
                        <w:t>××××</w:t>
                      </w:r>
                    </w:p>
                  </w:txbxContent>
                </v:textbox>
                <w10:anchorlock/>
              </v:shape>
            </w:pict>
          </mc:Fallback>
        </mc:AlternateContent>
      </w:r>
      <w:r>
        <w:rPr>
          <w:rFonts w:ascii="宋体" w:hAnsi="宋体"/>
        </w:rPr>
        <w:drawing>
          <wp:anchor distT="0" distB="0" distL="114300" distR="114300" simplePos="0" relativeHeight="251661312" behindDoc="0" locked="1" layoutInCell="1" allowOverlap="1">
            <wp:simplePos x="0" y="0"/>
            <wp:positionH relativeFrom="margin">
              <wp:posOffset>4284345</wp:posOffset>
            </wp:positionH>
            <wp:positionV relativeFrom="margin">
              <wp:posOffset>107315</wp:posOffset>
            </wp:positionV>
            <wp:extent cx="1403350" cy="720090"/>
            <wp:effectExtent l="0" t="0" r="6350" b="3810"/>
            <wp:wrapNone/>
            <wp:docPr id="19" name="HBPicture" descr="GB"/>
            <wp:cNvGraphicFramePr/>
            <a:graphic xmlns:a="http://schemas.openxmlformats.org/drawingml/2006/main">
              <a:graphicData uri="http://schemas.openxmlformats.org/drawingml/2006/picture">
                <pic:pic xmlns:pic="http://schemas.openxmlformats.org/drawingml/2006/picture">
                  <pic:nvPicPr>
                    <pic:cNvPr id="19" name="HBPicture" descr="GB"/>
                    <pic:cNvPicPr/>
                  </pic:nvPicPr>
                  <pic:blipFill>
                    <a:blip r:embed="rId21"/>
                    <a:stretch>
                      <a:fillRect/>
                    </a:stretch>
                  </pic:blipFill>
                  <pic:spPr>
                    <a:xfrm>
                      <a:off x="0" y="0"/>
                      <a:ext cx="1403350" cy="720090"/>
                    </a:xfrm>
                    <a:prstGeom prst="rect">
                      <a:avLst/>
                    </a:prstGeom>
                    <a:noFill/>
                    <a:ln>
                      <a:noFill/>
                    </a:ln>
                  </pic:spPr>
                </pic:pic>
              </a:graphicData>
            </a:graphic>
          </wp:anchor>
        </w:drawing>
      </w:r>
      <w:r>
        <w:rPr>
          <w:rFonts w:ascii="宋体" w:hAnsi="宋体"/>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16" name="文本框 16"/>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110DCA39">
                            <w:pPr>
                              <w:pStyle w:val="536"/>
                            </w:pPr>
                            <w:r>
                              <w:rPr>
                                <w:rFonts w:hint="eastAsia"/>
                              </w:rPr>
                              <w:t>中华人民共和国国家标准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g5HBdcAAAAIAQAADwAAAAAAAAABACAAAAAiAAAA&#10;ZHJzL2Rvd25yZXYueG1sUEsBAhQAFAAAAAgAh07iQIsC8vDPAQAAnQMAAA4AAAAAAAAAAQAgAAAA&#10;JgEAAGRycy9lMm9Eb2MueG1sUEsFBgAAAAAGAAYAWQEAAGcFAAAAAA==&#10;">
                <v:fill on="t" focussize="0,0"/>
                <v:stroke on="f"/>
                <v:imagedata o:title=""/>
                <o:lock v:ext="edit" aspectratio="f"/>
                <v:textbox inset="0mm,0mm,0mm,0mm">
                  <w:txbxContent>
                    <w:p w14:paraId="110DCA39">
                      <w:pPr>
                        <w:pStyle w:val="536"/>
                      </w:pPr>
                      <w:r>
                        <w:rPr>
                          <w:rFonts w:hint="eastAsia"/>
                        </w:rPr>
                        <w:t>中华人民共和国国家标准</w:t>
                      </w:r>
                    </w:p>
                  </w:txbxContent>
                </v:textbox>
                <w10:anchorlock/>
              </v:shape>
            </w:pict>
          </mc:Fallback>
        </mc:AlternateContent>
      </w:r>
      <w:r>
        <w:rPr>
          <w:rFonts w:ascii="宋体" w:hAnsi="宋体"/>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top</wp:align>
                </wp:positionV>
                <wp:extent cx="1167130" cy="40767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167130" cy="407963"/>
                        </a:xfrm>
                        <a:prstGeom prst="rect">
                          <a:avLst/>
                        </a:prstGeom>
                        <a:solidFill>
                          <a:srgbClr val="FFFFFF"/>
                        </a:solidFill>
                        <a:ln>
                          <a:noFill/>
                        </a:ln>
                      </wps:spPr>
                      <wps:txbx>
                        <w:txbxContent>
                          <w:p w14:paraId="628A4A82">
                            <w:pPr>
                              <w:rPr>
                                <w:b/>
                                <w:bCs/>
                              </w:rPr>
                            </w:pPr>
                            <w:r>
                              <w:rPr>
                                <w:b/>
                                <w:bCs/>
                              </w:rPr>
                              <w:t>ICS 1</w:t>
                            </w:r>
                            <w:r>
                              <w:rPr>
                                <w:rFonts w:hint="eastAsia"/>
                                <w:b/>
                                <w:bCs/>
                              </w:rPr>
                              <w:t>3</w:t>
                            </w:r>
                            <w:r>
                              <w:rPr>
                                <w:b/>
                                <w:bCs/>
                              </w:rPr>
                              <w:t>.2</w:t>
                            </w:r>
                            <w:r>
                              <w:rPr>
                                <w:rFonts w:hint="eastAsia"/>
                                <w:b/>
                                <w:bCs/>
                              </w:rPr>
                              <w:t>0</w:t>
                            </w:r>
                            <w:r>
                              <w:rPr>
                                <w:b/>
                                <w:bCs/>
                              </w:rPr>
                              <w:t>0</w:t>
                            </w:r>
                          </w:p>
                          <w:p w14:paraId="6E59575B">
                            <w:pPr>
                              <w:pStyle w:val="298"/>
                              <w:rPr>
                                <w:b/>
                              </w:rPr>
                            </w:pPr>
                            <w:r>
                              <w:rPr>
                                <w:b/>
                              </w:rPr>
                              <w:t xml:space="preserve">CCS </w:t>
                            </w:r>
                            <w:r>
                              <w:rPr>
                                <w:rFonts w:hint="eastAsia"/>
                                <w:b/>
                              </w:rPr>
                              <w:t>E</w:t>
                            </w:r>
                            <w:r>
                              <w:rPr>
                                <w:b/>
                              </w:rPr>
                              <w:t>0</w:t>
                            </w:r>
                            <w:r>
                              <w:rPr>
                                <w:rFonts w:hint="eastAsia"/>
                                <w:b/>
                              </w:rPr>
                              <w:t>9</w:t>
                            </w:r>
                          </w:p>
                        </w:txbxContent>
                      </wps:txbx>
                      <wps:bodyPr wrap="square" lIns="0" tIns="0" rIns="0" bIns="0" upright="1">
                        <a:noAutofit/>
                      </wps:bodyPr>
                    </wps:wsp>
                  </a:graphicData>
                </a:graphic>
              </wp:anchor>
            </w:drawing>
          </mc:Choice>
          <mc:Fallback>
            <w:pict>
              <v:shape id="_x0000_s1026" o:spid="_x0000_s1026" o:spt="202" type="#_x0000_t202" style="position:absolute;left:0pt;height:32.1pt;width:91.9pt;mso-position-horizontal:left;mso-position-horizontal-relative:margin;mso-position-vertical:top;mso-position-vertical-relative:margin;z-index:251659264;mso-width-relative:page;mso-height-relative:page;" fillcolor="#FFFFFF" filled="t" stroked="f" coordsize="21600,21600" o:gfxdata="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mBEer0wAAAAQBAAAP&#10;AAAAAAAAAAEAIAAAACIAAABkcnMvZG93bnJldi54bWxQSwECFAAUAAAACACHTuJAzA/cpeQBAADF&#10;AwAADgAAAAAAAAABACAAAAAiAQAAZHJzL2Uyb0RvYy54bWxQSwUGAAAAAAYABgBZAQAAeAUAAAAA&#10;">
                <v:fill on="t" focussize="0,0"/>
                <v:stroke on="f"/>
                <v:imagedata o:title=""/>
                <o:lock v:ext="edit" aspectratio="f"/>
                <v:textbox inset="0mm,0mm,0mm,0mm">
                  <w:txbxContent>
                    <w:p w14:paraId="628A4A82">
                      <w:pPr>
                        <w:rPr>
                          <w:b/>
                          <w:bCs/>
                        </w:rPr>
                      </w:pPr>
                      <w:r>
                        <w:rPr>
                          <w:b/>
                          <w:bCs/>
                        </w:rPr>
                        <w:t>ICS 1</w:t>
                      </w:r>
                      <w:r>
                        <w:rPr>
                          <w:rFonts w:hint="eastAsia"/>
                          <w:b/>
                          <w:bCs/>
                        </w:rPr>
                        <w:t>3</w:t>
                      </w:r>
                      <w:r>
                        <w:rPr>
                          <w:b/>
                          <w:bCs/>
                        </w:rPr>
                        <w:t>.2</w:t>
                      </w:r>
                      <w:r>
                        <w:rPr>
                          <w:rFonts w:hint="eastAsia"/>
                          <w:b/>
                          <w:bCs/>
                        </w:rPr>
                        <w:t>0</w:t>
                      </w:r>
                      <w:r>
                        <w:rPr>
                          <w:b/>
                          <w:bCs/>
                        </w:rPr>
                        <w:t>0</w:t>
                      </w:r>
                    </w:p>
                    <w:p w14:paraId="6E59575B">
                      <w:pPr>
                        <w:pStyle w:val="298"/>
                        <w:rPr>
                          <w:b/>
                        </w:rPr>
                      </w:pPr>
                      <w:r>
                        <w:rPr>
                          <w:b/>
                        </w:rPr>
                        <w:t xml:space="preserve">CCS </w:t>
                      </w:r>
                      <w:r>
                        <w:rPr>
                          <w:rFonts w:hint="eastAsia"/>
                          <w:b/>
                        </w:rPr>
                        <w:t>E</w:t>
                      </w:r>
                      <w:r>
                        <w:rPr>
                          <w:b/>
                        </w:rPr>
                        <w:t>0</w:t>
                      </w:r>
                      <w:r>
                        <w:rPr>
                          <w:rFonts w:hint="eastAsia"/>
                          <w:b/>
                        </w:rPr>
                        <w:t>9</w:t>
                      </w:r>
                    </w:p>
                  </w:txbxContent>
                </v:textbox>
                <w10:anchorlock/>
              </v:shape>
            </w:pict>
          </mc:Fallback>
        </mc:AlternateContent>
      </w:r>
      <w:bookmarkEnd w:id="0"/>
      <w:bookmarkStart w:id="1" w:name="标准目次"/>
      <w:bookmarkEnd w:id="1"/>
      <w:bookmarkStart w:id="2" w:name="标准目次内容"/>
      <w:r>
        <w:rPr>
          <w:rFonts w:hAnsi="宋体"/>
        </w:rPr>
        <w:br w:type="page"/>
      </w:r>
    </w:p>
    <w:p w14:paraId="2265C58A">
      <w:pPr>
        <w:pStyle w:val="273"/>
        <w:jc w:val="center"/>
        <w:rPr>
          <w:rFonts w:ascii="黑体" w:hAnsi="黑体" w:eastAsia="黑体"/>
          <w:sz w:val="32"/>
          <w:szCs w:val="32"/>
        </w:rPr>
      </w:pPr>
      <w:r>
        <w:rPr>
          <w:rFonts w:ascii="黑体" w:hAnsi="黑体" w:eastAsia="黑体"/>
          <w:sz w:val="32"/>
          <w:szCs w:val="32"/>
        </w:rPr>
        <w:t>目    次</w:t>
      </w:r>
    </w:p>
    <w:p w14:paraId="3798606E">
      <w:pPr>
        <w:pStyle w:val="19"/>
        <w:tabs>
          <w:tab w:val="right" w:leader="dot" w:pos="9345"/>
        </w:tabs>
        <w:spacing w:before="71" w:after="71"/>
        <w:rPr>
          <w:rFonts w:asciiTheme="minorHAnsi" w:hAnsiTheme="minorHAnsi" w:eastAsiaTheme="minorEastAsia" w:cstheme="minorBidi"/>
          <w:szCs w:val="22"/>
        </w:rPr>
      </w:pPr>
      <w:r>
        <w:rPr>
          <w:rFonts w:hAnsi="宋体"/>
        </w:rPr>
        <w:fldChar w:fldCharType="begin"/>
      </w:r>
      <w:r>
        <w:rPr>
          <w:rFonts w:hAnsi="宋体"/>
        </w:rPr>
        <w:instrText xml:space="preserve">TOC \o "1-3" \h</w:instrText>
      </w:r>
      <w:r>
        <w:rPr>
          <w:rFonts w:hAnsi="宋体"/>
        </w:rPr>
        <w:fldChar w:fldCharType="separate"/>
      </w:r>
      <w:r>
        <w:fldChar w:fldCharType="begin"/>
      </w:r>
      <w:r>
        <w:instrText xml:space="preserve"> HYPERLINK \l "_Toc196682317" </w:instrText>
      </w:r>
      <w:r>
        <w:fldChar w:fldCharType="separate"/>
      </w:r>
      <w:r>
        <w:rPr>
          <w:rStyle w:val="242"/>
          <w:rFonts w:ascii="宋体" w:hAnsi="宋体"/>
        </w:rPr>
        <w:t>前    言</w:t>
      </w:r>
      <w:r>
        <w:tab/>
      </w:r>
      <w:r>
        <w:fldChar w:fldCharType="begin"/>
      </w:r>
      <w:r>
        <w:instrText xml:space="preserve"> PAGEREF _Toc196682317 \h </w:instrText>
      </w:r>
      <w:r>
        <w:fldChar w:fldCharType="separate"/>
      </w:r>
      <w:r>
        <w:t>II</w:t>
      </w:r>
      <w:r>
        <w:fldChar w:fldCharType="end"/>
      </w:r>
      <w:r>
        <w:fldChar w:fldCharType="end"/>
      </w:r>
    </w:p>
    <w:p w14:paraId="6BB822EA">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"_Toc196682318" </w:instrText>
      </w:r>
      <w:r>
        <w:fldChar w:fldCharType="separate"/>
      </w:r>
      <w:r>
        <w:rPr>
          <w:rStyle w:val="242"/>
        </w:rPr>
        <w:t>1</w:t>
      </w:r>
      <w:r>
        <w:rPr>
          <w:rStyle w:val="242"/>
          <w:rFonts w:ascii="宋体" w:hAnsi="宋体"/>
        </w:rPr>
        <w:t xml:space="preserve"> 范围</w:t>
      </w:r>
      <w:r>
        <w:tab/>
      </w:r>
      <w:r>
        <w:fldChar w:fldCharType="begin"/>
      </w:r>
      <w:r>
        <w:instrText xml:space="preserve"> PAGEREF _Toc196682318 \h </w:instrText>
      </w:r>
      <w:r>
        <w:fldChar w:fldCharType="separate"/>
      </w:r>
      <w:r>
        <w:t>1</w:t>
      </w:r>
      <w:r>
        <w:fldChar w:fldCharType="end"/>
      </w:r>
      <w:r>
        <w:fldChar w:fldCharType="end"/>
      </w:r>
    </w:p>
    <w:p w14:paraId="12206BBD">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"_Toc196682319" </w:instrText>
      </w:r>
      <w:r>
        <w:fldChar w:fldCharType="separate"/>
      </w:r>
      <w:r>
        <w:rPr>
          <w:rStyle w:val="242"/>
        </w:rPr>
        <w:t>2</w:t>
      </w:r>
      <w:r>
        <w:rPr>
          <w:rStyle w:val="242"/>
          <w:rFonts w:ascii="宋体" w:hAnsi="宋体"/>
        </w:rPr>
        <w:t xml:space="preserve"> 规范性引用文件</w:t>
      </w:r>
      <w:r>
        <w:tab/>
      </w:r>
      <w:r>
        <w:fldChar w:fldCharType="begin"/>
      </w:r>
      <w:r>
        <w:instrText xml:space="preserve"> PAGEREF _Toc196682319 \h </w:instrText>
      </w:r>
      <w:r>
        <w:fldChar w:fldCharType="separate"/>
      </w:r>
      <w:r>
        <w:t>1</w:t>
      </w:r>
      <w:r>
        <w:fldChar w:fldCharType="end"/>
      </w:r>
      <w:r>
        <w:fldChar w:fldCharType="end"/>
      </w:r>
    </w:p>
    <w:p w14:paraId="00D1E78A">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"_Toc196682320" </w:instrText>
      </w:r>
      <w:r>
        <w:fldChar w:fldCharType="separate"/>
      </w:r>
      <w:r>
        <w:rPr>
          <w:rStyle w:val="242"/>
        </w:rPr>
        <w:t>3</w:t>
      </w:r>
      <w:r>
        <w:rPr>
          <w:rStyle w:val="242"/>
          <w:rFonts w:ascii="宋体" w:hAnsi="宋体"/>
        </w:rPr>
        <w:t xml:space="preserve"> 术语和定义</w:t>
      </w:r>
      <w:r>
        <w:tab/>
      </w:r>
      <w:r>
        <w:fldChar w:fldCharType="begin"/>
      </w:r>
      <w:r>
        <w:instrText xml:space="preserve"> PAGEREF _Toc196682320 \h </w:instrText>
      </w:r>
      <w:r>
        <w:fldChar w:fldCharType="separate"/>
      </w:r>
      <w:r>
        <w:t>1</w:t>
      </w:r>
      <w:r>
        <w:fldChar w:fldCharType="end"/>
      </w:r>
      <w:r>
        <w:fldChar w:fldCharType="end"/>
      </w:r>
    </w:p>
    <w:p w14:paraId="0FAC3D40">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"_Toc196682321" </w:instrText>
      </w:r>
      <w:r>
        <w:fldChar w:fldCharType="separate"/>
      </w:r>
      <w:r>
        <w:rPr>
          <w:rStyle w:val="242"/>
        </w:rPr>
        <w:t>4</w:t>
      </w:r>
      <w:r>
        <w:rPr>
          <w:rStyle w:val="242"/>
          <w:rFonts w:ascii="宋体" w:hAnsi="宋体"/>
        </w:rPr>
        <w:t xml:space="preserve"> 总体要求</w:t>
      </w:r>
      <w:r>
        <w:tab/>
      </w:r>
      <w:r>
        <w:fldChar w:fldCharType="begin"/>
      </w:r>
      <w:r>
        <w:instrText xml:space="preserve"> PAGEREF _Toc196682321 \h </w:instrText>
      </w:r>
      <w:r>
        <w:fldChar w:fldCharType="separate"/>
      </w:r>
      <w:r>
        <w:t>2</w:t>
      </w:r>
      <w:r>
        <w:fldChar w:fldCharType="end"/>
      </w:r>
      <w:r>
        <w:fldChar w:fldCharType="end"/>
      </w:r>
    </w:p>
    <w:p w14:paraId="5DB688DB">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"_Toc196682322" </w:instrText>
      </w:r>
      <w:r>
        <w:fldChar w:fldCharType="separate"/>
      </w:r>
      <w:r>
        <w:rPr>
          <w:rStyle w:val="242"/>
        </w:rPr>
        <w:t>4.1</w:t>
      </w:r>
      <w:r>
        <w:rPr>
          <w:rStyle w:val="242"/>
          <w:rFonts w:ascii="宋体" w:hAnsi="宋体"/>
        </w:rPr>
        <w:t xml:space="preserve"> 安全管理</w:t>
      </w:r>
      <w:r>
        <w:tab/>
      </w:r>
      <w:r>
        <w:fldChar w:fldCharType="begin"/>
      </w:r>
      <w:r>
        <w:instrText xml:space="preserve"> PAGEREF _Toc196682322 \h </w:instrText>
      </w:r>
      <w:r>
        <w:fldChar w:fldCharType="separate"/>
      </w:r>
      <w:r>
        <w:t>2</w:t>
      </w:r>
      <w:r>
        <w:fldChar w:fldCharType="end"/>
      </w:r>
      <w:r>
        <w:fldChar w:fldCharType="end"/>
      </w:r>
    </w:p>
    <w:p w14:paraId="3EAD1F46">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"_Toc196682323" </w:instrText>
      </w:r>
      <w:r>
        <w:fldChar w:fldCharType="separate"/>
      </w:r>
      <w:r>
        <w:rPr>
          <w:rStyle w:val="242"/>
        </w:rPr>
        <w:t>4.2</w:t>
      </w:r>
      <w:r>
        <w:rPr>
          <w:rStyle w:val="242"/>
          <w:rFonts w:ascii="宋体" w:hAnsi="宋体"/>
        </w:rPr>
        <w:t xml:space="preserve"> 人员培训</w:t>
      </w:r>
      <w:r>
        <w:tab/>
      </w:r>
      <w:r>
        <w:fldChar w:fldCharType="begin"/>
      </w:r>
      <w:r>
        <w:instrText xml:space="preserve"> PAGEREF _Toc196682323 \h </w:instrText>
      </w:r>
      <w:r>
        <w:fldChar w:fldCharType="separate"/>
      </w:r>
      <w:r>
        <w:t>2</w:t>
      </w:r>
      <w:r>
        <w:fldChar w:fldCharType="end"/>
      </w:r>
      <w:r>
        <w:fldChar w:fldCharType="end"/>
      </w:r>
    </w:p>
    <w:p w14:paraId="12959D32">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"_Toc196682324" </w:instrText>
      </w:r>
      <w:r>
        <w:fldChar w:fldCharType="separate"/>
      </w:r>
      <w:r>
        <w:rPr>
          <w:rStyle w:val="242"/>
        </w:rPr>
        <w:t>5</w:t>
      </w:r>
      <w:r>
        <w:rPr>
          <w:rStyle w:val="242"/>
          <w:rFonts w:ascii="宋体" w:hAnsi="宋体"/>
        </w:rPr>
        <w:t xml:space="preserve"> 公众危害程度分级与安全防护距离</w:t>
      </w:r>
      <w:r>
        <w:tab/>
      </w:r>
      <w:r>
        <w:fldChar w:fldCharType="begin"/>
      </w:r>
      <w:r>
        <w:instrText xml:space="preserve"> PAGEREF _Toc196682324 \h </w:instrText>
      </w:r>
      <w:r>
        <w:fldChar w:fldCharType="separate"/>
      </w:r>
      <w:r>
        <w:t>2</w:t>
      </w:r>
      <w:r>
        <w:fldChar w:fldCharType="end"/>
      </w:r>
      <w:r>
        <w:fldChar w:fldCharType="end"/>
      </w:r>
    </w:p>
    <w:p w14:paraId="10BC35B3">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"_Toc196682325" </w:instrText>
      </w:r>
      <w:r>
        <w:fldChar w:fldCharType="separate"/>
      </w:r>
      <w:r>
        <w:rPr>
          <w:rStyle w:val="242"/>
        </w:rPr>
        <w:t>5.1</w:t>
      </w:r>
      <w:r>
        <w:rPr>
          <w:rStyle w:val="242"/>
          <w:rFonts w:ascii="宋体" w:hAnsi="宋体"/>
        </w:rPr>
        <w:t xml:space="preserve"> 公众危害程度分级</w:t>
      </w:r>
      <w:r>
        <w:tab/>
      </w:r>
      <w:r>
        <w:fldChar w:fldCharType="begin"/>
      </w:r>
      <w:r>
        <w:instrText xml:space="preserve"> PAGEREF _Toc196682325 \h </w:instrText>
      </w:r>
      <w:r>
        <w:fldChar w:fldCharType="separate"/>
      </w:r>
      <w:r>
        <w:t>2</w:t>
      </w:r>
      <w:r>
        <w:fldChar w:fldCharType="end"/>
      </w:r>
      <w:r>
        <w:fldChar w:fldCharType="end"/>
      </w:r>
    </w:p>
    <w:p w14:paraId="1F64BFCA">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"_Toc196682326" </w:instrText>
      </w:r>
      <w:r>
        <w:fldChar w:fldCharType="separate"/>
      </w:r>
      <w:r>
        <w:rPr>
          <w:rStyle w:val="242"/>
        </w:rPr>
        <w:t>5.2</w:t>
      </w:r>
      <w:r>
        <w:rPr>
          <w:rStyle w:val="242"/>
          <w:rFonts w:ascii="宋体" w:hAnsi="宋体"/>
        </w:rPr>
        <w:t xml:space="preserve"> 陆上公众安全防护距离</w:t>
      </w:r>
      <w:r>
        <w:tab/>
      </w:r>
      <w:r>
        <w:fldChar w:fldCharType="begin"/>
      </w:r>
      <w:r>
        <w:instrText xml:space="preserve"> PAGEREF _Toc196682326 \h </w:instrText>
      </w:r>
      <w:r>
        <w:fldChar w:fldCharType="separate"/>
      </w:r>
      <w:r>
        <w:t>3</w:t>
      </w:r>
      <w:r>
        <w:fldChar w:fldCharType="end"/>
      </w:r>
      <w:r>
        <w:fldChar w:fldCharType="end"/>
      </w:r>
    </w:p>
    <w:p w14:paraId="771E5EDA">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"_Toc196682327" </w:instrText>
      </w:r>
      <w:r>
        <w:fldChar w:fldCharType="separate"/>
      </w:r>
      <w:r>
        <w:rPr>
          <w:rStyle w:val="242"/>
        </w:rPr>
        <w:t>6</w:t>
      </w:r>
      <w:r>
        <w:rPr>
          <w:rStyle w:val="242"/>
          <w:rFonts w:ascii="宋体" w:hAnsi="宋体"/>
        </w:rPr>
        <w:t xml:space="preserve"> 陆上生产作业过程安全防护</w:t>
      </w:r>
      <w:r>
        <w:tab/>
      </w:r>
      <w:r>
        <w:fldChar w:fldCharType="begin"/>
      </w:r>
      <w:r>
        <w:instrText xml:space="preserve"> PAGEREF _Toc196682327 \h </w:instrText>
      </w:r>
      <w:r>
        <w:fldChar w:fldCharType="separate"/>
      </w:r>
      <w:r>
        <w:t>3</w:t>
      </w:r>
      <w:r>
        <w:fldChar w:fldCharType="end"/>
      </w:r>
      <w:r>
        <w:fldChar w:fldCharType="end"/>
      </w:r>
    </w:p>
    <w:p w14:paraId="6329D36B">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"_Toc196682328" </w:instrText>
      </w:r>
      <w:r>
        <w:fldChar w:fldCharType="separate"/>
      </w:r>
      <w:r>
        <w:rPr>
          <w:rStyle w:val="242"/>
        </w:rPr>
        <w:t>6.1</w:t>
      </w:r>
      <w:r>
        <w:rPr>
          <w:rStyle w:val="242"/>
          <w:rFonts w:ascii="宋体" w:hAnsi="宋体"/>
        </w:rPr>
        <w:t xml:space="preserve"> 通用要求</w:t>
      </w:r>
      <w:r>
        <w:tab/>
      </w:r>
      <w:r>
        <w:fldChar w:fldCharType="begin"/>
      </w:r>
      <w:r>
        <w:instrText xml:space="preserve"> PAGEREF _Toc196682328 \h </w:instrText>
      </w:r>
      <w:r>
        <w:fldChar w:fldCharType="separate"/>
      </w:r>
      <w:r>
        <w:t>3</w:t>
      </w:r>
      <w:r>
        <w:fldChar w:fldCharType="end"/>
      </w:r>
      <w:r>
        <w:fldChar w:fldCharType="end"/>
      </w:r>
    </w:p>
    <w:p w14:paraId="56A0A462">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"_Toc196682329" </w:instrText>
      </w:r>
      <w:r>
        <w:fldChar w:fldCharType="separate"/>
      </w:r>
      <w:r>
        <w:rPr>
          <w:rStyle w:val="242"/>
        </w:rPr>
        <w:t>6.2</w:t>
      </w:r>
      <w:r>
        <w:rPr>
          <w:rStyle w:val="242"/>
          <w:rFonts w:ascii="宋体" w:hAnsi="宋体"/>
        </w:rPr>
        <w:t xml:space="preserve"> 钻井工程</w:t>
      </w:r>
      <w:r>
        <w:tab/>
      </w:r>
      <w:r>
        <w:fldChar w:fldCharType="begin"/>
      </w:r>
      <w:r>
        <w:instrText xml:space="preserve"> PAGEREF _Toc196682329 \h </w:instrText>
      </w:r>
      <w:r>
        <w:fldChar w:fldCharType="separate"/>
      </w:r>
      <w:r>
        <w:t>4</w:t>
      </w:r>
      <w:r>
        <w:fldChar w:fldCharType="end"/>
      </w:r>
      <w:r>
        <w:fldChar w:fldCharType="end"/>
      </w:r>
    </w:p>
    <w:p w14:paraId="6BCF2EBF">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"_Toc196682330" </w:instrText>
      </w:r>
      <w:r>
        <w:fldChar w:fldCharType="separate"/>
      </w:r>
      <w:r>
        <w:rPr>
          <w:rStyle w:val="242"/>
        </w:rPr>
        <w:t>6.3</w:t>
      </w:r>
      <w:r>
        <w:rPr>
          <w:rStyle w:val="242"/>
          <w:rFonts w:ascii="宋体" w:hAnsi="宋体"/>
        </w:rPr>
        <w:t xml:space="preserve"> 录井工程</w:t>
      </w:r>
      <w:r>
        <w:tab/>
      </w:r>
      <w:r>
        <w:fldChar w:fldCharType="begin"/>
      </w:r>
      <w:r>
        <w:instrText xml:space="preserve"> PAGEREF _Toc196682330 \h </w:instrText>
      </w:r>
      <w:r>
        <w:fldChar w:fldCharType="separate"/>
      </w:r>
      <w:r>
        <w:t>5</w:t>
      </w:r>
      <w:r>
        <w:fldChar w:fldCharType="end"/>
      </w:r>
      <w:r>
        <w:fldChar w:fldCharType="end"/>
      </w:r>
    </w:p>
    <w:p w14:paraId="06414BDA">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"_Toc196682331" </w:instrText>
      </w:r>
      <w:r>
        <w:fldChar w:fldCharType="separate"/>
      </w:r>
      <w:r>
        <w:rPr>
          <w:rStyle w:val="242"/>
        </w:rPr>
        <w:t>6.4</w:t>
      </w:r>
      <w:r>
        <w:rPr>
          <w:rStyle w:val="242"/>
          <w:rFonts w:ascii="宋体" w:hAnsi="宋体"/>
        </w:rPr>
        <w:t xml:space="preserve"> 井下作业</w:t>
      </w:r>
      <w:r>
        <w:tab/>
      </w:r>
      <w:r>
        <w:fldChar w:fldCharType="begin"/>
      </w:r>
      <w:r>
        <w:instrText xml:space="preserve"> PAGEREF _Toc196682331 \h </w:instrText>
      </w:r>
      <w:r>
        <w:fldChar w:fldCharType="separate"/>
      </w:r>
      <w:r>
        <w:t>5</w:t>
      </w:r>
      <w:r>
        <w:fldChar w:fldCharType="end"/>
      </w:r>
      <w:r>
        <w:fldChar w:fldCharType="end"/>
      </w:r>
    </w:p>
    <w:p w14:paraId="1207A46B">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"_Toc196682332" </w:instrText>
      </w:r>
      <w:r>
        <w:fldChar w:fldCharType="separate"/>
      </w:r>
      <w:r>
        <w:rPr>
          <w:rStyle w:val="242"/>
        </w:rPr>
        <w:t>6.5</w:t>
      </w:r>
      <w:r>
        <w:rPr>
          <w:rStyle w:val="242"/>
          <w:rFonts w:ascii="宋体" w:hAnsi="宋体"/>
        </w:rPr>
        <w:t xml:space="preserve"> 采气工程</w:t>
      </w:r>
      <w:r>
        <w:tab/>
      </w:r>
      <w:r>
        <w:fldChar w:fldCharType="begin"/>
      </w:r>
      <w:r>
        <w:instrText xml:space="preserve"> PAGEREF _Toc196682332 \h </w:instrText>
      </w:r>
      <w:r>
        <w:fldChar w:fldCharType="separate"/>
      </w:r>
      <w:r>
        <w:t>6</w:t>
      </w:r>
      <w:r>
        <w:fldChar w:fldCharType="end"/>
      </w:r>
      <w:r>
        <w:fldChar w:fldCharType="end"/>
      </w:r>
    </w:p>
    <w:p w14:paraId="4A3B5584">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"_Toc196682333" </w:instrText>
      </w:r>
      <w:r>
        <w:fldChar w:fldCharType="separate"/>
      </w:r>
      <w:r>
        <w:rPr>
          <w:rStyle w:val="242"/>
        </w:rPr>
        <w:t>6.6</w:t>
      </w:r>
      <w:r>
        <w:rPr>
          <w:rStyle w:val="242"/>
          <w:rFonts w:ascii="宋体" w:hAnsi="宋体"/>
        </w:rPr>
        <w:t xml:space="preserve"> 弃置</w:t>
      </w:r>
      <w:r>
        <w:tab/>
      </w:r>
      <w:r>
        <w:fldChar w:fldCharType="begin"/>
      </w:r>
      <w:r>
        <w:instrText xml:space="preserve"> PAGEREF _Toc196682333 \h </w:instrText>
      </w:r>
      <w:r>
        <w:fldChar w:fldCharType="separate"/>
      </w:r>
      <w:r>
        <w:t>7</w:t>
      </w:r>
      <w:r>
        <w:fldChar w:fldCharType="end"/>
      </w:r>
      <w:r>
        <w:fldChar w:fldCharType="end"/>
      </w:r>
    </w:p>
    <w:p w14:paraId="614C8F14">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"_Toc196682334" </w:instrText>
      </w:r>
      <w:r>
        <w:fldChar w:fldCharType="separate"/>
      </w:r>
      <w:r>
        <w:rPr>
          <w:rStyle w:val="242"/>
        </w:rPr>
        <w:t>7</w:t>
      </w:r>
      <w:r>
        <w:rPr>
          <w:rStyle w:val="242"/>
          <w:rFonts w:ascii="宋体" w:hAnsi="宋体"/>
        </w:rPr>
        <w:t xml:space="preserve"> 海上生产作业过程安全防护</w:t>
      </w:r>
      <w:r>
        <w:tab/>
      </w:r>
      <w:r>
        <w:fldChar w:fldCharType="begin"/>
      </w:r>
      <w:r>
        <w:instrText xml:space="preserve"> PAGEREF _Toc196682334 \h </w:instrText>
      </w:r>
      <w:r>
        <w:fldChar w:fldCharType="separate"/>
      </w:r>
      <w:r>
        <w:t>7</w:t>
      </w:r>
      <w:r>
        <w:fldChar w:fldCharType="end"/>
      </w:r>
      <w:r>
        <w:fldChar w:fldCharType="end"/>
      </w:r>
    </w:p>
    <w:p w14:paraId="5119E235">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"_Toc196682335" </w:instrText>
      </w:r>
      <w:r>
        <w:fldChar w:fldCharType="separate"/>
      </w:r>
      <w:r>
        <w:rPr>
          <w:rStyle w:val="242"/>
        </w:rPr>
        <w:t>7.1</w:t>
      </w:r>
      <w:r>
        <w:rPr>
          <w:rStyle w:val="242"/>
          <w:rFonts w:ascii="宋体" w:hAnsi="宋体"/>
        </w:rPr>
        <w:t xml:space="preserve"> 通用要求</w:t>
      </w:r>
      <w:r>
        <w:tab/>
      </w:r>
      <w:r>
        <w:fldChar w:fldCharType="begin"/>
      </w:r>
      <w:r>
        <w:instrText xml:space="preserve"> PAGEREF _Toc196682335 \h </w:instrText>
      </w:r>
      <w:r>
        <w:fldChar w:fldCharType="separate"/>
      </w:r>
      <w:r>
        <w:t>7</w:t>
      </w:r>
      <w:r>
        <w:fldChar w:fldCharType="end"/>
      </w:r>
      <w:r>
        <w:fldChar w:fldCharType="end"/>
      </w:r>
    </w:p>
    <w:p w14:paraId="6907F354">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"_Toc196682336" </w:instrText>
      </w:r>
      <w:r>
        <w:fldChar w:fldCharType="separate"/>
      </w:r>
      <w:r>
        <w:rPr>
          <w:rStyle w:val="242"/>
        </w:rPr>
        <w:t>7.2</w:t>
      </w:r>
      <w:r>
        <w:rPr>
          <w:rStyle w:val="242"/>
          <w:rFonts w:ascii="宋体" w:hAnsi="宋体"/>
        </w:rPr>
        <w:t xml:space="preserve"> 钻井工程</w:t>
      </w:r>
      <w:r>
        <w:tab/>
      </w:r>
      <w:r>
        <w:fldChar w:fldCharType="begin"/>
      </w:r>
      <w:r>
        <w:instrText xml:space="preserve"> PAGEREF _Toc196682336 \h </w:instrText>
      </w:r>
      <w:r>
        <w:fldChar w:fldCharType="separate"/>
      </w:r>
      <w:r>
        <w:t>8</w:t>
      </w:r>
      <w:r>
        <w:fldChar w:fldCharType="end"/>
      </w:r>
      <w:r>
        <w:fldChar w:fldCharType="end"/>
      </w:r>
    </w:p>
    <w:p w14:paraId="710EC2D1">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"_Toc196682337" </w:instrText>
      </w:r>
      <w:r>
        <w:fldChar w:fldCharType="separate"/>
      </w:r>
      <w:r>
        <w:rPr>
          <w:rStyle w:val="242"/>
        </w:rPr>
        <w:t>7.3</w:t>
      </w:r>
      <w:r>
        <w:rPr>
          <w:rStyle w:val="242"/>
          <w:rFonts w:ascii="宋体" w:hAnsi="宋体"/>
        </w:rPr>
        <w:t xml:space="preserve"> 录井工程</w:t>
      </w:r>
      <w:r>
        <w:tab/>
      </w:r>
      <w:r>
        <w:fldChar w:fldCharType="begin"/>
      </w:r>
      <w:r>
        <w:instrText xml:space="preserve"> PAGEREF _Toc196682337 \h </w:instrText>
      </w:r>
      <w:r>
        <w:fldChar w:fldCharType="separate"/>
      </w:r>
      <w:r>
        <w:t>8</w:t>
      </w:r>
      <w:r>
        <w:fldChar w:fldCharType="end"/>
      </w:r>
      <w:r>
        <w:fldChar w:fldCharType="end"/>
      </w:r>
    </w:p>
    <w:p w14:paraId="5E54BBF1">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"_Toc196682338" </w:instrText>
      </w:r>
      <w:r>
        <w:fldChar w:fldCharType="separate"/>
      </w:r>
      <w:r>
        <w:rPr>
          <w:rStyle w:val="242"/>
        </w:rPr>
        <w:t>7.4</w:t>
      </w:r>
      <w:r>
        <w:rPr>
          <w:rStyle w:val="242"/>
          <w:rFonts w:ascii="宋体" w:hAnsi="宋体"/>
        </w:rPr>
        <w:t xml:space="preserve"> 井下作业</w:t>
      </w:r>
      <w:r>
        <w:tab/>
      </w:r>
      <w:r>
        <w:fldChar w:fldCharType="begin"/>
      </w:r>
      <w:r>
        <w:instrText xml:space="preserve"> PAGEREF _Toc196682338 \h </w:instrText>
      </w:r>
      <w:r>
        <w:fldChar w:fldCharType="separate"/>
      </w:r>
      <w:r>
        <w:t>8</w:t>
      </w:r>
      <w:r>
        <w:fldChar w:fldCharType="end"/>
      </w:r>
      <w:r>
        <w:fldChar w:fldCharType="end"/>
      </w:r>
    </w:p>
    <w:p w14:paraId="73BAFBAB">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"_Toc196682339" </w:instrText>
      </w:r>
      <w:r>
        <w:fldChar w:fldCharType="separate"/>
      </w:r>
      <w:r>
        <w:rPr>
          <w:rStyle w:val="242"/>
        </w:rPr>
        <w:t>7.5</w:t>
      </w:r>
      <w:r>
        <w:rPr>
          <w:rStyle w:val="242"/>
          <w:rFonts w:ascii="宋体" w:hAnsi="宋体"/>
        </w:rPr>
        <w:t xml:space="preserve"> 采气工程</w:t>
      </w:r>
      <w:r>
        <w:tab/>
      </w:r>
      <w:r>
        <w:fldChar w:fldCharType="begin"/>
      </w:r>
      <w:r>
        <w:instrText xml:space="preserve"> PAGEREF _Toc196682339 \h </w:instrText>
      </w:r>
      <w:r>
        <w:fldChar w:fldCharType="separate"/>
      </w:r>
      <w:r>
        <w:t>9</w:t>
      </w:r>
      <w:r>
        <w:fldChar w:fldCharType="end"/>
      </w:r>
      <w:r>
        <w:fldChar w:fldCharType="end"/>
      </w:r>
    </w:p>
    <w:p w14:paraId="6755B745">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"_Toc196682340" </w:instrText>
      </w:r>
      <w:r>
        <w:fldChar w:fldCharType="separate"/>
      </w:r>
      <w:r>
        <w:rPr>
          <w:rStyle w:val="242"/>
        </w:rPr>
        <w:t>7.6</w:t>
      </w:r>
      <w:r>
        <w:rPr>
          <w:rStyle w:val="242"/>
          <w:rFonts w:ascii="宋体" w:hAnsi="宋体"/>
        </w:rPr>
        <w:t xml:space="preserve"> 弃置</w:t>
      </w:r>
      <w:r>
        <w:tab/>
      </w:r>
      <w:r>
        <w:fldChar w:fldCharType="begin"/>
      </w:r>
      <w:r>
        <w:instrText xml:space="preserve"> PAGEREF _Toc196682340 \h </w:instrText>
      </w:r>
      <w:r>
        <w:fldChar w:fldCharType="separate"/>
      </w:r>
      <w:r>
        <w:t>9</w:t>
      </w:r>
      <w:r>
        <w:fldChar w:fldCharType="end"/>
      </w:r>
      <w:r>
        <w:fldChar w:fldCharType="end"/>
      </w:r>
    </w:p>
    <w:p w14:paraId="5E64BE7C">
      <w:pPr>
        <w:pStyle w:val="18"/>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"_Toc196682341" </w:instrText>
      </w:r>
      <w:r>
        <w:fldChar w:fldCharType="separate"/>
      </w:r>
      <w:r>
        <w:rPr>
          <w:rStyle w:val="242"/>
        </w:rPr>
        <w:t>8</w:t>
      </w:r>
      <w:r>
        <w:rPr>
          <w:rStyle w:val="242"/>
          <w:rFonts w:ascii="宋体" w:hAnsi="宋体"/>
        </w:rPr>
        <w:t xml:space="preserve"> 应急管理</w:t>
      </w:r>
      <w:r>
        <w:tab/>
      </w:r>
      <w:r>
        <w:fldChar w:fldCharType="begin"/>
      </w:r>
      <w:r>
        <w:instrText xml:space="preserve"> PAGEREF _Toc196682341 \h </w:instrText>
      </w:r>
      <w:r>
        <w:fldChar w:fldCharType="separate"/>
      </w:r>
      <w:r>
        <w:t>9</w:t>
      </w:r>
      <w:r>
        <w:fldChar w:fldCharType="end"/>
      </w:r>
      <w:r>
        <w:fldChar w:fldCharType="end"/>
      </w:r>
    </w:p>
    <w:p w14:paraId="59EC94E1">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"_Toc196682342" </w:instrText>
      </w:r>
      <w:r>
        <w:fldChar w:fldCharType="separate"/>
      </w:r>
      <w:r>
        <w:rPr>
          <w:rStyle w:val="242"/>
        </w:rPr>
        <w:t>8.1</w:t>
      </w:r>
      <w:r>
        <w:rPr>
          <w:rStyle w:val="242"/>
          <w:rFonts w:ascii="宋体" w:hAnsi="宋体"/>
        </w:rPr>
        <w:t xml:space="preserve"> 通用要求</w:t>
      </w:r>
      <w:r>
        <w:tab/>
      </w:r>
      <w:r>
        <w:fldChar w:fldCharType="begin"/>
      </w:r>
      <w:r>
        <w:instrText xml:space="preserve"> PAGEREF _Toc196682342 \h </w:instrText>
      </w:r>
      <w:r>
        <w:fldChar w:fldCharType="separate"/>
      </w:r>
      <w:r>
        <w:t>9</w:t>
      </w:r>
      <w:r>
        <w:fldChar w:fldCharType="end"/>
      </w:r>
      <w:r>
        <w:fldChar w:fldCharType="end"/>
      </w:r>
    </w:p>
    <w:p w14:paraId="641862EA">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"_Toc196682343" </w:instrText>
      </w:r>
      <w:r>
        <w:fldChar w:fldCharType="separate"/>
      </w:r>
      <w:r>
        <w:rPr>
          <w:rStyle w:val="242"/>
        </w:rPr>
        <w:t>8.2</w:t>
      </w:r>
      <w:r>
        <w:rPr>
          <w:rStyle w:val="242"/>
          <w:rFonts w:ascii="宋体" w:hAnsi="宋体"/>
        </w:rPr>
        <w:t xml:space="preserve"> 应急演练</w:t>
      </w:r>
      <w:r>
        <w:tab/>
      </w:r>
      <w:r>
        <w:fldChar w:fldCharType="begin"/>
      </w:r>
      <w:r>
        <w:instrText xml:space="preserve"> PAGEREF _Toc196682343 \h </w:instrText>
      </w:r>
      <w:r>
        <w:fldChar w:fldCharType="separate"/>
      </w:r>
      <w:r>
        <w:t>10</w:t>
      </w:r>
      <w:r>
        <w:fldChar w:fldCharType="end"/>
      </w:r>
      <w:r>
        <w:fldChar w:fldCharType="end"/>
      </w:r>
    </w:p>
    <w:p w14:paraId="1697896C">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"_Toc196682344" </w:instrText>
      </w:r>
      <w:r>
        <w:fldChar w:fldCharType="separate"/>
      </w:r>
      <w:r>
        <w:rPr>
          <w:rStyle w:val="242"/>
        </w:rPr>
        <w:t>8.3</w:t>
      </w:r>
      <w:r>
        <w:rPr>
          <w:rStyle w:val="242"/>
          <w:rFonts w:ascii="宋体" w:hAnsi="宋体"/>
        </w:rPr>
        <w:t xml:space="preserve"> 应急撤离</w:t>
      </w:r>
      <w:r>
        <w:tab/>
      </w:r>
      <w:r>
        <w:fldChar w:fldCharType="begin"/>
      </w:r>
      <w:r>
        <w:instrText xml:space="preserve"> PAGEREF _Toc196682344 \h </w:instrText>
      </w:r>
      <w:r>
        <w:fldChar w:fldCharType="separate"/>
      </w:r>
      <w:r>
        <w:t>10</w:t>
      </w:r>
      <w:r>
        <w:fldChar w:fldCharType="end"/>
      </w:r>
      <w:r>
        <w:fldChar w:fldCharType="end"/>
      </w:r>
    </w:p>
    <w:p w14:paraId="4E7FA29D">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"_Toc196682345" </w:instrText>
      </w:r>
      <w:r>
        <w:fldChar w:fldCharType="separate"/>
      </w:r>
      <w:r>
        <w:rPr>
          <w:rStyle w:val="242"/>
        </w:rPr>
        <w:t>8.4</w:t>
      </w:r>
      <w:r>
        <w:rPr>
          <w:rStyle w:val="242"/>
          <w:rFonts w:ascii="宋体" w:hAnsi="宋体"/>
        </w:rPr>
        <w:t xml:space="preserve"> 现场救护</w:t>
      </w:r>
      <w:r>
        <w:tab/>
      </w:r>
      <w:r>
        <w:fldChar w:fldCharType="begin"/>
      </w:r>
      <w:r>
        <w:instrText xml:space="preserve"> PAGEREF _Toc196682345 \h </w:instrText>
      </w:r>
      <w:r>
        <w:fldChar w:fldCharType="separate"/>
      </w:r>
      <w:r>
        <w:t>10</w:t>
      </w:r>
      <w:r>
        <w:fldChar w:fldCharType="end"/>
      </w:r>
      <w:r>
        <w:fldChar w:fldCharType="end"/>
      </w:r>
    </w:p>
    <w:p w14:paraId="118E4B96">
      <w:pPr>
        <w:pStyle w:val="17"/>
        <w:tabs>
          <w:tab w:val="right" w:leader="dot" w:pos="9345"/>
        </w:tabs>
        <w:spacing w:before="71" w:after="71"/>
        <w:ind w:left="210"/>
        <w:rPr>
          <w:rFonts w:asciiTheme="minorHAnsi" w:hAnsiTheme="minorHAnsi" w:eastAsiaTheme="minorEastAsia" w:cstheme="minorBidi"/>
          <w:szCs w:val="22"/>
        </w:rPr>
      </w:pPr>
      <w:r>
        <w:fldChar w:fldCharType="begin"/>
      </w:r>
      <w:r>
        <w:instrText xml:space="preserve"> HYPERLINK \l "_Toc196682346" </w:instrText>
      </w:r>
      <w:r>
        <w:fldChar w:fldCharType="separate"/>
      </w:r>
      <w:r>
        <w:rPr>
          <w:rStyle w:val="242"/>
        </w:rPr>
        <w:t>8.5</w:t>
      </w:r>
      <w:r>
        <w:rPr>
          <w:rStyle w:val="242"/>
          <w:rFonts w:ascii="宋体" w:hAnsi="宋体"/>
        </w:rPr>
        <w:t xml:space="preserve"> 陆上井口点火处理</w:t>
      </w:r>
      <w:r>
        <w:tab/>
      </w:r>
      <w:r>
        <w:fldChar w:fldCharType="begin"/>
      </w:r>
      <w:r>
        <w:instrText xml:space="preserve"> PAGEREF _Toc196682346 \h </w:instrText>
      </w:r>
      <w:r>
        <w:fldChar w:fldCharType="separate"/>
      </w:r>
      <w:r>
        <w:t>10</w:t>
      </w:r>
      <w:r>
        <w:fldChar w:fldCharType="end"/>
      </w:r>
      <w:r>
        <w:fldChar w:fldCharType="end"/>
      </w:r>
    </w:p>
    <w:p w14:paraId="1AF67836">
      <w:pPr>
        <w:pStyle w:val="19"/>
        <w:tabs>
          <w:tab w:val="right" w:leader="dot" w:pos="9345"/>
        </w:tabs>
        <w:spacing w:before="71" w:after="71"/>
        <w:rPr>
          <w:rFonts w:asciiTheme="minorHAnsi" w:hAnsiTheme="minorHAnsi" w:eastAsiaTheme="minorEastAsia" w:cstheme="minorBidi"/>
          <w:szCs w:val="22"/>
        </w:rPr>
      </w:pPr>
      <w:r>
        <w:fldChar w:fldCharType="begin"/>
      </w:r>
      <w:r>
        <w:instrText xml:space="preserve"> HYPERLINK \l "_Toc196682347" </w:instrText>
      </w:r>
      <w:r>
        <w:fldChar w:fldCharType="separate"/>
      </w:r>
      <w:r>
        <w:rPr>
          <w:rStyle w:val="242"/>
          <w:rFonts w:ascii="宋体" w:hAnsi="宋体"/>
        </w:rPr>
        <w:t>参  考  文  献</w:t>
      </w:r>
      <w:r>
        <w:tab/>
      </w:r>
      <w:r>
        <w:fldChar w:fldCharType="begin"/>
      </w:r>
      <w:r>
        <w:instrText xml:space="preserve"> PAGEREF _Toc196682347 \h </w:instrText>
      </w:r>
      <w:r>
        <w:fldChar w:fldCharType="separate"/>
      </w:r>
      <w:r>
        <w:t>11</w:t>
      </w:r>
      <w:r>
        <w:fldChar w:fldCharType="end"/>
      </w:r>
      <w:r>
        <w:fldChar w:fldCharType="end"/>
      </w:r>
    </w:p>
    <w:p w14:paraId="055A4E2C">
      <w:pPr>
        <w:pStyle w:val="18"/>
        <w:spacing w:before="71" w:after="71"/>
        <w:rPr>
          <w:rFonts w:hAnsi="宋体"/>
        </w:rPr>
      </w:pPr>
      <w:r>
        <w:rPr>
          <w:rFonts w:hAnsi="宋体"/>
        </w:rPr>
        <w:fldChar w:fldCharType="end"/>
      </w:r>
      <w:bookmarkEnd w:id="2"/>
    </w:p>
    <w:p w14:paraId="7B983318">
      <w:pPr>
        <w:widowControl/>
        <w:jc w:val="left"/>
      </w:pPr>
      <w:r>
        <w:br w:type="page"/>
      </w:r>
    </w:p>
    <w:p w14:paraId="4FD20367">
      <w:pPr>
        <w:sectPr>
          <w:type w:val="continuous"/>
          <w:pgSz w:w="11907" w:h="16840"/>
          <w:pgMar w:top="1418" w:right="1134" w:bottom="1134" w:left="1418" w:header="1418" w:footer="1134" w:gutter="0"/>
          <w:pgNumType w:fmt="upperRoman" w:start="1"/>
          <w:cols w:space="720" w:num="1"/>
          <w:docGrid w:type="linesAndChars" w:linePitch="286" w:charSpace="0"/>
        </w:sectPr>
      </w:pPr>
    </w:p>
    <w:p w14:paraId="61D9BAD0">
      <w:pPr>
        <w:pStyle w:val="256"/>
        <w:rPr>
          <w:rFonts w:ascii="宋体" w:hAnsi="宋体"/>
        </w:rPr>
      </w:pPr>
      <w:bookmarkStart w:id="3" w:name="标准前言"/>
      <w:bookmarkEnd w:id="3"/>
      <w:bookmarkStart w:id="4" w:name="_Toc196682317"/>
      <w:r>
        <w:rPr>
          <w:rFonts w:ascii="宋体" w:hAnsi="宋体"/>
        </w:rPr>
        <w:t>前    言</w:t>
      </w:r>
      <w:bookmarkEnd w:id="4"/>
    </w:p>
    <w:p w14:paraId="78E0B525">
      <w:pPr>
        <w:pStyle w:val="258"/>
        <w:ind w:firstLine="420"/>
        <w:rPr>
          <w:rFonts w:hAnsi="宋体" w:eastAsiaTheme="majorEastAsia"/>
        </w:rPr>
      </w:pPr>
      <w:r>
        <w:rPr>
          <w:rFonts w:hint="eastAsia" w:hAnsi="宋体"/>
        </w:rPr>
        <w:t>本文件按</w:t>
      </w:r>
      <w:r>
        <w:rPr>
          <w:rFonts w:hint="eastAsia" w:hAnsi="宋体" w:eastAsiaTheme="majorEastAsia"/>
        </w:rPr>
        <w:t>照GB/T 1.1—2020《标准化工作导则  第1部分：标准化文件的结构和起草规则》的规定起草。</w:t>
      </w:r>
    </w:p>
    <w:p w14:paraId="5F9248BF">
      <w:pPr>
        <w:pStyle w:val="258"/>
        <w:ind w:firstLine="420"/>
        <w:rPr>
          <w:rFonts w:hAnsi="宋体" w:eastAsiaTheme="majorEastAsia"/>
        </w:rPr>
      </w:pPr>
      <w:r>
        <w:rPr>
          <w:rFonts w:hint="eastAsia" w:hAnsi="宋体" w:eastAsiaTheme="majorEastAsia"/>
        </w:rPr>
        <w:t>请注意本文件的某些内容可能涉及专利。本文件的发布机构不承担识别专利的责任。</w:t>
      </w:r>
    </w:p>
    <w:p w14:paraId="589B170C">
      <w:pPr>
        <w:pStyle w:val="258"/>
        <w:ind w:firstLine="420"/>
        <w:rPr>
          <w:rFonts w:hAnsi="宋体" w:eastAsiaTheme="majorEastAsia"/>
        </w:rPr>
      </w:pPr>
      <w:r>
        <w:rPr>
          <w:rFonts w:hint="eastAsia" w:hAnsi="宋体" w:eastAsiaTheme="majorEastAsia"/>
        </w:rPr>
        <w:t>本文件由中华人民共和国应急管理部提出并归口。</w:t>
      </w:r>
    </w:p>
    <w:p w14:paraId="50D01068">
      <w:pPr>
        <w:widowControl/>
        <w:jc w:val="left"/>
        <w:rPr>
          <w:rFonts w:ascii="宋体" w:hAnsi="宋体"/>
          <w:kern w:val="0"/>
          <w:szCs w:val="20"/>
        </w:rPr>
      </w:pPr>
      <w:r>
        <w:rPr>
          <w:rFonts w:hAnsi="宋体"/>
        </w:rPr>
        <w:br w:type="page"/>
      </w:r>
    </w:p>
    <w:p w14:paraId="39AA75CD">
      <w:pPr>
        <w:pStyle w:val="258"/>
        <w:ind w:firstLine="420"/>
        <w:rPr>
          <w:rFonts w:hAnsi="宋体" w:eastAsiaTheme="majorEastAsia"/>
        </w:rPr>
        <w:sectPr>
          <w:headerReference r:id="rId7" w:type="first"/>
          <w:footerReference r:id="rId10" w:type="first"/>
          <w:headerReference r:id="rId5" w:type="default"/>
          <w:footerReference r:id="rId8" w:type="default"/>
          <w:headerReference r:id="rId6" w:type="even"/>
          <w:footerReference r:id="rId9" w:type="even"/>
          <w:type w:val="continuous"/>
          <w:pgSz w:w="11907" w:h="16840"/>
          <w:pgMar w:top="1418" w:right="1134" w:bottom="1134" w:left="1418" w:header="1418" w:footer="1134" w:gutter="0"/>
          <w:pgNumType w:fmt="upperRoman" w:start="2"/>
          <w:cols w:space="425" w:num="1"/>
          <w:docGrid w:type="linesAndChars" w:linePitch="312" w:charSpace="0"/>
        </w:sectPr>
      </w:pPr>
    </w:p>
    <w:p w14:paraId="0D5BD56C">
      <w:pPr>
        <w:pStyle w:val="315"/>
        <w:outlineLvl w:val="0"/>
        <w:rPr>
          <w:rFonts w:ascii="宋体" w:hAnsi="宋体"/>
        </w:rPr>
      </w:pPr>
      <w:r>
        <w:rPr>
          <w:rFonts w:hint="eastAsia" w:ascii="宋体" w:hAnsi="宋体"/>
        </w:rPr>
        <w:t>含硫化氢天然气井安全防护规</w:t>
      </w:r>
      <w:r>
        <w:rPr>
          <w:rFonts w:ascii="宋体" w:hAnsi="宋体"/>
        </w:rPr>
        <w:t>范</w:t>
      </w:r>
    </w:p>
    <w:p w14:paraId="171755FF">
      <w:pPr>
        <w:pStyle w:val="259"/>
        <w:outlineLvl w:val="0"/>
        <w:rPr>
          <w:rFonts w:ascii="宋体" w:hAnsi="宋体"/>
        </w:rPr>
      </w:pPr>
      <w:bookmarkStart w:id="5" w:name="_Toc196682318"/>
      <w:r>
        <w:rPr>
          <w:rFonts w:ascii="宋体" w:hAnsi="宋体"/>
        </w:rPr>
        <w:t>范围</w:t>
      </w:r>
      <w:bookmarkEnd w:id="5"/>
    </w:p>
    <w:p w14:paraId="754ACF3B">
      <w:pPr>
        <w:pStyle w:val="258"/>
        <w:tabs>
          <w:tab w:val="center" w:pos="4201"/>
          <w:tab w:val="right" w:leader="dot" w:pos="9298"/>
        </w:tabs>
        <w:ind w:firstLine="420"/>
        <w:rPr>
          <w:rFonts w:hAnsi="宋体"/>
        </w:rPr>
      </w:pPr>
      <w:r>
        <w:rPr>
          <w:rFonts w:hint="eastAsia" w:hAnsi="宋体"/>
        </w:rPr>
        <w:t>本文件规定了含硫化氢天然气井安全防护总体要求、公众危害程度分级与安全防护距离、陆上及海上生产作业过程安全防护与应急管理的要求。</w:t>
      </w:r>
    </w:p>
    <w:p w14:paraId="51FD0218">
      <w:pPr>
        <w:pStyle w:val="258"/>
        <w:tabs>
          <w:tab w:val="center" w:pos="4201"/>
          <w:tab w:val="right" w:leader="dot" w:pos="9298"/>
        </w:tabs>
        <w:ind w:firstLine="420"/>
        <w:rPr>
          <w:rFonts w:hAnsi="宋体" w:cs="宋体"/>
          <w:szCs w:val="21"/>
        </w:rPr>
      </w:pPr>
      <w:r>
        <w:rPr>
          <w:rFonts w:hint="eastAsia" w:hAnsi="宋体"/>
        </w:rPr>
        <w:t>本文件适用于含硫化氢天然气井的安全防护。</w:t>
      </w:r>
    </w:p>
    <w:p w14:paraId="72462FB4">
      <w:pPr>
        <w:pStyle w:val="259"/>
        <w:outlineLvl w:val="0"/>
        <w:rPr>
          <w:rFonts w:ascii="宋体" w:hAnsi="宋体"/>
        </w:rPr>
      </w:pPr>
      <w:bookmarkStart w:id="6" w:name="_Toc196682319"/>
      <w:r>
        <w:rPr>
          <w:rFonts w:ascii="宋体" w:hAnsi="宋体"/>
        </w:rPr>
        <w:t>规范性引用文件</w:t>
      </w:r>
      <w:bookmarkEnd w:id="6"/>
    </w:p>
    <w:p w14:paraId="09A0F631">
      <w:pPr>
        <w:pStyle w:val="258"/>
        <w:ind w:firstLine="420"/>
        <w:rPr>
          <w:rFonts w:hAnsi="宋体"/>
        </w:rPr>
      </w:pPr>
      <w:sdt>
        <w:sdtPr>
          <w:rPr>
            <w:rFonts w:hAnsi="宋体"/>
          </w:rPr>
          <w:alias w:val="规范性引用文件文字描述选择"/>
          <w:tag w:val="规范性引用文件文字描述选择"/>
          <w:id w:val="715848253"/>
          <w:placeholder>
            <w:docPart w:val="89BE852335354B25A9A1502BD6B4F87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Ansi="宋体"/>
          </w:rPr>
        </w:sdtEndPr>
        <w:sdtContent>
          <w:r>
            <w:rPr>
              <w:rFonts w:hAnsi="宋体"/>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7F117B8E">
      <w:pPr>
        <w:ind w:firstLine="420" w:firstLineChars="200"/>
        <w:rPr>
          <w:rFonts w:ascii="宋体" w:hAnsi="宋体" w:cs="宋体" w:eastAsiaTheme="majorEastAsia"/>
        </w:rPr>
      </w:pPr>
      <w:r>
        <w:rPr>
          <w:rFonts w:hint="eastAsia" w:ascii="宋体" w:hAnsi="宋体" w:cs="宋体"/>
        </w:rPr>
        <w:t xml:space="preserve">GB/T </w:t>
      </w:r>
      <w:r>
        <w:rPr>
          <w:rFonts w:hint="eastAsia" w:ascii="宋体" w:hAnsi="宋体" w:cs="宋体" w:eastAsiaTheme="majorEastAsia"/>
        </w:rPr>
        <w:t>29639  生产经营单位生产安全事故应急预案编制导则</w:t>
      </w:r>
    </w:p>
    <w:p w14:paraId="5CBDFAE8">
      <w:pPr>
        <w:pStyle w:val="259"/>
        <w:outlineLvl w:val="0"/>
        <w:rPr>
          <w:rFonts w:ascii="宋体" w:hAnsi="宋体"/>
        </w:rPr>
      </w:pPr>
      <w:bookmarkStart w:id="7" w:name="_Toc196682320"/>
      <w:r>
        <w:rPr>
          <w:rFonts w:ascii="宋体" w:hAnsi="宋体"/>
        </w:rPr>
        <w:t>术语和定义</w:t>
      </w:r>
      <w:bookmarkEnd w:id="7"/>
    </w:p>
    <w:sdt>
      <w:sdtPr>
        <w:rPr>
          <w:rFonts w:hint="eastAsia" w:hAnsi="宋体" w:cs="宋体"/>
        </w:rPr>
        <w:alias w:val="术语和定义文字描述选择"/>
        <w:tag w:val="术语和定义文字描述选择"/>
        <w:id w:val="-1"/>
        <w:placeholder>
          <w:docPart w:val="F15AA0937B0E4072B2014D8F39C268A5"/>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hAnsi="宋体" w:cs="宋体"/>
        </w:rPr>
      </w:sdtEndPr>
      <w:sdtContent>
        <w:p w14:paraId="7F4F8E17">
          <w:pPr>
            <w:pStyle w:val="258"/>
            <w:ind w:firstLine="420"/>
            <w:rPr>
              <w:rFonts w:hAnsi="宋体"/>
            </w:rPr>
          </w:pPr>
          <w:r>
            <w:rPr>
              <w:rFonts w:hint="eastAsia" w:hAnsi="宋体" w:cs="宋体"/>
            </w:rPr>
            <w:t>下列术语和定义适用于本文件。</w:t>
          </w:r>
        </w:p>
      </w:sdtContent>
    </w:sdt>
    <w:p w14:paraId="2A0AF334">
      <w:pPr>
        <w:pStyle w:val="323"/>
        <w:numPr>
          <w:ilvl w:val="0"/>
          <w:numId w:val="0"/>
        </w:numPr>
        <w:rPr>
          <w:rFonts w:ascii="宋体" w:hAnsi="宋体"/>
          <w:strike/>
        </w:rPr>
      </w:pPr>
    </w:p>
    <w:p w14:paraId="0120ECA2">
      <w:pPr>
        <w:pStyle w:val="323"/>
        <w:rPr>
          <w:rFonts w:ascii="宋体" w:hAnsi="宋体"/>
        </w:rPr>
      </w:pPr>
      <w:r>
        <w:rPr>
          <w:rFonts w:ascii="宋体" w:hAnsi="宋体"/>
        </w:rPr>
        <w:br w:type="textWrapping"/>
      </w:r>
      <w:r>
        <w:rPr>
          <w:rFonts w:ascii="宋体" w:hAnsi="宋体"/>
        </w:rPr>
        <w:t xml:space="preserve">    </w:t>
      </w:r>
      <w:r>
        <w:rPr>
          <w:rFonts w:hint="eastAsia" w:ascii="宋体" w:hAnsi="宋体"/>
        </w:rPr>
        <w:t>含硫化氢天然气井</w:t>
      </w:r>
      <w:r>
        <w:rPr>
          <w:rFonts w:ascii="宋体" w:hAnsi="宋体" w:cs="宋体"/>
        </w:rPr>
        <w:t xml:space="preserve">  </w:t>
      </w:r>
      <w:r>
        <w:rPr>
          <w:rFonts w:ascii="宋体" w:hAnsi="宋体"/>
          <w:b/>
        </w:rPr>
        <w:t xml:space="preserve">natural gas well </w:t>
      </w:r>
      <w:r>
        <w:rPr>
          <w:rFonts w:hint="eastAsia" w:ascii="宋体" w:hAnsi="宋体"/>
          <w:b/>
        </w:rPr>
        <w:t>containing</w:t>
      </w:r>
      <w:r>
        <w:rPr>
          <w:rFonts w:ascii="宋体" w:hAnsi="宋体"/>
          <w:b/>
        </w:rPr>
        <w:t xml:space="preserve"> hydrogen sulfide</w:t>
      </w:r>
    </w:p>
    <w:p w14:paraId="6722B50D">
      <w:pPr>
        <w:ind w:firstLine="420" w:firstLineChars="200"/>
        <w:rPr>
          <w:rFonts w:ascii="宋体" w:hAnsi="宋体" w:eastAsiaTheme="majorEastAsia"/>
        </w:rPr>
      </w:pPr>
      <w:r>
        <w:rPr>
          <w:rFonts w:hint="eastAsia" w:ascii="宋体" w:hAnsi="宋体"/>
        </w:rPr>
        <w:t>地层气体介质硫</w:t>
      </w:r>
      <w:r>
        <w:rPr>
          <w:rFonts w:hint="eastAsia" w:ascii="宋体" w:hAnsi="宋体" w:eastAsiaTheme="majorEastAsia"/>
        </w:rPr>
        <w:t>化氢含量等于或大于75 mg/m</w:t>
      </w:r>
      <w:r>
        <w:rPr>
          <w:rFonts w:hint="eastAsia" w:ascii="宋体" w:hAnsi="宋体" w:eastAsiaTheme="majorEastAsia"/>
          <w:vertAlign w:val="superscript"/>
        </w:rPr>
        <w:t>3</w:t>
      </w:r>
      <w:r>
        <w:rPr>
          <w:rFonts w:hint="eastAsia" w:ascii="宋体" w:hAnsi="宋体" w:eastAsiaTheme="majorEastAsia"/>
        </w:rPr>
        <w:t>（50×10</w:t>
      </w:r>
      <w:r>
        <w:rPr>
          <w:rFonts w:hint="eastAsia" w:ascii="宋体" w:hAnsi="宋体" w:eastAsiaTheme="majorEastAsia"/>
          <w:vertAlign w:val="superscript"/>
        </w:rPr>
        <w:t>-6</w:t>
      </w:r>
      <w:r>
        <w:rPr>
          <w:rFonts w:hint="eastAsia" w:ascii="宋体" w:hAnsi="宋体" w:eastAsiaTheme="majorEastAsia"/>
        </w:rPr>
        <w:t>）的天然气井；或天然气的总压等于或大于0.4 MPa，且硫化氢分压等于或大于0.003 MPa</w:t>
      </w:r>
      <w:r>
        <w:rPr>
          <w:rFonts w:ascii="宋体" w:hAnsi="宋体" w:eastAsiaTheme="majorEastAsia"/>
        </w:rPr>
        <w:t>。</w:t>
      </w:r>
    </w:p>
    <w:p w14:paraId="3988A863">
      <w:pPr>
        <w:ind w:firstLine="420" w:firstLineChars="200"/>
        <w:rPr>
          <w:rFonts w:ascii="宋体" w:hAnsi="宋体" w:eastAsiaTheme="majorEastAsia"/>
          <w:kern w:val="0"/>
          <w:szCs w:val="20"/>
        </w:rPr>
      </w:pPr>
      <w:r>
        <w:rPr>
          <w:rFonts w:hint="eastAsia" w:ascii="宋体" w:hAnsi="宋体" w:eastAsiaTheme="majorEastAsia"/>
          <w:kern w:val="0"/>
          <w:szCs w:val="20"/>
        </w:rPr>
        <w:t>[来源：G</w:t>
      </w:r>
      <w:r>
        <w:rPr>
          <w:rFonts w:ascii="宋体" w:hAnsi="宋体" w:eastAsiaTheme="majorEastAsia"/>
          <w:kern w:val="0"/>
          <w:szCs w:val="20"/>
        </w:rPr>
        <w:t>B 42294—2022</w:t>
      </w:r>
      <w:r>
        <w:rPr>
          <w:rFonts w:hint="eastAsia" w:ascii="宋体" w:hAnsi="宋体" w:eastAsiaTheme="majorEastAsia"/>
          <w:kern w:val="0"/>
          <w:szCs w:val="20"/>
        </w:rPr>
        <w:t>，3</w:t>
      </w:r>
      <w:r>
        <w:rPr>
          <w:rFonts w:ascii="宋体" w:hAnsi="宋体" w:eastAsiaTheme="majorEastAsia"/>
          <w:kern w:val="0"/>
          <w:szCs w:val="20"/>
        </w:rPr>
        <w:t>.2]</w:t>
      </w:r>
    </w:p>
    <w:p w14:paraId="4AB0BC26">
      <w:pPr>
        <w:pStyle w:val="323"/>
        <w:rPr>
          <w:rFonts w:ascii="宋体" w:hAnsi="宋体"/>
        </w:rPr>
      </w:pPr>
      <w:r>
        <w:rPr>
          <w:rFonts w:ascii="宋体" w:hAnsi="宋体"/>
        </w:rPr>
        <w:br w:type="textWrapping"/>
      </w:r>
      <w:r>
        <w:rPr>
          <w:rFonts w:ascii="宋体" w:hAnsi="宋体"/>
        </w:rPr>
        <w:t xml:space="preserve">    </w:t>
      </w:r>
      <w:r>
        <w:rPr>
          <w:rFonts w:hint="eastAsia" w:ascii="宋体" w:hAnsi="宋体"/>
        </w:rPr>
        <w:t>高含硫化氢天然气井</w:t>
      </w:r>
      <w:r>
        <w:rPr>
          <w:rFonts w:ascii="宋体" w:hAnsi="宋体" w:cs="宋体"/>
        </w:rPr>
        <w:t xml:space="preserve"> </w:t>
      </w:r>
      <w:r>
        <w:rPr>
          <w:rFonts w:ascii="宋体" w:hAnsi="宋体"/>
          <w:b/>
        </w:rPr>
        <w:t xml:space="preserve"> natural gas well </w:t>
      </w:r>
      <w:r>
        <w:rPr>
          <w:rFonts w:hint="eastAsia" w:ascii="宋体" w:hAnsi="宋体"/>
          <w:b/>
        </w:rPr>
        <w:t>containing</w:t>
      </w:r>
      <w:r>
        <w:rPr>
          <w:rFonts w:ascii="宋体" w:hAnsi="宋体"/>
          <w:b/>
        </w:rPr>
        <w:t xml:space="preserve"> high hydrogen sulfide</w:t>
      </w:r>
    </w:p>
    <w:p w14:paraId="792EE401">
      <w:pPr>
        <w:pStyle w:val="521"/>
        <w:ind w:firstLine="420"/>
        <w:rPr>
          <w:rFonts w:hAnsi="宋体" w:eastAsiaTheme="majorEastAsia"/>
        </w:rPr>
      </w:pPr>
      <w:r>
        <w:rPr>
          <w:rFonts w:hint="eastAsia" w:hAnsi="宋体"/>
        </w:rPr>
        <w:t>地层气体介质硫化氢</w:t>
      </w:r>
      <w:r>
        <w:rPr>
          <w:rFonts w:hint="eastAsia" w:hAnsi="宋体" w:eastAsiaTheme="majorEastAsia"/>
        </w:rPr>
        <w:t>含量等于或大于30000 mg/m</w:t>
      </w:r>
      <w:r>
        <w:rPr>
          <w:rFonts w:hint="eastAsia" w:hAnsi="宋体" w:eastAsiaTheme="majorEastAsia"/>
          <w:vertAlign w:val="superscript"/>
        </w:rPr>
        <w:t>3</w:t>
      </w:r>
      <w:r>
        <w:rPr>
          <w:rFonts w:hint="eastAsia" w:hAnsi="宋体" w:eastAsiaTheme="majorEastAsia"/>
        </w:rPr>
        <w:t>（20000×10</w:t>
      </w:r>
      <w:r>
        <w:rPr>
          <w:rFonts w:hint="eastAsia" w:hAnsi="宋体" w:eastAsiaTheme="majorEastAsia"/>
          <w:vertAlign w:val="superscript"/>
        </w:rPr>
        <w:t>-6</w:t>
      </w:r>
      <w:r>
        <w:rPr>
          <w:rFonts w:hint="eastAsia" w:hAnsi="宋体" w:eastAsiaTheme="majorEastAsia"/>
        </w:rPr>
        <w:t>）的天然气井。</w:t>
      </w:r>
    </w:p>
    <w:p w14:paraId="16EDF147">
      <w:pPr>
        <w:pStyle w:val="521"/>
        <w:ind w:firstLine="420"/>
        <w:rPr>
          <w:rFonts w:hAnsi="宋体" w:eastAsiaTheme="majorEastAsia"/>
        </w:rPr>
      </w:pPr>
      <w:r>
        <w:rPr>
          <w:rFonts w:hint="eastAsia" w:hAnsi="宋体" w:eastAsiaTheme="majorEastAsia"/>
        </w:rPr>
        <w:t>[来源：GB 42294—2022，3.3]</w:t>
      </w:r>
    </w:p>
    <w:p w14:paraId="414DEE76">
      <w:pPr>
        <w:pStyle w:val="323"/>
        <w:rPr>
          <w:rFonts w:ascii="宋体" w:hAnsi="宋体"/>
        </w:rPr>
      </w:pPr>
      <w:r>
        <w:rPr>
          <w:rFonts w:ascii="宋体" w:hAnsi="宋体"/>
        </w:rPr>
        <w:br w:type="textWrapping"/>
      </w:r>
      <w:r>
        <w:rPr>
          <w:rFonts w:ascii="宋体" w:hAnsi="宋体"/>
        </w:rPr>
        <w:t xml:space="preserve">    </w:t>
      </w:r>
      <w:r>
        <w:rPr>
          <w:rFonts w:hint="eastAsia" w:ascii="宋体" w:hAnsi="宋体"/>
        </w:rPr>
        <w:t xml:space="preserve">硫化氢释放速率 </w:t>
      </w:r>
      <w:r>
        <w:rPr>
          <w:rFonts w:ascii="宋体" w:hAnsi="宋体"/>
        </w:rPr>
        <w:t xml:space="preserve"> </w:t>
      </w:r>
      <w:r>
        <w:rPr>
          <w:rFonts w:hint="eastAsia" w:ascii="宋体" w:hAnsi="宋体"/>
          <w:b/>
          <w:bCs/>
        </w:rPr>
        <w:t>release rate of hydrogen sulfide</w:t>
      </w:r>
    </w:p>
    <w:p w14:paraId="65C1EB26">
      <w:pPr>
        <w:pStyle w:val="521"/>
        <w:ind w:firstLine="420"/>
        <w:rPr>
          <w:rFonts w:hAnsi="宋体"/>
        </w:rPr>
      </w:pPr>
      <w:r>
        <w:rPr>
          <w:rFonts w:hint="eastAsia" w:hAnsi="宋体"/>
        </w:rPr>
        <w:t>事故状态下含硫化氢天</w:t>
      </w:r>
      <w:r>
        <w:rPr>
          <w:rFonts w:hint="eastAsia" w:hAnsi="宋体" w:eastAsiaTheme="majorEastAsia"/>
        </w:rPr>
        <w:t>然气井单位时间内向大气中释放的硫化氢的量，在标准状况下（温度为0℃，压力为1标准大气压），用单位m</w:t>
      </w:r>
      <w:r>
        <w:rPr>
          <w:rFonts w:hint="eastAsia" w:hAnsi="宋体" w:eastAsiaTheme="majorEastAsia"/>
          <w:vertAlign w:val="superscript"/>
        </w:rPr>
        <w:t>3</w:t>
      </w:r>
      <w:r>
        <w:rPr>
          <w:rFonts w:hint="eastAsia" w:hAnsi="宋体" w:eastAsiaTheme="majorEastAsia"/>
        </w:rPr>
        <w:t>/s表示</w:t>
      </w:r>
      <w:r>
        <w:rPr>
          <w:rFonts w:hAnsi="宋体" w:eastAsiaTheme="majorEastAsia"/>
        </w:rPr>
        <w:t>。</w:t>
      </w:r>
    </w:p>
    <w:p w14:paraId="5B66F92E">
      <w:pPr>
        <w:pStyle w:val="521"/>
        <w:ind w:firstLine="420"/>
        <w:rPr>
          <w:rFonts w:hAnsi="宋体"/>
        </w:rPr>
      </w:pPr>
    </w:p>
    <w:p w14:paraId="18723487">
      <w:pPr>
        <w:pStyle w:val="323"/>
        <w:rPr>
          <w:rFonts w:ascii="宋体" w:hAnsi="宋体"/>
        </w:rPr>
      </w:pPr>
      <w:r>
        <w:rPr>
          <w:rFonts w:ascii="宋体" w:hAnsi="宋体"/>
        </w:rPr>
        <w:br w:type="textWrapping"/>
      </w:r>
      <w:r>
        <w:rPr>
          <w:rFonts w:ascii="宋体" w:hAnsi="宋体"/>
        </w:rPr>
        <w:t xml:space="preserve">    </w:t>
      </w:r>
      <w:r>
        <w:rPr>
          <w:rFonts w:hint="eastAsia" w:ascii="宋体" w:hAnsi="宋体"/>
        </w:rPr>
        <w:t xml:space="preserve">硫化氢环境 </w:t>
      </w:r>
      <w:r>
        <w:rPr>
          <w:rFonts w:hint="eastAsia" w:ascii="宋体" w:hAnsi="宋体"/>
          <w:b/>
          <w:bCs/>
        </w:rPr>
        <w:t xml:space="preserve"> hydrogen sulfide environment</w:t>
      </w:r>
      <w:r>
        <w:rPr>
          <w:rFonts w:ascii="宋体" w:hAnsi="宋体"/>
        </w:rPr>
        <w:t xml:space="preserve"> </w:t>
      </w:r>
    </w:p>
    <w:p w14:paraId="7055D836">
      <w:pPr>
        <w:pStyle w:val="521"/>
        <w:ind w:firstLine="420"/>
        <w:rPr>
          <w:rFonts w:hAnsi="宋体"/>
        </w:rPr>
      </w:pPr>
      <w:r>
        <w:rPr>
          <w:rFonts w:hint="eastAsia" w:hAnsi="宋体"/>
        </w:rPr>
        <w:t>含有或可能含有硫化氢的区域。</w:t>
      </w:r>
    </w:p>
    <w:p w14:paraId="28548029">
      <w:pPr>
        <w:pStyle w:val="521"/>
        <w:ind w:firstLine="360"/>
        <w:rPr>
          <w:rFonts w:hAnsi="宋体" w:eastAsia="黑体"/>
          <w:kern w:val="2"/>
          <w:sz w:val="18"/>
          <w:szCs w:val="18"/>
        </w:rPr>
      </w:pPr>
      <w:r>
        <w:rPr>
          <w:rFonts w:hint="eastAsia" w:hAnsi="宋体" w:eastAsia="黑体"/>
          <w:kern w:val="2"/>
          <w:sz w:val="18"/>
          <w:szCs w:val="18"/>
        </w:rPr>
        <w:t>注1：</w:t>
      </w:r>
      <w:r>
        <w:rPr>
          <w:rFonts w:hint="eastAsia" w:hAnsi="宋体" w:eastAsiaTheme="majorEastAsia"/>
          <w:kern w:val="2"/>
          <w:sz w:val="18"/>
          <w:szCs w:val="18"/>
        </w:rPr>
        <w:t>未采取任何人身防护措施，不会对人身健康产生伤害的硫化氢气体的最高浓度为15 mg/m</w:t>
      </w:r>
      <w:r>
        <w:rPr>
          <w:rFonts w:hint="eastAsia" w:hAnsi="宋体" w:eastAsiaTheme="majorEastAsia"/>
          <w:kern w:val="2"/>
          <w:sz w:val="18"/>
          <w:szCs w:val="18"/>
          <w:vertAlign w:val="superscript"/>
        </w:rPr>
        <w:t>3</w:t>
      </w:r>
      <w:r>
        <w:rPr>
          <w:rFonts w:hint="eastAsia" w:hAnsi="宋体" w:eastAsiaTheme="majorEastAsia"/>
          <w:kern w:val="2"/>
          <w:sz w:val="18"/>
          <w:szCs w:val="18"/>
        </w:rPr>
        <w:t xml:space="preserve"> （10×10</w:t>
      </w:r>
      <w:r>
        <w:rPr>
          <w:rFonts w:hint="eastAsia" w:hAnsi="宋体" w:eastAsiaTheme="majorEastAsia"/>
          <w:kern w:val="2"/>
          <w:sz w:val="18"/>
          <w:szCs w:val="18"/>
          <w:vertAlign w:val="superscript"/>
        </w:rPr>
        <w:t>-6</w:t>
      </w:r>
      <w:r>
        <w:rPr>
          <w:rFonts w:hint="eastAsia" w:hAnsi="宋体" w:eastAsiaTheme="majorEastAsia"/>
          <w:kern w:val="2"/>
          <w:sz w:val="18"/>
          <w:szCs w:val="18"/>
        </w:rPr>
        <w:t>）</w:t>
      </w:r>
      <w:r>
        <w:rPr>
          <w:rFonts w:hint="eastAsia" w:hAnsi="宋体" w:eastAsia="黑体"/>
          <w:kern w:val="2"/>
          <w:sz w:val="18"/>
          <w:szCs w:val="18"/>
        </w:rPr>
        <w:t>。</w:t>
      </w:r>
    </w:p>
    <w:p w14:paraId="4CC57824">
      <w:pPr>
        <w:pStyle w:val="521"/>
        <w:ind w:firstLine="360"/>
        <w:rPr>
          <w:rFonts w:hAnsi="宋体" w:eastAsiaTheme="majorEastAsia"/>
          <w:kern w:val="2"/>
          <w:sz w:val="18"/>
          <w:szCs w:val="18"/>
        </w:rPr>
      </w:pPr>
      <w:r>
        <w:rPr>
          <w:rFonts w:hint="eastAsia" w:hAnsi="宋体" w:eastAsia="黑体"/>
          <w:kern w:val="2"/>
          <w:sz w:val="18"/>
          <w:szCs w:val="18"/>
        </w:rPr>
        <w:t>注2：</w:t>
      </w:r>
      <w:r>
        <w:rPr>
          <w:rFonts w:hint="eastAsia" w:hAnsi="宋体" w:eastAsiaTheme="majorEastAsia"/>
          <w:kern w:val="2"/>
          <w:sz w:val="18"/>
          <w:szCs w:val="18"/>
        </w:rPr>
        <w:t>8h内未采取任何人身防护措施，可接受的硫化氢气体最高浓度为30 mg/m</w:t>
      </w:r>
      <w:r>
        <w:rPr>
          <w:rFonts w:hint="eastAsia" w:hAnsi="宋体" w:eastAsiaTheme="majorEastAsia"/>
          <w:kern w:val="2"/>
          <w:sz w:val="18"/>
          <w:szCs w:val="18"/>
          <w:vertAlign w:val="superscript"/>
        </w:rPr>
        <w:t>3</w:t>
      </w:r>
      <w:r>
        <w:rPr>
          <w:rFonts w:hint="eastAsia" w:hAnsi="宋体" w:eastAsiaTheme="majorEastAsia"/>
          <w:kern w:val="2"/>
          <w:sz w:val="18"/>
          <w:szCs w:val="18"/>
        </w:rPr>
        <w:t>（20×10</w:t>
      </w:r>
      <w:r>
        <w:rPr>
          <w:rFonts w:hint="eastAsia" w:hAnsi="宋体" w:eastAsiaTheme="majorEastAsia"/>
          <w:kern w:val="2"/>
          <w:sz w:val="18"/>
          <w:szCs w:val="18"/>
          <w:vertAlign w:val="superscript"/>
        </w:rPr>
        <w:t>-6</w:t>
      </w:r>
      <w:r>
        <w:rPr>
          <w:rFonts w:hint="eastAsia" w:hAnsi="宋体" w:eastAsiaTheme="majorEastAsia"/>
          <w:kern w:val="2"/>
          <w:sz w:val="18"/>
          <w:szCs w:val="18"/>
        </w:rPr>
        <w:t>）。</w:t>
      </w:r>
    </w:p>
    <w:p w14:paraId="4E9ECF59">
      <w:pPr>
        <w:pStyle w:val="521"/>
        <w:ind w:firstLine="360"/>
        <w:rPr>
          <w:rFonts w:hAnsi="宋体" w:eastAsiaTheme="majorEastAsia"/>
          <w:kern w:val="2"/>
          <w:sz w:val="18"/>
          <w:szCs w:val="18"/>
        </w:rPr>
      </w:pPr>
      <w:r>
        <w:rPr>
          <w:rFonts w:hint="eastAsia" w:hAnsi="宋体" w:eastAsia="黑体"/>
          <w:kern w:val="2"/>
          <w:sz w:val="18"/>
          <w:szCs w:val="18"/>
        </w:rPr>
        <w:t>注3：</w:t>
      </w:r>
      <w:r>
        <w:rPr>
          <w:rFonts w:hint="eastAsia" w:hAnsi="宋体" w:eastAsiaTheme="majorEastAsia"/>
          <w:kern w:val="2"/>
          <w:sz w:val="18"/>
          <w:szCs w:val="18"/>
        </w:rPr>
        <w:t>未采取任何人身防护措施，对人身健康会产生不可逆转或延迟性影响的硫化氢气体最低浓度值为150 mg/m</w:t>
      </w:r>
      <w:r>
        <w:rPr>
          <w:rFonts w:hint="eastAsia" w:hAnsi="宋体" w:eastAsiaTheme="majorEastAsia"/>
          <w:kern w:val="2"/>
          <w:sz w:val="18"/>
          <w:szCs w:val="18"/>
          <w:vertAlign w:val="superscript"/>
        </w:rPr>
        <w:t>3</w:t>
      </w:r>
      <w:r>
        <w:rPr>
          <w:rFonts w:hint="eastAsia" w:hAnsi="宋体" w:eastAsiaTheme="majorEastAsia"/>
          <w:kern w:val="2"/>
          <w:sz w:val="18"/>
          <w:szCs w:val="18"/>
        </w:rPr>
        <w:t>（100×10</w:t>
      </w:r>
      <w:r>
        <w:rPr>
          <w:rFonts w:hint="eastAsia" w:hAnsi="宋体" w:eastAsiaTheme="majorEastAsia"/>
          <w:kern w:val="2"/>
          <w:sz w:val="18"/>
          <w:szCs w:val="18"/>
          <w:vertAlign w:val="superscript"/>
        </w:rPr>
        <w:t>-6</w:t>
      </w:r>
      <w:r>
        <w:rPr>
          <w:rFonts w:hint="eastAsia" w:hAnsi="宋体" w:eastAsiaTheme="majorEastAsia"/>
          <w:kern w:val="2"/>
          <w:sz w:val="18"/>
          <w:szCs w:val="18"/>
        </w:rPr>
        <w:t>）。</w:t>
      </w:r>
    </w:p>
    <w:p w14:paraId="3D85741B">
      <w:pPr>
        <w:pStyle w:val="521"/>
        <w:ind w:firstLine="420"/>
        <w:rPr>
          <w:rFonts w:hAnsi="宋体"/>
        </w:rPr>
      </w:pPr>
      <w:r>
        <w:rPr>
          <w:rFonts w:hint="eastAsia" w:hAnsi="宋体"/>
        </w:rPr>
        <w:t>[来源：GB 42294—2022，3.</w:t>
      </w:r>
      <w:r>
        <w:rPr>
          <w:rFonts w:hAnsi="宋体"/>
        </w:rPr>
        <w:t>1</w:t>
      </w:r>
      <w:r>
        <w:rPr>
          <w:rFonts w:hint="eastAsia" w:hAnsi="宋体"/>
        </w:rPr>
        <w:t>]</w:t>
      </w:r>
    </w:p>
    <w:p w14:paraId="43C4036E">
      <w:pPr>
        <w:pStyle w:val="323"/>
        <w:rPr>
          <w:rFonts w:ascii="宋体" w:hAnsi="宋体"/>
        </w:rPr>
      </w:pPr>
    </w:p>
    <w:p w14:paraId="51C461B6">
      <w:pPr>
        <w:pStyle w:val="323"/>
        <w:numPr>
          <w:ilvl w:val="0"/>
          <w:numId w:val="0"/>
        </w:numPr>
        <w:rPr>
          <w:rFonts w:ascii="宋体" w:hAnsi="宋体"/>
        </w:rPr>
      </w:pPr>
      <w:r>
        <w:rPr>
          <w:rFonts w:hint="eastAsia" w:ascii="宋体" w:hAnsi="宋体"/>
        </w:rPr>
        <w:t xml:space="preserve">    安全临界浓度  </w:t>
      </w:r>
      <w:r>
        <w:rPr>
          <w:rFonts w:hint="eastAsia" w:ascii="宋体" w:hAnsi="宋体"/>
          <w:b/>
          <w:bCs/>
        </w:rPr>
        <w:t>safety critical concentration</w:t>
      </w:r>
    </w:p>
    <w:p w14:paraId="75E55948">
      <w:pPr>
        <w:pStyle w:val="521"/>
        <w:ind w:firstLine="420"/>
        <w:rPr>
          <w:rFonts w:hAnsi="宋体"/>
        </w:rPr>
      </w:pPr>
      <w:r>
        <w:rPr>
          <w:rFonts w:hint="eastAsia" w:hAnsi="宋体"/>
        </w:rPr>
        <w:t>在硫化氢环境中</w:t>
      </w:r>
      <w:r>
        <w:rPr>
          <w:rFonts w:hint="eastAsia" w:hAnsi="宋体" w:eastAsiaTheme="majorEastAsia"/>
        </w:rPr>
        <w:t>8h</w:t>
      </w:r>
      <w:r>
        <w:rPr>
          <w:rFonts w:hint="eastAsia" w:hAnsi="宋体"/>
        </w:rPr>
        <w:t>内未采取任何人身防护措施，可接受的硫化氢气体最高浓度值。</w:t>
      </w:r>
    </w:p>
    <w:p w14:paraId="7A9F1B02">
      <w:pPr>
        <w:pStyle w:val="521"/>
        <w:ind w:firstLine="360"/>
        <w:rPr>
          <w:rFonts w:hAnsi="宋体" w:eastAsia="黑体" w:cs="黑体"/>
          <w:sz w:val="18"/>
          <w:szCs w:val="18"/>
        </w:rPr>
      </w:pPr>
      <w:r>
        <w:rPr>
          <w:rFonts w:hint="eastAsia" w:hAnsi="宋体" w:eastAsia="黑体" w:cs="黑体"/>
          <w:sz w:val="18"/>
          <w:szCs w:val="18"/>
        </w:rPr>
        <w:t>注：</w:t>
      </w:r>
      <w:r>
        <w:rPr>
          <w:rFonts w:hint="eastAsia" w:hAnsi="宋体" w:cs="黑体" w:eastAsiaTheme="majorEastAsia"/>
          <w:sz w:val="18"/>
          <w:szCs w:val="18"/>
        </w:rPr>
        <w:t>本文件中的安全临界浓度为30 mg/m</w:t>
      </w:r>
      <w:r>
        <w:rPr>
          <w:rFonts w:hint="eastAsia" w:hAnsi="宋体" w:cs="黑体" w:eastAsiaTheme="majorEastAsia"/>
          <w:sz w:val="18"/>
          <w:szCs w:val="18"/>
          <w:vertAlign w:val="superscript"/>
        </w:rPr>
        <w:t>3</w:t>
      </w:r>
      <w:r>
        <w:rPr>
          <w:rFonts w:hint="eastAsia" w:hAnsi="宋体" w:cs="黑体" w:eastAsiaTheme="majorEastAsia"/>
          <w:sz w:val="18"/>
          <w:szCs w:val="18"/>
        </w:rPr>
        <w:t>（20×10</w:t>
      </w:r>
      <w:r>
        <w:rPr>
          <w:rFonts w:hint="eastAsia" w:hAnsi="宋体" w:cs="黑体" w:eastAsiaTheme="majorEastAsia"/>
          <w:sz w:val="18"/>
          <w:szCs w:val="18"/>
          <w:vertAlign w:val="superscript"/>
        </w:rPr>
        <w:t>-6</w:t>
      </w:r>
      <w:r>
        <w:rPr>
          <w:rFonts w:hint="eastAsia" w:hAnsi="宋体" w:cs="黑体" w:eastAsiaTheme="majorEastAsia"/>
          <w:sz w:val="18"/>
          <w:szCs w:val="18"/>
        </w:rPr>
        <w:t>）。</w:t>
      </w:r>
    </w:p>
    <w:p w14:paraId="44DC25AB">
      <w:pPr>
        <w:pStyle w:val="259"/>
        <w:outlineLvl w:val="0"/>
        <w:rPr>
          <w:rFonts w:ascii="宋体" w:hAnsi="宋体"/>
        </w:rPr>
      </w:pPr>
      <w:bookmarkStart w:id="8" w:name="_Toc196682321"/>
      <w:r>
        <w:rPr>
          <w:rFonts w:ascii="宋体" w:hAnsi="宋体"/>
        </w:rPr>
        <w:t>总体要求</w:t>
      </w:r>
      <w:bookmarkEnd w:id="8"/>
    </w:p>
    <w:p w14:paraId="4C9DFA65">
      <w:pPr>
        <w:pStyle w:val="260"/>
        <w:outlineLvl w:val="1"/>
        <w:rPr>
          <w:rFonts w:ascii="宋体" w:hAnsi="宋体"/>
        </w:rPr>
      </w:pPr>
      <w:bookmarkStart w:id="9" w:name="_Toc196682322"/>
      <w:bookmarkStart w:id="10" w:name="_Hlk194484672"/>
      <w:r>
        <w:rPr>
          <w:rFonts w:hint="eastAsia" w:ascii="宋体" w:hAnsi="宋体"/>
        </w:rPr>
        <w:t>安全管理</w:t>
      </w:r>
      <w:bookmarkEnd w:id="9"/>
    </w:p>
    <w:bookmarkEnd w:id="10"/>
    <w:p w14:paraId="639BD665">
      <w:pPr>
        <w:pStyle w:val="326"/>
        <w:rPr>
          <w:rFonts w:ascii="宋体" w:hAnsi="宋体"/>
        </w:rPr>
      </w:pPr>
      <w:r>
        <w:rPr>
          <w:rFonts w:hint="eastAsia" w:ascii="宋体" w:hAnsi="宋体"/>
        </w:rPr>
        <w:t>企业</w:t>
      </w:r>
      <w:r>
        <w:rPr>
          <w:rFonts w:ascii="宋体" w:hAnsi="宋体"/>
        </w:rPr>
        <w:t>应建立并实施安全管理体系，</w:t>
      </w:r>
      <w:r>
        <w:rPr>
          <w:rFonts w:hint="eastAsia" w:ascii="宋体" w:hAnsi="宋体"/>
        </w:rPr>
        <w:t>制定硫化氢防护管理制度，包括但不限于以下内容：</w:t>
      </w:r>
    </w:p>
    <w:p w14:paraId="6C7CDB7F">
      <w:pPr>
        <w:pStyle w:val="305"/>
        <w:numPr>
          <w:ilvl w:val="0"/>
          <w:numId w:val="30"/>
        </w:numPr>
        <w:rPr>
          <w:rFonts w:hAnsi="宋体"/>
        </w:rPr>
      </w:pPr>
      <w:r>
        <w:rPr>
          <w:rFonts w:hint="eastAsia" w:hAnsi="宋体"/>
        </w:rPr>
        <w:t>从业人员培训与教育；</w:t>
      </w:r>
    </w:p>
    <w:p w14:paraId="0CFD8C2E">
      <w:pPr>
        <w:pStyle w:val="305"/>
        <w:rPr>
          <w:rFonts w:hAnsi="宋体"/>
        </w:rPr>
      </w:pPr>
      <w:r>
        <w:rPr>
          <w:rFonts w:hint="eastAsia" w:hAnsi="宋体"/>
        </w:rPr>
        <w:t>人身防护用品管理；</w:t>
      </w:r>
    </w:p>
    <w:p w14:paraId="75F769B2">
      <w:pPr>
        <w:pStyle w:val="305"/>
        <w:rPr>
          <w:rFonts w:hAnsi="宋体"/>
        </w:rPr>
      </w:pPr>
      <w:r>
        <w:rPr>
          <w:rFonts w:hint="eastAsia" w:hAnsi="宋体"/>
        </w:rPr>
        <w:t>硫化氢浓度检测管理；</w:t>
      </w:r>
    </w:p>
    <w:p w14:paraId="2F9EB937">
      <w:pPr>
        <w:pStyle w:val="305"/>
        <w:rPr>
          <w:rFonts w:hAnsi="宋体"/>
        </w:rPr>
      </w:pPr>
      <w:r>
        <w:rPr>
          <w:rFonts w:hint="eastAsia" w:hAnsi="宋体"/>
        </w:rPr>
        <w:t>硫化氢中毒应急管理。</w:t>
      </w:r>
    </w:p>
    <w:p w14:paraId="77344E04">
      <w:pPr>
        <w:pStyle w:val="326"/>
        <w:rPr>
          <w:rFonts w:ascii="宋体" w:hAnsi="宋体"/>
        </w:rPr>
      </w:pPr>
      <w:r>
        <w:rPr>
          <w:rFonts w:hint="eastAsia" w:ascii="宋体" w:hAnsi="宋体"/>
        </w:rPr>
        <w:t>企业</w:t>
      </w:r>
      <w:r>
        <w:rPr>
          <w:rFonts w:ascii="宋体" w:hAnsi="宋体"/>
        </w:rPr>
        <w:t>应</w:t>
      </w:r>
      <w:r>
        <w:rPr>
          <w:rFonts w:hint="eastAsia" w:ascii="宋体" w:hAnsi="宋体"/>
        </w:rPr>
        <w:t>建立硫化氢环境现场资料，包括但不限于以下内容：</w:t>
      </w:r>
    </w:p>
    <w:p w14:paraId="2CA1E3E5">
      <w:pPr>
        <w:pStyle w:val="305"/>
        <w:numPr>
          <w:ilvl w:val="0"/>
          <w:numId w:val="31"/>
        </w:numPr>
        <w:rPr>
          <w:rFonts w:hAnsi="宋体"/>
        </w:rPr>
      </w:pPr>
      <w:r>
        <w:rPr>
          <w:rFonts w:hint="eastAsia" w:hAnsi="宋体"/>
        </w:rPr>
        <w:t>人员持证及教育登记档案；</w:t>
      </w:r>
    </w:p>
    <w:p w14:paraId="59B08628">
      <w:pPr>
        <w:pStyle w:val="305"/>
        <w:numPr>
          <w:ilvl w:val="0"/>
          <w:numId w:val="31"/>
        </w:numPr>
        <w:rPr>
          <w:rFonts w:hAnsi="宋体"/>
        </w:rPr>
      </w:pPr>
      <w:r>
        <w:rPr>
          <w:rFonts w:hint="eastAsia" w:hAnsi="宋体"/>
        </w:rPr>
        <w:t>人身防护用品档案；</w:t>
      </w:r>
    </w:p>
    <w:p w14:paraId="64178EAF">
      <w:pPr>
        <w:pStyle w:val="305"/>
        <w:numPr>
          <w:ilvl w:val="0"/>
          <w:numId w:val="31"/>
        </w:numPr>
        <w:rPr>
          <w:rFonts w:hAnsi="宋体"/>
        </w:rPr>
      </w:pPr>
      <w:r>
        <w:rPr>
          <w:rFonts w:hint="eastAsia" w:hAnsi="宋体"/>
        </w:rPr>
        <w:t>人身防护用品检查记录；</w:t>
      </w:r>
    </w:p>
    <w:p w14:paraId="76C9CDD3">
      <w:pPr>
        <w:pStyle w:val="305"/>
        <w:numPr>
          <w:ilvl w:val="0"/>
          <w:numId w:val="31"/>
        </w:numPr>
        <w:rPr>
          <w:rFonts w:hAnsi="宋体"/>
        </w:rPr>
      </w:pPr>
      <w:r>
        <w:rPr>
          <w:rFonts w:hint="eastAsia" w:hAnsi="宋体"/>
        </w:rPr>
        <w:t>硫化氢浓度检测记录；</w:t>
      </w:r>
    </w:p>
    <w:p w14:paraId="36EA1A54">
      <w:pPr>
        <w:pStyle w:val="305"/>
        <w:numPr>
          <w:ilvl w:val="0"/>
          <w:numId w:val="31"/>
        </w:numPr>
        <w:rPr>
          <w:rFonts w:hAnsi="宋体"/>
        </w:rPr>
      </w:pPr>
      <w:r>
        <w:rPr>
          <w:rFonts w:hint="eastAsia" w:hAnsi="宋体"/>
        </w:rPr>
        <w:t>硫化氢中毒应急演练记录。</w:t>
      </w:r>
    </w:p>
    <w:p w14:paraId="4E00D9F6">
      <w:pPr>
        <w:pStyle w:val="260"/>
        <w:outlineLvl w:val="1"/>
        <w:rPr>
          <w:rFonts w:ascii="宋体" w:hAnsi="宋体"/>
        </w:rPr>
      </w:pPr>
      <w:bookmarkStart w:id="11" w:name="_Toc196682323"/>
      <w:r>
        <w:rPr>
          <w:rFonts w:hint="eastAsia" w:ascii="宋体" w:hAnsi="宋体"/>
        </w:rPr>
        <w:t>人员培训</w:t>
      </w:r>
      <w:bookmarkEnd w:id="11"/>
    </w:p>
    <w:p w14:paraId="11B69D38">
      <w:pPr>
        <w:pStyle w:val="326"/>
        <w:rPr>
          <w:rFonts w:ascii="宋体" w:hAnsi="宋体"/>
        </w:rPr>
      </w:pPr>
      <w:bookmarkStart w:id="12" w:name="_Toc6496"/>
      <w:bookmarkStart w:id="13" w:name="_Toc3583"/>
      <w:r>
        <w:rPr>
          <w:rFonts w:hint="eastAsia" w:ascii="宋体" w:hAnsi="宋体"/>
        </w:rPr>
        <w:t>硫化氢环境中从事作业活动的人员，上岗前应按照4.</w:t>
      </w:r>
      <w:r>
        <w:rPr>
          <w:rFonts w:ascii="宋体" w:hAnsi="宋体"/>
        </w:rPr>
        <w:t>2.2</w:t>
      </w:r>
      <w:r>
        <w:rPr>
          <w:rFonts w:hint="eastAsia" w:ascii="宋体" w:hAnsi="宋体"/>
        </w:rPr>
        <w:t>的要求接受硫化氢防护培训，取得培训合格证书后方可上岗工作，并定期开展复训</w:t>
      </w:r>
      <w:r>
        <w:rPr>
          <w:rFonts w:ascii="宋体" w:hAnsi="宋体"/>
        </w:rPr>
        <w:t>。</w:t>
      </w:r>
      <w:bookmarkEnd w:id="12"/>
      <w:bookmarkEnd w:id="13"/>
    </w:p>
    <w:p w14:paraId="25BA2192">
      <w:pPr>
        <w:pStyle w:val="326"/>
        <w:rPr>
          <w:rFonts w:ascii="宋体" w:hAnsi="宋体"/>
        </w:rPr>
      </w:pPr>
      <w:r>
        <w:rPr>
          <w:rFonts w:hint="eastAsia" w:ascii="宋体" w:hAnsi="宋体"/>
        </w:rPr>
        <w:t>硫化氢防护培训应包括但不限于以下内容：</w:t>
      </w:r>
    </w:p>
    <w:p w14:paraId="70A6A8AA">
      <w:pPr>
        <w:pStyle w:val="305"/>
        <w:numPr>
          <w:ilvl w:val="0"/>
          <w:numId w:val="32"/>
        </w:numPr>
        <w:rPr>
          <w:rFonts w:hAnsi="宋体"/>
        </w:rPr>
      </w:pPr>
      <w:r>
        <w:rPr>
          <w:rFonts w:hAnsi="宋体"/>
        </w:rPr>
        <w:t>基础知识</w:t>
      </w:r>
      <w:r>
        <w:rPr>
          <w:rFonts w:hint="eastAsia" w:hAnsi="宋体"/>
        </w:rPr>
        <w:t>，包括硫化氢理化性质、毒害、健康危害、中毒表现、硫化亚铁自燃条件及预防措施；</w:t>
      </w:r>
    </w:p>
    <w:p w14:paraId="44A17EAA">
      <w:pPr>
        <w:pStyle w:val="305"/>
        <w:rPr>
          <w:rFonts w:hAnsi="宋体"/>
        </w:rPr>
      </w:pPr>
      <w:r>
        <w:rPr>
          <w:rFonts w:hint="eastAsia" w:hAnsi="宋体"/>
        </w:rPr>
        <w:t>硫化氢防护相关的标准和管理规定；</w:t>
      </w:r>
    </w:p>
    <w:p w14:paraId="028511CF">
      <w:pPr>
        <w:pStyle w:val="305"/>
        <w:rPr>
          <w:rFonts w:hAnsi="宋体"/>
        </w:rPr>
      </w:pPr>
      <w:r>
        <w:rPr>
          <w:rFonts w:hint="eastAsia" w:hAnsi="宋体"/>
        </w:rPr>
        <w:t>作业要求，包括作业过程中硫化氢的预防、设备的配备及日常检查；</w:t>
      </w:r>
    </w:p>
    <w:p w14:paraId="4608E1B4">
      <w:pPr>
        <w:pStyle w:val="305"/>
        <w:rPr>
          <w:rFonts w:hAnsi="宋体"/>
        </w:rPr>
      </w:pPr>
      <w:r>
        <w:rPr>
          <w:rFonts w:hint="eastAsia" w:hAnsi="宋体"/>
        </w:rPr>
        <w:t>安全设施的使用及维护要求，包括</w:t>
      </w:r>
      <w:r>
        <w:rPr>
          <w:rFonts w:hAnsi="宋体"/>
        </w:rPr>
        <w:t>固定式硫化氢检测报警系统</w:t>
      </w:r>
      <w:r>
        <w:rPr>
          <w:rFonts w:hint="eastAsia" w:hAnsi="宋体"/>
        </w:rPr>
        <w:t>、</w:t>
      </w:r>
      <w:r>
        <w:rPr>
          <w:rFonts w:hAnsi="宋体"/>
        </w:rPr>
        <w:t>点火</w:t>
      </w:r>
      <w:r>
        <w:rPr>
          <w:rFonts w:hint="eastAsia" w:hAnsi="宋体"/>
        </w:rPr>
        <w:t>（</w:t>
      </w:r>
      <w:r>
        <w:rPr>
          <w:rFonts w:hAnsi="宋体"/>
        </w:rPr>
        <w:t>放空</w:t>
      </w:r>
      <w:r>
        <w:rPr>
          <w:rFonts w:hint="eastAsia" w:hAnsi="宋体"/>
        </w:rPr>
        <w:t>）</w:t>
      </w:r>
      <w:r>
        <w:rPr>
          <w:rFonts w:hAnsi="宋体"/>
        </w:rPr>
        <w:t>装置</w:t>
      </w:r>
      <w:r>
        <w:rPr>
          <w:rFonts w:hint="eastAsia" w:hAnsi="宋体"/>
        </w:rPr>
        <w:t>、</w:t>
      </w:r>
      <w:r>
        <w:rPr>
          <w:rFonts w:hAnsi="宋体"/>
        </w:rPr>
        <w:t>空气压缩机</w:t>
      </w:r>
      <w:r>
        <w:rPr>
          <w:rFonts w:hint="eastAsia" w:hAnsi="宋体"/>
        </w:rPr>
        <w:t>、</w:t>
      </w:r>
      <w:r>
        <w:rPr>
          <w:rFonts w:hAnsi="宋体"/>
        </w:rPr>
        <w:t>风向标</w:t>
      </w:r>
      <w:r>
        <w:rPr>
          <w:rFonts w:hint="eastAsia" w:hAnsi="宋体"/>
        </w:rPr>
        <w:t>、</w:t>
      </w:r>
      <w:r>
        <w:rPr>
          <w:rFonts w:hAnsi="宋体"/>
        </w:rPr>
        <w:t>通风排气装置</w:t>
      </w:r>
      <w:r>
        <w:rPr>
          <w:rFonts w:hint="eastAsia" w:hAnsi="宋体"/>
        </w:rPr>
        <w:t>、</w:t>
      </w:r>
      <w:r>
        <w:rPr>
          <w:rFonts w:hAnsi="宋体"/>
        </w:rPr>
        <w:t>报警装置</w:t>
      </w:r>
      <w:r>
        <w:rPr>
          <w:rFonts w:hint="eastAsia" w:hAnsi="宋体"/>
        </w:rPr>
        <w:t>、</w:t>
      </w:r>
      <w:r>
        <w:rPr>
          <w:rFonts w:hAnsi="宋体"/>
        </w:rPr>
        <w:t>逃生设施</w:t>
      </w:r>
      <w:r>
        <w:rPr>
          <w:rFonts w:hint="eastAsia" w:hAnsi="宋体"/>
        </w:rPr>
        <w:t>、</w:t>
      </w:r>
      <w:r>
        <w:rPr>
          <w:rFonts w:hAnsi="宋体"/>
        </w:rPr>
        <w:t>安全警示</w:t>
      </w:r>
      <w:r>
        <w:rPr>
          <w:rFonts w:hint="eastAsia" w:hAnsi="宋体"/>
        </w:rPr>
        <w:t>；</w:t>
      </w:r>
    </w:p>
    <w:p w14:paraId="5DC79660">
      <w:pPr>
        <w:pStyle w:val="305"/>
        <w:rPr>
          <w:rFonts w:hAnsi="宋体"/>
        </w:rPr>
      </w:pPr>
      <w:r>
        <w:rPr>
          <w:rFonts w:hint="eastAsia" w:hAnsi="宋体"/>
        </w:rPr>
        <w:t>个体防护用品的使用及维护要求，包括</w:t>
      </w:r>
      <w:r>
        <w:rPr>
          <w:rFonts w:hAnsi="宋体"/>
        </w:rPr>
        <w:t>便携式硫化氢检测仪</w:t>
      </w:r>
      <w:r>
        <w:rPr>
          <w:rFonts w:hint="eastAsia" w:hAnsi="宋体"/>
        </w:rPr>
        <w:t>、</w:t>
      </w:r>
      <w:r>
        <w:rPr>
          <w:rFonts w:hAnsi="宋体"/>
        </w:rPr>
        <w:t>洗眼器</w:t>
      </w:r>
      <w:r>
        <w:rPr>
          <w:rFonts w:hint="eastAsia" w:hAnsi="宋体"/>
        </w:rPr>
        <w:t>、</w:t>
      </w:r>
      <w:r>
        <w:rPr>
          <w:rFonts w:hAnsi="宋体"/>
        </w:rPr>
        <w:t>正压式空气呼吸器</w:t>
      </w:r>
      <w:r>
        <w:rPr>
          <w:rFonts w:hint="eastAsia" w:hAnsi="宋体"/>
        </w:rPr>
        <w:t>；</w:t>
      </w:r>
    </w:p>
    <w:p w14:paraId="4CE0C581">
      <w:pPr>
        <w:pStyle w:val="305"/>
        <w:rPr>
          <w:rFonts w:hAnsi="宋体"/>
        </w:rPr>
      </w:pPr>
      <w:r>
        <w:rPr>
          <w:rFonts w:hint="eastAsia" w:hAnsi="宋体"/>
        </w:rPr>
        <w:t>现场应急处置，包括应急事件种类、应急预案主要内容以及现场应急处置方案；</w:t>
      </w:r>
    </w:p>
    <w:p w14:paraId="6605BD87">
      <w:pPr>
        <w:pStyle w:val="305"/>
        <w:rPr>
          <w:rFonts w:hAnsi="宋体"/>
        </w:rPr>
      </w:pPr>
      <w:r>
        <w:rPr>
          <w:rFonts w:hint="eastAsia" w:hAnsi="宋体"/>
        </w:rPr>
        <w:t>现场应急救护，包括中毒人员现场急救方法、心肺复苏术；</w:t>
      </w:r>
    </w:p>
    <w:p w14:paraId="0544D1D1">
      <w:pPr>
        <w:pStyle w:val="305"/>
        <w:rPr>
          <w:rFonts w:hAnsi="宋体"/>
        </w:rPr>
      </w:pPr>
      <w:r>
        <w:rPr>
          <w:rFonts w:hint="eastAsia" w:hAnsi="宋体"/>
        </w:rPr>
        <w:t>案例分析，包括国内外硫化氢泄漏及中毒典型事故案例。</w:t>
      </w:r>
    </w:p>
    <w:p w14:paraId="3C31F660">
      <w:pPr>
        <w:pStyle w:val="326"/>
        <w:rPr>
          <w:rFonts w:ascii="宋体" w:hAnsi="宋体"/>
        </w:rPr>
      </w:pPr>
      <w:r>
        <w:rPr>
          <w:rFonts w:ascii="宋体" w:hAnsi="宋体"/>
        </w:rPr>
        <w:t>对进入</w:t>
      </w:r>
      <w:r>
        <w:rPr>
          <w:rFonts w:hint="eastAsia" w:ascii="宋体" w:hAnsi="宋体"/>
        </w:rPr>
        <w:t>站场和井场的非作业人员，</w:t>
      </w:r>
      <w:r>
        <w:rPr>
          <w:rFonts w:ascii="宋体" w:hAnsi="宋体"/>
        </w:rPr>
        <w:t>应进行</w:t>
      </w:r>
      <w:r>
        <w:rPr>
          <w:rFonts w:hint="eastAsia" w:ascii="宋体" w:hAnsi="宋体"/>
        </w:rPr>
        <w:t>安全告知或</w:t>
      </w:r>
      <w:r>
        <w:rPr>
          <w:rFonts w:ascii="宋体" w:hAnsi="宋体"/>
        </w:rPr>
        <w:t>安全教育培训</w:t>
      </w:r>
      <w:r>
        <w:rPr>
          <w:rFonts w:hint="eastAsia" w:ascii="宋体" w:hAnsi="宋体"/>
        </w:rPr>
        <w:t>，</w:t>
      </w:r>
      <w:r>
        <w:rPr>
          <w:rFonts w:ascii="宋体" w:hAnsi="宋体"/>
        </w:rPr>
        <w:t>告知可能接触到的</w:t>
      </w:r>
      <w:r>
        <w:rPr>
          <w:rFonts w:hint="eastAsia" w:ascii="宋体" w:hAnsi="宋体"/>
        </w:rPr>
        <w:t>硫化氢</w:t>
      </w:r>
      <w:r>
        <w:rPr>
          <w:rFonts w:ascii="宋体" w:hAnsi="宋体"/>
        </w:rPr>
        <w:t>危害</w:t>
      </w:r>
      <w:r>
        <w:rPr>
          <w:rFonts w:hint="eastAsia" w:ascii="宋体" w:hAnsi="宋体"/>
        </w:rPr>
        <w:t>，演示人身防护用品和应急设备设施的正确使用方法，明确应急逃生路线，签订安全承诺。企业应控制同时进入陆上井场作业区的非作业人员数量，最</w:t>
      </w:r>
      <w:bookmarkStart w:id="101" w:name="_GoBack"/>
      <w:bookmarkEnd w:id="101"/>
      <w:r>
        <w:rPr>
          <w:rFonts w:hint="eastAsia" w:ascii="宋体" w:hAnsi="宋体"/>
        </w:rPr>
        <w:t>多不超过</w:t>
      </w:r>
      <w:r>
        <w:rPr>
          <w:rFonts w:ascii="宋体" w:hAnsi="宋体"/>
        </w:rPr>
        <w:t>3</w:t>
      </w:r>
      <w:r>
        <w:rPr>
          <w:rFonts w:hint="eastAsia" w:ascii="宋体" w:hAnsi="宋体"/>
        </w:rPr>
        <w:t>人。</w:t>
      </w:r>
    </w:p>
    <w:p w14:paraId="63C5843C">
      <w:pPr>
        <w:pStyle w:val="259"/>
        <w:outlineLvl w:val="0"/>
        <w:rPr>
          <w:rFonts w:ascii="宋体" w:hAnsi="宋体"/>
        </w:rPr>
      </w:pPr>
      <w:bookmarkStart w:id="14" w:name="_Toc196682324"/>
      <w:r>
        <w:rPr>
          <w:rFonts w:hint="eastAsia" w:ascii="宋体" w:hAnsi="宋体"/>
        </w:rPr>
        <w:t>公众危害程度分级与安全防护距离</w:t>
      </w:r>
      <w:bookmarkEnd w:id="14"/>
    </w:p>
    <w:p w14:paraId="2B6ED6F4">
      <w:pPr>
        <w:pStyle w:val="260"/>
        <w:outlineLvl w:val="1"/>
        <w:rPr>
          <w:rFonts w:ascii="宋体" w:hAnsi="宋体"/>
        </w:rPr>
      </w:pPr>
      <w:r>
        <w:fldChar w:fldCharType="begin"/>
      </w:r>
      <w:r>
        <w:instrText xml:space="preserve"> HYPERLINK "imap://haojm@cnooc.com.cn@cmail.cnooc.com.cn:993/fetch%3eUID%3e/INBOX%3e730149662" \l "_Toc2705 " </w:instrText>
      </w:r>
      <w:r>
        <w:fldChar w:fldCharType="separate"/>
      </w:r>
      <w:bookmarkStart w:id="15" w:name="_Toc196682325"/>
      <w:r>
        <w:rPr>
          <w:rFonts w:hint="eastAsia" w:ascii="宋体" w:hAnsi="宋体"/>
        </w:rPr>
        <w:t>公众危害程度分级</w:t>
      </w:r>
      <w:bookmarkEnd w:id="15"/>
      <w:r>
        <w:rPr>
          <w:rFonts w:hint="eastAsia" w:ascii="宋体" w:hAnsi="宋体"/>
        </w:rPr>
        <w:fldChar w:fldCharType="end"/>
      </w:r>
    </w:p>
    <w:p w14:paraId="56390A5C">
      <w:pPr>
        <w:pStyle w:val="326"/>
        <w:rPr>
          <w:rFonts w:ascii="宋体" w:hAnsi="宋体"/>
        </w:rPr>
      </w:pPr>
      <w:r>
        <w:rPr>
          <w:rFonts w:hint="eastAsia" w:ascii="宋体" w:hAnsi="宋体"/>
        </w:rPr>
        <w:t>根据硫化氢释放速率对含硫化氢天然气井公众危害程度进行分级，见表1</w:t>
      </w:r>
      <w:r>
        <w:rPr>
          <w:rFonts w:ascii="宋体" w:hAnsi="宋体"/>
        </w:rPr>
        <w:t>。</w:t>
      </w:r>
    </w:p>
    <w:p w14:paraId="654F3C58">
      <w:pPr>
        <w:jc w:val="center"/>
        <w:rPr>
          <w:rFonts w:ascii="宋体" w:hAnsi="宋体"/>
          <w:sz w:val="20"/>
          <w:szCs w:val="22"/>
        </w:rPr>
      </w:pPr>
      <w:bookmarkStart w:id="16" w:name="_Hlk163656411"/>
      <w:r>
        <w:rPr>
          <w:rFonts w:hint="eastAsia" w:ascii="宋体" w:hAnsi="宋体" w:eastAsia="黑体"/>
          <w:sz w:val="20"/>
          <w:szCs w:val="20"/>
        </w:rPr>
        <w:t>表</w:t>
      </w:r>
      <w:r>
        <w:rPr>
          <w:rFonts w:hint="eastAsia" w:ascii="宋体" w:hAnsi="宋体" w:cs="宋体"/>
          <w:w w:val="50"/>
          <w:kern w:val="0"/>
          <w:sz w:val="20"/>
          <w:szCs w:val="20"/>
        </w:rPr>
        <w:t xml:space="preserve"> </w:t>
      </w:r>
      <w:r>
        <w:rPr>
          <w:rFonts w:hint="eastAsia" w:ascii="宋体" w:hAnsi="宋体" w:eastAsia="黑体"/>
          <w:sz w:val="20"/>
          <w:szCs w:val="20"/>
        </w:rPr>
        <w:t>1</w:t>
      </w:r>
      <w:r>
        <w:rPr>
          <w:rFonts w:ascii="宋体" w:hAnsi="宋体" w:eastAsia="黑体"/>
          <w:sz w:val="20"/>
          <w:szCs w:val="20"/>
        </w:rPr>
        <w:t xml:space="preserve">  </w:t>
      </w:r>
      <w:r>
        <w:rPr>
          <w:rFonts w:hint="eastAsia" w:ascii="宋体" w:hAnsi="宋体" w:eastAsia="黑体"/>
          <w:sz w:val="20"/>
          <w:szCs w:val="20"/>
        </w:rPr>
        <w:t>含硫化氢天然气井公众危害程度等级</w:t>
      </w: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50"/>
        <w:gridCol w:w="4150"/>
      </w:tblGrid>
      <w:tr w14:paraId="7095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jc w:val="center"/>
        </w:trPr>
        <w:tc>
          <w:tcPr>
            <w:tcW w:w="4150" w:type="dxa"/>
            <w:vAlign w:val="center"/>
          </w:tcPr>
          <w:p w14:paraId="2BCADC67">
            <w:pPr>
              <w:pStyle w:val="554"/>
              <w:numPr>
                <w:ilvl w:val="0"/>
                <w:numId w:val="0"/>
              </w:numPr>
              <w:jc w:val="center"/>
              <w:outlineLvl w:val="9"/>
              <w:rPr>
                <w:rFonts w:ascii="宋体" w:hAnsi="宋体" w:eastAsiaTheme="majorEastAsia"/>
              </w:rPr>
            </w:pPr>
            <w:r>
              <w:rPr>
                <w:rFonts w:hint="eastAsia" w:ascii="宋体" w:hAnsi="宋体" w:eastAsiaTheme="majorEastAsia"/>
              </w:rPr>
              <w:t>危害程度等级</w:t>
            </w:r>
          </w:p>
        </w:tc>
        <w:tc>
          <w:tcPr>
            <w:tcW w:w="4150" w:type="dxa"/>
            <w:vAlign w:val="center"/>
          </w:tcPr>
          <w:p w14:paraId="20762C7E">
            <w:pPr>
              <w:pStyle w:val="554"/>
              <w:numPr>
                <w:ilvl w:val="0"/>
                <w:numId w:val="0"/>
              </w:numPr>
              <w:jc w:val="center"/>
              <w:outlineLvl w:val="9"/>
              <w:rPr>
                <w:rFonts w:ascii="宋体" w:hAnsi="宋体" w:eastAsiaTheme="majorEastAsia"/>
              </w:rPr>
            </w:pPr>
            <w:r>
              <w:rPr>
                <w:rFonts w:hint="eastAsia" w:ascii="宋体" w:hAnsi="宋体" w:eastAsiaTheme="majorEastAsia"/>
              </w:rPr>
              <w:t>硫化氢释放速率/（m</w:t>
            </w:r>
            <w:r>
              <w:rPr>
                <w:rFonts w:ascii="宋体" w:hAnsi="宋体" w:eastAsiaTheme="majorEastAsia"/>
                <w:vertAlign w:val="superscript"/>
              </w:rPr>
              <w:t>3</w:t>
            </w:r>
            <w:r>
              <w:rPr>
                <w:rFonts w:ascii="宋体" w:hAnsi="宋体" w:eastAsiaTheme="majorEastAsia"/>
              </w:rPr>
              <w:t>/s</w:t>
            </w:r>
            <w:r>
              <w:rPr>
                <w:rFonts w:hint="eastAsia" w:ascii="宋体" w:hAnsi="宋体" w:eastAsiaTheme="majorEastAsia"/>
              </w:rPr>
              <w:t>）</w:t>
            </w:r>
          </w:p>
        </w:tc>
      </w:tr>
      <w:tr w14:paraId="2200E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4150" w:type="dxa"/>
            <w:vAlign w:val="center"/>
          </w:tcPr>
          <w:p w14:paraId="3805B27D">
            <w:pPr>
              <w:pStyle w:val="554"/>
              <w:numPr>
                <w:ilvl w:val="0"/>
                <w:numId w:val="0"/>
              </w:numPr>
              <w:jc w:val="center"/>
              <w:outlineLvl w:val="9"/>
              <w:rPr>
                <w:rFonts w:ascii="宋体" w:hAnsi="宋体" w:eastAsiaTheme="majorEastAsia"/>
              </w:rPr>
            </w:pPr>
            <w:r>
              <w:rPr>
                <w:rFonts w:hint="eastAsia" w:ascii="宋体" w:hAnsi="宋体" w:eastAsiaTheme="majorEastAsia"/>
              </w:rPr>
              <w:t>一级</w:t>
            </w:r>
          </w:p>
        </w:tc>
        <w:tc>
          <w:tcPr>
            <w:tcW w:w="4150" w:type="dxa"/>
            <w:vAlign w:val="center"/>
          </w:tcPr>
          <w:p w14:paraId="4D9D2E2A">
            <w:pPr>
              <w:pStyle w:val="554"/>
              <w:numPr>
                <w:ilvl w:val="0"/>
                <w:numId w:val="0"/>
              </w:numPr>
              <w:jc w:val="center"/>
              <w:outlineLvl w:val="9"/>
              <w:rPr>
                <w:rFonts w:ascii="宋体" w:hAnsi="宋体" w:eastAsiaTheme="majorEastAsia"/>
              </w:rPr>
            </w:pPr>
            <w:r>
              <w:rPr>
                <w:rFonts w:hint="eastAsia" w:ascii="宋体" w:hAnsi="宋体" w:eastAsiaTheme="majorEastAsia"/>
                <w:i/>
                <w:iCs/>
              </w:rPr>
              <w:t>R</w:t>
            </w:r>
            <w:r>
              <w:rPr>
                <w:rFonts w:ascii="宋体" w:hAnsi="宋体" w:eastAsiaTheme="majorEastAsia"/>
                <w:i/>
                <w:iCs/>
                <w:vertAlign w:val="subscript"/>
              </w:rPr>
              <w:t>R</w:t>
            </w:r>
            <w:r>
              <w:rPr>
                <w:rFonts w:ascii="宋体" w:hAnsi="宋体" w:eastAsiaTheme="majorEastAsia"/>
              </w:rPr>
              <w:t>≥5.0</w:t>
            </w:r>
          </w:p>
        </w:tc>
      </w:tr>
      <w:tr w14:paraId="62E7E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4150" w:type="dxa"/>
            <w:vAlign w:val="center"/>
          </w:tcPr>
          <w:p w14:paraId="1807270E">
            <w:pPr>
              <w:pStyle w:val="554"/>
              <w:numPr>
                <w:ilvl w:val="0"/>
                <w:numId w:val="0"/>
              </w:numPr>
              <w:jc w:val="center"/>
              <w:outlineLvl w:val="9"/>
              <w:rPr>
                <w:rFonts w:ascii="宋体" w:hAnsi="宋体" w:eastAsiaTheme="majorEastAsia"/>
              </w:rPr>
            </w:pPr>
            <w:r>
              <w:rPr>
                <w:rFonts w:hint="eastAsia" w:ascii="宋体" w:hAnsi="宋体" w:eastAsiaTheme="majorEastAsia"/>
              </w:rPr>
              <w:t>二级</w:t>
            </w:r>
          </w:p>
        </w:tc>
        <w:tc>
          <w:tcPr>
            <w:tcW w:w="4150" w:type="dxa"/>
            <w:vAlign w:val="center"/>
          </w:tcPr>
          <w:p w14:paraId="6572099E">
            <w:pPr>
              <w:pStyle w:val="554"/>
              <w:numPr>
                <w:ilvl w:val="0"/>
                <w:numId w:val="0"/>
              </w:numPr>
              <w:jc w:val="center"/>
              <w:outlineLvl w:val="9"/>
              <w:rPr>
                <w:rFonts w:ascii="宋体" w:hAnsi="宋体" w:eastAsiaTheme="majorEastAsia"/>
              </w:rPr>
            </w:pPr>
            <w:r>
              <w:rPr>
                <w:rFonts w:hint="eastAsia" w:ascii="宋体" w:hAnsi="宋体" w:eastAsiaTheme="majorEastAsia"/>
              </w:rPr>
              <w:t>5</w:t>
            </w:r>
            <w:r>
              <w:rPr>
                <w:rFonts w:ascii="宋体" w:hAnsi="宋体" w:eastAsiaTheme="majorEastAsia"/>
              </w:rPr>
              <w:t>.0</w:t>
            </w:r>
            <w:r>
              <w:rPr>
                <w:rFonts w:hint="eastAsia" w:ascii="宋体" w:hAnsi="宋体" w:eastAsiaTheme="majorEastAsia"/>
              </w:rPr>
              <w:t>＞</w:t>
            </w:r>
            <w:r>
              <w:rPr>
                <w:rFonts w:hint="eastAsia" w:ascii="宋体" w:hAnsi="宋体" w:eastAsiaTheme="majorEastAsia"/>
                <w:i/>
                <w:iCs/>
              </w:rPr>
              <w:t>R</w:t>
            </w:r>
            <w:r>
              <w:rPr>
                <w:rFonts w:ascii="宋体" w:hAnsi="宋体" w:eastAsiaTheme="majorEastAsia"/>
                <w:i/>
                <w:iCs/>
                <w:vertAlign w:val="subscript"/>
              </w:rPr>
              <w:t>R</w:t>
            </w:r>
            <w:r>
              <w:rPr>
                <w:rFonts w:ascii="宋体" w:hAnsi="宋体" w:eastAsiaTheme="majorEastAsia"/>
              </w:rPr>
              <w:t>≥1.0</w:t>
            </w:r>
          </w:p>
        </w:tc>
      </w:tr>
      <w:tr w14:paraId="44651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4150" w:type="dxa"/>
            <w:vAlign w:val="center"/>
          </w:tcPr>
          <w:p w14:paraId="74CEEC95">
            <w:pPr>
              <w:pStyle w:val="554"/>
              <w:numPr>
                <w:ilvl w:val="0"/>
                <w:numId w:val="0"/>
              </w:numPr>
              <w:jc w:val="center"/>
              <w:outlineLvl w:val="9"/>
              <w:rPr>
                <w:rFonts w:ascii="宋体" w:hAnsi="宋体" w:eastAsiaTheme="majorEastAsia"/>
              </w:rPr>
            </w:pPr>
            <w:r>
              <w:rPr>
                <w:rFonts w:hint="eastAsia" w:ascii="宋体" w:hAnsi="宋体" w:eastAsiaTheme="majorEastAsia"/>
              </w:rPr>
              <w:t>三级</w:t>
            </w:r>
          </w:p>
        </w:tc>
        <w:tc>
          <w:tcPr>
            <w:tcW w:w="4150" w:type="dxa"/>
            <w:vAlign w:val="center"/>
          </w:tcPr>
          <w:p w14:paraId="41571248">
            <w:pPr>
              <w:pStyle w:val="554"/>
              <w:numPr>
                <w:ilvl w:val="0"/>
                <w:numId w:val="0"/>
              </w:numPr>
              <w:jc w:val="center"/>
              <w:outlineLvl w:val="9"/>
              <w:rPr>
                <w:rFonts w:ascii="宋体" w:hAnsi="宋体" w:eastAsiaTheme="majorEastAsia"/>
              </w:rPr>
            </w:pPr>
            <w:r>
              <w:rPr>
                <w:rFonts w:ascii="宋体" w:hAnsi="宋体" w:eastAsiaTheme="majorEastAsia"/>
              </w:rPr>
              <w:t>1.0</w:t>
            </w:r>
            <w:r>
              <w:rPr>
                <w:rFonts w:hint="eastAsia" w:ascii="宋体" w:hAnsi="宋体" w:eastAsiaTheme="majorEastAsia"/>
              </w:rPr>
              <w:t>＞</w:t>
            </w:r>
            <w:r>
              <w:rPr>
                <w:rFonts w:hint="eastAsia" w:ascii="宋体" w:hAnsi="宋体" w:eastAsiaTheme="majorEastAsia"/>
                <w:i/>
                <w:iCs/>
              </w:rPr>
              <w:t>R</w:t>
            </w:r>
            <w:r>
              <w:rPr>
                <w:rFonts w:ascii="宋体" w:hAnsi="宋体" w:eastAsiaTheme="majorEastAsia"/>
                <w:i/>
                <w:iCs/>
                <w:vertAlign w:val="subscript"/>
              </w:rPr>
              <w:t>R</w:t>
            </w:r>
            <w:r>
              <w:rPr>
                <w:rFonts w:ascii="宋体" w:hAnsi="宋体" w:eastAsiaTheme="majorEastAsia"/>
              </w:rPr>
              <w:t>≥0.01</w:t>
            </w:r>
          </w:p>
        </w:tc>
      </w:tr>
      <w:bookmarkEnd w:id="16"/>
    </w:tbl>
    <w:p w14:paraId="75D3C1A3">
      <w:pPr>
        <w:pStyle w:val="326"/>
        <w:rPr>
          <w:rFonts w:ascii="宋体" w:hAnsi="宋体"/>
        </w:rPr>
      </w:pPr>
      <w:r>
        <w:rPr>
          <w:rFonts w:hint="eastAsia" w:ascii="宋体" w:hAnsi="宋体"/>
        </w:rPr>
        <w:t>气井的硫化氢释放速率按式（1）计算：</w:t>
      </w:r>
    </w:p>
    <w:p w14:paraId="57B8846C">
      <w:pPr>
        <w:tabs>
          <w:tab w:val="center" w:pos="4148"/>
        </w:tabs>
        <w:jc w:val="right"/>
        <w:rPr>
          <w:rFonts w:ascii="宋体" w:hAnsi="宋体"/>
          <w:sz w:val="24"/>
        </w:rPr>
      </w:pPr>
      <w:r>
        <w:rPr>
          <w:rFonts w:ascii="宋体" w:hAnsi="宋体"/>
          <w:position w:val="-14"/>
        </w:rPr>
        <w:object>
          <v:shape id="_x0000_i1025" o:spt="75" type="#_x0000_t75" style="height:19pt;width:96pt;" o:ole="t" filled="f" o:preferrelative="t" stroked="f" coordsize="21600,21600">
            <v:path/>
            <v:fill on="f" focussize="0,0"/>
            <v:stroke on="f" joinstyle="miter"/>
            <v:imagedata r:id="rId23" o:title=""/>
            <o:lock v:ext="edit" aspectratio="t"/>
            <w10:wrap type="none"/>
            <w10:anchorlock/>
          </v:shape>
          <o:OLEObject Type="Embed" ProgID="Equation.DSMT4" ShapeID="_x0000_i1025" DrawAspect="Content" ObjectID="_1468075725" r:id="rId22">
            <o:LockedField>false</o:LockedField>
          </o:OLEObject>
        </w:object>
      </w:r>
      <w:r>
        <w:rPr>
          <w:rFonts w:hint="eastAsia" w:ascii="宋体" w:hAnsi="宋体"/>
          <w:sz w:val="24"/>
        </w:rPr>
        <w:tab/>
      </w:r>
      <w:r>
        <w:rPr>
          <w:rFonts w:ascii="宋体" w:hAnsi="宋体"/>
          <w:sz w:val="24"/>
        </w:rPr>
        <w:t xml:space="preserve">                      </w:t>
      </w:r>
      <w:r>
        <w:rPr>
          <w:rFonts w:hint="eastAsia" w:ascii="宋体" w:hAnsi="宋体"/>
          <w:sz w:val="24"/>
        </w:rPr>
        <w:t>（1）</w:t>
      </w:r>
    </w:p>
    <w:p w14:paraId="5CBD06F6">
      <w:pPr>
        <w:adjustRightInd w:val="0"/>
        <w:snapToGrid w:val="0"/>
        <w:ind w:firstLine="420" w:firstLineChars="200"/>
        <w:rPr>
          <w:rFonts w:ascii="宋体" w:hAnsi="宋体"/>
        </w:rPr>
      </w:pPr>
      <w:r>
        <w:rPr>
          <w:rFonts w:ascii="宋体" w:hAnsi="宋体"/>
        </w:rPr>
        <w:t>式中：</w:t>
      </w:r>
    </w:p>
    <w:p w14:paraId="5AC10280">
      <w:pPr>
        <w:adjustRightInd w:val="0"/>
        <w:snapToGrid w:val="0"/>
        <w:ind w:firstLine="420" w:firstLineChars="200"/>
        <w:rPr>
          <w:rFonts w:ascii="宋体" w:hAnsi="宋体" w:eastAsiaTheme="majorEastAsia"/>
        </w:rPr>
      </w:pPr>
      <w:r>
        <w:rPr>
          <w:rFonts w:ascii="宋体" w:hAnsi="宋体" w:eastAsiaTheme="majorEastAsia"/>
          <w:position w:val="-12"/>
        </w:rPr>
        <w:object>
          <v:shape id="_x0000_i1026" o:spt="75" type="#_x0000_t75" style="height:16pt;width:16pt;" o:ole="t" filled="f" o:preferrelative="t" stroked="f" coordsize="21600,21600">
            <v:path/>
            <v:fill on="f" focussize="0,0"/>
            <v:stroke on="f" joinstyle="miter"/>
            <v:imagedata r:id="rId25" o:title=""/>
            <o:lock v:ext="edit" aspectratio="t"/>
            <w10:wrap type="none"/>
            <w10:anchorlock/>
          </v:shape>
          <o:OLEObject Type="Embed" ProgID="Equation.DSMT4" ShapeID="_x0000_i1026" DrawAspect="Content" ObjectID="_1468075726" r:id="rId24">
            <o:LockedField>false</o:LockedField>
          </o:OLEObject>
        </w:object>
      </w:r>
      <w:r>
        <w:rPr>
          <w:rFonts w:ascii="宋体" w:hAnsi="宋体"/>
        </w:rPr>
        <w:t>——气井硫化氢释</w:t>
      </w:r>
      <w:r>
        <w:rPr>
          <w:rFonts w:ascii="宋体" w:hAnsi="宋体" w:eastAsiaTheme="majorEastAsia"/>
        </w:rPr>
        <w:t>放速率，</w:t>
      </w:r>
      <w:r>
        <w:rPr>
          <w:rFonts w:hint="eastAsia" w:ascii="宋体" w:hAnsi="宋体" w:eastAsiaTheme="majorEastAsia"/>
        </w:rPr>
        <w:t>单位为</w:t>
      </w:r>
      <w:r>
        <w:rPr>
          <w:rFonts w:hint="eastAsia" w:ascii="宋体" w:hAnsi="宋体"/>
          <w:shd w:val="clear" w:color="auto" w:fill="FFFFFF"/>
        </w:rPr>
        <w:t>立方米每</w:t>
      </w:r>
      <w:r>
        <w:rPr>
          <w:rFonts w:hint="eastAsia" w:ascii="宋体" w:hAnsi="宋体" w:eastAsiaTheme="majorEastAsia"/>
        </w:rPr>
        <w:t>秒，（</w:t>
      </w:r>
      <w:r>
        <w:rPr>
          <w:rFonts w:ascii="宋体" w:hAnsi="宋体" w:eastAsiaTheme="majorEastAsia"/>
        </w:rPr>
        <w:t>m</w:t>
      </w:r>
      <w:r>
        <w:rPr>
          <w:rFonts w:ascii="宋体" w:hAnsi="宋体" w:eastAsiaTheme="majorEastAsia"/>
          <w:vertAlign w:val="superscript"/>
        </w:rPr>
        <w:t>3</w:t>
      </w:r>
      <w:r>
        <w:rPr>
          <w:rFonts w:ascii="宋体" w:hAnsi="宋体" w:eastAsiaTheme="majorEastAsia"/>
        </w:rPr>
        <w:t>/s</w:t>
      </w:r>
      <w:r>
        <w:rPr>
          <w:rFonts w:hint="eastAsia" w:ascii="宋体" w:hAnsi="宋体" w:eastAsiaTheme="majorEastAsia"/>
        </w:rPr>
        <w:t>）</w:t>
      </w:r>
      <w:r>
        <w:rPr>
          <w:rFonts w:ascii="宋体" w:hAnsi="宋体" w:eastAsiaTheme="majorEastAsia"/>
        </w:rPr>
        <w:t>；</w:t>
      </w:r>
    </w:p>
    <w:p w14:paraId="3989E15C">
      <w:pPr>
        <w:adjustRightInd w:val="0"/>
        <w:snapToGrid w:val="0"/>
        <w:ind w:firstLine="420" w:firstLineChars="200"/>
        <w:rPr>
          <w:rFonts w:ascii="宋体" w:hAnsi="宋体" w:eastAsiaTheme="majorEastAsia"/>
        </w:rPr>
      </w:pPr>
      <w:r>
        <w:rPr>
          <w:rFonts w:ascii="宋体" w:hAnsi="宋体" w:eastAsiaTheme="majorEastAsia"/>
        </w:rPr>
        <w:object>
          <v:shape id="_x0000_i1027" o:spt="75" type="#_x0000_t75" style="height:11pt;width:11pt;" o:ole="t" filled="f" o:preferrelative="t" stroked="f" coordsize="21600,21600">
            <v:path/>
            <v:fill on="f" focussize="0,0"/>
            <v:stroke on="f" joinstyle="miter"/>
            <v:imagedata r:id="rId27" o:title=""/>
            <o:lock v:ext="edit" aspectratio="t"/>
            <w10:wrap type="none"/>
            <w10:anchorlock/>
          </v:shape>
          <o:OLEObject Type="Embed" ProgID="Equation.DSMT4" ShapeID="_x0000_i1027" DrawAspect="Content" ObjectID="_1468075727" r:id="rId26">
            <o:LockedField>false</o:LockedField>
          </o:OLEObject>
        </w:object>
      </w:r>
      <w:r>
        <w:rPr>
          <w:rFonts w:ascii="宋体" w:hAnsi="宋体"/>
        </w:rPr>
        <w:t>——</w:t>
      </w:r>
      <w:r>
        <w:rPr>
          <w:rFonts w:ascii="宋体" w:hAnsi="宋体" w:eastAsiaTheme="majorEastAsia"/>
        </w:rPr>
        <w:t>7.716×10</w:t>
      </w:r>
      <w:r>
        <w:rPr>
          <w:rFonts w:ascii="宋体" w:hAnsi="宋体" w:eastAsiaTheme="majorEastAsia"/>
          <w:vertAlign w:val="superscript"/>
        </w:rPr>
        <w:t>-8</w:t>
      </w:r>
      <w:r>
        <w:rPr>
          <w:rFonts w:ascii="宋体" w:hAnsi="宋体" w:eastAsiaTheme="majorEastAsia"/>
        </w:rPr>
        <w:t>，</w:t>
      </w:r>
      <w:r>
        <w:rPr>
          <w:rFonts w:hint="eastAsia" w:ascii="宋体" w:hAnsi="宋体" w:eastAsiaTheme="majorEastAsia"/>
        </w:rPr>
        <w:t>单位为</w:t>
      </w:r>
      <w:r>
        <w:rPr>
          <w:rFonts w:hint="eastAsia" w:ascii="宋体" w:hAnsi="宋体"/>
          <w:shd w:val="clear" w:color="auto" w:fill="FFFFFF"/>
        </w:rPr>
        <w:t>立方米天每毫克秒</w:t>
      </w:r>
      <w:r>
        <w:rPr>
          <w:rFonts w:ascii="宋体" w:hAnsi="宋体" w:eastAsiaTheme="majorEastAsia"/>
        </w:rPr>
        <w:t>，（m</w:t>
      </w:r>
      <w:r>
        <w:rPr>
          <w:rFonts w:ascii="宋体" w:hAnsi="宋体" w:eastAsiaTheme="majorEastAsia"/>
          <w:vertAlign w:val="superscript"/>
        </w:rPr>
        <w:t>3</w:t>
      </w:r>
      <w:r>
        <w:rPr>
          <w:rFonts w:ascii="宋体" w:hAnsi="宋体" w:eastAsiaTheme="majorEastAsia"/>
        </w:rPr>
        <w:t>·d）</w:t>
      </w:r>
      <w:r>
        <w:rPr>
          <w:rFonts w:hint="eastAsia" w:ascii="宋体" w:hAnsi="宋体" w:eastAsiaTheme="majorEastAsia"/>
        </w:rPr>
        <w:t>/</w:t>
      </w:r>
      <w:r>
        <w:rPr>
          <w:rFonts w:ascii="宋体" w:hAnsi="宋体" w:eastAsiaTheme="majorEastAsia"/>
        </w:rPr>
        <w:t>（mg</w:t>
      </w:r>
      <w:r>
        <w:rPr>
          <w:rFonts w:hint="eastAsia" w:ascii="宋体" w:hAnsi="宋体" w:eastAsiaTheme="majorEastAsia"/>
        </w:rPr>
        <w:t>·</w:t>
      </w:r>
      <w:r>
        <w:rPr>
          <w:rFonts w:ascii="宋体" w:hAnsi="宋体" w:eastAsiaTheme="majorEastAsia"/>
        </w:rPr>
        <w:t>s）；</w:t>
      </w:r>
    </w:p>
    <w:p w14:paraId="79975FBC">
      <w:pPr>
        <w:snapToGrid w:val="0"/>
        <w:ind w:firstLine="420" w:firstLineChars="200"/>
        <w:rPr>
          <w:rFonts w:ascii="宋体" w:hAnsi="宋体" w:eastAsiaTheme="majorEastAsia"/>
        </w:rPr>
      </w:pPr>
      <w:r>
        <w:rPr>
          <w:rFonts w:ascii="宋体" w:hAnsi="宋体" w:eastAsiaTheme="majorEastAsia"/>
        </w:rPr>
        <w:object>
          <v:shape id="_x0000_i1028" o:spt="75" type="#_x0000_t75" style="height:14.5pt;width:25pt;" o:ole="t" filled="f" o:preferrelative="t" stroked="f" coordsize="21600,21600">
            <v:path/>
            <v:fill on="f" focussize="0,0"/>
            <v:stroke on="f" joinstyle="miter"/>
            <v:imagedata r:id="rId29" o:title=""/>
            <o:lock v:ext="edit" aspectratio="t"/>
            <w10:wrap type="none"/>
            <w10:anchorlock/>
          </v:shape>
          <o:OLEObject Type="Embed" ProgID="Equation.DSMT4" ShapeID="_x0000_i1028" DrawAspect="Content" ObjectID="_1468075728" r:id="rId28">
            <o:LockedField>false</o:LockedField>
          </o:OLEObject>
        </w:object>
      </w:r>
      <w:r>
        <w:rPr>
          <w:rFonts w:ascii="宋体" w:hAnsi="宋体"/>
        </w:rPr>
        <w:t>——</w:t>
      </w:r>
      <w:r>
        <w:rPr>
          <w:rFonts w:ascii="宋体" w:hAnsi="宋体" w:eastAsiaTheme="majorEastAsia"/>
        </w:rPr>
        <w:t>气井绝对无阻流量最大值，</w:t>
      </w:r>
      <w:r>
        <w:rPr>
          <w:rFonts w:hint="eastAsia" w:ascii="宋体" w:hAnsi="宋体" w:eastAsiaTheme="majorEastAsia"/>
        </w:rPr>
        <w:t>单位为</w:t>
      </w:r>
      <w:r>
        <w:rPr>
          <w:rFonts w:ascii="宋体" w:hAnsi="宋体" w:eastAsiaTheme="majorEastAsia"/>
        </w:rPr>
        <w:t>10</w:t>
      </w:r>
      <w:r>
        <w:rPr>
          <w:rFonts w:ascii="宋体" w:hAnsi="宋体" w:eastAsiaTheme="majorEastAsia"/>
          <w:vertAlign w:val="superscript"/>
        </w:rPr>
        <w:t>4</w:t>
      </w:r>
      <w:r>
        <w:rPr>
          <w:rFonts w:hint="eastAsia" w:ascii="宋体" w:hAnsi="宋体"/>
          <w:shd w:val="clear" w:color="auto" w:fill="FFFFFF"/>
        </w:rPr>
        <w:t>立方米每</w:t>
      </w:r>
      <w:r>
        <w:rPr>
          <w:rFonts w:hint="eastAsia" w:ascii="宋体" w:hAnsi="宋体" w:eastAsiaTheme="majorEastAsia"/>
        </w:rPr>
        <w:t>天</w:t>
      </w:r>
      <w:r>
        <w:rPr>
          <w:rFonts w:ascii="宋体" w:hAnsi="宋体" w:eastAsiaTheme="majorEastAsia"/>
        </w:rPr>
        <w:t>，</w:t>
      </w:r>
      <w:r>
        <w:rPr>
          <w:rFonts w:hint="eastAsia" w:ascii="宋体" w:hAnsi="宋体" w:eastAsiaTheme="majorEastAsia"/>
        </w:rPr>
        <w:t>（</w:t>
      </w:r>
      <w:r>
        <w:rPr>
          <w:rFonts w:ascii="宋体" w:hAnsi="宋体" w:eastAsiaTheme="majorEastAsia"/>
        </w:rPr>
        <w:t>10</w:t>
      </w:r>
      <w:r>
        <w:rPr>
          <w:rFonts w:ascii="宋体" w:hAnsi="宋体" w:eastAsiaTheme="majorEastAsia"/>
          <w:vertAlign w:val="superscript"/>
        </w:rPr>
        <w:t>4</w:t>
      </w:r>
      <w:r>
        <w:rPr>
          <w:rFonts w:ascii="宋体" w:hAnsi="宋体" w:eastAsiaTheme="majorEastAsia"/>
        </w:rPr>
        <w:t xml:space="preserve"> m</w:t>
      </w:r>
      <w:r>
        <w:rPr>
          <w:rFonts w:ascii="宋体" w:hAnsi="宋体" w:eastAsiaTheme="majorEastAsia"/>
          <w:vertAlign w:val="superscript"/>
        </w:rPr>
        <w:t>3</w:t>
      </w:r>
      <w:r>
        <w:rPr>
          <w:rFonts w:ascii="宋体" w:hAnsi="宋体" w:eastAsiaTheme="majorEastAsia"/>
        </w:rPr>
        <w:t>/d</w:t>
      </w:r>
      <w:r>
        <w:rPr>
          <w:rFonts w:hint="eastAsia" w:ascii="宋体" w:hAnsi="宋体" w:eastAsiaTheme="majorEastAsia"/>
        </w:rPr>
        <w:t>）；</w:t>
      </w:r>
    </w:p>
    <w:p w14:paraId="3F409CEB">
      <w:pPr>
        <w:adjustRightInd w:val="0"/>
        <w:snapToGrid w:val="0"/>
        <w:ind w:firstLine="420" w:firstLineChars="200"/>
        <w:rPr>
          <w:rFonts w:ascii="宋体" w:hAnsi="宋体" w:eastAsiaTheme="majorEastAsia"/>
        </w:rPr>
      </w:pPr>
      <w:r>
        <w:rPr>
          <w:rFonts w:ascii="宋体" w:hAnsi="宋体" w:eastAsiaTheme="majorEastAsia"/>
        </w:rPr>
        <w:object>
          <v:shape id="_x0000_i1029" o:spt="75" type="#_x0000_t75" style="height:17.5pt;width:22.5pt;" o:ole="t" filled="f" o:preferrelative="t" stroked="f" coordsize="21600,21600">
            <v:path/>
            <v:fill on="f" focussize="0,0"/>
            <v:stroke on="f" joinstyle="miter"/>
            <v:imagedata r:id="rId31" o:title=""/>
            <o:lock v:ext="edit" aspectratio="t"/>
            <w10:wrap type="none"/>
            <w10:anchorlock/>
          </v:shape>
          <o:OLEObject Type="Embed" ProgID="Equation.DSMT4" ShapeID="_x0000_i1029" DrawAspect="Content" ObjectID="_1468075729" r:id="rId30">
            <o:LockedField>false</o:LockedField>
          </o:OLEObject>
        </w:object>
      </w:r>
      <w:r>
        <w:rPr>
          <w:rFonts w:ascii="宋体" w:hAnsi="宋体"/>
        </w:rPr>
        <w:t>——</w:t>
      </w:r>
      <w:r>
        <w:rPr>
          <w:rFonts w:ascii="宋体" w:hAnsi="宋体" w:eastAsiaTheme="majorEastAsia"/>
        </w:rPr>
        <w:t>天然气中硫化氢含量，</w:t>
      </w:r>
      <w:r>
        <w:rPr>
          <w:rFonts w:hint="eastAsia" w:ascii="宋体" w:hAnsi="宋体" w:eastAsiaTheme="majorEastAsia"/>
        </w:rPr>
        <w:t>单位为</w:t>
      </w:r>
      <w:r>
        <w:rPr>
          <w:rFonts w:hint="eastAsia" w:ascii="宋体" w:hAnsi="宋体"/>
          <w:shd w:val="clear" w:color="auto" w:fill="FFFFFF"/>
        </w:rPr>
        <w:t>毫克每立方米</w:t>
      </w:r>
      <w:r>
        <w:rPr>
          <w:rFonts w:hint="eastAsia" w:ascii="宋体" w:hAnsi="宋体" w:eastAsiaTheme="majorEastAsia"/>
        </w:rPr>
        <w:t>，（</w:t>
      </w:r>
      <w:r>
        <w:rPr>
          <w:rFonts w:ascii="宋体" w:hAnsi="宋体" w:eastAsiaTheme="majorEastAsia"/>
        </w:rPr>
        <w:t>mg/m</w:t>
      </w:r>
      <w:r>
        <w:rPr>
          <w:rFonts w:ascii="宋体" w:hAnsi="宋体" w:eastAsiaTheme="majorEastAsia"/>
          <w:vertAlign w:val="superscript"/>
        </w:rPr>
        <w:t>3</w:t>
      </w:r>
      <w:r>
        <w:rPr>
          <w:rFonts w:hint="eastAsia" w:ascii="宋体" w:hAnsi="宋体" w:eastAsiaTheme="majorEastAsia"/>
        </w:rPr>
        <w:t>）</w:t>
      </w:r>
      <w:r>
        <w:rPr>
          <w:rFonts w:ascii="宋体" w:hAnsi="宋体" w:eastAsiaTheme="majorEastAsia"/>
        </w:rPr>
        <w:t>。</w:t>
      </w:r>
    </w:p>
    <w:p w14:paraId="2CD0B352">
      <w:pPr>
        <w:pStyle w:val="326"/>
        <w:rPr>
          <w:rFonts w:ascii="宋体" w:hAnsi="宋体"/>
        </w:rPr>
      </w:pPr>
      <w:bookmarkStart w:id="17" w:name="_Toc73980425"/>
      <w:bookmarkStart w:id="18" w:name="_Toc73863410"/>
      <w:r>
        <w:rPr>
          <w:rFonts w:hint="eastAsia" w:ascii="宋体" w:hAnsi="宋体"/>
        </w:rPr>
        <w:t>对未取得绝对无阻流量或硫化氢含量的气井，硫化氢释放速率按下述方法计算：</w:t>
      </w:r>
    </w:p>
    <w:p w14:paraId="5D7C235C">
      <w:pPr>
        <w:pStyle w:val="305"/>
        <w:numPr>
          <w:ilvl w:val="0"/>
          <w:numId w:val="33"/>
        </w:numPr>
        <w:rPr>
          <w:rFonts w:hAnsi="宋体"/>
        </w:rPr>
      </w:pPr>
      <w:r>
        <w:rPr>
          <w:rFonts w:hint="eastAsia" w:hAnsi="宋体"/>
        </w:rPr>
        <w:t>周边5 km范围内含硫化氢天然气井数超过5口，分别取其中绝对无阻流量和硫化氢含量最大的5个值，求其平均值后按式（1）的方法计算；</w:t>
      </w:r>
    </w:p>
    <w:p w14:paraId="7E6560B4">
      <w:pPr>
        <w:pStyle w:val="305"/>
        <w:numPr>
          <w:ilvl w:val="0"/>
          <w:numId w:val="33"/>
        </w:numPr>
        <w:rPr>
          <w:rFonts w:hAnsi="宋体"/>
        </w:rPr>
      </w:pPr>
      <w:r>
        <w:rPr>
          <w:rFonts w:hint="eastAsia" w:hAnsi="宋体"/>
        </w:rPr>
        <w:t>周边5 km范围内存在含硫化氢天然气井但井数不超过5口，分别取其中绝对无阻流量和硫化氢含量最大的值，按式（1）的方法计算；</w:t>
      </w:r>
    </w:p>
    <w:p w14:paraId="123BC2E5">
      <w:pPr>
        <w:pStyle w:val="305"/>
        <w:numPr>
          <w:ilvl w:val="0"/>
          <w:numId w:val="33"/>
        </w:numPr>
        <w:rPr>
          <w:rFonts w:hAnsi="宋体"/>
        </w:rPr>
      </w:pPr>
      <w:r>
        <w:rPr>
          <w:rFonts w:hint="eastAsia" w:hAnsi="宋体"/>
        </w:rPr>
        <w:t>周边5 km范围内不存在含硫化氢天然气井，公众危害程度等级视为二级。</w:t>
      </w:r>
      <w:r>
        <w:rPr>
          <w:rFonts w:hAnsi="宋体" w:eastAsiaTheme="majorEastAsia"/>
        </w:rPr>
        <w:fldChar w:fldCharType="begin"/>
      </w:r>
      <w:r>
        <w:rPr>
          <w:rFonts w:hAnsi="宋体"/>
        </w:rPr>
        <w:instrText xml:space="preserve"> HYPERLINK \l "_Toc73980425" </w:instrText>
      </w:r>
      <w:r>
        <w:rPr>
          <w:rFonts w:hAnsi="宋体" w:eastAsiaTheme="majorEastAsia"/>
        </w:rPr>
        <w:fldChar w:fldCharType="separate"/>
      </w:r>
    </w:p>
    <w:p w14:paraId="19B07514">
      <w:pPr>
        <w:pStyle w:val="260"/>
        <w:outlineLvl w:val="1"/>
        <w:rPr>
          <w:rFonts w:ascii="宋体" w:hAnsi="宋体"/>
        </w:rPr>
      </w:pPr>
      <w:bookmarkStart w:id="19" w:name="_Toc196682326"/>
      <w:r>
        <w:rPr>
          <w:rFonts w:hint="eastAsia" w:ascii="宋体" w:hAnsi="宋体"/>
        </w:rPr>
        <w:t>陆上公众安全防护距离</w:t>
      </w:r>
      <w:bookmarkEnd w:id="19"/>
      <w:r>
        <w:rPr>
          <w:rFonts w:ascii="宋体" w:hAnsi="宋体"/>
        </w:rPr>
        <w:fldChar w:fldCharType="end"/>
      </w:r>
    </w:p>
    <w:p w14:paraId="21884859">
      <w:pPr>
        <w:ind w:firstLine="420" w:firstLineChars="200"/>
        <w:rPr>
          <w:rFonts w:ascii="宋体" w:hAnsi="宋体"/>
        </w:rPr>
      </w:pPr>
      <w:r>
        <w:rPr>
          <w:rFonts w:hint="eastAsia" w:ascii="宋体" w:hAnsi="宋体"/>
        </w:rPr>
        <w:t>根据含硫化氢天然气井公众危害程度等级确定陆上井场周边公众安全防护距离，各类场所和设施的距离应符合表2的要求。</w:t>
      </w:r>
    </w:p>
    <w:p w14:paraId="044C4E22">
      <w:pPr>
        <w:spacing w:before="156" w:beforeLines="50"/>
        <w:jc w:val="center"/>
        <w:rPr>
          <w:rFonts w:ascii="宋体" w:hAnsi="宋体"/>
          <w:sz w:val="20"/>
          <w:szCs w:val="22"/>
        </w:rPr>
      </w:pPr>
      <w:r>
        <w:rPr>
          <w:rFonts w:hint="eastAsia" w:ascii="宋体" w:hAnsi="宋体" w:eastAsia="黑体"/>
          <w:sz w:val="20"/>
          <w:szCs w:val="20"/>
        </w:rPr>
        <w:t>表</w:t>
      </w:r>
      <w:r>
        <w:rPr>
          <w:rFonts w:hint="eastAsia" w:ascii="宋体" w:hAnsi="宋体" w:cs="宋体"/>
          <w:w w:val="50"/>
          <w:kern w:val="0"/>
          <w:sz w:val="20"/>
          <w:szCs w:val="20"/>
        </w:rPr>
        <w:t xml:space="preserve"> </w:t>
      </w:r>
      <w:r>
        <w:rPr>
          <w:rFonts w:ascii="宋体" w:hAnsi="宋体" w:eastAsia="黑体"/>
          <w:sz w:val="20"/>
          <w:szCs w:val="20"/>
        </w:rPr>
        <w:t xml:space="preserve">2  </w:t>
      </w:r>
      <w:r>
        <w:rPr>
          <w:rFonts w:hint="eastAsia" w:ascii="宋体" w:hAnsi="宋体" w:eastAsia="黑体"/>
          <w:sz w:val="20"/>
          <w:szCs w:val="20"/>
        </w:rPr>
        <w:t>陆上含硫化氢天然气井周边公众安全防护距离</w:t>
      </w: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0"/>
        <w:gridCol w:w="7087"/>
      </w:tblGrid>
      <w:tr w14:paraId="12DF5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jc w:val="center"/>
        </w:trPr>
        <w:tc>
          <w:tcPr>
            <w:tcW w:w="1600" w:type="dxa"/>
            <w:vAlign w:val="center"/>
          </w:tcPr>
          <w:p w14:paraId="7E5E32FB">
            <w:pPr>
              <w:pStyle w:val="554"/>
              <w:numPr>
                <w:ilvl w:val="0"/>
                <w:numId w:val="0"/>
              </w:numPr>
              <w:jc w:val="center"/>
              <w:outlineLvl w:val="9"/>
              <w:rPr>
                <w:rFonts w:ascii="宋体" w:hAnsi="宋体" w:eastAsiaTheme="majorEastAsia"/>
              </w:rPr>
            </w:pPr>
            <w:r>
              <w:rPr>
                <w:rFonts w:hint="eastAsia" w:ascii="宋体" w:hAnsi="宋体" w:eastAsiaTheme="majorEastAsia"/>
              </w:rPr>
              <w:t>危害程度等级</w:t>
            </w:r>
          </w:p>
        </w:tc>
        <w:tc>
          <w:tcPr>
            <w:tcW w:w="7087" w:type="dxa"/>
            <w:vAlign w:val="center"/>
          </w:tcPr>
          <w:p w14:paraId="7ED6D611">
            <w:pPr>
              <w:pStyle w:val="554"/>
              <w:numPr>
                <w:ilvl w:val="0"/>
                <w:numId w:val="0"/>
              </w:numPr>
              <w:jc w:val="center"/>
              <w:outlineLvl w:val="9"/>
              <w:rPr>
                <w:rFonts w:ascii="宋体" w:hAnsi="宋体" w:eastAsiaTheme="majorEastAsia"/>
              </w:rPr>
            </w:pPr>
            <w:r>
              <w:rPr>
                <w:rFonts w:hint="eastAsia" w:ascii="宋体" w:hAnsi="宋体" w:eastAsiaTheme="majorEastAsia"/>
              </w:rPr>
              <w:t>距离要求</w:t>
            </w:r>
          </w:p>
        </w:tc>
      </w:tr>
      <w:tr w14:paraId="027D8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jc w:val="center"/>
        </w:trPr>
        <w:tc>
          <w:tcPr>
            <w:tcW w:w="1600" w:type="dxa"/>
            <w:vAlign w:val="center"/>
          </w:tcPr>
          <w:p w14:paraId="1D74231F">
            <w:pPr>
              <w:pStyle w:val="554"/>
              <w:numPr>
                <w:ilvl w:val="0"/>
                <w:numId w:val="0"/>
              </w:numPr>
              <w:jc w:val="center"/>
              <w:outlineLvl w:val="9"/>
              <w:rPr>
                <w:rFonts w:ascii="宋体" w:hAnsi="宋体" w:eastAsiaTheme="majorEastAsia"/>
              </w:rPr>
            </w:pPr>
            <w:r>
              <w:rPr>
                <w:rFonts w:hint="eastAsia" w:ascii="宋体" w:hAnsi="宋体" w:eastAsiaTheme="majorEastAsia"/>
              </w:rPr>
              <w:t>一级</w:t>
            </w:r>
          </w:p>
        </w:tc>
        <w:tc>
          <w:tcPr>
            <w:tcW w:w="7087" w:type="dxa"/>
            <w:vAlign w:val="center"/>
          </w:tcPr>
          <w:p w14:paraId="0B742A0A">
            <w:pPr>
              <w:pStyle w:val="554"/>
              <w:numPr>
                <w:ilvl w:val="0"/>
                <w:numId w:val="0"/>
              </w:numPr>
              <w:outlineLvl w:val="9"/>
              <w:rPr>
                <w:rFonts w:ascii="宋体" w:hAnsi="宋体" w:eastAsiaTheme="majorEastAsia"/>
              </w:rPr>
            </w:pPr>
            <w:r>
              <w:rPr>
                <w:rFonts w:hint="eastAsia" w:ascii="宋体" w:hAnsi="宋体" w:eastAsiaTheme="majorEastAsia"/>
              </w:rPr>
              <w:t>井口距民宅不小于1</w:t>
            </w:r>
            <w:r>
              <w:rPr>
                <w:rFonts w:ascii="宋体" w:hAnsi="宋体" w:eastAsiaTheme="majorEastAsia"/>
              </w:rPr>
              <w:t>00 m</w:t>
            </w:r>
            <w:r>
              <w:rPr>
                <w:rFonts w:hint="eastAsia" w:ascii="宋体" w:hAnsi="宋体" w:eastAsiaTheme="majorEastAsia"/>
              </w:rPr>
              <w:t>，且距井口</w:t>
            </w:r>
            <w:r>
              <w:rPr>
                <w:rFonts w:ascii="宋体" w:hAnsi="宋体" w:eastAsiaTheme="majorEastAsia"/>
              </w:rPr>
              <w:t>3</w:t>
            </w:r>
            <w:r>
              <w:rPr>
                <w:rFonts w:hint="eastAsia" w:ascii="宋体" w:hAnsi="宋体" w:eastAsiaTheme="majorEastAsia"/>
              </w:rPr>
              <w:t>00</w:t>
            </w:r>
            <w:r>
              <w:rPr>
                <w:rFonts w:ascii="宋体" w:hAnsi="宋体" w:eastAsiaTheme="majorEastAsia"/>
              </w:rPr>
              <w:t xml:space="preserve"> </w:t>
            </w:r>
            <w:r>
              <w:rPr>
                <w:rFonts w:hint="eastAsia" w:ascii="宋体" w:hAnsi="宋体" w:eastAsiaTheme="majorEastAsia"/>
              </w:rPr>
              <w:t>m内常住居民户数不大于</w:t>
            </w:r>
            <w:r>
              <w:rPr>
                <w:rFonts w:ascii="宋体" w:hAnsi="宋体" w:eastAsiaTheme="majorEastAsia"/>
              </w:rPr>
              <w:t>2</w:t>
            </w:r>
            <w:r>
              <w:rPr>
                <w:rFonts w:hint="eastAsia" w:ascii="宋体" w:hAnsi="宋体" w:eastAsiaTheme="majorEastAsia"/>
              </w:rPr>
              <w:t>0户且小于3</w:t>
            </w:r>
            <w:r>
              <w:rPr>
                <w:rFonts w:ascii="宋体" w:hAnsi="宋体" w:eastAsiaTheme="majorEastAsia"/>
              </w:rPr>
              <w:t>0</w:t>
            </w:r>
            <w:r>
              <w:rPr>
                <w:rFonts w:hint="eastAsia" w:ascii="宋体" w:hAnsi="宋体" w:eastAsiaTheme="majorEastAsia"/>
              </w:rPr>
              <w:t>人；距铁路及高速公路不小于</w:t>
            </w:r>
            <w:r>
              <w:rPr>
                <w:rFonts w:ascii="宋体" w:hAnsi="宋体" w:eastAsiaTheme="majorEastAsia"/>
              </w:rPr>
              <w:t>300 m</w:t>
            </w:r>
            <w:r>
              <w:rPr>
                <w:rFonts w:hint="eastAsia" w:ascii="宋体" w:hAnsi="宋体" w:eastAsiaTheme="majorEastAsia"/>
              </w:rPr>
              <w:t>；距公共设施及城镇中心不小于1</w:t>
            </w:r>
            <w:r>
              <w:rPr>
                <w:rFonts w:ascii="宋体" w:hAnsi="宋体" w:eastAsiaTheme="majorEastAsia"/>
              </w:rPr>
              <w:t>000 m</w:t>
            </w:r>
          </w:p>
        </w:tc>
      </w:tr>
      <w:tr w14:paraId="51119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1600" w:type="dxa"/>
            <w:vAlign w:val="center"/>
          </w:tcPr>
          <w:p w14:paraId="2521A0E5">
            <w:pPr>
              <w:pStyle w:val="554"/>
              <w:numPr>
                <w:ilvl w:val="0"/>
                <w:numId w:val="0"/>
              </w:numPr>
              <w:jc w:val="center"/>
              <w:outlineLvl w:val="9"/>
              <w:rPr>
                <w:rFonts w:ascii="宋体" w:hAnsi="宋体" w:eastAsiaTheme="majorEastAsia"/>
              </w:rPr>
            </w:pPr>
            <w:r>
              <w:rPr>
                <w:rFonts w:hint="eastAsia" w:ascii="宋体" w:hAnsi="宋体" w:eastAsiaTheme="majorEastAsia"/>
              </w:rPr>
              <w:t>二级</w:t>
            </w:r>
          </w:p>
        </w:tc>
        <w:tc>
          <w:tcPr>
            <w:tcW w:w="7087" w:type="dxa"/>
            <w:vAlign w:val="center"/>
          </w:tcPr>
          <w:p w14:paraId="16262978">
            <w:pPr>
              <w:pStyle w:val="554"/>
              <w:numPr>
                <w:ilvl w:val="0"/>
                <w:numId w:val="0"/>
              </w:numPr>
              <w:outlineLvl w:val="9"/>
              <w:rPr>
                <w:rFonts w:ascii="宋体" w:hAnsi="宋体" w:eastAsiaTheme="majorEastAsia"/>
              </w:rPr>
            </w:pPr>
            <w:r>
              <w:rPr>
                <w:rFonts w:hint="eastAsia" w:ascii="宋体" w:hAnsi="宋体" w:eastAsiaTheme="majorEastAsia"/>
              </w:rPr>
              <w:t>井口距民宅不小于1</w:t>
            </w:r>
            <w:r>
              <w:rPr>
                <w:rFonts w:ascii="宋体" w:hAnsi="宋体" w:eastAsiaTheme="majorEastAsia"/>
              </w:rPr>
              <w:t>00 m</w:t>
            </w:r>
            <w:r>
              <w:rPr>
                <w:rFonts w:hint="eastAsia" w:ascii="宋体" w:hAnsi="宋体" w:eastAsiaTheme="majorEastAsia"/>
              </w:rPr>
              <w:t>；距铁路及高速公路不小于</w:t>
            </w:r>
            <w:r>
              <w:rPr>
                <w:rFonts w:ascii="宋体" w:hAnsi="宋体" w:eastAsiaTheme="majorEastAsia"/>
              </w:rPr>
              <w:t>300 m</w:t>
            </w:r>
            <w:r>
              <w:rPr>
                <w:rFonts w:hint="eastAsia" w:ascii="宋体" w:hAnsi="宋体" w:eastAsiaTheme="majorEastAsia"/>
              </w:rPr>
              <w:t>；距公共设施不小于</w:t>
            </w:r>
            <w:r>
              <w:rPr>
                <w:rFonts w:ascii="宋体" w:hAnsi="宋体" w:eastAsiaTheme="majorEastAsia"/>
              </w:rPr>
              <w:t>500 m</w:t>
            </w:r>
            <w:r>
              <w:rPr>
                <w:rFonts w:hint="eastAsia" w:ascii="宋体" w:hAnsi="宋体" w:eastAsiaTheme="majorEastAsia"/>
              </w:rPr>
              <w:t>；距城镇中心不小于1</w:t>
            </w:r>
            <w:r>
              <w:rPr>
                <w:rFonts w:ascii="宋体" w:hAnsi="宋体" w:eastAsiaTheme="majorEastAsia"/>
              </w:rPr>
              <w:t>000 m</w:t>
            </w:r>
          </w:p>
        </w:tc>
      </w:tr>
      <w:tr w14:paraId="1DD31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00" w:type="dxa"/>
            <w:vAlign w:val="center"/>
          </w:tcPr>
          <w:p w14:paraId="2A7B8770">
            <w:pPr>
              <w:pStyle w:val="554"/>
              <w:numPr>
                <w:ilvl w:val="0"/>
                <w:numId w:val="0"/>
              </w:numPr>
              <w:jc w:val="center"/>
              <w:outlineLvl w:val="9"/>
              <w:rPr>
                <w:rFonts w:ascii="宋体" w:hAnsi="宋体" w:eastAsiaTheme="majorEastAsia"/>
              </w:rPr>
            </w:pPr>
            <w:r>
              <w:rPr>
                <w:rFonts w:hint="eastAsia" w:ascii="宋体" w:hAnsi="宋体" w:eastAsiaTheme="majorEastAsia"/>
              </w:rPr>
              <w:t>三级</w:t>
            </w:r>
          </w:p>
        </w:tc>
        <w:tc>
          <w:tcPr>
            <w:tcW w:w="7087" w:type="dxa"/>
            <w:vAlign w:val="center"/>
          </w:tcPr>
          <w:p w14:paraId="60079459">
            <w:pPr>
              <w:pStyle w:val="554"/>
              <w:numPr>
                <w:ilvl w:val="0"/>
                <w:numId w:val="0"/>
              </w:numPr>
              <w:outlineLvl w:val="9"/>
              <w:rPr>
                <w:rFonts w:ascii="宋体" w:hAnsi="宋体" w:eastAsiaTheme="majorEastAsia"/>
              </w:rPr>
            </w:pPr>
            <w:r>
              <w:rPr>
                <w:rFonts w:hint="eastAsia" w:ascii="宋体" w:hAnsi="宋体" w:eastAsiaTheme="majorEastAsia"/>
              </w:rPr>
              <w:t>井口距民宅不小于1</w:t>
            </w:r>
            <w:r>
              <w:rPr>
                <w:rFonts w:ascii="宋体" w:hAnsi="宋体" w:eastAsiaTheme="majorEastAsia"/>
              </w:rPr>
              <w:t>00 m</w:t>
            </w:r>
            <w:r>
              <w:rPr>
                <w:rFonts w:hint="eastAsia" w:ascii="宋体" w:hAnsi="宋体" w:eastAsiaTheme="majorEastAsia"/>
              </w:rPr>
              <w:t>；距铁路及高速公路不小于</w:t>
            </w:r>
            <w:r>
              <w:rPr>
                <w:rFonts w:ascii="宋体" w:hAnsi="宋体" w:eastAsiaTheme="majorEastAsia"/>
              </w:rPr>
              <w:t>200 m</w:t>
            </w:r>
            <w:r>
              <w:rPr>
                <w:rFonts w:hint="eastAsia" w:ascii="宋体" w:hAnsi="宋体" w:eastAsiaTheme="majorEastAsia"/>
              </w:rPr>
              <w:t>；距公共设施及城镇中心不小于</w:t>
            </w:r>
            <w:r>
              <w:rPr>
                <w:rFonts w:ascii="宋体" w:hAnsi="宋体" w:eastAsiaTheme="majorEastAsia"/>
              </w:rPr>
              <w:t>500 m</w:t>
            </w:r>
          </w:p>
        </w:tc>
      </w:tr>
      <w:bookmarkEnd w:id="17"/>
      <w:bookmarkEnd w:id="18"/>
    </w:tbl>
    <w:p w14:paraId="45467B9B">
      <w:pPr>
        <w:pStyle w:val="259"/>
        <w:outlineLvl w:val="0"/>
        <w:rPr>
          <w:rFonts w:ascii="宋体" w:hAnsi="宋体"/>
        </w:rPr>
      </w:pPr>
      <w:bookmarkStart w:id="20" w:name="_Toc196682327"/>
      <w:bookmarkStart w:id="21" w:name="_Toc19545"/>
      <w:r>
        <w:rPr>
          <w:rFonts w:hint="eastAsia" w:ascii="宋体" w:hAnsi="宋体"/>
        </w:rPr>
        <w:t>陆上生产作业过程安全防护</w:t>
      </w:r>
      <w:bookmarkEnd w:id="20"/>
    </w:p>
    <w:p w14:paraId="3C00D31C">
      <w:pPr>
        <w:pStyle w:val="260"/>
        <w:outlineLvl w:val="1"/>
        <w:rPr>
          <w:rFonts w:ascii="宋体" w:hAnsi="宋体"/>
        </w:rPr>
      </w:pPr>
      <w:bookmarkStart w:id="22" w:name="_Toc196682328"/>
      <w:r>
        <w:rPr>
          <w:rFonts w:hint="eastAsia" w:ascii="宋体" w:hAnsi="宋体"/>
        </w:rPr>
        <w:t>通用要求</w:t>
      </w:r>
      <w:bookmarkEnd w:id="22"/>
    </w:p>
    <w:p w14:paraId="06AF9EEF">
      <w:pPr>
        <w:pStyle w:val="326"/>
        <w:rPr>
          <w:rFonts w:ascii="宋体" w:hAnsi="宋体"/>
        </w:rPr>
      </w:pPr>
      <w:r>
        <w:rPr>
          <w:rFonts w:hint="eastAsia" w:ascii="宋体" w:hAnsi="宋体"/>
        </w:rPr>
        <w:t>含硫化氢天然气井作业期间，应为相关人员配备正压式空气呼吸器和便携式硫化氢检测仪</w:t>
      </w:r>
      <w:r>
        <w:rPr>
          <w:rFonts w:ascii="宋体" w:hAnsi="宋体"/>
        </w:rPr>
        <w:t>。</w:t>
      </w:r>
    </w:p>
    <w:p w14:paraId="1A70EE6C">
      <w:pPr>
        <w:pStyle w:val="326"/>
        <w:rPr>
          <w:rFonts w:ascii="宋体" w:hAnsi="宋体"/>
        </w:rPr>
      </w:pPr>
      <w:r>
        <w:rPr>
          <w:rFonts w:hint="eastAsia" w:ascii="宋体" w:hAnsi="宋体"/>
        </w:rPr>
        <w:t>当发现硫化氢泄漏时，应在下风向的工作场所内、外进行连续检测</w:t>
      </w:r>
      <w:r>
        <w:rPr>
          <w:rFonts w:ascii="宋体" w:hAnsi="宋体"/>
        </w:rPr>
        <w:t>。</w:t>
      </w:r>
    </w:p>
    <w:p w14:paraId="79777687">
      <w:pPr>
        <w:pStyle w:val="326"/>
        <w:rPr>
          <w:rFonts w:ascii="宋体" w:hAnsi="宋体"/>
        </w:rPr>
      </w:pPr>
      <w:r>
        <w:rPr>
          <w:rFonts w:hint="eastAsia" w:ascii="宋体" w:hAnsi="宋体"/>
        </w:rPr>
        <w:t>当硫化氢浓度达到安全临界浓度时，应立即佩戴正压式空气呼吸器</w:t>
      </w:r>
      <w:r>
        <w:rPr>
          <w:rFonts w:ascii="宋体" w:hAnsi="宋体"/>
        </w:rPr>
        <w:t>。</w:t>
      </w:r>
    </w:p>
    <w:p w14:paraId="770B1C50">
      <w:pPr>
        <w:pStyle w:val="326"/>
        <w:rPr>
          <w:rFonts w:ascii="宋体" w:hAnsi="宋体"/>
        </w:rPr>
      </w:pPr>
      <w:r>
        <w:rPr>
          <w:rFonts w:hint="eastAsia" w:ascii="宋体" w:hAnsi="宋体"/>
        </w:rPr>
        <w:t>含硫化氢天然气井的井口装置、采气树应进行腐蚀状况和密封性检查及维护保养，并做好记录。</w:t>
      </w:r>
    </w:p>
    <w:p w14:paraId="004A3243">
      <w:pPr>
        <w:pStyle w:val="326"/>
        <w:rPr>
          <w:rFonts w:ascii="宋体" w:hAnsi="宋体"/>
        </w:rPr>
      </w:pPr>
      <w:r>
        <w:rPr>
          <w:rFonts w:hint="eastAsia" w:ascii="宋体" w:hAnsi="宋体"/>
        </w:rPr>
        <w:t>含硫化氢天然气井作业及生产期间应配备监测及报警仪器，包括但不限于：</w:t>
      </w:r>
    </w:p>
    <w:p w14:paraId="3976D7EE">
      <w:pPr>
        <w:pStyle w:val="305"/>
        <w:numPr>
          <w:ilvl w:val="0"/>
          <w:numId w:val="34"/>
        </w:numPr>
        <w:rPr>
          <w:rFonts w:hAnsi="宋体"/>
        </w:rPr>
      </w:pPr>
      <w:r>
        <w:rPr>
          <w:rFonts w:hint="eastAsia" w:hAnsi="宋体"/>
        </w:rPr>
        <w:t>钻井作业时，应在钻台上、井架底座周围、振动筛、液体罐和其他硫化氢可能聚集的地方使用防爆通风设备，并配置固定式硫化氢</w:t>
      </w:r>
      <w:r>
        <w:rPr>
          <w:rFonts w:hAnsi="宋体"/>
        </w:rPr>
        <w:t>传感器</w:t>
      </w:r>
      <w:r>
        <w:rPr>
          <w:rFonts w:hint="eastAsia" w:hAnsi="宋体"/>
        </w:rPr>
        <w:t>；</w:t>
      </w:r>
    </w:p>
    <w:p w14:paraId="1F46AA05">
      <w:pPr>
        <w:pStyle w:val="305"/>
        <w:numPr>
          <w:ilvl w:val="0"/>
          <w:numId w:val="34"/>
        </w:numPr>
        <w:rPr>
          <w:rFonts w:hAnsi="宋体"/>
        </w:rPr>
      </w:pPr>
      <w:r>
        <w:rPr>
          <w:rFonts w:hint="eastAsia" w:hAnsi="宋体"/>
        </w:rPr>
        <w:t>录井作业期间应在缓冲罐或振动筛附近配备固定式硫化氢传感器；</w:t>
      </w:r>
    </w:p>
    <w:p w14:paraId="74F53A89">
      <w:pPr>
        <w:pStyle w:val="305"/>
        <w:numPr>
          <w:ilvl w:val="0"/>
          <w:numId w:val="34"/>
        </w:numPr>
        <w:rPr>
          <w:rFonts w:hAnsi="宋体"/>
        </w:rPr>
      </w:pPr>
      <w:r>
        <w:rPr>
          <w:rFonts w:hint="eastAsia" w:hAnsi="宋体"/>
        </w:rPr>
        <w:t>综合录井仪器房内和录井仪器房顶靠近井口一侧应配备硫化氢报警装置；</w:t>
      </w:r>
    </w:p>
    <w:p w14:paraId="7ED386DD">
      <w:pPr>
        <w:pStyle w:val="305"/>
        <w:numPr>
          <w:ilvl w:val="0"/>
          <w:numId w:val="34"/>
        </w:numPr>
        <w:rPr>
          <w:rFonts w:hAnsi="宋体"/>
        </w:rPr>
      </w:pPr>
      <w:r>
        <w:rPr>
          <w:rFonts w:hint="eastAsia" w:hAnsi="宋体"/>
        </w:rPr>
        <w:t>井下作业期间应</w:t>
      </w:r>
      <w:r>
        <w:rPr>
          <w:rFonts w:hAnsi="宋体"/>
        </w:rPr>
        <w:t>在钻台（或操作台）</w:t>
      </w:r>
      <w:r>
        <w:rPr>
          <w:rFonts w:hint="eastAsia" w:hAnsi="宋体"/>
        </w:rPr>
        <w:t>、方井</w:t>
      </w:r>
      <w:r>
        <w:rPr>
          <w:rFonts w:hAnsi="宋体"/>
        </w:rPr>
        <w:t>、循环池、测试管汇区</w:t>
      </w:r>
      <w:r>
        <w:rPr>
          <w:rFonts w:hint="eastAsia" w:hAnsi="宋体"/>
        </w:rPr>
        <w:t>等位置</w:t>
      </w:r>
      <w:r>
        <w:rPr>
          <w:rFonts w:hAnsi="宋体"/>
        </w:rPr>
        <w:t>安装固定式硫化氢传感器</w:t>
      </w:r>
      <w:r>
        <w:rPr>
          <w:rFonts w:hint="eastAsia" w:hAnsi="宋体"/>
        </w:rPr>
        <w:t>；</w:t>
      </w:r>
    </w:p>
    <w:p w14:paraId="13E9B81C">
      <w:pPr>
        <w:pStyle w:val="305"/>
        <w:numPr>
          <w:ilvl w:val="0"/>
          <w:numId w:val="34"/>
        </w:numPr>
        <w:rPr>
          <w:rFonts w:hAnsi="宋体"/>
        </w:rPr>
      </w:pPr>
      <w:r>
        <w:rPr>
          <w:rFonts w:hint="eastAsia" w:hAnsi="宋体"/>
        </w:rPr>
        <w:t>采气生产阶段，应在井口方井池内设置具备声光报警功能的固定式硫化氢传感器，报警信号应传送至有人值守的控制室或现场操作室。</w:t>
      </w:r>
    </w:p>
    <w:p w14:paraId="0848CC56">
      <w:pPr>
        <w:pStyle w:val="326"/>
        <w:rPr>
          <w:rFonts w:ascii="宋体" w:hAnsi="宋体"/>
        </w:rPr>
      </w:pPr>
      <w:r>
        <w:rPr>
          <w:rFonts w:hint="eastAsia" w:ascii="宋体" w:hAnsi="宋体"/>
        </w:rPr>
        <w:t>井场的布置应结合当地的主要风向和钻开含硫化氢地层时的季节风风向。</w:t>
      </w:r>
    </w:p>
    <w:p w14:paraId="6BD3C1A0">
      <w:pPr>
        <w:pStyle w:val="326"/>
        <w:rPr>
          <w:rFonts w:ascii="宋体" w:hAnsi="宋体"/>
        </w:rPr>
      </w:pPr>
      <w:r>
        <w:rPr>
          <w:rFonts w:hint="eastAsia" w:ascii="宋体" w:hAnsi="宋体"/>
        </w:rPr>
        <w:t>在井场入口处应设置白天和夜晚都能看清的硫化氢警示标志，警示标志应符合以下要求：</w:t>
      </w:r>
    </w:p>
    <w:p w14:paraId="35B814C8">
      <w:pPr>
        <w:pStyle w:val="305"/>
        <w:numPr>
          <w:ilvl w:val="0"/>
          <w:numId w:val="35"/>
        </w:numPr>
        <w:rPr>
          <w:rFonts w:hAnsi="宋体"/>
        </w:rPr>
      </w:pPr>
      <w:bookmarkStart w:id="23" w:name="_Hlk193355525"/>
      <w:r>
        <w:rPr>
          <w:rFonts w:hint="eastAsia" w:hAnsi="宋体"/>
        </w:rPr>
        <w:t>当空气中含硫化氢浓度小于</w:t>
      </w:r>
      <w:r>
        <w:rPr>
          <w:rFonts w:hint="eastAsia" w:hAnsi="宋体" w:eastAsiaTheme="majorEastAsia"/>
          <w:szCs w:val="22"/>
        </w:rPr>
        <w:t>15</w:t>
      </w:r>
      <w:r>
        <w:rPr>
          <w:rFonts w:hAnsi="宋体" w:eastAsiaTheme="majorEastAsia"/>
          <w:szCs w:val="22"/>
        </w:rPr>
        <w:t xml:space="preserve"> </w:t>
      </w:r>
      <w:r>
        <w:rPr>
          <w:rFonts w:hint="eastAsia" w:hAnsi="宋体" w:eastAsiaTheme="majorEastAsia"/>
          <w:szCs w:val="22"/>
        </w:rPr>
        <w:t>mg/m</w:t>
      </w:r>
      <w:r>
        <w:rPr>
          <w:rFonts w:hint="eastAsia" w:hAnsi="宋体" w:eastAsiaTheme="majorEastAsia"/>
          <w:szCs w:val="22"/>
          <w:vertAlign w:val="superscript"/>
        </w:rPr>
        <w:t>3</w:t>
      </w:r>
      <w:r>
        <w:rPr>
          <w:rFonts w:hint="eastAsia" w:hAnsi="宋体" w:eastAsiaTheme="majorEastAsia"/>
          <w:szCs w:val="22"/>
        </w:rPr>
        <w:t>（10</w:t>
      </w:r>
      <w:r>
        <w:rPr>
          <w:rFonts w:hAnsi="宋体" w:eastAsiaTheme="majorEastAsia"/>
        </w:rPr>
        <w:t>×</w:t>
      </w:r>
      <w:r>
        <w:rPr>
          <w:rFonts w:hAnsi="宋体" w:eastAsiaTheme="majorEastAsia"/>
          <w:szCs w:val="22"/>
        </w:rPr>
        <w:t>10</w:t>
      </w:r>
      <w:r>
        <w:rPr>
          <w:rFonts w:hAnsi="宋体" w:eastAsiaTheme="majorEastAsia"/>
          <w:szCs w:val="22"/>
          <w:vertAlign w:val="superscript"/>
        </w:rPr>
        <w:t>-6</w:t>
      </w:r>
      <w:r>
        <w:rPr>
          <w:rFonts w:hint="eastAsia" w:hAnsi="宋体" w:eastAsiaTheme="majorEastAsia"/>
          <w:szCs w:val="22"/>
        </w:rPr>
        <w:t>）</w:t>
      </w:r>
      <w:r>
        <w:rPr>
          <w:rFonts w:hint="eastAsia" w:hAnsi="宋体"/>
        </w:rPr>
        <w:t>时，挂标有硫化氢字样的绿牌；</w:t>
      </w:r>
    </w:p>
    <w:p w14:paraId="720207A8">
      <w:pPr>
        <w:pStyle w:val="305"/>
        <w:numPr>
          <w:ilvl w:val="0"/>
          <w:numId w:val="35"/>
        </w:numPr>
        <w:rPr>
          <w:rFonts w:hAnsi="宋体"/>
        </w:rPr>
      </w:pPr>
      <w:r>
        <w:rPr>
          <w:rFonts w:hint="eastAsia" w:hAnsi="宋体"/>
        </w:rPr>
        <w:t>当空气中含硫化氢浓度处于15</w:t>
      </w:r>
      <w:r>
        <w:rPr>
          <w:rFonts w:hAnsi="宋体"/>
        </w:rPr>
        <w:t xml:space="preserve"> </w:t>
      </w:r>
      <w:r>
        <w:rPr>
          <w:rFonts w:hint="eastAsia" w:hAnsi="宋体"/>
        </w:rPr>
        <w:t>mg/m</w:t>
      </w:r>
      <w:r>
        <w:rPr>
          <w:rFonts w:hint="eastAsia" w:hAnsi="宋体"/>
          <w:vertAlign w:val="superscript"/>
        </w:rPr>
        <w:t>3</w:t>
      </w:r>
      <w:r>
        <w:rPr>
          <w:rFonts w:hAnsi="宋体"/>
        </w:rPr>
        <w:t>～</w:t>
      </w:r>
      <w:r>
        <w:rPr>
          <w:rFonts w:hint="eastAsia" w:hAnsi="宋体"/>
        </w:rPr>
        <w:t>30</w:t>
      </w:r>
      <w:r>
        <w:rPr>
          <w:rFonts w:hAnsi="宋体"/>
        </w:rPr>
        <w:t xml:space="preserve"> </w:t>
      </w:r>
      <w:r>
        <w:rPr>
          <w:rFonts w:hint="eastAsia" w:hAnsi="宋体"/>
        </w:rPr>
        <w:t>mg/m</w:t>
      </w:r>
      <w:r>
        <w:rPr>
          <w:rFonts w:hint="eastAsia" w:hAnsi="宋体"/>
          <w:vertAlign w:val="superscript"/>
        </w:rPr>
        <w:t>3</w:t>
      </w:r>
      <w:r>
        <w:rPr>
          <w:rFonts w:hint="eastAsia" w:hAnsi="宋体"/>
        </w:rPr>
        <w:t>（10</w:t>
      </w:r>
      <w:r>
        <w:rPr>
          <w:rFonts w:hAnsi="宋体" w:eastAsiaTheme="majorEastAsia"/>
        </w:rPr>
        <w:t>×</w:t>
      </w:r>
      <w:r>
        <w:rPr>
          <w:rFonts w:hAnsi="宋体"/>
        </w:rPr>
        <w:t>10</w:t>
      </w:r>
      <w:r>
        <w:rPr>
          <w:rFonts w:hAnsi="宋体"/>
          <w:vertAlign w:val="superscript"/>
        </w:rPr>
        <w:t>-6</w:t>
      </w:r>
      <w:r>
        <w:rPr>
          <w:rFonts w:hAnsi="宋体"/>
        </w:rPr>
        <w:t>～</w:t>
      </w:r>
      <w:r>
        <w:rPr>
          <w:rFonts w:hint="eastAsia" w:hAnsi="宋体"/>
        </w:rPr>
        <w:t>20</w:t>
      </w:r>
      <w:r>
        <w:rPr>
          <w:rFonts w:hAnsi="宋体" w:eastAsiaTheme="majorEastAsia"/>
        </w:rPr>
        <w:t>×</w:t>
      </w:r>
      <w:r>
        <w:rPr>
          <w:rFonts w:hAnsi="宋体"/>
        </w:rPr>
        <w:t>10</w:t>
      </w:r>
      <w:r>
        <w:rPr>
          <w:rFonts w:hAnsi="宋体"/>
          <w:vertAlign w:val="superscript"/>
        </w:rPr>
        <w:t>-6</w:t>
      </w:r>
      <w:r>
        <w:rPr>
          <w:rFonts w:hint="eastAsia" w:hAnsi="宋体"/>
        </w:rPr>
        <w:t>）时，挂标有硫化氢字样的黄牌；</w:t>
      </w:r>
    </w:p>
    <w:p w14:paraId="52ECB16A">
      <w:pPr>
        <w:pStyle w:val="305"/>
        <w:numPr>
          <w:ilvl w:val="0"/>
          <w:numId w:val="35"/>
        </w:numPr>
        <w:rPr>
          <w:rFonts w:hAnsi="宋体"/>
        </w:rPr>
      </w:pPr>
      <w:r>
        <w:rPr>
          <w:rFonts w:hint="eastAsia" w:hAnsi="宋体"/>
        </w:rPr>
        <w:t>当空气中含硫化氢浓度大于30</w:t>
      </w:r>
      <w:r>
        <w:rPr>
          <w:rFonts w:hAnsi="宋体"/>
        </w:rPr>
        <w:t xml:space="preserve"> </w:t>
      </w:r>
      <w:r>
        <w:rPr>
          <w:rFonts w:hint="eastAsia" w:hAnsi="宋体"/>
        </w:rPr>
        <w:t>mg/m</w:t>
      </w:r>
      <w:r>
        <w:rPr>
          <w:rFonts w:hint="eastAsia" w:hAnsi="宋体"/>
          <w:vertAlign w:val="superscript"/>
        </w:rPr>
        <w:t>3</w:t>
      </w:r>
      <w:r>
        <w:rPr>
          <w:rFonts w:hint="eastAsia" w:hAnsi="宋体"/>
        </w:rPr>
        <w:t>（20</w:t>
      </w:r>
      <w:r>
        <w:rPr>
          <w:rFonts w:hAnsi="宋体" w:eastAsiaTheme="majorEastAsia"/>
        </w:rPr>
        <w:t>×</w:t>
      </w:r>
      <w:r>
        <w:rPr>
          <w:rFonts w:hAnsi="宋体"/>
        </w:rPr>
        <w:t>10</w:t>
      </w:r>
      <w:r>
        <w:rPr>
          <w:rFonts w:hAnsi="宋体"/>
          <w:vertAlign w:val="superscript"/>
        </w:rPr>
        <w:t>-6</w:t>
      </w:r>
      <w:r>
        <w:rPr>
          <w:rFonts w:hint="eastAsia" w:hAnsi="宋体"/>
        </w:rPr>
        <w:t>）时，挂标有硫化氢字样的红牌。</w:t>
      </w:r>
    </w:p>
    <w:bookmarkEnd w:id="23"/>
    <w:p w14:paraId="5D5F133C">
      <w:pPr>
        <w:pStyle w:val="326"/>
        <w:rPr>
          <w:rFonts w:ascii="宋体" w:hAnsi="宋体"/>
        </w:rPr>
      </w:pPr>
      <w:r>
        <w:rPr>
          <w:rFonts w:hint="eastAsia" w:ascii="宋体" w:hAnsi="宋体"/>
        </w:rPr>
        <w:t>井场周围应设置白天和夜晚都能看清风向的风向标，风向标的设置应符合以下要求：</w:t>
      </w:r>
    </w:p>
    <w:p w14:paraId="2371DBEF">
      <w:pPr>
        <w:pStyle w:val="305"/>
        <w:numPr>
          <w:ilvl w:val="0"/>
          <w:numId w:val="36"/>
        </w:numPr>
        <w:rPr>
          <w:rFonts w:hAnsi="宋体"/>
        </w:rPr>
      </w:pPr>
      <w:r>
        <w:rPr>
          <w:rFonts w:hint="eastAsia" w:hAnsi="宋体"/>
        </w:rPr>
        <w:t>使用风斗（风向袋）或其他适用的彩带、旗帜；</w:t>
      </w:r>
    </w:p>
    <w:p w14:paraId="620F3252">
      <w:pPr>
        <w:pStyle w:val="305"/>
        <w:numPr>
          <w:ilvl w:val="0"/>
          <w:numId w:val="36"/>
        </w:numPr>
        <w:rPr>
          <w:rFonts w:hAnsi="宋体"/>
        </w:rPr>
      </w:pPr>
      <w:r>
        <w:rPr>
          <w:rFonts w:hint="eastAsia" w:hAnsi="宋体"/>
        </w:rPr>
        <w:t>根据工作场所的大小设置一个或多个风向标；</w:t>
      </w:r>
    </w:p>
    <w:p w14:paraId="7C0A4D1A">
      <w:pPr>
        <w:pStyle w:val="305"/>
        <w:numPr>
          <w:ilvl w:val="0"/>
          <w:numId w:val="36"/>
        </w:numPr>
        <w:rPr>
          <w:rFonts w:hAnsi="宋体"/>
        </w:rPr>
      </w:pPr>
      <w:r>
        <w:rPr>
          <w:rFonts w:hint="eastAsia" w:hAnsi="宋体"/>
        </w:rPr>
        <w:t>安装在不会影响风向指示且易于看到的地方。</w:t>
      </w:r>
    </w:p>
    <w:p w14:paraId="323CCC11">
      <w:pPr>
        <w:pStyle w:val="260"/>
        <w:outlineLvl w:val="1"/>
        <w:rPr>
          <w:rFonts w:ascii="宋体" w:hAnsi="宋体" w:eastAsia="宋体"/>
          <w:szCs w:val="27"/>
        </w:rPr>
      </w:pPr>
      <w:bookmarkStart w:id="24" w:name="_Toc196682329"/>
      <w:r>
        <w:rPr>
          <w:rFonts w:hint="eastAsia" w:ascii="宋体" w:hAnsi="宋体"/>
        </w:rPr>
        <w:t>钻井工程</w:t>
      </w:r>
      <w:bookmarkEnd w:id="24"/>
    </w:p>
    <w:p w14:paraId="616D781F">
      <w:pPr>
        <w:pStyle w:val="261"/>
        <w:spacing w:before="156" w:after="156"/>
        <w:outlineLvl w:val="2"/>
        <w:rPr>
          <w:rFonts w:ascii="宋体" w:hAnsi="宋体"/>
        </w:rPr>
      </w:pPr>
      <w:r>
        <w:rPr>
          <w:rFonts w:hint="eastAsia" w:ascii="宋体" w:hAnsi="宋体"/>
        </w:rPr>
        <w:t>设计</w:t>
      </w:r>
    </w:p>
    <w:p w14:paraId="3FA63632">
      <w:pPr>
        <w:pStyle w:val="327"/>
        <w:rPr>
          <w:rFonts w:ascii="宋体" w:hAnsi="宋体" w:eastAsia="宋体"/>
          <w:szCs w:val="27"/>
        </w:rPr>
      </w:pPr>
      <w:r>
        <w:rPr>
          <w:rFonts w:hint="eastAsia" w:ascii="宋体" w:hAnsi="宋体" w:eastAsia="宋体"/>
        </w:rPr>
        <w:t>地质设计应明确但不限于以下内容：</w:t>
      </w:r>
    </w:p>
    <w:p w14:paraId="6679FC72">
      <w:pPr>
        <w:pStyle w:val="305"/>
        <w:numPr>
          <w:ilvl w:val="0"/>
          <w:numId w:val="37"/>
        </w:numPr>
        <w:rPr>
          <w:rFonts w:hAnsi="宋体"/>
        </w:rPr>
      </w:pPr>
      <w:r>
        <w:rPr>
          <w:rFonts w:hAnsi="宋体"/>
        </w:rPr>
        <w:t>预告地层压力、流体类型、含硫地层及其深度</w:t>
      </w:r>
      <w:r>
        <w:rPr>
          <w:rFonts w:hint="eastAsia" w:hAnsi="宋体"/>
        </w:rPr>
        <w:t>和</w:t>
      </w:r>
      <w:r>
        <w:rPr>
          <w:rFonts w:hAnsi="宋体"/>
        </w:rPr>
        <w:t>预计硫化氢含量</w:t>
      </w:r>
      <w:r>
        <w:rPr>
          <w:rFonts w:hint="eastAsia" w:hAnsi="宋体"/>
        </w:rPr>
        <w:t>；</w:t>
      </w:r>
    </w:p>
    <w:p w14:paraId="70D68AE9">
      <w:pPr>
        <w:pStyle w:val="305"/>
        <w:numPr>
          <w:ilvl w:val="0"/>
          <w:numId w:val="37"/>
        </w:numPr>
        <w:rPr>
          <w:rFonts w:hAnsi="宋体"/>
        </w:rPr>
      </w:pPr>
      <w:r>
        <w:rPr>
          <w:rFonts w:hint="eastAsia" w:hAnsi="宋体"/>
        </w:rPr>
        <w:t>以井口中心点为基准，对区域探井及地层天然气中硫化氢含量等于或大于1</w:t>
      </w:r>
      <w:r>
        <w:rPr>
          <w:rFonts w:hAnsi="宋体"/>
        </w:rPr>
        <w:t>500</w:t>
      </w:r>
      <w:r>
        <w:rPr>
          <w:rFonts w:hint="eastAsia" w:hAnsi="宋体" w:eastAsiaTheme="majorEastAsia"/>
          <w:szCs w:val="22"/>
        </w:rPr>
        <w:t xml:space="preserve"> mg/m</w:t>
      </w:r>
      <w:r>
        <w:rPr>
          <w:rFonts w:hint="eastAsia" w:hAnsi="宋体" w:eastAsiaTheme="majorEastAsia"/>
          <w:szCs w:val="22"/>
          <w:vertAlign w:val="superscript"/>
        </w:rPr>
        <w:t>3</w:t>
      </w:r>
      <w:r>
        <w:rPr>
          <w:rFonts w:hint="eastAsia" w:hAnsi="宋体"/>
        </w:rPr>
        <w:t>（</w:t>
      </w:r>
      <w:r>
        <w:rPr>
          <w:rFonts w:hAnsi="宋体"/>
        </w:rPr>
        <w:t>1000</w:t>
      </w:r>
      <w:r>
        <w:rPr>
          <w:rFonts w:hAnsi="宋体" w:eastAsiaTheme="majorEastAsia"/>
        </w:rPr>
        <w:t>×</w:t>
      </w:r>
      <w:r>
        <w:rPr>
          <w:rFonts w:hAnsi="宋体"/>
        </w:rPr>
        <w:t>10</w:t>
      </w:r>
      <w:r>
        <w:rPr>
          <w:rFonts w:hAnsi="宋体"/>
          <w:vertAlign w:val="superscript"/>
        </w:rPr>
        <w:t>-6</w:t>
      </w:r>
      <w:r>
        <w:rPr>
          <w:rFonts w:hint="eastAsia" w:hAnsi="宋体"/>
        </w:rPr>
        <w:t>）</w:t>
      </w:r>
      <w:r>
        <w:rPr>
          <w:rFonts w:hint="eastAsia" w:hAnsi="宋体" w:eastAsiaTheme="majorEastAsia"/>
          <w:szCs w:val="22"/>
        </w:rPr>
        <w:t>的井周围5</w:t>
      </w:r>
      <w:r>
        <w:rPr>
          <w:rFonts w:hAnsi="宋体" w:eastAsiaTheme="majorEastAsia"/>
          <w:szCs w:val="22"/>
        </w:rPr>
        <w:t xml:space="preserve">000 </w:t>
      </w:r>
      <w:r>
        <w:rPr>
          <w:rFonts w:hint="eastAsia" w:hAnsi="宋体" w:eastAsiaTheme="majorEastAsia"/>
          <w:szCs w:val="22"/>
        </w:rPr>
        <w:t>m、探井周围3</w:t>
      </w:r>
      <w:r>
        <w:rPr>
          <w:rFonts w:hAnsi="宋体" w:eastAsiaTheme="majorEastAsia"/>
          <w:szCs w:val="22"/>
        </w:rPr>
        <w:t xml:space="preserve">000 </w:t>
      </w:r>
      <w:r>
        <w:rPr>
          <w:rFonts w:hint="eastAsia" w:hAnsi="宋体" w:eastAsiaTheme="majorEastAsia"/>
          <w:szCs w:val="22"/>
        </w:rPr>
        <w:t>m范围内的居民住宅、学校、公路、铁路和厂矿等进行勘测，并调查5</w:t>
      </w:r>
      <w:r>
        <w:rPr>
          <w:rFonts w:hAnsi="宋体" w:eastAsiaTheme="majorEastAsia"/>
          <w:szCs w:val="22"/>
        </w:rPr>
        <w:t>00 m</w:t>
      </w:r>
      <w:r>
        <w:rPr>
          <w:rFonts w:hint="eastAsia" w:hAnsi="宋体" w:eastAsiaTheme="majorEastAsia"/>
          <w:szCs w:val="22"/>
        </w:rPr>
        <w:t>以内的人口分布及其他情况，在设计书中标明位置并进行说明。</w:t>
      </w:r>
    </w:p>
    <w:p w14:paraId="719C0341">
      <w:pPr>
        <w:pStyle w:val="327"/>
        <w:rPr>
          <w:rFonts w:ascii="宋体" w:hAnsi="宋体" w:eastAsia="宋体"/>
        </w:rPr>
      </w:pPr>
      <w:r>
        <w:rPr>
          <w:rFonts w:hint="eastAsia" w:ascii="宋体" w:hAnsi="宋体" w:eastAsia="宋体"/>
        </w:rPr>
        <w:t>工程设计应符合但不限于以下要求：</w:t>
      </w:r>
    </w:p>
    <w:p w14:paraId="0935C323">
      <w:pPr>
        <w:pStyle w:val="305"/>
        <w:numPr>
          <w:ilvl w:val="0"/>
          <w:numId w:val="38"/>
        </w:numPr>
        <w:rPr>
          <w:rFonts w:hAnsi="宋体"/>
        </w:rPr>
      </w:pPr>
      <w:r>
        <w:rPr>
          <w:rFonts w:hint="eastAsia" w:hAnsi="宋体"/>
        </w:rPr>
        <w:t>套管、油管、钻具、</w:t>
      </w:r>
      <w:r>
        <w:rPr>
          <w:rFonts w:hAnsi="宋体"/>
        </w:rPr>
        <w:t>套管头</w:t>
      </w:r>
      <w:r>
        <w:rPr>
          <w:rFonts w:hint="eastAsia" w:hAnsi="宋体"/>
        </w:rPr>
        <w:t>等管材和工具应满足</w:t>
      </w:r>
      <w:r>
        <w:rPr>
          <w:rFonts w:hAnsi="宋体"/>
        </w:rPr>
        <w:t>抗硫</w:t>
      </w:r>
      <w:r>
        <w:rPr>
          <w:rFonts w:hint="eastAsia" w:hAnsi="宋体"/>
        </w:rPr>
        <w:t>要求；</w:t>
      </w:r>
    </w:p>
    <w:p w14:paraId="6E8BC631">
      <w:pPr>
        <w:pStyle w:val="305"/>
        <w:numPr>
          <w:ilvl w:val="0"/>
          <w:numId w:val="38"/>
        </w:numPr>
        <w:rPr>
          <w:rFonts w:hAnsi="宋体"/>
        </w:rPr>
      </w:pPr>
      <w:r>
        <w:rPr>
          <w:rFonts w:hint="eastAsia" w:hAnsi="宋体"/>
        </w:rPr>
        <w:t>地层中</w:t>
      </w:r>
      <w:r>
        <w:rPr>
          <w:rFonts w:hAnsi="宋体"/>
        </w:rPr>
        <w:t>硫化氢含量</w:t>
      </w:r>
      <w:r>
        <w:rPr>
          <w:rFonts w:hint="eastAsia" w:hAnsi="宋体"/>
        </w:rPr>
        <w:t>等于或大于1</w:t>
      </w:r>
      <w:r>
        <w:rPr>
          <w:rFonts w:hAnsi="宋体"/>
        </w:rPr>
        <w:t>500</w:t>
      </w:r>
      <w:r>
        <w:rPr>
          <w:rFonts w:hint="eastAsia" w:hAnsi="宋体"/>
        </w:rPr>
        <w:t xml:space="preserve"> mg</w:t>
      </w:r>
      <w:r>
        <w:rPr>
          <w:rFonts w:hAnsi="宋体"/>
        </w:rPr>
        <w:t>/m</w:t>
      </w:r>
      <w:r>
        <w:rPr>
          <w:rFonts w:hAnsi="宋体"/>
          <w:vertAlign w:val="superscript"/>
        </w:rPr>
        <w:t>3</w:t>
      </w:r>
      <w:r>
        <w:rPr>
          <w:rFonts w:hint="eastAsia" w:hAnsi="宋体"/>
        </w:rPr>
        <w:t>（10</w:t>
      </w:r>
      <w:r>
        <w:rPr>
          <w:rFonts w:hAnsi="宋体"/>
        </w:rPr>
        <w:t>00</w:t>
      </w:r>
      <w:r>
        <w:rPr>
          <w:rFonts w:hAnsi="宋体" w:eastAsiaTheme="majorEastAsia"/>
        </w:rPr>
        <w:t>×10</w:t>
      </w:r>
      <w:r>
        <w:rPr>
          <w:rFonts w:hAnsi="宋体"/>
          <w:vertAlign w:val="superscript"/>
        </w:rPr>
        <w:t>-6</w:t>
      </w:r>
      <w:r>
        <w:rPr>
          <w:rFonts w:hint="eastAsia" w:hAnsi="宋体"/>
        </w:rPr>
        <w:t>）</w:t>
      </w:r>
      <w:r>
        <w:rPr>
          <w:rFonts w:hAnsi="宋体"/>
        </w:rPr>
        <w:t>的探井</w:t>
      </w:r>
      <w:r>
        <w:rPr>
          <w:rFonts w:hint="eastAsia" w:hAnsi="宋体"/>
        </w:rPr>
        <w:t>和高含硫化氢天然气井应</w:t>
      </w:r>
      <w:r>
        <w:rPr>
          <w:rFonts w:hAnsi="宋体"/>
        </w:rPr>
        <w:t>安装双四通；</w:t>
      </w:r>
    </w:p>
    <w:p w14:paraId="033F33A6">
      <w:pPr>
        <w:pStyle w:val="305"/>
        <w:numPr>
          <w:ilvl w:val="0"/>
          <w:numId w:val="38"/>
        </w:numPr>
        <w:rPr>
          <w:rFonts w:hAnsi="宋体"/>
        </w:rPr>
      </w:pPr>
      <w:r>
        <w:rPr>
          <w:rFonts w:hint="eastAsia" w:hAnsi="宋体"/>
        </w:rPr>
        <w:t>在钻开含硫化氢地层前50</w:t>
      </w:r>
      <w:r>
        <w:rPr>
          <w:rFonts w:hAnsi="宋体"/>
        </w:rPr>
        <w:t xml:space="preserve"> </w:t>
      </w:r>
      <w:r>
        <w:rPr>
          <w:rFonts w:hint="eastAsia" w:hAnsi="宋体"/>
        </w:rPr>
        <w:t>m，将钻井液的pH值调整到</w:t>
      </w:r>
      <w:r>
        <w:rPr>
          <w:rFonts w:hAnsi="宋体"/>
        </w:rPr>
        <w:t>10</w:t>
      </w:r>
      <w:r>
        <w:rPr>
          <w:rFonts w:hint="eastAsia" w:hAnsi="宋体"/>
        </w:rPr>
        <w:t>以上直至完井，含硫化氢天然气井还应储备足量除硫剂；</w:t>
      </w:r>
    </w:p>
    <w:p w14:paraId="2AAD25DF">
      <w:pPr>
        <w:pStyle w:val="305"/>
        <w:numPr>
          <w:ilvl w:val="0"/>
          <w:numId w:val="38"/>
        </w:numPr>
        <w:rPr>
          <w:rFonts w:hAnsi="宋体"/>
        </w:rPr>
      </w:pPr>
      <w:r>
        <w:rPr>
          <w:rFonts w:hAnsi="宋体"/>
        </w:rPr>
        <w:t>硫化氢</w:t>
      </w:r>
      <w:r>
        <w:rPr>
          <w:rFonts w:hint="eastAsia" w:hAnsi="宋体"/>
        </w:rPr>
        <w:t>含量等于或大于1</w:t>
      </w:r>
      <w:r>
        <w:rPr>
          <w:rFonts w:hAnsi="宋体"/>
        </w:rPr>
        <w:t>500</w:t>
      </w:r>
      <w:r>
        <w:rPr>
          <w:rFonts w:hint="eastAsia" w:hAnsi="宋体"/>
        </w:rPr>
        <w:t xml:space="preserve"> mg</w:t>
      </w:r>
      <w:r>
        <w:rPr>
          <w:rFonts w:hAnsi="宋体"/>
        </w:rPr>
        <w:t>/m</w:t>
      </w:r>
      <w:r>
        <w:rPr>
          <w:rFonts w:hAnsi="宋体"/>
          <w:vertAlign w:val="superscript"/>
        </w:rPr>
        <w:t>3</w:t>
      </w:r>
      <w:r>
        <w:rPr>
          <w:rFonts w:hint="eastAsia" w:hAnsi="宋体"/>
        </w:rPr>
        <w:t>（10</w:t>
      </w:r>
      <w:r>
        <w:rPr>
          <w:rFonts w:hAnsi="宋体"/>
        </w:rPr>
        <w:t>0</w:t>
      </w:r>
      <w:r>
        <w:rPr>
          <w:rFonts w:hAnsi="宋体" w:eastAsiaTheme="majorEastAsia"/>
        </w:rPr>
        <w:t>0×1</w:t>
      </w:r>
      <w:r>
        <w:rPr>
          <w:rFonts w:hAnsi="宋体"/>
        </w:rPr>
        <w:t>0</w:t>
      </w:r>
      <w:r>
        <w:rPr>
          <w:rFonts w:hAnsi="宋体"/>
          <w:vertAlign w:val="superscript"/>
        </w:rPr>
        <w:t>-6</w:t>
      </w:r>
      <w:r>
        <w:rPr>
          <w:rFonts w:hint="eastAsia" w:hAnsi="宋体"/>
        </w:rPr>
        <w:t>）的地</w:t>
      </w:r>
      <w:r>
        <w:rPr>
          <w:rFonts w:hAnsi="宋体"/>
        </w:rPr>
        <w:t>层钻井作业</w:t>
      </w:r>
      <w:r>
        <w:rPr>
          <w:rFonts w:hint="eastAsia" w:hAnsi="宋体"/>
        </w:rPr>
        <w:t>，</w:t>
      </w:r>
      <w:r>
        <w:rPr>
          <w:rFonts w:hAnsi="宋体"/>
        </w:rPr>
        <w:t>应在近钻头处安装钻具止回阀</w:t>
      </w:r>
      <w:r>
        <w:rPr>
          <w:rFonts w:hint="eastAsia" w:hAnsi="宋体"/>
        </w:rPr>
        <w:t>；</w:t>
      </w:r>
    </w:p>
    <w:p w14:paraId="4F92A931">
      <w:pPr>
        <w:pStyle w:val="305"/>
        <w:numPr>
          <w:ilvl w:val="0"/>
          <w:numId w:val="38"/>
        </w:numPr>
        <w:rPr>
          <w:rFonts w:hAnsi="宋体"/>
        </w:rPr>
      </w:pPr>
      <w:r>
        <w:rPr>
          <w:rFonts w:hint="eastAsia" w:hAnsi="宋体"/>
        </w:rPr>
        <w:t>钻开硫化氢含量等于或大于1</w:t>
      </w:r>
      <w:r>
        <w:rPr>
          <w:rFonts w:hAnsi="宋体"/>
        </w:rPr>
        <w:t>500</w:t>
      </w:r>
      <w:r>
        <w:rPr>
          <w:rFonts w:hint="eastAsia" w:hAnsi="宋体"/>
        </w:rPr>
        <w:t xml:space="preserve"> mg</w:t>
      </w:r>
      <w:r>
        <w:rPr>
          <w:rFonts w:hAnsi="宋体"/>
        </w:rPr>
        <w:t>/m</w:t>
      </w:r>
      <w:r>
        <w:rPr>
          <w:rFonts w:hAnsi="宋体"/>
          <w:vertAlign w:val="superscript"/>
        </w:rPr>
        <w:t>3</w:t>
      </w:r>
      <w:r>
        <w:rPr>
          <w:rFonts w:hint="eastAsia" w:hAnsi="宋体"/>
        </w:rPr>
        <w:t>（10</w:t>
      </w:r>
      <w:r>
        <w:rPr>
          <w:rFonts w:hAnsi="宋体"/>
        </w:rPr>
        <w:t>00</w:t>
      </w:r>
      <w:r>
        <w:rPr>
          <w:rFonts w:hAnsi="宋体" w:eastAsiaTheme="majorEastAsia"/>
        </w:rPr>
        <w:t>×1</w:t>
      </w:r>
      <w:r>
        <w:rPr>
          <w:rFonts w:hAnsi="宋体"/>
        </w:rPr>
        <w:t>0</w:t>
      </w:r>
      <w:r>
        <w:rPr>
          <w:rFonts w:hAnsi="宋体"/>
          <w:vertAlign w:val="superscript"/>
        </w:rPr>
        <w:t>-6</w:t>
      </w:r>
      <w:r>
        <w:rPr>
          <w:rFonts w:hint="eastAsia" w:hAnsi="宋体"/>
        </w:rPr>
        <w:t>）的地层时，钻井液安全附加密度按规定范围取上限值，或附加井底压力规定范围内的上限值；</w:t>
      </w:r>
    </w:p>
    <w:p w14:paraId="48718ABA">
      <w:pPr>
        <w:pStyle w:val="305"/>
        <w:numPr>
          <w:ilvl w:val="0"/>
          <w:numId w:val="38"/>
        </w:numPr>
        <w:rPr>
          <w:rFonts w:hAnsi="宋体"/>
        </w:rPr>
      </w:pPr>
      <w:r>
        <w:rPr>
          <w:rFonts w:hint="eastAsia" w:hAnsi="宋体"/>
        </w:rPr>
        <w:t>含硫化氢层段不应开展欠平衡钻井作业和气体钻井作业；</w:t>
      </w:r>
    </w:p>
    <w:p w14:paraId="46E3D7D0">
      <w:pPr>
        <w:pStyle w:val="305"/>
        <w:numPr>
          <w:ilvl w:val="0"/>
          <w:numId w:val="38"/>
        </w:numPr>
        <w:rPr>
          <w:rFonts w:hAnsi="宋体"/>
        </w:rPr>
      </w:pPr>
      <w:r>
        <w:rPr>
          <w:rFonts w:hint="eastAsia" w:hAnsi="宋体"/>
        </w:rPr>
        <w:t>地层中</w:t>
      </w:r>
      <w:r>
        <w:rPr>
          <w:rFonts w:hAnsi="宋体"/>
        </w:rPr>
        <w:t>硫化氢</w:t>
      </w:r>
      <w:r>
        <w:rPr>
          <w:rFonts w:hint="eastAsia" w:hAnsi="宋体"/>
        </w:rPr>
        <w:t>含量等于或大于1</w:t>
      </w:r>
      <w:r>
        <w:rPr>
          <w:rFonts w:hAnsi="宋体"/>
        </w:rPr>
        <w:t>500</w:t>
      </w:r>
      <w:r>
        <w:rPr>
          <w:rFonts w:hint="eastAsia" w:hAnsi="宋体"/>
        </w:rPr>
        <w:t xml:space="preserve"> mg</w:t>
      </w:r>
      <w:r>
        <w:rPr>
          <w:rFonts w:hAnsi="宋体"/>
        </w:rPr>
        <w:t>/m</w:t>
      </w:r>
      <w:r>
        <w:rPr>
          <w:rFonts w:hAnsi="宋体"/>
          <w:vertAlign w:val="superscript"/>
        </w:rPr>
        <w:t>3</w:t>
      </w:r>
      <w:r>
        <w:rPr>
          <w:rFonts w:hint="eastAsia" w:hAnsi="宋体"/>
        </w:rPr>
        <w:t>（10</w:t>
      </w:r>
      <w:r>
        <w:rPr>
          <w:rFonts w:hAnsi="宋体"/>
        </w:rPr>
        <w:t>0</w:t>
      </w:r>
      <w:r>
        <w:rPr>
          <w:rFonts w:hAnsi="宋体" w:eastAsiaTheme="majorEastAsia"/>
        </w:rPr>
        <w:t>0×1</w:t>
      </w:r>
      <w:r>
        <w:rPr>
          <w:rFonts w:hAnsi="宋体"/>
        </w:rPr>
        <w:t>0</w:t>
      </w:r>
      <w:r>
        <w:rPr>
          <w:rFonts w:hAnsi="宋体"/>
          <w:vertAlign w:val="superscript"/>
        </w:rPr>
        <w:t>-6</w:t>
      </w:r>
      <w:r>
        <w:rPr>
          <w:rFonts w:hint="eastAsia" w:hAnsi="宋体"/>
        </w:rPr>
        <w:t>）的天然气井技术套管、油层套管水泥应返至上一级套管内或地面；</w:t>
      </w:r>
    </w:p>
    <w:p w14:paraId="2DDB2307">
      <w:pPr>
        <w:pStyle w:val="305"/>
        <w:numPr>
          <w:ilvl w:val="0"/>
          <w:numId w:val="38"/>
        </w:numPr>
        <w:rPr>
          <w:rFonts w:hAnsi="宋体"/>
        </w:rPr>
      </w:pPr>
      <w:r>
        <w:rPr>
          <w:rFonts w:hint="eastAsia" w:hAnsi="宋体"/>
        </w:rPr>
        <w:t>含硫化氢天然气井油层套管在温度低于93</w:t>
      </w:r>
      <w:r>
        <w:rPr>
          <w:rFonts w:hAnsi="宋体"/>
        </w:rPr>
        <w:t>℃</w:t>
      </w:r>
      <w:r>
        <w:rPr>
          <w:rFonts w:hint="eastAsia" w:hAnsi="宋体"/>
        </w:rPr>
        <w:t>的井段应使用抗硫套管；</w:t>
      </w:r>
    </w:p>
    <w:p w14:paraId="4ADB7C90">
      <w:pPr>
        <w:pStyle w:val="305"/>
        <w:numPr>
          <w:ilvl w:val="0"/>
          <w:numId w:val="38"/>
        </w:numPr>
        <w:rPr>
          <w:rFonts w:hAnsi="宋体"/>
        </w:rPr>
      </w:pPr>
      <w:r>
        <w:rPr>
          <w:rFonts w:hAnsi="宋体"/>
        </w:rPr>
        <w:t>钻开</w:t>
      </w:r>
      <w:r>
        <w:rPr>
          <w:rFonts w:hint="eastAsia" w:hAnsi="宋体"/>
        </w:rPr>
        <w:t>硫化氢含量等于或大于1</w:t>
      </w:r>
      <w:r>
        <w:rPr>
          <w:rFonts w:hAnsi="宋体"/>
        </w:rPr>
        <w:t>500</w:t>
      </w:r>
      <w:r>
        <w:rPr>
          <w:rFonts w:hint="eastAsia" w:hAnsi="宋体"/>
        </w:rPr>
        <w:t xml:space="preserve"> mg/m</w:t>
      </w:r>
      <w:r>
        <w:rPr>
          <w:rFonts w:hint="eastAsia" w:hAnsi="宋体"/>
          <w:vertAlign w:val="superscript"/>
        </w:rPr>
        <w:t>3</w:t>
      </w:r>
      <w:r>
        <w:rPr>
          <w:rFonts w:hint="eastAsia" w:hAnsi="宋体"/>
        </w:rPr>
        <w:t>（10</w:t>
      </w:r>
      <w:r>
        <w:rPr>
          <w:rFonts w:hAnsi="宋体"/>
        </w:rPr>
        <w:t>00</w:t>
      </w:r>
      <w:r>
        <w:rPr>
          <w:rFonts w:hAnsi="宋体" w:eastAsiaTheme="majorEastAsia"/>
        </w:rPr>
        <w:t>×1</w:t>
      </w:r>
      <w:r>
        <w:rPr>
          <w:rFonts w:hAnsi="宋体"/>
        </w:rPr>
        <w:t>0</w:t>
      </w:r>
      <w:r>
        <w:rPr>
          <w:rFonts w:hAnsi="宋体"/>
          <w:vertAlign w:val="superscript"/>
        </w:rPr>
        <w:t>-6</w:t>
      </w:r>
      <w:r>
        <w:rPr>
          <w:rFonts w:hint="eastAsia" w:hAnsi="宋体"/>
        </w:rPr>
        <w:t>）的地层</w:t>
      </w:r>
      <w:r>
        <w:rPr>
          <w:rFonts w:hAnsi="宋体"/>
        </w:rPr>
        <w:t>前，</w:t>
      </w:r>
      <w:r>
        <w:rPr>
          <w:rFonts w:hint="eastAsia" w:hAnsi="宋体"/>
        </w:rPr>
        <w:t>应</w:t>
      </w:r>
      <w:r>
        <w:rPr>
          <w:rFonts w:hAnsi="宋体"/>
        </w:rPr>
        <w:t>在井口安装剪切闸板防喷器</w:t>
      </w:r>
      <w:r>
        <w:rPr>
          <w:rFonts w:hint="eastAsia" w:hAnsi="宋体"/>
        </w:rPr>
        <w:t>直至本开次作业结束，</w:t>
      </w:r>
      <w:r>
        <w:rPr>
          <w:rFonts w:hAnsi="宋体"/>
        </w:rPr>
        <w:t>剪切闸板防喷器的压力</w:t>
      </w:r>
      <w:r>
        <w:rPr>
          <w:rFonts w:hint="eastAsia" w:hAnsi="宋体"/>
        </w:rPr>
        <w:t>等级</w:t>
      </w:r>
      <w:r>
        <w:rPr>
          <w:rFonts w:hAnsi="宋体"/>
        </w:rPr>
        <w:t>、通径应与其配套的井口装置的压力等级和通径一致</w:t>
      </w:r>
      <w:r>
        <w:rPr>
          <w:rFonts w:hint="eastAsia" w:hAnsi="宋体"/>
        </w:rPr>
        <w:t>。高含硫化氢天然气井钻井施工</w:t>
      </w:r>
      <w:r>
        <w:rPr>
          <w:rFonts w:hAnsi="宋体"/>
        </w:rPr>
        <w:t>，从第一层技术套管固井后至完井，均应安装剪切闸板防喷器</w:t>
      </w:r>
      <w:r>
        <w:rPr>
          <w:rFonts w:hint="eastAsia" w:hAnsi="宋体"/>
        </w:rPr>
        <w:t>。</w:t>
      </w:r>
    </w:p>
    <w:p w14:paraId="614682EB">
      <w:pPr>
        <w:pStyle w:val="261"/>
        <w:spacing w:before="156" w:after="156"/>
        <w:outlineLvl w:val="2"/>
        <w:rPr>
          <w:rFonts w:ascii="宋体" w:hAnsi="宋体"/>
        </w:rPr>
      </w:pPr>
      <w:bookmarkStart w:id="25" w:name="_Toc22079"/>
      <w:r>
        <w:rPr>
          <w:rFonts w:hint="eastAsia" w:ascii="宋体" w:hAnsi="宋体"/>
        </w:rPr>
        <w:t>施工作业</w:t>
      </w:r>
      <w:bookmarkEnd w:id="25"/>
    </w:p>
    <w:p w14:paraId="69194CB5">
      <w:pPr>
        <w:pStyle w:val="327"/>
        <w:rPr>
          <w:rFonts w:ascii="宋体" w:hAnsi="宋体" w:eastAsia="宋体"/>
        </w:rPr>
      </w:pPr>
      <w:bookmarkStart w:id="26" w:name="_Toc21458"/>
      <w:bookmarkStart w:id="27" w:name="_Toc21765"/>
      <w:r>
        <w:rPr>
          <w:rFonts w:hint="eastAsia" w:ascii="宋体" w:hAnsi="宋体" w:eastAsia="宋体"/>
        </w:rPr>
        <w:t>进入含硫化氢地层前，应向现场相关人员进行技术交底，组织开展防硫化氢演练，建立预警预报机制</w:t>
      </w:r>
      <w:r>
        <w:rPr>
          <w:rFonts w:ascii="宋体" w:hAnsi="宋体" w:eastAsia="宋体"/>
        </w:rPr>
        <w:t>。</w:t>
      </w:r>
    </w:p>
    <w:p w14:paraId="0AA0A5B5">
      <w:pPr>
        <w:pStyle w:val="327"/>
        <w:rPr>
          <w:rFonts w:ascii="宋体" w:hAnsi="宋体" w:eastAsia="宋体"/>
        </w:rPr>
      </w:pPr>
      <w:r>
        <w:rPr>
          <w:rFonts w:hint="eastAsia" w:ascii="宋体" w:hAnsi="宋体"/>
        </w:rPr>
        <w:t>含硫化氢天然气井</w:t>
      </w:r>
      <w:r>
        <w:rPr>
          <w:rFonts w:ascii="宋体" w:hAnsi="宋体"/>
        </w:rPr>
        <w:t>放喷管线出口应接至距井口</w:t>
      </w:r>
      <w:r>
        <w:rPr>
          <w:rFonts w:hint="eastAsia" w:ascii="宋体" w:hAnsi="宋体"/>
        </w:rPr>
        <w:t>至少</w:t>
      </w:r>
      <w:r>
        <w:rPr>
          <w:rFonts w:ascii="宋体" w:hAnsi="宋体"/>
        </w:rPr>
        <w:t>75 m以外的安全地带</w:t>
      </w:r>
      <w:r>
        <w:rPr>
          <w:rFonts w:hint="eastAsia" w:ascii="宋体" w:hAnsi="宋体"/>
        </w:rPr>
        <w:t>，高含硫化氢天然气井</w:t>
      </w:r>
      <w:r>
        <w:rPr>
          <w:rFonts w:ascii="宋体" w:hAnsi="宋体"/>
        </w:rPr>
        <w:t>应接至距井口</w:t>
      </w:r>
      <w:r>
        <w:rPr>
          <w:rFonts w:hint="eastAsia" w:ascii="宋体" w:hAnsi="宋体"/>
        </w:rPr>
        <w:t>至少</w:t>
      </w:r>
      <w:r>
        <w:rPr>
          <w:rFonts w:ascii="宋体" w:hAnsi="宋体"/>
        </w:rPr>
        <w:t>100 m以外的安全地带</w:t>
      </w:r>
      <w:r>
        <w:rPr>
          <w:rFonts w:hint="eastAsia" w:ascii="宋体" w:hAnsi="宋体"/>
        </w:rPr>
        <w:t>。</w:t>
      </w:r>
    </w:p>
    <w:p w14:paraId="5001BE16">
      <w:pPr>
        <w:pStyle w:val="327"/>
        <w:rPr>
          <w:rFonts w:ascii="宋体" w:hAnsi="宋体" w:eastAsia="宋体"/>
        </w:rPr>
      </w:pPr>
      <w:r>
        <w:rPr>
          <w:rFonts w:hint="eastAsia" w:ascii="宋体" w:hAnsi="宋体" w:eastAsia="宋体"/>
        </w:rPr>
        <w:t>钻进作业应符合以下要求：</w:t>
      </w:r>
    </w:p>
    <w:p w14:paraId="6DE627B5">
      <w:pPr>
        <w:pStyle w:val="305"/>
        <w:numPr>
          <w:ilvl w:val="0"/>
          <w:numId w:val="39"/>
        </w:numPr>
        <w:rPr>
          <w:rFonts w:hAnsi="宋体"/>
        </w:rPr>
      </w:pPr>
      <w:r>
        <w:rPr>
          <w:rFonts w:hint="eastAsia" w:hAnsi="宋体"/>
        </w:rPr>
        <w:t>钻进中遇到憋钻、跳钻等情况，加密监测钻井液体积及性能变化；</w:t>
      </w:r>
    </w:p>
    <w:p w14:paraId="318E432A">
      <w:pPr>
        <w:pStyle w:val="305"/>
        <w:numPr>
          <w:ilvl w:val="0"/>
          <w:numId w:val="39"/>
        </w:numPr>
        <w:rPr>
          <w:rFonts w:hAnsi="宋体"/>
        </w:rPr>
      </w:pPr>
      <w:r>
        <w:rPr>
          <w:rFonts w:hint="eastAsia" w:hAnsi="宋体"/>
        </w:rPr>
        <w:t>钻进中遇油气水显示，及时监测钻井液性能变化，短程起下钻，静止观察后及时计算油气上窜速度；</w:t>
      </w:r>
    </w:p>
    <w:p w14:paraId="39B37834">
      <w:pPr>
        <w:pStyle w:val="305"/>
        <w:numPr>
          <w:ilvl w:val="0"/>
          <w:numId w:val="39"/>
        </w:numPr>
        <w:rPr>
          <w:rFonts w:hAnsi="宋体"/>
        </w:rPr>
      </w:pPr>
      <w:r>
        <w:rPr>
          <w:rFonts w:hint="eastAsia" w:hAnsi="宋体"/>
        </w:rPr>
        <w:t>钻进过程中，作业人员应佩戴便携式硫化氢检测仪，硫化氢浓度达到30 mg/m</w:t>
      </w:r>
      <w:r>
        <w:rPr>
          <w:rFonts w:hint="eastAsia" w:hAnsi="宋体"/>
          <w:vertAlign w:val="superscript"/>
        </w:rPr>
        <w:t>3</w:t>
      </w:r>
      <w:r>
        <w:rPr>
          <w:rFonts w:hint="eastAsia" w:hAnsi="宋体"/>
        </w:rPr>
        <w:t>（20×10</w:t>
      </w:r>
      <w:r>
        <w:rPr>
          <w:rFonts w:hint="eastAsia" w:hAnsi="宋体"/>
          <w:vertAlign w:val="superscript"/>
        </w:rPr>
        <w:t>-6</w:t>
      </w:r>
      <w:r>
        <w:rPr>
          <w:rFonts w:hint="eastAsia" w:hAnsi="宋体"/>
        </w:rPr>
        <w:t>）时，应立即停止钻进，佩戴正压式空气呼吸器并采取控制和处理措施。</w:t>
      </w:r>
    </w:p>
    <w:bookmarkEnd w:id="26"/>
    <w:p w14:paraId="3517237B">
      <w:pPr>
        <w:pStyle w:val="327"/>
        <w:rPr>
          <w:rFonts w:ascii="宋体" w:hAnsi="宋体"/>
        </w:rPr>
      </w:pPr>
      <w:r>
        <w:rPr>
          <w:rFonts w:hint="eastAsia" w:ascii="宋体" w:hAnsi="宋体"/>
        </w:rPr>
        <w:t>起下钻应符合以下要求：</w:t>
      </w:r>
    </w:p>
    <w:p w14:paraId="53B8EF30">
      <w:pPr>
        <w:pStyle w:val="305"/>
        <w:numPr>
          <w:ilvl w:val="0"/>
          <w:numId w:val="40"/>
        </w:numPr>
        <w:rPr>
          <w:rFonts w:hAnsi="宋体"/>
        </w:rPr>
      </w:pPr>
      <w:r>
        <w:rPr>
          <w:rFonts w:hint="eastAsia" w:hAnsi="宋体"/>
        </w:rPr>
        <w:t>含硫化氢天然气井段钻进时，每次起钻前循环钻井液的时间不少于2个循环周；</w:t>
      </w:r>
    </w:p>
    <w:p w14:paraId="78BCE58B">
      <w:pPr>
        <w:pStyle w:val="305"/>
        <w:numPr>
          <w:ilvl w:val="0"/>
          <w:numId w:val="40"/>
        </w:numPr>
        <w:rPr>
          <w:rFonts w:hAnsi="宋体"/>
        </w:rPr>
      </w:pPr>
      <w:r>
        <w:rPr>
          <w:rFonts w:hint="eastAsia" w:hAnsi="宋体"/>
        </w:rPr>
        <w:t>钻头在含硫化氢地层中和含硫化氢层段顶部以上300 m长的井段内起钻时，应降低起钻速度；</w:t>
      </w:r>
    </w:p>
    <w:p w14:paraId="01BEEEED">
      <w:pPr>
        <w:pStyle w:val="305"/>
        <w:numPr>
          <w:ilvl w:val="0"/>
          <w:numId w:val="40"/>
        </w:numPr>
        <w:rPr>
          <w:rFonts w:hAnsi="宋体"/>
        </w:rPr>
      </w:pPr>
      <w:r>
        <w:rPr>
          <w:rFonts w:hint="eastAsia" w:hAnsi="宋体"/>
        </w:rPr>
        <w:t>在钻开含硫化氢气层后，起钻前应进行短程起下钻确定油气上窜速度，确保满足安全起下钻作业要求。</w:t>
      </w:r>
    </w:p>
    <w:p w14:paraId="14E09D18">
      <w:pPr>
        <w:pStyle w:val="327"/>
        <w:rPr>
          <w:rFonts w:ascii="宋体" w:hAnsi="宋体"/>
        </w:rPr>
      </w:pPr>
      <w:r>
        <w:rPr>
          <w:rFonts w:hint="eastAsia" w:ascii="宋体" w:hAnsi="宋体"/>
        </w:rPr>
        <w:t>取心作业应符合以下要求：</w:t>
      </w:r>
    </w:p>
    <w:p w14:paraId="07F74E88">
      <w:pPr>
        <w:pStyle w:val="305"/>
        <w:numPr>
          <w:ilvl w:val="0"/>
          <w:numId w:val="41"/>
        </w:numPr>
        <w:rPr>
          <w:rFonts w:hAnsi="宋体"/>
        </w:rPr>
      </w:pPr>
      <w:r>
        <w:rPr>
          <w:rFonts w:hint="eastAsia" w:hAnsi="宋体"/>
        </w:rPr>
        <w:t>含硫化氢天然气井取心作业，岩心筒到达地面前至少10个立柱至出心作业完，应开启防爆通风设备，并监测硫化氢浓度，当超过30 mg/m</w:t>
      </w:r>
      <w:r>
        <w:rPr>
          <w:rFonts w:hint="eastAsia" w:hAnsi="宋体"/>
          <w:vertAlign w:val="superscript"/>
        </w:rPr>
        <w:t>3</w:t>
      </w:r>
      <w:r>
        <w:rPr>
          <w:rFonts w:hint="eastAsia" w:hAnsi="宋体"/>
        </w:rPr>
        <w:t>（20×10</w:t>
      </w:r>
      <w:r>
        <w:rPr>
          <w:rFonts w:hint="eastAsia" w:hAnsi="宋体"/>
          <w:vertAlign w:val="superscript"/>
        </w:rPr>
        <w:t>-6</w:t>
      </w:r>
      <w:r>
        <w:rPr>
          <w:rFonts w:hint="eastAsia" w:hAnsi="宋体"/>
        </w:rPr>
        <w:t>）时，应立即佩戴正压式空气呼吸器。</w:t>
      </w:r>
    </w:p>
    <w:p w14:paraId="358C735A">
      <w:pPr>
        <w:pStyle w:val="305"/>
        <w:numPr>
          <w:ilvl w:val="0"/>
          <w:numId w:val="41"/>
        </w:numPr>
        <w:rPr>
          <w:rFonts w:hAnsi="宋体"/>
        </w:rPr>
      </w:pPr>
      <w:r>
        <w:rPr>
          <w:rFonts w:hint="eastAsia" w:hAnsi="宋体"/>
        </w:rPr>
        <w:t>岩心筒已经打开或当岩心已移走后，应使用便携式硫化氢检测仪检查岩心筒；地层中硫化氢含量等于或大于1500 mg/m</w:t>
      </w:r>
      <w:r>
        <w:rPr>
          <w:rFonts w:hint="eastAsia" w:hAnsi="宋体"/>
          <w:vertAlign w:val="superscript"/>
        </w:rPr>
        <w:t>3</w:t>
      </w:r>
      <w:r>
        <w:rPr>
          <w:rFonts w:hint="eastAsia" w:hAnsi="宋体"/>
        </w:rPr>
        <w:t>（1000×10</w:t>
      </w:r>
      <w:r>
        <w:rPr>
          <w:rFonts w:hint="eastAsia" w:hAnsi="宋体"/>
          <w:vertAlign w:val="superscript"/>
        </w:rPr>
        <w:t>-6</w:t>
      </w:r>
      <w:r>
        <w:rPr>
          <w:rFonts w:hint="eastAsia" w:hAnsi="宋体"/>
        </w:rPr>
        <w:t>）的天然气井，在出心和搬运过程中应佩戴正压式空气呼吸器。</w:t>
      </w:r>
    </w:p>
    <w:p w14:paraId="68320328">
      <w:pPr>
        <w:pStyle w:val="260"/>
        <w:outlineLvl w:val="1"/>
        <w:rPr>
          <w:rFonts w:ascii="宋体" w:hAnsi="宋体"/>
        </w:rPr>
      </w:pPr>
      <w:bookmarkStart w:id="28" w:name="_Toc196682330"/>
      <w:r>
        <w:rPr>
          <w:rFonts w:hint="eastAsia" w:ascii="宋体" w:hAnsi="宋体"/>
        </w:rPr>
        <w:t>录井工程</w:t>
      </w:r>
      <w:bookmarkEnd w:id="27"/>
      <w:bookmarkEnd w:id="28"/>
    </w:p>
    <w:p w14:paraId="61B00FF6">
      <w:pPr>
        <w:pStyle w:val="326"/>
        <w:rPr>
          <w:rFonts w:ascii="宋体" w:hAnsi="宋体"/>
        </w:rPr>
      </w:pPr>
      <w:r>
        <w:rPr>
          <w:rFonts w:hint="eastAsia" w:ascii="宋体" w:hAnsi="宋体"/>
        </w:rPr>
        <w:t>钻开含硫化氢地层前，应加强地层对比，及时预报钻遇含硫化氢的地层信息</w:t>
      </w:r>
      <w:r>
        <w:rPr>
          <w:rFonts w:ascii="宋体" w:hAnsi="宋体"/>
        </w:rPr>
        <w:t>。</w:t>
      </w:r>
    </w:p>
    <w:p w14:paraId="3A6148ED">
      <w:pPr>
        <w:pStyle w:val="326"/>
        <w:rPr>
          <w:rFonts w:ascii="宋体" w:hAnsi="宋体" w:eastAsia="宋体"/>
          <w:szCs w:val="20"/>
        </w:rPr>
      </w:pPr>
      <w:r>
        <w:rPr>
          <w:rFonts w:hint="eastAsia" w:ascii="宋体" w:hAnsi="宋体"/>
        </w:rPr>
        <w:t>进入含硫化氢天然气</w:t>
      </w:r>
      <w:r>
        <w:rPr>
          <w:rFonts w:hint="eastAsia" w:ascii="宋体" w:hAnsi="宋体" w:eastAsia="宋体"/>
          <w:szCs w:val="20"/>
        </w:rPr>
        <w:t>井段前50 m，将井筒含硫化氢情况纳入工程监测重点项目。</w:t>
      </w:r>
    </w:p>
    <w:p w14:paraId="41378FE7">
      <w:pPr>
        <w:pStyle w:val="326"/>
        <w:rPr>
          <w:rFonts w:ascii="宋体" w:hAnsi="宋体" w:eastAsia="宋体"/>
          <w:szCs w:val="20"/>
        </w:rPr>
      </w:pPr>
      <w:r>
        <w:rPr>
          <w:rFonts w:hint="eastAsia" w:ascii="宋体" w:hAnsi="宋体" w:eastAsia="宋体"/>
          <w:szCs w:val="20"/>
        </w:rPr>
        <w:t>进行岩屑捞取、液面观察、外部传感器检修等录井作业时，应佩戴便携式硫化氢检测仪。</w:t>
      </w:r>
    </w:p>
    <w:p w14:paraId="0B9868AA">
      <w:pPr>
        <w:pStyle w:val="326"/>
        <w:rPr>
          <w:rFonts w:ascii="宋体" w:hAnsi="宋体"/>
        </w:rPr>
      </w:pPr>
      <w:r>
        <w:rPr>
          <w:rFonts w:hint="eastAsia" w:ascii="宋体" w:hAnsi="宋体" w:eastAsia="宋体"/>
          <w:szCs w:val="20"/>
        </w:rPr>
        <w:t>监测到有硫化氢时，应及时向司钻和现场监督报告；硫化氢含量等于或大于1</w:t>
      </w:r>
      <w:r>
        <w:rPr>
          <w:rFonts w:ascii="宋体" w:hAnsi="宋体" w:eastAsia="宋体"/>
          <w:szCs w:val="20"/>
        </w:rPr>
        <w:t xml:space="preserve">5 </w:t>
      </w:r>
      <w:r>
        <w:rPr>
          <w:rFonts w:hint="eastAsia" w:ascii="宋体" w:hAnsi="宋体" w:eastAsia="宋体"/>
          <w:szCs w:val="20"/>
        </w:rPr>
        <w:t>mg</w:t>
      </w:r>
      <w:r>
        <w:rPr>
          <w:rFonts w:ascii="宋体" w:hAnsi="宋体" w:eastAsia="宋体"/>
          <w:szCs w:val="20"/>
        </w:rPr>
        <w:t>/m</w:t>
      </w:r>
      <w:r>
        <w:rPr>
          <w:rFonts w:ascii="宋体" w:hAnsi="宋体" w:eastAsia="宋体"/>
          <w:szCs w:val="20"/>
          <w:vertAlign w:val="superscript"/>
        </w:rPr>
        <w:t>3</w:t>
      </w:r>
      <w:r>
        <w:rPr>
          <w:rFonts w:hint="eastAsia" w:ascii="宋体" w:hAnsi="宋体"/>
        </w:rPr>
        <w:t>（</w:t>
      </w:r>
      <w:r>
        <w:rPr>
          <w:rFonts w:ascii="宋体" w:hAnsi="宋体"/>
        </w:rPr>
        <w:t>1</w:t>
      </w:r>
      <w:r>
        <w:rPr>
          <w:rFonts w:hint="eastAsia" w:ascii="宋体" w:hAnsi="宋体"/>
        </w:rPr>
        <w:t>0×10</w:t>
      </w:r>
      <w:r>
        <w:rPr>
          <w:rFonts w:hint="eastAsia" w:ascii="宋体" w:hAnsi="宋体"/>
          <w:vertAlign w:val="superscript"/>
        </w:rPr>
        <w:t>-6</w:t>
      </w:r>
      <w:r>
        <w:rPr>
          <w:rFonts w:hint="eastAsia" w:ascii="宋体" w:hAnsi="宋体"/>
        </w:rPr>
        <w:t>）时，立即启动声光报警。</w:t>
      </w:r>
    </w:p>
    <w:p w14:paraId="70F3E9C4">
      <w:pPr>
        <w:pStyle w:val="260"/>
        <w:outlineLvl w:val="1"/>
        <w:rPr>
          <w:rFonts w:ascii="宋体" w:hAnsi="宋体"/>
        </w:rPr>
      </w:pPr>
      <w:bookmarkStart w:id="29" w:name="_Toc196682331"/>
      <w:bookmarkStart w:id="30" w:name="_Toc31070"/>
      <w:r>
        <w:rPr>
          <w:rFonts w:hint="eastAsia" w:ascii="宋体" w:hAnsi="宋体"/>
        </w:rPr>
        <w:t>井下作业</w:t>
      </w:r>
      <w:bookmarkEnd w:id="29"/>
      <w:bookmarkEnd w:id="30"/>
    </w:p>
    <w:p w14:paraId="585C0441">
      <w:pPr>
        <w:pStyle w:val="261"/>
        <w:spacing w:before="156" w:after="156"/>
        <w:outlineLvl w:val="2"/>
        <w:rPr>
          <w:rFonts w:ascii="宋体" w:hAnsi="宋体"/>
        </w:rPr>
      </w:pPr>
      <w:r>
        <w:rPr>
          <w:rFonts w:hint="eastAsia" w:ascii="宋体" w:hAnsi="宋体"/>
        </w:rPr>
        <w:t>设计</w:t>
      </w:r>
    </w:p>
    <w:p w14:paraId="5D1C1BC9">
      <w:pPr>
        <w:pStyle w:val="327"/>
        <w:rPr>
          <w:rFonts w:ascii="宋体" w:hAnsi="宋体"/>
        </w:rPr>
      </w:pPr>
      <w:r>
        <w:rPr>
          <w:rFonts w:hint="eastAsia" w:ascii="宋体" w:hAnsi="宋体"/>
        </w:rPr>
        <w:t>地质设计应明确但不限于以下内容：</w:t>
      </w:r>
    </w:p>
    <w:p w14:paraId="1A62D69F">
      <w:pPr>
        <w:pStyle w:val="305"/>
        <w:numPr>
          <w:ilvl w:val="0"/>
          <w:numId w:val="42"/>
        </w:numPr>
        <w:rPr>
          <w:rFonts w:hAnsi="宋体"/>
        </w:rPr>
      </w:pPr>
      <w:r>
        <w:rPr>
          <w:rFonts w:hAnsi="宋体"/>
        </w:rPr>
        <w:t>收集记录施工井的地质、钻井及完井基本数据，包括井身结构、钻开油气层的钻井液性能、漏失、井涌、硫化氢浓度</w:t>
      </w:r>
      <w:r>
        <w:rPr>
          <w:rFonts w:hint="eastAsia" w:hAnsi="宋体"/>
        </w:rPr>
        <w:t>；</w:t>
      </w:r>
    </w:p>
    <w:p w14:paraId="5CD05B1D">
      <w:pPr>
        <w:pStyle w:val="305"/>
        <w:numPr>
          <w:ilvl w:val="0"/>
          <w:numId w:val="42"/>
        </w:numPr>
        <w:rPr>
          <w:rFonts w:hAnsi="宋体"/>
        </w:rPr>
      </w:pPr>
      <w:r>
        <w:rPr>
          <w:rFonts w:hAnsi="宋体"/>
        </w:rPr>
        <w:t>区域探井硫化氢含量；</w:t>
      </w:r>
    </w:p>
    <w:p w14:paraId="40446112">
      <w:pPr>
        <w:pStyle w:val="305"/>
        <w:numPr>
          <w:ilvl w:val="0"/>
          <w:numId w:val="42"/>
        </w:numPr>
        <w:rPr>
          <w:rFonts w:hAnsi="宋体"/>
        </w:rPr>
      </w:pPr>
      <w:r>
        <w:rPr>
          <w:rFonts w:hAnsi="宋体"/>
        </w:rPr>
        <w:t>区域地质资料</w:t>
      </w:r>
      <w:r>
        <w:rPr>
          <w:rFonts w:hint="eastAsia" w:hAnsi="宋体"/>
        </w:rPr>
        <w:t>、</w:t>
      </w:r>
      <w:r>
        <w:rPr>
          <w:rFonts w:hAnsi="宋体"/>
        </w:rPr>
        <w:t>邻井的试油（气）作业资料，本井已取得的温度、压力</w:t>
      </w:r>
      <w:r>
        <w:rPr>
          <w:rFonts w:hint="eastAsia" w:hAnsi="宋体"/>
        </w:rPr>
        <w:t>、</w:t>
      </w:r>
      <w:r>
        <w:rPr>
          <w:rFonts w:hAnsi="宋体"/>
        </w:rPr>
        <w:t>产量及流体特性等资料，并明确硫化氢含量、分压和地层压力、地层压力系数或预测地层压力系数；</w:t>
      </w:r>
    </w:p>
    <w:p w14:paraId="1A4CBAD8">
      <w:pPr>
        <w:pStyle w:val="305"/>
        <w:numPr>
          <w:ilvl w:val="0"/>
          <w:numId w:val="42"/>
        </w:numPr>
        <w:rPr>
          <w:rFonts w:hAnsi="宋体"/>
        </w:rPr>
      </w:pPr>
      <w:r>
        <w:rPr>
          <w:rFonts w:hAnsi="宋体"/>
        </w:rPr>
        <w:t>绘制井场周围500 m以内的居民住宅、学校、厂矿等</w:t>
      </w:r>
      <w:r>
        <w:rPr>
          <w:rFonts w:hint="eastAsia" w:hAnsi="宋体"/>
        </w:rPr>
        <w:t>场所的</w:t>
      </w:r>
      <w:r>
        <w:rPr>
          <w:rFonts w:hAnsi="宋体"/>
        </w:rPr>
        <w:t>分布图</w:t>
      </w:r>
      <w:r>
        <w:rPr>
          <w:rFonts w:hint="eastAsia" w:hAnsi="宋体"/>
        </w:rPr>
        <w:t>。</w:t>
      </w:r>
    </w:p>
    <w:p w14:paraId="0CA8B901">
      <w:pPr>
        <w:pStyle w:val="327"/>
        <w:rPr>
          <w:rFonts w:ascii="宋体" w:hAnsi="宋体"/>
        </w:rPr>
      </w:pPr>
      <w:r>
        <w:rPr>
          <w:rFonts w:hint="eastAsia" w:ascii="宋体" w:hAnsi="宋体"/>
        </w:rPr>
        <w:t>工程设计应符合但不限于以下要求：</w:t>
      </w:r>
    </w:p>
    <w:p w14:paraId="3FCE083F">
      <w:pPr>
        <w:pStyle w:val="305"/>
        <w:numPr>
          <w:ilvl w:val="0"/>
          <w:numId w:val="43"/>
        </w:numPr>
        <w:rPr>
          <w:rFonts w:hAnsi="宋体"/>
        </w:rPr>
      </w:pPr>
      <w:r>
        <w:rPr>
          <w:rFonts w:hint="eastAsia" w:hAnsi="宋体"/>
        </w:rPr>
        <w:t>高含硫化氢天然气井</w:t>
      </w:r>
      <w:r>
        <w:rPr>
          <w:rFonts w:hAnsi="宋体"/>
        </w:rPr>
        <w:t>应采用配有液压（或气动）控制的采气树及地面控制管汇；</w:t>
      </w:r>
    </w:p>
    <w:p w14:paraId="5E1F2B28">
      <w:pPr>
        <w:pStyle w:val="305"/>
        <w:numPr>
          <w:ilvl w:val="0"/>
          <w:numId w:val="43"/>
        </w:numPr>
        <w:rPr>
          <w:rFonts w:hAnsi="宋体"/>
        </w:rPr>
      </w:pPr>
      <w:r>
        <w:rPr>
          <w:rFonts w:hAnsi="宋体"/>
        </w:rPr>
        <w:t>含硫化氢</w:t>
      </w:r>
      <w:r>
        <w:rPr>
          <w:rFonts w:hint="eastAsia" w:hAnsi="宋体"/>
        </w:rPr>
        <w:t>天然气</w:t>
      </w:r>
      <w:r>
        <w:rPr>
          <w:rFonts w:hAnsi="宋体"/>
        </w:rPr>
        <w:t>井</w:t>
      </w:r>
      <w:r>
        <w:rPr>
          <w:rFonts w:hint="eastAsia" w:hAnsi="宋体"/>
        </w:rPr>
        <w:t>的</w:t>
      </w:r>
      <w:r>
        <w:rPr>
          <w:rFonts w:hAnsi="宋体"/>
        </w:rPr>
        <w:t>井口装置应进行等压气密检验；</w:t>
      </w:r>
    </w:p>
    <w:p w14:paraId="6CC7884D">
      <w:pPr>
        <w:pStyle w:val="305"/>
        <w:numPr>
          <w:ilvl w:val="0"/>
          <w:numId w:val="43"/>
        </w:numPr>
        <w:rPr>
          <w:rFonts w:hAnsi="宋体"/>
        </w:rPr>
      </w:pPr>
      <w:r>
        <w:rPr>
          <w:rFonts w:hAnsi="宋体"/>
        </w:rPr>
        <w:t>在保证不压漏的情况下，</w:t>
      </w:r>
      <w:r>
        <w:rPr>
          <w:rFonts w:hint="eastAsia" w:hAnsi="宋体"/>
        </w:rPr>
        <w:t>高含硫化氢天然气</w:t>
      </w:r>
      <w:r>
        <w:rPr>
          <w:rFonts w:hAnsi="宋体"/>
        </w:rPr>
        <w:t>井</w:t>
      </w:r>
      <w:r>
        <w:rPr>
          <w:rFonts w:hint="eastAsia" w:hAnsi="宋体"/>
        </w:rPr>
        <w:t>的</w:t>
      </w:r>
      <w:r>
        <w:rPr>
          <w:rFonts w:hAnsi="宋体"/>
        </w:rPr>
        <w:t>修井液安全附加密度</w:t>
      </w:r>
      <w:r>
        <w:rPr>
          <w:rFonts w:hint="eastAsia" w:hAnsi="宋体"/>
        </w:rPr>
        <w:t>应取规定范围内上限值（</w:t>
      </w:r>
      <w:r>
        <w:rPr>
          <w:rFonts w:hAnsi="宋体"/>
        </w:rPr>
        <w:t>0.07 g/cm</w:t>
      </w:r>
      <w:r>
        <w:rPr>
          <w:rFonts w:hAnsi="宋体"/>
          <w:vertAlign w:val="superscript"/>
        </w:rPr>
        <w:t>3</w:t>
      </w:r>
      <w:r>
        <w:rPr>
          <w:rFonts w:hAnsi="宋体"/>
        </w:rPr>
        <w:t>～0.15 g/cm</w:t>
      </w:r>
      <w:r>
        <w:rPr>
          <w:rFonts w:hAnsi="宋体"/>
          <w:vertAlign w:val="superscript"/>
        </w:rPr>
        <w:t>3</w:t>
      </w:r>
      <w:r>
        <w:rPr>
          <w:rFonts w:hint="eastAsia" w:hAnsi="宋体"/>
        </w:rPr>
        <w:t>），或附加井底压力规定范围内上限</w:t>
      </w:r>
      <w:r>
        <w:rPr>
          <w:rFonts w:hint="eastAsia" w:hAnsi="宋体" w:eastAsiaTheme="majorEastAsia"/>
        </w:rPr>
        <w:t>值（</w:t>
      </w:r>
      <w:r>
        <w:rPr>
          <w:rFonts w:hAnsi="宋体" w:eastAsiaTheme="majorEastAsia"/>
        </w:rPr>
        <w:t>3 MPa～5 MPa</w:t>
      </w:r>
      <w:r>
        <w:rPr>
          <w:rFonts w:hint="eastAsia" w:hAnsi="宋体" w:eastAsiaTheme="majorEastAsia"/>
        </w:rPr>
        <w:t>）</w:t>
      </w:r>
      <w:r>
        <w:rPr>
          <w:rFonts w:hint="eastAsia" w:hAnsi="宋体"/>
        </w:rPr>
        <w:t>；</w:t>
      </w:r>
    </w:p>
    <w:p w14:paraId="3DC4EBF5">
      <w:pPr>
        <w:pStyle w:val="305"/>
        <w:numPr>
          <w:ilvl w:val="0"/>
          <w:numId w:val="43"/>
        </w:numPr>
        <w:rPr>
          <w:rFonts w:hAnsi="宋体"/>
        </w:rPr>
      </w:pPr>
      <w:r>
        <w:rPr>
          <w:rFonts w:hAnsi="宋体"/>
        </w:rPr>
        <w:t>修井液（或备用压井液）pH值应等于或大于10</w:t>
      </w:r>
      <w:r>
        <w:rPr>
          <w:rFonts w:hint="eastAsia" w:hAnsi="宋体"/>
        </w:rPr>
        <w:t>；</w:t>
      </w:r>
    </w:p>
    <w:p w14:paraId="469CE4C1">
      <w:pPr>
        <w:pStyle w:val="305"/>
        <w:numPr>
          <w:ilvl w:val="0"/>
          <w:numId w:val="43"/>
        </w:numPr>
        <w:rPr>
          <w:rFonts w:hAnsi="宋体"/>
        </w:rPr>
      </w:pPr>
      <w:r>
        <w:rPr>
          <w:rFonts w:hAnsi="宋体"/>
        </w:rPr>
        <w:t>修井液应满足不低于井筒容积的2倍要求</w:t>
      </w:r>
      <w:r>
        <w:rPr>
          <w:rFonts w:hint="eastAsia" w:hAnsi="宋体"/>
        </w:rPr>
        <w:t>；</w:t>
      </w:r>
    </w:p>
    <w:p w14:paraId="0C009649">
      <w:pPr>
        <w:pStyle w:val="305"/>
        <w:numPr>
          <w:ilvl w:val="0"/>
          <w:numId w:val="43"/>
        </w:numPr>
        <w:rPr>
          <w:rFonts w:hAnsi="宋体"/>
        </w:rPr>
      </w:pPr>
      <w:r>
        <w:rPr>
          <w:rFonts w:hint="eastAsia" w:hAnsi="宋体"/>
        </w:rPr>
        <w:t>备用压井液和加重材料应共同满足不低于井筒容积的1.2倍要求，高含硫化氢天然气井应共同满足不低于井筒容积的1.5倍要求；</w:t>
      </w:r>
    </w:p>
    <w:p w14:paraId="0D921DA7">
      <w:pPr>
        <w:pStyle w:val="305"/>
        <w:numPr>
          <w:ilvl w:val="0"/>
          <w:numId w:val="43"/>
        </w:numPr>
        <w:rPr>
          <w:rFonts w:hAnsi="宋体"/>
        </w:rPr>
      </w:pPr>
      <w:r>
        <w:rPr>
          <w:rFonts w:hAnsi="宋体"/>
        </w:rPr>
        <w:t>按现场压井液量</w:t>
      </w:r>
      <w:r>
        <w:rPr>
          <w:rFonts w:hint="eastAsia" w:hAnsi="宋体"/>
        </w:rPr>
        <w:t>储备足量的</w:t>
      </w:r>
      <w:r>
        <w:rPr>
          <w:rFonts w:hAnsi="宋体"/>
        </w:rPr>
        <w:t>除硫剂</w:t>
      </w:r>
      <w:r>
        <w:rPr>
          <w:rFonts w:hint="eastAsia" w:hAnsi="宋体"/>
        </w:rPr>
        <w:t>。</w:t>
      </w:r>
    </w:p>
    <w:p w14:paraId="39884CCF">
      <w:pPr>
        <w:pStyle w:val="261"/>
        <w:spacing w:before="156" w:after="156"/>
        <w:outlineLvl w:val="2"/>
        <w:rPr>
          <w:rFonts w:ascii="宋体" w:hAnsi="宋体"/>
        </w:rPr>
      </w:pPr>
      <w:r>
        <w:rPr>
          <w:rFonts w:hint="eastAsia" w:ascii="宋体" w:hAnsi="宋体"/>
        </w:rPr>
        <w:t>施工作业</w:t>
      </w:r>
    </w:p>
    <w:p w14:paraId="3CF7836E">
      <w:pPr>
        <w:pStyle w:val="327"/>
        <w:rPr>
          <w:rFonts w:ascii="宋体" w:hAnsi="宋体"/>
        </w:rPr>
      </w:pPr>
      <w:r>
        <w:rPr>
          <w:rFonts w:hint="eastAsia" w:ascii="宋体" w:hAnsi="宋体"/>
        </w:rPr>
        <w:t>井下作业施工应符合以下要求：</w:t>
      </w:r>
    </w:p>
    <w:p w14:paraId="7E79F1D1">
      <w:pPr>
        <w:pStyle w:val="305"/>
        <w:numPr>
          <w:ilvl w:val="0"/>
          <w:numId w:val="44"/>
        </w:numPr>
        <w:rPr>
          <w:rFonts w:hAnsi="宋体"/>
        </w:rPr>
      </w:pPr>
      <w:r>
        <w:rPr>
          <w:rFonts w:hint="eastAsia" w:hAnsi="宋体"/>
        </w:rPr>
        <w:t>制定作业方案和防硫化氢应急预案，并组织应急演练；</w:t>
      </w:r>
    </w:p>
    <w:p w14:paraId="273EDD7B">
      <w:pPr>
        <w:pStyle w:val="305"/>
        <w:numPr>
          <w:ilvl w:val="0"/>
          <w:numId w:val="44"/>
        </w:numPr>
        <w:rPr>
          <w:rFonts w:hAnsi="宋体"/>
        </w:rPr>
      </w:pPr>
      <w:r>
        <w:rPr>
          <w:rFonts w:hint="eastAsia" w:hAnsi="宋体"/>
        </w:rPr>
        <w:t>作业前进行井下作业井控措施和安全方面技术交底；</w:t>
      </w:r>
    </w:p>
    <w:p w14:paraId="31C38995">
      <w:pPr>
        <w:pStyle w:val="305"/>
        <w:numPr>
          <w:ilvl w:val="0"/>
          <w:numId w:val="44"/>
        </w:numPr>
        <w:rPr>
          <w:rFonts w:hAnsi="宋体"/>
        </w:rPr>
      </w:pPr>
      <w:r>
        <w:rPr>
          <w:rFonts w:hint="eastAsia" w:hAnsi="宋体"/>
        </w:rPr>
        <w:t>召开班前会议，通报硫化氢风险情况，落实风险控制措施和应急措施。</w:t>
      </w:r>
    </w:p>
    <w:p w14:paraId="3581E110">
      <w:pPr>
        <w:pStyle w:val="327"/>
        <w:rPr>
          <w:rFonts w:ascii="宋体" w:hAnsi="宋体"/>
        </w:rPr>
      </w:pPr>
      <w:bookmarkStart w:id="31" w:name="_Hlk193356608"/>
      <w:r>
        <w:rPr>
          <w:rFonts w:hint="eastAsia" w:ascii="宋体" w:hAnsi="宋体"/>
        </w:rPr>
        <w:t>射孔作业应符合以下要求：</w:t>
      </w:r>
    </w:p>
    <w:bookmarkEnd w:id="31"/>
    <w:p w14:paraId="52A3E4AC">
      <w:pPr>
        <w:pStyle w:val="305"/>
        <w:numPr>
          <w:ilvl w:val="0"/>
          <w:numId w:val="45"/>
        </w:numPr>
        <w:rPr>
          <w:rFonts w:hAnsi="宋体"/>
        </w:rPr>
      </w:pPr>
      <w:r>
        <w:rPr>
          <w:rFonts w:hAnsi="宋体"/>
        </w:rPr>
        <w:t>作业前应召开</w:t>
      </w:r>
      <w:r>
        <w:rPr>
          <w:rFonts w:hint="eastAsia" w:hAnsi="宋体"/>
        </w:rPr>
        <w:t>相关方</w:t>
      </w:r>
      <w:r>
        <w:rPr>
          <w:rFonts w:hAnsi="宋体"/>
        </w:rPr>
        <w:t>会议，向相关方人员进行射孔技术交底，与相关方人员就硫化氢风险情况、井控设备、</w:t>
      </w:r>
      <w:r>
        <w:rPr>
          <w:rFonts w:hint="eastAsia" w:hAnsi="宋体"/>
        </w:rPr>
        <w:t>防硫化氢设施</w:t>
      </w:r>
      <w:r>
        <w:rPr>
          <w:rFonts w:hAnsi="宋体"/>
        </w:rPr>
        <w:t>、风向标、紧急集合点、逃生路线等方面进行信息沟通，确认与相关方的应急协作方式和途径</w:t>
      </w:r>
      <w:r>
        <w:rPr>
          <w:rFonts w:hint="eastAsia" w:hAnsi="宋体"/>
        </w:rPr>
        <w:t>；</w:t>
      </w:r>
    </w:p>
    <w:p w14:paraId="74888DB9">
      <w:pPr>
        <w:pStyle w:val="305"/>
        <w:numPr>
          <w:ilvl w:val="0"/>
          <w:numId w:val="45"/>
        </w:numPr>
        <w:rPr>
          <w:rFonts w:hAnsi="宋体"/>
        </w:rPr>
      </w:pPr>
      <w:r>
        <w:rPr>
          <w:rFonts w:hAnsi="宋体"/>
        </w:rPr>
        <w:t>射孔后，对井口出液或出气进行硫化氢浓度监测</w:t>
      </w:r>
      <w:r>
        <w:rPr>
          <w:rFonts w:hint="eastAsia" w:hAnsi="宋体"/>
        </w:rPr>
        <w:t>；</w:t>
      </w:r>
    </w:p>
    <w:p w14:paraId="35B1D9FC">
      <w:pPr>
        <w:pStyle w:val="305"/>
        <w:numPr>
          <w:ilvl w:val="0"/>
          <w:numId w:val="45"/>
        </w:numPr>
        <w:rPr>
          <w:rFonts w:hAnsi="宋体"/>
        </w:rPr>
      </w:pPr>
      <w:r>
        <w:rPr>
          <w:rFonts w:hint="eastAsia" w:hAnsi="宋体"/>
        </w:rPr>
        <w:t>高含硫化氢天然气</w:t>
      </w:r>
      <w:r>
        <w:rPr>
          <w:rFonts w:hAnsi="宋体"/>
        </w:rPr>
        <w:t>井射孔前应对</w:t>
      </w:r>
      <w:r>
        <w:rPr>
          <w:rFonts w:hint="eastAsia" w:hAnsi="宋体"/>
        </w:rPr>
        <w:t>周边居民进行预防性疏散。</w:t>
      </w:r>
    </w:p>
    <w:p w14:paraId="0304620E">
      <w:pPr>
        <w:pStyle w:val="327"/>
        <w:rPr>
          <w:rFonts w:ascii="宋体" w:hAnsi="宋体"/>
        </w:rPr>
      </w:pPr>
      <w:bookmarkStart w:id="32" w:name="_Hlk193356689"/>
      <w:r>
        <w:rPr>
          <w:rFonts w:hint="eastAsia" w:ascii="宋体" w:hAnsi="宋体"/>
        </w:rPr>
        <w:t>洗井与压井作业应符合以下要求：</w:t>
      </w:r>
    </w:p>
    <w:p w14:paraId="5A326DD4">
      <w:pPr>
        <w:pStyle w:val="305"/>
        <w:numPr>
          <w:ilvl w:val="0"/>
          <w:numId w:val="46"/>
        </w:numPr>
        <w:rPr>
          <w:rFonts w:hAnsi="宋体"/>
        </w:rPr>
      </w:pPr>
      <w:r>
        <w:rPr>
          <w:rFonts w:hint="eastAsia" w:hAnsi="宋体"/>
        </w:rPr>
        <w:t>修井液循环过程中发生硫化氢逸出时，应对返出液进行处理直到硫化氢浓度降至安全标准15 mg/m</w:t>
      </w:r>
      <w:r>
        <w:rPr>
          <w:rFonts w:hint="eastAsia" w:hAnsi="宋体"/>
          <w:vertAlign w:val="superscript"/>
        </w:rPr>
        <w:t>3</w:t>
      </w:r>
      <w:r>
        <w:rPr>
          <w:rFonts w:hint="eastAsia" w:hAnsi="宋体"/>
        </w:rPr>
        <w:t>（10</w:t>
      </w:r>
      <w:r>
        <w:rPr>
          <w:rFonts w:hAnsi="宋体" w:eastAsiaTheme="majorEastAsia"/>
        </w:rPr>
        <w:t>×</w:t>
      </w:r>
      <w:r>
        <w:rPr>
          <w:rFonts w:hint="eastAsia" w:hAnsi="宋体"/>
        </w:rPr>
        <w:t>10</w:t>
      </w:r>
      <w:r>
        <w:rPr>
          <w:rFonts w:hint="eastAsia" w:hAnsi="宋体"/>
          <w:vertAlign w:val="superscript"/>
        </w:rPr>
        <w:t>-6</w:t>
      </w:r>
      <w:r>
        <w:rPr>
          <w:rFonts w:hint="eastAsia" w:hAnsi="宋体"/>
        </w:rPr>
        <w:t>）；</w:t>
      </w:r>
    </w:p>
    <w:p w14:paraId="5BAC4771">
      <w:pPr>
        <w:pStyle w:val="305"/>
        <w:numPr>
          <w:ilvl w:val="0"/>
          <w:numId w:val="46"/>
        </w:numPr>
        <w:rPr>
          <w:rFonts w:hAnsi="宋体"/>
        </w:rPr>
      </w:pPr>
      <w:r>
        <w:rPr>
          <w:rFonts w:hint="eastAsia" w:hAnsi="宋体"/>
        </w:rPr>
        <w:t>循环压井期间应对压井液持续监测，确保压井液pH值</w:t>
      </w:r>
      <w:r>
        <w:rPr>
          <w:rFonts w:hAnsi="宋体"/>
        </w:rPr>
        <w:t>等于或大于</w:t>
      </w:r>
      <w:r>
        <w:rPr>
          <w:rFonts w:hint="eastAsia" w:hAnsi="宋体"/>
        </w:rPr>
        <w:t>10。</w:t>
      </w:r>
      <w:bookmarkEnd w:id="32"/>
    </w:p>
    <w:p w14:paraId="7B3D9A55">
      <w:pPr>
        <w:pStyle w:val="327"/>
        <w:rPr>
          <w:rFonts w:ascii="宋体" w:hAnsi="宋体"/>
        </w:rPr>
      </w:pPr>
      <w:bookmarkStart w:id="33" w:name="_Hlk193356683"/>
      <w:r>
        <w:rPr>
          <w:rFonts w:hint="eastAsia" w:ascii="宋体" w:hAnsi="宋体"/>
        </w:rPr>
        <w:t>放喷与测试作业应符合以下要求</w:t>
      </w:r>
      <w:bookmarkEnd w:id="33"/>
      <w:r>
        <w:rPr>
          <w:rFonts w:hint="eastAsia" w:ascii="宋体" w:hAnsi="宋体"/>
        </w:rPr>
        <w:t>：</w:t>
      </w:r>
    </w:p>
    <w:p w14:paraId="05569862">
      <w:pPr>
        <w:pStyle w:val="305"/>
        <w:numPr>
          <w:ilvl w:val="0"/>
          <w:numId w:val="47"/>
        </w:numPr>
        <w:rPr>
          <w:rFonts w:hAnsi="宋体"/>
        </w:rPr>
      </w:pPr>
      <w:r>
        <w:rPr>
          <w:rFonts w:hAnsi="宋体"/>
        </w:rPr>
        <w:t>出口不能完全燃烧掉硫化氢</w:t>
      </w:r>
      <w:r>
        <w:rPr>
          <w:rFonts w:hint="eastAsia" w:hAnsi="宋体"/>
        </w:rPr>
        <w:t>时</w:t>
      </w:r>
      <w:r>
        <w:rPr>
          <w:rFonts w:hAnsi="宋体"/>
        </w:rPr>
        <w:t>，应根据硫化氢含量向放喷流程注入除硫剂</w:t>
      </w:r>
      <w:r>
        <w:rPr>
          <w:rFonts w:hint="eastAsia" w:hAnsi="宋体"/>
        </w:rPr>
        <w:t>或</w:t>
      </w:r>
      <w:r>
        <w:rPr>
          <w:rFonts w:hAnsi="宋体"/>
        </w:rPr>
        <w:t>碱；</w:t>
      </w:r>
    </w:p>
    <w:p w14:paraId="6620917C">
      <w:pPr>
        <w:pStyle w:val="305"/>
        <w:numPr>
          <w:ilvl w:val="0"/>
          <w:numId w:val="47"/>
        </w:numPr>
        <w:rPr>
          <w:rFonts w:hAnsi="宋体"/>
        </w:rPr>
      </w:pPr>
      <w:r>
        <w:rPr>
          <w:rFonts w:hAnsi="宋体"/>
        </w:rPr>
        <w:t>酸压后，排放残酸前，应提前向放喷池内放入烧碱或石灰，或向放喷流程注入碱，中和残酸和硫化氢；</w:t>
      </w:r>
    </w:p>
    <w:p w14:paraId="0A7A307F">
      <w:pPr>
        <w:pStyle w:val="305"/>
        <w:numPr>
          <w:ilvl w:val="0"/>
          <w:numId w:val="47"/>
        </w:numPr>
        <w:rPr>
          <w:rFonts w:hAnsi="宋体"/>
        </w:rPr>
      </w:pPr>
      <w:r>
        <w:rPr>
          <w:rFonts w:hAnsi="宋体"/>
        </w:rPr>
        <w:t>放喷前应</w:t>
      </w:r>
      <w:r>
        <w:rPr>
          <w:rFonts w:hint="eastAsia" w:hAnsi="宋体"/>
        </w:rPr>
        <w:t>向</w:t>
      </w:r>
      <w:r>
        <w:rPr>
          <w:rFonts w:hAnsi="宋体"/>
        </w:rPr>
        <w:t>周围500 m内的居民书面告知放喷期间的安全注意事项、遇突发情况的应急疏散、扩大疏散等事宜</w:t>
      </w:r>
      <w:r>
        <w:rPr>
          <w:rFonts w:hint="eastAsia" w:hAnsi="宋体"/>
        </w:rPr>
        <w:t>，</w:t>
      </w:r>
      <w:r>
        <w:rPr>
          <w:rFonts w:hAnsi="宋体"/>
        </w:rPr>
        <w:t>做好</w:t>
      </w:r>
      <w:r>
        <w:rPr>
          <w:rFonts w:hint="eastAsia" w:hAnsi="宋体"/>
        </w:rPr>
        <w:t>辨识</w:t>
      </w:r>
      <w:r>
        <w:rPr>
          <w:rFonts w:hAnsi="宋体"/>
        </w:rPr>
        <w:t>硫化氢与</w:t>
      </w:r>
      <w:r>
        <w:rPr>
          <w:rFonts w:hint="eastAsia" w:hAnsi="宋体"/>
        </w:rPr>
        <w:t>一般残酸等刺激性气味区别</w:t>
      </w:r>
      <w:r>
        <w:rPr>
          <w:rFonts w:hAnsi="宋体"/>
        </w:rPr>
        <w:t>的宣传工作；</w:t>
      </w:r>
    </w:p>
    <w:p w14:paraId="0CA32193">
      <w:pPr>
        <w:pStyle w:val="305"/>
        <w:numPr>
          <w:ilvl w:val="0"/>
          <w:numId w:val="47"/>
        </w:numPr>
        <w:rPr>
          <w:rFonts w:hAnsi="宋体"/>
        </w:rPr>
      </w:pPr>
      <w:r>
        <w:rPr>
          <w:rFonts w:hAnsi="宋体"/>
        </w:rPr>
        <w:t>取样应双人进行</w:t>
      </w:r>
      <w:r>
        <w:rPr>
          <w:rFonts w:hint="eastAsia" w:hAnsi="宋体"/>
        </w:rPr>
        <w:t>，</w:t>
      </w:r>
      <w:r>
        <w:rPr>
          <w:rFonts w:hAnsi="宋体"/>
        </w:rPr>
        <w:t>并佩戴个人防护装备；</w:t>
      </w:r>
    </w:p>
    <w:p w14:paraId="694BC909">
      <w:pPr>
        <w:pStyle w:val="305"/>
        <w:numPr>
          <w:ilvl w:val="0"/>
          <w:numId w:val="47"/>
        </w:numPr>
        <w:rPr>
          <w:rFonts w:hAnsi="宋体"/>
        </w:rPr>
      </w:pPr>
      <w:r>
        <w:rPr>
          <w:rFonts w:hint="eastAsia" w:hAnsi="宋体"/>
        </w:rPr>
        <w:t>高含硫化氢天然气井</w:t>
      </w:r>
      <w:r>
        <w:rPr>
          <w:rFonts w:hAnsi="宋体"/>
        </w:rPr>
        <w:t>应</w:t>
      </w:r>
      <w:r>
        <w:rPr>
          <w:rFonts w:hint="eastAsia" w:hAnsi="宋体"/>
        </w:rPr>
        <w:t>安装</w:t>
      </w:r>
      <w:r>
        <w:rPr>
          <w:rFonts w:hAnsi="宋体"/>
        </w:rPr>
        <w:t>紧急关断装置。</w:t>
      </w:r>
    </w:p>
    <w:p w14:paraId="1B6C46CC">
      <w:pPr>
        <w:pStyle w:val="327"/>
        <w:rPr>
          <w:rFonts w:ascii="宋体" w:hAnsi="宋体"/>
        </w:rPr>
      </w:pPr>
      <w:r>
        <w:rPr>
          <w:rFonts w:hint="eastAsia" w:ascii="宋体" w:hAnsi="宋体"/>
        </w:rPr>
        <w:t>诱喷作业使用氮气、二氧化碳等进行气举，不应使用空气</w:t>
      </w:r>
      <w:r>
        <w:rPr>
          <w:rFonts w:ascii="宋体" w:hAnsi="宋体"/>
        </w:rPr>
        <w:t>。</w:t>
      </w:r>
    </w:p>
    <w:p w14:paraId="23E4C27F">
      <w:pPr>
        <w:pStyle w:val="260"/>
        <w:outlineLvl w:val="1"/>
        <w:rPr>
          <w:rFonts w:ascii="宋体" w:hAnsi="宋体"/>
        </w:rPr>
      </w:pPr>
      <w:bookmarkStart w:id="34" w:name="_Toc26660"/>
      <w:bookmarkStart w:id="35" w:name="_Toc196682332"/>
      <w:r>
        <w:rPr>
          <w:rFonts w:hint="eastAsia" w:ascii="宋体" w:hAnsi="宋体"/>
        </w:rPr>
        <w:t>采气工程</w:t>
      </w:r>
      <w:bookmarkEnd w:id="34"/>
      <w:bookmarkEnd w:id="35"/>
    </w:p>
    <w:p w14:paraId="1A06596E">
      <w:pPr>
        <w:pStyle w:val="261"/>
        <w:spacing w:before="156" w:after="156"/>
        <w:outlineLvl w:val="2"/>
        <w:rPr>
          <w:rFonts w:ascii="宋体" w:hAnsi="宋体"/>
        </w:rPr>
      </w:pPr>
      <w:r>
        <w:rPr>
          <w:rFonts w:hint="eastAsia" w:ascii="宋体" w:hAnsi="宋体"/>
        </w:rPr>
        <w:t>设计</w:t>
      </w:r>
    </w:p>
    <w:p w14:paraId="00A19BE5">
      <w:pPr>
        <w:pStyle w:val="327"/>
        <w:rPr>
          <w:rFonts w:ascii="宋体" w:hAnsi="宋体"/>
        </w:rPr>
      </w:pPr>
      <w:r>
        <w:rPr>
          <w:rFonts w:hint="eastAsia" w:ascii="宋体" w:hAnsi="宋体"/>
        </w:rPr>
        <w:t>井口装置、采气树、节流管汇、压井管汇、油管、封隔器及其他井下装置等设备设施应满足抗硫要求</w:t>
      </w:r>
      <w:r>
        <w:rPr>
          <w:rFonts w:ascii="宋体" w:hAnsi="宋体"/>
        </w:rPr>
        <w:t>。</w:t>
      </w:r>
    </w:p>
    <w:p w14:paraId="52E645E1">
      <w:pPr>
        <w:pStyle w:val="327"/>
        <w:rPr>
          <w:rFonts w:ascii="宋体" w:hAnsi="宋体"/>
        </w:rPr>
      </w:pPr>
      <w:r>
        <w:rPr>
          <w:rFonts w:hint="eastAsia" w:ascii="宋体" w:hAnsi="宋体"/>
        </w:rPr>
        <w:t>硫化氢环境中存在CO</w:t>
      </w:r>
      <w:r>
        <w:rPr>
          <w:rFonts w:hint="eastAsia" w:ascii="宋体" w:hAnsi="宋体"/>
          <w:vertAlign w:val="subscript"/>
        </w:rPr>
        <w:t>2</w:t>
      </w:r>
      <w:r>
        <w:rPr>
          <w:rFonts w:hint="eastAsia" w:ascii="宋体" w:hAnsi="宋体"/>
        </w:rPr>
        <w:t>及其他腐蚀介质时，应根据实际情况采取腐蚀控制措施。</w:t>
      </w:r>
    </w:p>
    <w:p w14:paraId="6713B097">
      <w:pPr>
        <w:pStyle w:val="327"/>
        <w:jc w:val="both"/>
        <w:rPr>
          <w:rFonts w:ascii="宋体" w:hAnsi="宋体"/>
        </w:rPr>
      </w:pPr>
      <w:r>
        <w:rPr>
          <w:rFonts w:hint="eastAsia" w:ascii="宋体" w:hAnsi="宋体"/>
        </w:rPr>
        <w:t>高压、高含硫化氢天然气井应配备井口自动关井装置、套管环空压力监测装置和紧急泄压放空装置。</w:t>
      </w:r>
    </w:p>
    <w:p w14:paraId="796A6CB7">
      <w:pPr>
        <w:pStyle w:val="327"/>
        <w:rPr>
          <w:rFonts w:ascii="宋体" w:hAnsi="宋体"/>
        </w:rPr>
      </w:pPr>
      <w:r>
        <w:rPr>
          <w:rFonts w:hint="eastAsia" w:ascii="宋体" w:hAnsi="宋体"/>
        </w:rPr>
        <w:t>高压、高产且高含硫化氢天然气井应增加井下自动关井装置。</w:t>
      </w:r>
    </w:p>
    <w:p w14:paraId="02D99CD9">
      <w:pPr>
        <w:pStyle w:val="327"/>
        <w:rPr>
          <w:rFonts w:ascii="宋体" w:hAnsi="宋体"/>
        </w:rPr>
      </w:pPr>
      <w:r>
        <w:rPr>
          <w:rFonts w:hint="eastAsia" w:ascii="宋体" w:hAnsi="宋体"/>
        </w:rPr>
        <w:t>含硫化氢气田回注井的井下管材应满足抗硫要求。</w:t>
      </w:r>
    </w:p>
    <w:p w14:paraId="7162E7C0">
      <w:pPr>
        <w:pStyle w:val="261"/>
        <w:spacing w:before="156" w:after="156"/>
        <w:outlineLvl w:val="2"/>
        <w:rPr>
          <w:rFonts w:ascii="宋体" w:hAnsi="宋体"/>
        </w:rPr>
      </w:pPr>
      <w:bookmarkStart w:id="36" w:name="_Toc27094"/>
      <w:r>
        <w:rPr>
          <w:rFonts w:hint="eastAsia" w:ascii="宋体" w:hAnsi="宋体"/>
        </w:rPr>
        <w:t>生产作业</w:t>
      </w:r>
      <w:bookmarkEnd w:id="36"/>
    </w:p>
    <w:p w14:paraId="7A61B66C">
      <w:pPr>
        <w:pStyle w:val="327"/>
        <w:rPr>
          <w:rFonts w:ascii="宋体" w:hAnsi="宋体"/>
        </w:rPr>
      </w:pPr>
      <w:bookmarkStart w:id="37" w:name="_Hlk193363289"/>
      <w:bookmarkStart w:id="38" w:name="_Hlk193363318"/>
      <w:r>
        <w:rPr>
          <w:rFonts w:hint="eastAsia" w:ascii="宋体" w:hAnsi="宋体"/>
        </w:rPr>
        <w:t>含硫化氢天然气井的井口安全阀每年应至少进行一次测试。</w:t>
      </w:r>
    </w:p>
    <w:bookmarkEnd w:id="37"/>
    <w:p w14:paraId="11A03FF4">
      <w:pPr>
        <w:pStyle w:val="327"/>
        <w:rPr>
          <w:rFonts w:ascii="宋体" w:hAnsi="宋体"/>
        </w:rPr>
      </w:pPr>
      <w:r>
        <w:rPr>
          <w:rFonts w:hint="eastAsia" w:ascii="宋体" w:hAnsi="宋体"/>
        </w:rPr>
        <w:t>在井站巡检时应配备正压式空气呼吸器，采用双人巡检，一人操作，一人监护</w:t>
      </w:r>
      <w:r>
        <w:rPr>
          <w:rFonts w:ascii="宋体" w:hAnsi="宋体"/>
        </w:rPr>
        <w:t>。</w:t>
      </w:r>
    </w:p>
    <w:p w14:paraId="4BC22AB6">
      <w:pPr>
        <w:pStyle w:val="327"/>
        <w:rPr>
          <w:rFonts w:ascii="宋体" w:hAnsi="宋体"/>
        </w:rPr>
      </w:pPr>
      <w:r>
        <w:rPr>
          <w:rFonts w:hint="eastAsia" w:ascii="宋体" w:hAnsi="宋体"/>
        </w:rPr>
        <w:t>发生报警时，应及时处置并对报警原因进行分析和记录。</w:t>
      </w:r>
    </w:p>
    <w:bookmarkEnd w:id="38"/>
    <w:p w14:paraId="72ED755C">
      <w:pPr>
        <w:pStyle w:val="327"/>
        <w:rPr>
          <w:rFonts w:ascii="宋体" w:hAnsi="宋体" w:eastAsia="宋体" w:cs="宋体"/>
        </w:rPr>
      </w:pPr>
      <w:r>
        <w:rPr>
          <w:rFonts w:hint="eastAsia" w:ascii="宋体" w:hAnsi="宋体" w:eastAsia="宋体" w:cs="宋体"/>
        </w:rPr>
        <w:t>放空应引入火炬系统，先点火后放空，燃烧排放。放空分液罐（凝液分离器）应保持低液位，防止放空气体携液扑灭火炬。</w:t>
      </w:r>
    </w:p>
    <w:p w14:paraId="1ABC442F">
      <w:pPr>
        <w:pStyle w:val="327"/>
        <w:jc w:val="both"/>
        <w:rPr>
          <w:rFonts w:ascii="宋体" w:hAnsi="宋体"/>
        </w:rPr>
      </w:pPr>
      <w:r>
        <w:rPr>
          <w:rFonts w:hint="eastAsia" w:ascii="宋体" w:hAnsi="宋体"/>
        </w:rPr>
        <w:t>开关井期间，现场操作人员应与流程相关人员保持联系，按照程序操作。关井放空应有警戒人员负责放空安全</w:t>
      </w:r>
      <w:r>
        <w:rPr>
          <w:rFonts w:ascii="宋体" w:hAnsi="宋体"/>
        </w:rPr>
        <w:t>。</w:t>
      </w:r>
    </w:p>
    <w:p w14:paraId="439078FE">
      <w:pPr>
        <w:pStyle w:val="260"/>
        <w:outlineLvl w:val="1"/>
        <w:rPr>
          <w:rFonts w:ascii="宋体" w:hAnsi="宋体"/>
        </w:rPr>
      </w:pPr>
      <w:bookmarkStart w:id="39" w:name="_Toc196682333"/>
      <w:r>
        <w:rPr>
          <w:rFonts w:hint="eastAsia" w:ascii="宋体" w:hAnsi="宋体"/>
        </w:rPr>
        <w:t>弃置</w:t>
      </w:r>
      <w:bookmarkEnd w:id="39"/>
    </w:p>
    <w:p w14:paraId="187E91C6">
      <w:pPr>
        <w:pStyle w:val="261"/>
        <w:spacing w:before="156" w:after="156"/>
        <w:outlineLvl w:val="2"/>
        <w:rPr>
          <w:rFonts w:ascii="宋体" w:hAnsi="宋体"/>
        </w:rPr>
      </w:pPr>
      <w:r>
        <w:rPr>
          <w:rFonts w:hint="eastAsia" w:ascii="宋体" w:hAnsi="宋体"/>
        </w:rPr>
        <w:t>设计</w:t>
      </w:r>
    </w:p>
    <w:p w14:paraId="4AAB292D">
      <w:pPr>
        <w:pStyle w:val="327"/>
        <w:jc w:val="both"/>
        <w:rPr>
          <w:rFonts w:ascii="宋体" w:hAnsi="宋体"/>
        </w:rPr>
      </w:pPr>
      <w:r>
        <w:rPr>
          <w:rFonts w:hint="eastAsia" w:ascii="宋体" w:hAnsi="宋体"/>
        </w:rPr>
        <w:t>含硫化氢天然气井弃置处理前应针对硫化氢开展周边、地上地下环境状况调查和风险评估，制定硫化氢防护措施，根据站场设施的规格、材质、介质、建设方式、所处环境、运行现状等编制废弃方案。</w:t>
      </w:r>
    </w:p>
    <w:p w14:paraId="235791CB">
      <w:pPr>
        <w:pStyle w:val="327"/>
        <w:rPr>
          <w:rFonts w:ascii="宋体" w:hAnsi="宋体"/>
        </w:rPr>
      </w:pPr>
      <w:r>
        <w:rPr>
          <w:rFonts w:hint="eastAsia" w:ascii="宋体" w:hAnsi="宋体"/>
        </w:rPr>
        <w:t>含硫化氢天然气井废弃应封堵产层。</w:t>
      </w:r>
    </w:p>
    <w:p w14:paraId="7180E88B">
      <w:pPr>
        <w:pStyle w:val="261"/>
        <w:spacing w:before="156" w:after="156"/>
        <w:outlineLvl w:val="2"/>
        <w:rPr>
          <w:rFonts w:ascii="宋体" w:hAnsi="宋体"/>
        </w:rPr>
      </w:pPr>
      <w:r>
        <w:rPr>
          <w:rFonts w:hint="eastAsia" w:ascii="宋体" w:hAnsi="宋体"/>
        </w:rPr>
        <w:t>施工作业</w:t>
      </w:r>
    </w:p>
    <w:p w14:paraId="7966077E">
      <w:pPr>
        <w:pStyle w:val="327"/>
        <w:numPr>
          <w:ilvl w:val="0"/>
          <w:numId w:val="0"/>
        </w:numPr>
        <w:ind w:firstLine="420" w:firstLineChars="200"/>
        <w:rPr>
          <w:rFonts w:ascii="宋体" w:hAnsi="宋体"/>
        </w:rPr>
      </w:pPr>
      <w:r>
        <w:rPr>
          <w:rFonts w:hint="eastAsia" w:ascii="宋体" w:hAnsi="宋体"/>
        </w:rPr>
        <w:t>废弃施工作业应符合以下要求：</w:t>
      </w:r>
    </w:p>
    <w:p w14:paraId="5A3A554C">
      <w:pPr>
        <w:pStyle w:val="305"/>
        <w:numPr>
          <w:ilvl w:val="0"/>
          <w:numId w:val="48"/>
        </w:numPr>
        <w:rPr>
          <w:rFonts w:hAnsi="宋体"/>
        </w:rPr>
      </w:pPr>
      <w:r>
        <w:rPr>
          <w:rFonts w:hint="eastAsia" w:hAnsi="宋体"/>
        </w:rPr>
        <w:t>计划进行永久性废弃时，应根据井的条件采取合适的废弃方法及可靠的井控措施，封隔含硫化氢的地层；</w:t>
      </w:r>
    </w:p>
    <w:p w14:paraId="0AE72D70">
      <w:pPr>
        <w:pStyle w:val="305"/>
        <w:numPr>
          <w:ilvl w:val="0"/>
          <w:numId w:val="48"/>
        </w:numPr>
        <w:rPr>
          <w:rFonts w:hAnsi="宋体"/>
        </w:rPr>
      </w:pPr>
      <w:r>
        <w:rPr>
          <w:rFonts w:hint="eastAsia" w:hAnsi="宋体"/>
        </w:rPr>
        <w:t>永久保留废弃井井口坐标，废弃井井口位置应做标识；</w:t>
      </w:r>
    </w:p>
    <w:p w14:paraId="61C6D995">
      <w:pPr>
        <w:pStyle w:val="305"/>
        <w:numPr>
          <w:ilvl w:val="0"/>
          <w:numId w:val="48"/>
        </w:numPr>
        <w:rPr>
          <w:rFonts w:hAnsi="宋体"/>
        </w:rPr>
      </w:pPr>
      <w:r>
        <w:rPr>
          <w:rFonts w:hint="eastAsia" w:hAnsi="宋体"/>
        </w:rPr>
        <w:t>废弃井的井场检查记录、压力数据、机械完整性测试数据等应归档保存；</w:t>
      </w:r>
    </w:p>
    <w:p w14:paraId="2496164D">
      <w:pPr>
        <w:pStyle w:val="305"/>
        <w:numPr>
          <w:ilvl w:val="0"/>
          <w:numId w:val="48"/>
        </w:numPr>
        <w:rPr>
          <w:rFonts w:hAnsi="宋体"/>
        </w:rPr>
      </w:pPr>
      <w:r>
        <w:rPr>
          <w:rFonts w:hint="eastAsia" w:hAnsi="宋体"/>
        </w:rPr>
        <w:t>建立废弃井监控制度，高含硫化氢天然气井封堵废弃后，每半年至少巡检</w:t>
      </w:r>
      <w:r>
        <w:rPr>
          <w:rFonts w:hAnsi="宋体"/>
        </w:rPr>
        <w:t>1</w:t>
      </w:r>
      <w:r>
        <w:rPr>
          <w:rFonts w:hint="eastAsia" w:hAnsi="宋体"/>
        </w:rPr>
        <w:t>次，带压井根据实际情况确定巡检频次，并做好巡检记录。</w:t>
      </w:r>
    </w:p>
    <w:p w14:paraId="2CE25467">
      <w:pPr>
        <w:pStyle w:val="259"/>
        <w:outlineLvl w:val="0"/>
        <w:rPr>
          <w:rFonts w:ascii="宋体" w:hAnsi="宋体"/>
        </w:rPr>
      </w:pPr>
      <w:bookmarkStart w:id="40" w:name="_Toc196682334"/>
      <w:r>
        <w:rPr>
          <w:rFonts w:hint="eastAsia" w:ascii="宋体" w:hAnsi="宋体"/>
        </w:rPr>
        <w:t>海上生产作业过程安全</w:t>
      </w:r>
      <w:bookmarkEnd w:id="21"/>
      <w:r>
        <w:rPr>
          <w:rFonts w:hint="eastAsia" w:ascii="宋体" w:hAnsi="宋体"/>
        </w:rPr>
        <w:t>防护</w:t>
      </w:r>
      <w:bookmarkEnd w:id="40"/>
    </w:p>
    <w:p w14:paraId="01CCB163">
      <w:pPr>
        <w:pStyle w:val="260"/>
        <w:outlineLvl w:val="1"/>
        <w:rPr>
          <w:rFonts w:ascii="宋体" w:hAnsi="宋体"/>
        </w:rPr>
      </w:pPr>
      <w:bookmarkStart w:id="41" w:name="_Toc2832"/>
      <w:bookmarkStart w:id="42" w:name="_Toc196682335"/>
      <w:r>
        <w:rPr>
          <w:rFonts w:hint="eastAsia" w:ascii="宋体" w:hAnsi="宋体"/>
        </w:rPr>
        <w:t>通用要求</w:t>
      </w:r>
      <w:bookmarkEnd w:id="41"/>
      <w:bookmarkEnd w:id="42"/>
    </w:p>
    <w:p w14:paraId="24BDDEC2">
      <w:pPr>
        <w:pStyle w:val="326"/>
        <w:rPr>
          <w:rFonts w:ascii="宋体" w:hAnsi="宋体"/>
        </w:rPr>
      </w:pPr>
      <w:r>
        <w:rPr>
          <w:rFonts w:hint="eastAsia" w:ascii="宋体" w:hAnsi="宋体"/>
        </w:rPr>
        <w:t>含硫化氢天然气井作业期间，应配备正压式空气呼吸器，并符合以下要求：</w:t>
      </w:r>
    </w:p>
    <w:p w14:paraId="2317905F">
      <w:pPr>
        <w:pStyle w:val="305"/>
        <w:numPr>
          <w:ilvl w:val="0"/>
          <w:numId w:val="49"/>
        </w:numPr>
        <w:rPr>
          <w:rFonts w:hAnsi="宋体"/>
        </w:rPr>
      </w:pPr>
      <w:r>
        <w:rPr>
          <w:rFonts w:hint="eastAsia" w:hAnsi="宋体"/>
        </w:rPr>
        <w:t>钻井装置上配备供全员使用的正压式空气呼吸器，并配备足够的备用气瓶；</w:t>
      </w:r>
    </w:p>
    <w:p w14:paraId="5A0A5976">
      <w:pPr>
        <w:pStyle w:val="305"/>
        <w:numPr>
          <w:ilvl w:val="0"/>
          <w:numId w:val="49"/>
        </w:numPr>
        <w:rPr>
          <w:rFonts w:hAnsi="宋体"/>
        </w:rPr>
      </w:pPr>
      <w:r>
        <w:rPr>
          <w:rFonts w:hint="eastAsia" w:hAnsi="宋体"/>
        </w:rPr>
        <w:t>钻井装置上至少配备1台呼吸器空气压缩机或其他充气装置。</w:t>
      </w:r>
    </w:p>
    <w:p w14:paraId="5A16F29C">
      <w:pPr>
        <w:pStyle w:val="326"/>
        <w:rPr>
          <w:rFonts w:ascii="宋体" w:hAnsi="宋体"/>
        </w:rPr>
      </w:pPr>
      <w:r>
        <w:rPr>
          <w:rFonts w:hint="eastAsia" w:ascii="宋体" w:hAnsi="宋体"/>
        </w:rPr>
        <w:t>含硫化氢天然气井作业和生产期间，应配备足够数量的便携式硫化氢检测仪，并符合以下要求：</w:t>
      </w:r>
    </w:p>
    <w:p w14:paraId="3D663658">
      <w:pPr>
        <w:pStyle w:val="305"/>
        <w:numPr>
          <w:ilvl w:val="0"/>
          <w:numId w:val="50"/>
        </w:numPr>
        <w:rPr>
          <w:rFonts w:hAnsi="宋体"/>
        </w:rPr>
      </w:pPr>
      <w:r>
        <w:rPr>
          <w:rFonts w:hint="eastAsia" w:hAnsi="宋体"/>
        </w:rPr>
        <w:t>钻井装置上至少配备探测范围0 mg/m</w:t>
      </w:r>
      <w:r>
        <w:rPr>
          <w:rFonts w:hint="eastAsia" w:hAnsi="宋体"/>
          <w:vertAlign w:val="superscript"/>
        </w:rPr>
        <w:t>3</w:t>
      </w:r>
      <w:r>
        <w:rPr>
          <w:rFonts w:hAnsi="宋体"/>
        </w:rPr>
        <w:t>～</w:t>
      </w:r>
      <w:r>
        <w:rPr>
          <w:rFonts w:hint="eastAsia" w:hAnsi="宋体"/>
        </w:rPr>
        <w:t>30 mg/m</w:t>
      </w:r>
      <w:r>
        <w:rPr>
          <w:rFonts w:hint="eastAsia" w:hAnsi="宋体"/>
          <w:vertAlign w:val="superscript"/>
        </w:rPr>
        <w:t>3</w:t>
      </w:r>
      <w:r>
        <w:rPr>
          <w:rFonts w:hint="eastAsia" w:hAnsi="宋体"/>
        </w:rPr>
        <w:t>（0×10</w:t>
      </w:r>
      <w:r>
        <w:rPr>
          <w:rFonts w:hint="eastAsia" w:hAnsi="宋体"/>
          <w:vertAlign w:val="superscript"/>
        </w:rPr>
        <w:t>-6</w:t>
      </w:r>
      <w:r>
        <w:rPr>
          <w:rFonts w:hAnsi="宋体"/>
        </w:rPr>
        <w:t>～</w:t>
      </w:r>
      <w:r>
        <w:rPr>
          <w:rFonts w:hint="eastAsia" w:hAnsi="宋体"/>
        </w:rPr>
        <w:t>20×10</w:t>
      </w:r>
      <w:r>
        <w:rPr>
          <w:rFonts w:hint="eastAsia" w:hAnsi="宋体"/>
          <w:vertAlign w:val="superscript"/>
        </w:rPr>
        <w:t>-6</w:t>
      </w:r>
      <w:r>
        <w:rPr>
          <w:rFonts w:hint="eastAsia" w:hAnsi="宋体"/>
        </w:rPr>
        <w:t>）和0 mg/m</w:t>
      </w:r>
      <w:r>
        <w:rPr>
          <w:rFonts w:hint="eastAsia" w:hAnsi="宋体"/>
          <w:vertAlign w:val="superscript"/>
        </w:rPr>
        <w:t>3</w:t>
      </w:r>
      <w:r>
        <w:rPr>
          <w:rFonts w:hAnsi="宋体"/>
        </w:rPr>
        <w:t>～</w:t>
      </w:r>
      <w:r>
        <w:rPr>
          <w:rFonts w:hint="eastAsia" w:hAnsi="宋体"/>
        </w:rPr>
        <w:t>150 mg/m</w:t>
      </w:r>
      <w:r>
        <w:rPr>
          <w:rFonts w:hint="eastAsia" w:hAnsi="宋体"/>
          <w:vertAlign w:val="superscript"/>
        </w:rPr>
        <w:t>3</w:t>
      </w:r>
      <w:r>
        <w:rPr>
          <w:rFonts w:hint="eastAsia" w:hAnsi="宋体"/>
        </w:rPr>
        <w:t>（0×10</w:t>
      </w:r>
      <w:r>
        <w:rPr>
          <w:rFonts w:hint="eastAsia" w:hAnsi="宋体"/>
          <w:vertAlign w:val="superscript"/>
        </w:rPr>
        <w:t>-6</w:t>
      </w:r>
      <w:r>
        <w:rPr>
          <w:rFonts w:hAnsi="宋体"/>
        </w:rPr>
        <w:t>～</w:t>
      </w:r>
      <w:r>
        <w:rPr>
          <w:rFonts w:hint="eastAsia" w:hAnsi="宋体"/>
        </w:rPr>
        <w:t>100×10</w:t>
      </w:r>
      <w:r>
        <w:rPr>
          <w:rFonts w:hint="eastAsia" w:hAnsi="宋体"/>
          <w:vertAlign w:val="superscript"/>
        </w:rPr>
        <w:t>-6</w:t>
      </w:r>
      <w:r>
        <w:rPr>
          <w:rFonts w:hint="eastAsia" w:hAnsi="宋体"/>
        </w:rPr>
        <w:t>）的便携式硫化氢检测仪各1台；</w:t>
      </w:r>
    </w:p>
    <w:p w14:paraId="153FA87C">
      <w:pPr>
        <w:pStyle w:val="305"/>
        <w:numPr>
          <w:ilvl w:val="0"/>
          <w:numId w:val="50"/>
        </w:numPr>
        <w:rPr>
          <w:rFonts w:hAnsi="宋体"/>
        </w:rPr>
      </w:pPr>
      <w:r>
        <w:rPr>
          <w:rFonts w:hint="eastAsia" w:hAnsi="宋体"/>
        </w:rPr>
        <w:t>生产设施上配备2套</w:t>
      </w:r>
      <w:r>
        <w:rPr>
          <w:rFonts w:hAnsi="宋体"/>
        </w:rPr>
        <w:t>～</w:t>
      </w:r>
      <w:r>
        <w:rPr>
          <w:rFonts w:hint="eastAsia" w:hAnsi="宋体"/>
        </w:rPr>
        <w:t>3套便携式硫化氢检测仪、1套便携式比色指示管检测仪和1套便携式二氧化硫检测仪；</w:t>
      </w:r>
    </w:p>
    <w:p w14:paraId="462F60B5">
      <w:pPr>
        <w:pStyle w:val="305"/>
        <w:numPr>
          <w:ilvl w:val="0"/>
          <w:numId w:val="50"/>
        </w:numPr>
        <w:rPr>
          <w:rFonts w:hAnsi="宋体"/>
        </w:rPr>
      </w:pPr>
      <w:r>
        <w:rPr>
          <w:rFonts w:hint="eastAsia" w:hAnsi="宋体"/>
        </w:rPr>
        <w:t>检测仪的灵敏度达到7.5 mg/m</w:t>
      </w:r>
      <w:r>
        <w:rPr>
          <w:rFonts w:hint="eastAsia" w:hAnsi="宋体"/>
          <w:vertAlign w:val="superscript"/>
        </w:rPr>
        <w:t>3</w:t>
      </w:r>
      <w:r>
        <w:rPr>
          <w:rFonts w:hint="eastAsia" w:hAnsi="宋体"/>
        </w:rPr>
        <w:t>（5×10</w:t>
      </w:r>
      <w:r>
        <w:rPr>
          <w:rFonts w:hint="eastAsia" w:hAnsi="宋体"/>
          <w:vertAlign w:val="superscript"/>
        </w:rPr>
        <w:t>-6</w:t>
      </w:r>
      <w:r>
        <w:rPr>
          <w:rFonts w:hint="eastAsia" w:hAnsi="宋体"/>
        </w:rPr>
        <w:t>）。</w:t>
      </w:r>
    </w:p>
    <w:p w14:paraId="229DDA6B">
      <w:pPr>
        <w:pStyle w:val="326"/>
        <w:rPr>
          <w:rFonts w:ascii="宋体" w:hAnsi="宋体"/>
        </w:rPr>
      </w:pPr>
      <w:r>
        <w:rPr>
          <w:rFonts w:hint="eastAsia" w:ascii="宋体" w:hAnsi="宋体"/>
        </w:rPr>
        <w:t>含硫化氢天然气井作业及生产期间，应配有硫化氢气体监测报警系统，并符合以下要求：</w:t>
      </w:r>
    </w:p>
    <w:p w14:paraId="1CD10C78">
      <w:pPr>
        <w:pStyle w:val="305"/>
        <w:numPr>
          <w:ilvl w:val="0"/>
          <w:numId w:val="51"/>
        </w:numPr>
        <w:rPr>
          <w:rFonts w:hAnsi="宋体"/>
        </w:rPr>
      </w:pPr>
      <w:r>
        <w:rPr>
          <w:rFonts w:hint="eastAsia" w:hAnsi="宋体"/>
        </w:rPr>
        <w:t>钻井装置上安装硫化氢气体监测报警系统。固定式探头应安装在井液返出口、钻台、振动筛、井液池、生活区进风口、发电及配电房进风口等位置；</w:t>
      </w:r>
    </w:p>
    <w:p w14:paraId="1AD82A04">
      <w:pPr>
        <w:pStyle w:val="305"/>
        <w:numPr>
          <w:ilvl w:val="0"/>
          <w:numId w:val="51"/>
        </w:numPr>
        <w:rPr>
          <w:rFonts w:hAnsi="宋体"/>
        </w:rPr>
      </w:pPr>
      <w:r>
        <w:rPr>
          <w:rFonts w:hint="eastAsia" w:hAnsi="宋体"/>
        </w:rPr>
        <w:t>生产装置上安装硫化氢气体监测报警系统；</w:t>
      </w:r>
    </w:p>
    <w:p w14:paraId="71D0ADCC">
      <w:pPr>
        <w:pStyle w:val="305"/>
        <w:numPr>
          <w:ilvl w:val="0"/>
          <w:numId w:val="51"/>
        </w:numPr>
        <w:rPr>
          <w:rFonts w:hAnsi="宋体"/>
        </w:rPr>
      </w:pPr>
      <w:r>
        <w:rPr>
          <w:rFonts w:hint="eastAsia" w:hAnsi="宋体"/>
        </w:rPr>
        <w:t>录井仪器房和随钻测井工作间应配备硫化氢气体监测报警系统；</w:t>
      </w:r>
    </w:p>
    <w:p w14:paraId="6DA85CD9">
      <w:pPr>
        <w:pStyle w:val="305"/>
        <w:numPr>
          <w:ilvl w:val="0"/>
          <w:numId w:val="51"/>
        </w:numPr>
        <w:rPr>
          <w:rFonts w:hAnsi="宋体"/>
        </w:rPr>
      </w:pPr>
      <w:r>
        <w:rPr>
          <w:rFonts w:hint="eastAsia" w:hAnsi="宋体"/>
        </w:rPr>
        <w:t>当空气中硫化氢的浓度达到或超过15 mg/m</w:t>
      </w:r>
      <w:r>
        <w:rPr>
          <w:rFonts w:hint="eastAsia" w:hAnsi="宋体"/>
          <w:vertAlign w:val="superscript"/>
        </w:rPr>
        <w:t>3</w:t>
      </w:r>
      <w:r>
        <w:rPr>
          <w:rFonts w:hint="eastAsia" w:hAnsi="宋体"/>
        </w:rPr>
        <w:t>（10×10</w:t>
      </w:r>
      <w:r>
        <w:rPr>
          <w:rFonts w:hint="eastAsia" w:hAnsi="宋体"/>
          <w:vertAlign w:val="superscript"/>
        </w:rPr>
        <w:t>-6</w:t>
      </w:r>
      <w:r>
        <w:rPr>
          <w:rFonts w:hint="eastAsia" w:hAnsi="宋体"/>
        </w:rPr>
        <w:t>）时，系统能以声光报警方式工作。</w:t>
      </w:r>
    </w:p>
    <w:p w14:paraId="6EFEE6D7">
      <w:pPr>
        <w:pStyle w:val="326"/>
        <w:rPr>
          <w:rFonts w:ascii="宋体" w:hAnsi="宋体"/>
        </w:rPr>
      </w:pPr>
      <w:r>
        <w:rPr>
          <w:rFonts w:hint="eastAsia" w:ascii="宋体" w:hAnsi="宋体"/>
        </w:rPr>
        <w:t>含硫化氢天然气井作业和生产相关设备、器具应符合以下要求：</w:t>
      </w:r>
    </w:p>
    <w:p w14:paraId="43EAC99B">
      <w:pPr>
        <w:pStyle w:val="305"/>
        <w:numPr>
          <w:ilvl w:val="0"/>
          <w:numId w:val="52"/>
        </w:numPr>
        <w:rPr>
          <w:rFonts w:hAnsi="宋体"/>
        </w:rPr>
      </w:pPr>
      <w:r>
        <w:rPr>
          <w:rFonts w:hint="eastAsia" w:hAnsi="宋体"/>
        </w:rPr>
        <w:t>与地层流体接触的金属材质应满足抗硫要求；</w:t>
      </w:r>
    </w:p>
    <w:p w14:paraId="214510C2">
      <w:pPr>
        <w:pStyle w:val="305"/>
        <w:numPr>
          <w:ilvl w:val="0"/>
          <w:numId w:val="52"/>
        </w:numPr>
        <w:rPr>
          <w:rFonts w:hAnsi="宋体"/>
        </w:rPr>
      </w:pPr>
      <w:r>
        <w:rPr>
          <w:rFonts w:hint="eastAsia" w:hAnsi="宋体"/>
        </w:rPr>
        <w:t>非金属密封件，应能承受指定的压力、温度和硫化氢环境，同时应满足在钻井液环境使用；</w:t>
      </w:r>
    </w:p>
    <w:p w14:paraId="71A0A6F5">
      <w:pPr>
        <w:pStyle w:val="305"/>
        <w:numPr>
          <w:ilvl w:val="0"/>
          <w:numId w:val="52"/>
        </w:numPr>
        <w:rPr>
          <w:rFonts w:hAnsi="宋体"/>
        </w:rPr>
      </w:pPr>
      <w:r>
        <w:rPr>
          <w:rFonts w:hint="eastAsia" w:hAnsi="宋体"/>
        </w:rPr>
        <w:t>测井用</w:t>
      </w:r>
      <w:r>
        <w:rPr>
          <w:rFonts w:hAnsi="宋体"/>
        </w:rPr>
        <w:t>电缆</w:t>
      </w:r>
      <w:r>
        <w:rPr>
          <w:rFonts w:hint="eastAsia" w:hAnsi="宋体"/>
        </w:rPr>
        <w:t>应有</w:t>
      </w:r>
      <w:r>
        <w:rPr>
          <w:rFonts w:hAnsi="宋体"/>
        </w:rPr>
        <w:t>防硫涂层</w:t>
      </w:r>
      <w:r>
        <w:rPr>
          <w:rFonts w:hint="eastAsia" w:hAnsi="宋体"/>
        </w:rPr>
        <w:t>，</w:t>
      </w:r>
      <w:r>
        <w:rPr>
          <w:rFonts w:hAnsi="宋体"/>
        </w:rPr>
        <w:t>高含硫化氢</w:t>
      </w:r>
      <w:r>
        <w:rPr>
          <w:rFonts w:hint="eastAsia" w:hAnsi="宋体"/>
        </w:rPr>
        <w:t>天然气</w:t>
      </w:r>
      <w:r>
        <w:rPr>
          <w:rFonts w:hAnsi="宋体"/>
        </w:rPr>
        <w:t>井应使用耐硫化氢电缆</w:t>
      </w:r>
      <w:r>
        <w:rPr>
          <w:rFonts w:hint="eastAsia" w:hAnsi="宋体"/>
        </w:rPr>
        <w:t>；</w:t>
      </w:r>
    </w:p>
    <w:p w14:paraId="3B3205F5">
      <w:pPr>
        <w:pStyle w:val="305"/>
        <w:numPr>
          <w:ilvl w:val="0"/>
          <w:numId w:val="52"/>
        </w:numPr>
        <w:rPr>
          <w:rFonts w:hAnsi="宋体"/>
        </w:rPr>
      </w:pPr>
      <w:r>
        <w:rPr>
          <w:rFonts w:hint="eastAsia" w:hAnsi="宋体"/>
        </w:rPr>
        <w:t>井口设备和压力管道等应具有抗硫化氢腐蚀性能。</w:t>
      </w:r>
    </w:p>
    <w:p w14:paraId="091B52B6">
      <w:pPr>
        <w:pStyle w:val="326"/>
        <w:jc w:val="both"/>
        <w:rPr>
          <w:rFonts w:ascii="宋体" w:hAnsi="宋体"/>
        </w:rPr>
      </w:pPr>
      <w:r>
        <w:rPr>
          <w:rFonts w:hint="eastAsia" w:ascii="宋体" w:hAnsi="宋体"/>
        </w:rPr>
        <w:t>含硫化氢天然气井作业和生产区域应悬挂硫化氢警示标志，并符合本文件6</w:t>
      </w:r>
      <w:r>
        <w:rPr>
          <w:rFonts w:ascii="宋体" w:hAnsi="宋体"/>
        </w:rPr>
        <w:t>.1.7</w:t>
      </w:r>
      <w:r>
        <w:rPr>
          <w:rFonts w:hint="eastAsia" w:ascii="宋体" w:hAnsi="宋体"/>
        </w:rPr>
        <w:t>条的要求。</w:t>
      </w:r>
    </w:p>
    <w:p w14:paraId="7840C743">
      <w:pPr>
        <w:pStyle w:val="260"/>
        <w:outlineLvl w:val="1"/>
        <w:rPr>
          <w:rFonts w:ascii="宋体" w:hAnsi="宋体"/>
        </w:rPr>
      </w:pPr>
      <w:bookmarkStart w:id="43" w:name="_Toc196682336"/>
      <w:bookmarkStart w:id="44" w:name="_Toc18134"/>
      <w:r>
        <w:rPr>
          <w:rFonts w:hint="eastAsia" w:ascii="宋体" w:hAnsi="宋体"/>
        </w:rPr>
        <w:t>钻井工程</w:t>
      </w:r>
      <w:bookmarkEnd w:id="43"/>
      <w:bookmarkEnd w:id="44"/>
    </w:p>
    <w:p w14:paraId="6829498D">
      <w:pPr>
        <w:pStyle w:val="261"/>
        <w:spacing w:before="156" w:after="156"/>
        <w:outlineLvl w:val="2"/>
        <w:rPr>
          <w:rFonts w:ascii="宋体" w:hAnsi="宋体"/>
        </w:rPr>
      </w:pPr>
      <w:bookmarkStart w:id="45" w:name="_Hlk193360011"/>
      <w:r>
        <w:rPr>
          <w:rFonts w:hint="eastAsia" w:ascii="宋体" w:hAnsi="宋体"/>
        </w:rPr>
        <w:t>设计</w:t>
      </w:r>
    </w:p>
    <w:bookmarkEnd w:id="45"/>
    <w:p w14:paraId="12F79BF0">
      <w:pPr>
        <w:pStyle w:val="327"/>
        <w:rPr>
          <w:rFonts w:ascii="宋体" w:hAnsi="宋体"/>
        </w:rPr>
      </w:pPr>
      <w:r>
        <w:rPr>
          <w:rFonts w:hint="eastAsia" w:ascii="宋体" w:hAnsi="宋体"/>
        </w:rPr>
        <w:t>地质设计中应预告地层压力、流体类型、含硫地层及其深度并估算硫化氢含量。</w:t>
      </w:r>
    </w:p>
    <w:p w14:paraId="40260760">
      <w:pPr>
        <w:pStyle w:val="327"/>
        <w:rPr>
          <w:rFonts w:ascii="宋体" w:hAnsi="宋体"/>
        </w:rPr>
      </w:pPr>
      <w:r>
        <w:rPr>
          <w:rFonts w:hint="eastAsia" w:ascii="宋体" w:hAnsi="宋体"/>
        </w:rPr>
        <w:t>工程设计应符合以下要求：</w:t>
      </w:r>
    </w:p>
    <w:p w14:paraId="0DF5C8C4">
      <w:pPr>
        <w:pStyle w:val="305"/>
        <w:numPr>
          <w:ilvl w:val="0"/>
          <w:numId w:val="53"/>
        </w:numPr>
        <w:rPr>
          <w:rFonts w:hAnsi="宋体"/>
        </w:rPr>
      </w:pPr>
      <w:r>
        <w:rPr>
          <w:rFonts w:hint="eastAsia" w:hAnsi="宋体"/>
        </w:rPr>
        <w:t>海上含硫化氢天然气井工程设计应符合本文件6.2.1.2条的要求；</w:t>
      </w:r>
    </w:p>
    <w:p w14:paraId="2923C758">
      <w:pPr>
        <w:pStyle w:val="305"/>
        <w:numPr>
          <w:ilvl w:val="0"/>
          <w:numId w:val="53"/>
        </w:numPr>
        <w:rPr>
          <w:rFonts w:hAnsi="宋体"/>
        </w:rPr>
      </w:pPr>
      <w:r>
        <w:rPr>
          <w:rFonts w:hint="eastAsia" w:hAnsi="宋体"/>
        </w:rPr>
        <w:t>移动式钻井装置侧舷安装燃烧臂，其他钻井装置应考虑燃烧放喷措施。</w:t>
      </w:r>
    </w:p>
    <w:p w14:paraId="5CA34106">
      <w:pPr>
        <w:pStyle w:val="261"/>
        <w:spacing w:before="156" w:after="156"/>
        <w:outlineLvl w:val="2"/>
        <w:rPr>
          <w:rFonts w:ascii="宋体" w:hAnsi="宋体"/>
        </w:rPr>
      </w:pPr>
      <w:r>
        <w:rPr>
          <w:rFonts w:hint="eastAsia" w:ascii="宋体" w:hAnsi="宋体"/>
        </w:rPr>
        <w:t>施工作业</w:t>
      </w:r>
    </w:p>
    <w:p w14:paraId="7E027D02">
      <w:pPr>
        <w:pStyle w:val="327"/>
        <w:rPr>
          <w:rFonts w:ascii="宋体" w:hAnsi="宋体"/>
        </w:rPr>
      </w:pPr>
      <w:bookmarkStart w:id="46" w:name="_Toc28848"/>
      <w:r>
        <w:rPr>
          <w:rFonts w:hint="eastAsia" w:ascii="宋体" w:hAnsi="宋体"/>
        </w:rPr>
        <w:t>钻开含硫化氢地层前，应制定防硫化氢安全措施，各项安全措施落实后方可施工。</w:t>
      </w:r>
    </w:p>
    <w:p w14:paraId="4082C344">
      <w:pPr>
        <w:pStyle w:val="327"/>
        <w:jc w:val="both"/>
        <w:rPr>
          <w:rFonts w:ascii="宋体" w:hAnsi="宋体"/>
        </w:rPr>
      </w:pPr>
      <w:r>
        <w:rPr>
          <w:rFonts w:hint="eastAsia" w:ascii="宋体" w:hAnsi="宋体"/>
        </w:rPr>
        <w:t>钻开含硫化氢地层前，向现场所有施工人员进行技术交底，对含硫化氢油气层及时做出地质预报。</w:t>
      </w:r>
    </w:p>
    <w:p w14:paraId="7389E62F">
      <w:pPr>
        <w:pStyle w:val="327"/>
        <w:rPr>
          <w:rFonts w:ascii="宋体" w:hAnsi="宋体"/>
        </w:rPr>
      </w:pPr>
      <w:bookmarkStart w:id="47" w:name="_Hlk194478882"/>
      <w:r>
        <w:rPr>
          <w:rFonts w:hint="eastAsia" w:ascii="宋体" w:hAnsi="宋体"/>
        </w:rPr>
        <w:t>海上含硫化氢天然气井</w:t>
      </w:r>
      <w:bookmarkEnd w:id="47"/>
      <w:r>
        <w:rPr>
          <w:rFonts w:hint="eastAsia" w:ascii="宋体" w:hAnsi="宋体"/>
        </w:rPr>
        <w:t>钻进作业应符合本文件6</w:t>
      </w:r>
      <w:r>
        <w:rPr>
          <w:rFonts w:ascii="宋体" w:hAnsi="宋体"/>
        </w:rPr>
        <w:t>.2.2.3</w:t>
      </w:r>
      <w:r>
        <w:rPr>
          <w:rFonts w:hint="eastAsia" w:ascii="宋体" w:hAnsi="宋体"/>
        </w:rPr>
        <w:t>条的要求。</w:t>
      </w:r>
    </w:p>
    <w:p w14:paraId="0C509B27">
      <w:pPr>
        <w:pStyle w:val="327"/>
        <w:rPr>
          <w:rFonts w:ascii="宋体" w:hAnsi="宋体"/>
        </w:rPr>
      </w:pPr>
      <w:r>
        <w:rPr>
          <w:rFonts w:hint="eastAsia" w:ascii="宋体" w:hAnsi="宋体"/>
        </w:rPr>
        <w:t>海上含硫化氢天然气井起下钻应符合本文件6</w:t>
      </w:r>
      <w:r>
        <w:rPr>
          <w:rFonts w:ascii="宋体" w:hAnsi="宋体"/>
        </w:rPr>
        <w:t>.2.2.4</w:t>
      </w:r>
      <w:r>
        <w:rPr>
          <w:rFonts w:hint="eastAsia" w:ascii="宋体" w:hAnsi="宋体"/>
        </w:rPr>
        <w:t>条的要求。</w:t>
      </w:r>
    </w:p>
    <w:p w14:paraId="0B5CE73C">
      <w:pPr>
        <w:pStyle w:val="327"/>
        <w:rPr>
          <w:rFonts w:ascii="宋体" w:hAnsi="宋体"/>
        </w:rPr>
      </w:pPr>
      <w:bookmarkStart w:id="48" w:name="_Hlk194431079"/>
      <w:r>
        <w:rPr>
          <w:rFonts w:hint="eastAsia" w:ascii="宋体" w:hAnsi="宋体"/>
        </w:rPr>
        <w:t>海上含硫化氢天然气井取心作业</w:t>
      </w:r>
      <w:bookmarkEnd w:id="48"/>
      <w:r>
        <w:rPr>
          <w:rFonts w:hint="eastAsia" w:ascii="宋体" w:hAnsi="宋体"/>
        </w:rPr>
        <w:t>应符合以下要求：</w:t>
      </w:r>
    </w:p>
    <w:p w14:paraId="061FA7E4">
      <w:pPr>
        <w:pStyle w:val="305"/>
        <w:numPr>
          <w:ilvl w:val="0"/>
          <w:numId w:val="54"/>
        </w:numPr>
        <w:rPr>
          <w:rFonts w:hAnsi="宋体"/>
        </w:rPr>
      </w:pPr>
      <w:r>
        <w:rPr>
          <w:rFonts w:hint="eastAsia" w:hAnsi="宋体"/>
        </w:rPr>
        <w:t>在含硫化氢地层取心，当取心筒起出地面之前10个立柱，以及从岩心筒取出岩心时，操作人员应戴好正压式空气呼吸器；</w:t>
      </w:r>
    </w:p>
    <w:p w14:paraId="0778870F">
      <w:pPr>
        <w:pStyle w:val="305"/>
        <w:numPr>
          <w:ilvl w:val="0"/>
          <w:numId w:val="54"/>
        </w:numPr>
        <w:rPr>
          <w:rFonts w:hAnsi="宋体"/>
        </w:rPr>
      </w:pPr>
      <w:r>
        <w:rPr>
          <w:rFonts w:hint="eastAsia" w:hAnsi="宋体"/>
        </w:rPr>
        <w:t>在搬运和运输含有硫化氢的岩心样品时，岩心密封包装，并标明岩心含硫化氢字样。</w:t>
      </w:r>
    </w:p>
    <w:p w14:paraId="35E20AE3">
      <w:pPr>
        <w:pStyle w:val="260"/>
        <w:outlineLvl w:val="1"/>
        <w:rPr>
          <w:rFonts w:ascii="宋体" w:hAnsi="宋体"/>
        </w:rPr>
      </w:pPr>
      <w:bookmarkStart w:id="49" w:name="_Toc196682337"/>
      <w:r>
        <w:rPr>
          <w:rFonts w:hint="eastAsia" w:ascii="宋体" w:hAnsi="宋体"/>
        </w:rPr>
        <w:t>录井工程</w:t>
      </w:r>
      <w:bookmarkEnd w:id="46"/>
      <w:bookmarkEnd w:id="49"/>
    </w:p>
    <w:p w14:paraId="3BC88866">
      <w:pPr>
        <w:pStyle w:val="326"/>
        <w:numPr>
          <w:ilvl w:val="0"/>
          <w:numId w:val="0"/>
        </w:numPr>
        <w:ind w:firstLine="420" w:firstLineChars="200"/>
        <w:rPr>
          <w:rFonts w:ascii="宋体" w:hAnsi="宋体"/>
        </w:rPr>
      </w:pPr>
      <w:r>
        <w:rPr>
          <w:rFonts w:hint="eastAsia" w:ascii="宋体" w:hAnsi="宋体"/>
        </w:rPr>
        <w:t>海上含硫化氢天然气井录井作业应符合本文件6.3条的要求。</w:t>
      </w:r>
    </w:p>
    <w:p w14:paraId="1725740B">
      <w:pPr>
        <w:pStyle w:val="260"/>
        <w:outlineLvl w:val="1"/>
        <w:rPr>
          <w:rFonts w:ascii="宋体" w:hAnsi="宋体"/>
        </w:rPr>
      </w:pPr>
      <w:bookmarkStart w:id="50" w:name="_Toc196682338"/>
      <w:bookmarkStart w:id="51" w:name="_Toc19665"/>
      <w:r>
        <w:rPr>
          <w:rFonts w:hint="eastAsia" w:ascii="宋体" w:hAnsi="宋体"/>
        </w:rPr>
        <w:t>井下作业</w:t>
      </w:r>
      <w:bookmarkEnd w:id="50"/>
      <w:bookmarkEnd w:id="51"/>
    </w:p>
    <w:p w14:paraId="12E18C50">
      <w:pPr>
        <w:pStyle w:val="261"/>
        <w:spacing w:before="156" w:after="156"/>
        <w:outlineLvl w:val="2"/>
        <w:rPr>
          <w:rFonts w:ascii="宋体" w:hAnsi="宋体"/>
        </w:rPr>
      </w:pPr>
      <w:bookmarkStart w:id="52" w:name="_Hlk193360268"/>
      <w:r>
        <w:rPr>
          <w:rFonts w:hint="eastAsia" w:ascii="宋体" w:hAnsi="宋体"/>
        </w:rPr>
        <w:t>设计</w:t>
      </w:r>
    </w:p>
    <w:bookmarkEnd w:id="52"/>
    <w:p w14:paraId="71D08305">
      <w:pPr>
        <w:pStyle w:val="327"/>
        <w:rPr>
          <w:rFonts w:ascii="宋体" w:hAnsi="宋体"/>
        </w:rPr>
      </w:pPr>
      <w:r>
        <w:rPr>
          <w:rFonts w:hint="eastAsia" w:ascii="宋体" w:hAnsi="宋体"/>
        </w:rPr>
        <w:t>设计内容中应包含硫化氢井复杂工况的处理措施。</w:t>
      </w:r>
    </w:p>
    <w:p w14:paraId="673F4C3A">
      <w:pPr>
        <w:pStyle w:val="327"/>
        <w:rPr>
          <w:rFonts w:ascii="宋体" w:hAnsi="宋体"/>
        </w:rPr>
      </w:pPr>
      <w:r>
        <w:rPr>
          <w:rFonts w:hint="eastAsia" w:ascii="宋体" w:hAnsi="宋体"/>
        </w:rPr>
        <w:t>地质设计应符合本文件</w:t>
      </w:r>
      <w:r>
        <w:rPr>
          <w:rFonts w:ascii="宋体" w:hAnsi="宋体"/>
        </w:rPr>
        <w:t>6.4.1.1</w:t>
      </w:r>
      <w:r>
        <w:rPr>
          <w:rFonts w:hint="eastAsia" w:ascii="宋体" w:hAnsi="宋体"/>
        </w:rPr>
        <w:t>条中a)至c)项的要求。</w:t>
      </w:r>
    </w:p>
    <w:p w14:paraId="025C3F31">
      <w:pPr>
        <w:pStyle w:val="327"/>
        <w:rPr>
          <w:rFonts w:ascii="宋体" w:hAnsi="宋体"/>
        </w:rPr>
      </w:pPr>
      <w:r>
        <w:rPr>
          <w:rFonts w:hint="eastAsia" w:ascii="宋体" w:hAnsi="宋体"/>
        </w:rPr>
        <w:t>施工设计应符合以下要求：</w:t>
      </w:r>
    </w:p>
    <w:p w14:paraId="27F0E06B">
      <w:pPr>
        <w:pStyle w:val="305"/>
        <w:numPr>
          <w:ilvl w:val="0"/>
          <w:numId w:val="55"/>
        </w:numPr>
        <w:rPr>
          <w:rFonts w:hAnsi="宋体"/>
        </w:rPr>
      </w:pPr>
      <w:r>
        <w:rPr>
          <w:rFonts w:hint="eastAsia" w:hAnsi="宋体"/>
        </w:rPr>
        <w:t>详细收集施工井的地质、钻井及完井基本数据，包括井身结构、钻开油气层的钻井液性能、漏失、井涌、硫化氢浓度、完井液性能、固井质量、水泥返高、套管头和套管规格、井身质量、测井和录井资料</w:t>
      </w:r>
      <w:r>
        <w:rPr>
          <w:rFonts w:hAnsi="宋体"/>
        </w:rPr>
        <w:t>；</w:t>
      </w:r>
    </w:p>
    <w:p w14:paraId="5EDE2364">
      <w:pPr>
        <w:pStyle w:val="305"/>
        <w:numPr>
          <w:ilvl w:val="0"/>
          <w:numId w:val="55"/>
        </w:numPr>
        <w:rPr>
          <w:rFonts w:hAnsi="宋体"/>
        </w:rPr>
      </w:pPr>
      <w:r>
        <w:rPr>
          <w:rFonts w:hint="eastAsia" w:hAnsi="宋体"/>
        </w:rPr>
        <w:t>按现场压井液量储备足量的除硫剂。</w:t>
      </w:r>
    </w:p>
    <w:p w14:paraId="0B009EDB">
      <w:pPr>
        <w:pStyle w:val="261"/>
        <w:spacing w:before="156" w:after="156"/>
        <w:outlineLvl w:val="2"/>
        <w:rPr>
          <w:rFonts w:ascii="宋体" w:hAnsi="宋体"/>
        </w:rPr>
      </w:pPr>
      <w:r>
        <w:rPr>
          <w:rFonts w:hint="eastAsia" w:ascii="宋体" w:hAnsi="宋体"/>
        </w:rPr>
        <w:t>施工作业</w:t>
      </w:r>
    </w:p>
    <w:p w14:paraId="31DADDC6">
      <w:pPr>
        <w:pStyle w:val="327"/>
        <w:rPr>
          <w:rFonts w:ascii="宋体" w:hAnsi="宋体"/>
        </w:rPr>
      </w:pPr>
      <w:bookmarkStart w:id="53" w:name="_Toc32194"/>
      <w:bookmarkStart w:id="54" w:name="_Toc6094"/>
      <w:r>
        <w:rPr>
          <w:rFonts w:hint="eastAsia" w:ascii="宋体" w:hAnsi="宋体"/>
        </w:rPr>
        <w:t>井下作业施工应符合本文件6</w:t>
      </w:r>
      <w:r>
        <w:rPr>
          <w:rFonts w:ascii="宋体" w:hAnsi="宋体"/>
        </w:rPr>
        <w:t>.4.2.1</w:t>
      </w:r>
      <w:r>
        <w:rPr>
          <w:rFonts w:hint="eastAsia" w:ascii="宋体" w:hAnsi="宋体"/>
        </w:rPr>
        <w:t>条的要求。</w:t>
      </w:r>
    </w:p>
    <w:p w14:paraId="347AC0D5">
      <w:pPr>
        <w:pStyle w:val="327"/>
        <w:rPr>
          <w:rFonts w:ascii="宋体" w:hAnsi="宋体"/>
        </w:rPr>
      </w:pPr>
      <w:bookmarkStart w:id="55" w:name="_Hlk193360205"/>
      <w:r>
        <w:rPr>
          <w:rFonts w:hint="eastAsia" w:ascii="宋体" w:hAnsi="宋体"/>
        </w:rPr>
        <w:t>射孔作业应符合本文件6</w:t>
      </w:r>
      <w:r>
        <w:rPr>
          <w:rFonts w:ascii="宋体" w:hAnsi="宋体"/>
        </w:rPr>
        <w:t>.4.2.2</w:t>
      </w:r>
      <w:r>
        <w:rPr>
          <w:rFonts w:hint="eastAsia" w:ascii="宋体" w:hAnsi="宋体"/>
        </w:rPr>
        <w:t>条中a)和</w:t>
      </w:r>
      <w:r>
        <w:rPr>
          <w:rFonts w:ascii="宋体" w:hAnsi="宋体"/>
        </w:rPr>
        <w:t>b</w:t>
      </w:r>
      <w:r>
        <w:rPr>
          <w:rFonts w:hint="eastAsia" w:ascii="宋体" w:hAnsi="宋体"/>
        </w:rPr>
        <w:t>)项的要求。</w:t>
      </w:r>
    </w:p>
    <w:p w14:paraId="6444854A">
      <w:pPr>
        <w:pStyle w:val="327"/>
        <w:jc w:val="both"/>
        <w:rPr>
          <w:rFonts w:ascii="宋体" w:hAnsi="宋体"/>
        </w:rPr>
      </w:pPr>
      <w:r>
        <w:rPr>
          <w:rFonts w:hint="eastAsia" w:ascii="宋体" w:hAnsi="宋体"/>
        </w:rPr>
        <w:t>洗井、压井作业应符合本文件6</w:t>
      </w:r>
      <w:r>
        <w:rPr>
          <w:rFonts w:ascii="宋体" w:hAnsi="宋体"/>
        </w:rPr>
        <w:t>.4.2.3</w:t>
      </w:r>
      <w:r>
        <w:rPr>
          <w:rFonts w:hint="eastAsia" w:ascii="宋体" w:hAnsi="宋体"/>
        </w:rPr>
        <w:t>条的要求。</w:t>
      </w:r>
    </w:p>
    <w:p w14:paraId="33BA66E3">
      <w:pPr>
        <w:pStyle w:val="327"/>
        <w:rPr>
          <w:rFonts w:ascii="宋体" w:hAnsi="宋体"/>
        </w:rPr>
      </w:pPr>
      <w:bookmarkStart w:id="56" w:name="_Hlk193360199"/>
      <w:r>
        <w:rPr>
          <w:rFonts w:hint="eastAsia" w:ascii="宋体" w:hAnsi="宋体"/>
        </w:rPr>
        <w:t>放喷和测试作业应符合以下要求</w:t>
      </w:r>
      <w:bookmarkEnd w:id="56"/>
      <w:r>
        <w:rPr>
          <w:rFonts w:hint="eastAsia" w:ascii="宋体" w:hAnsi="宋体"/>
        </w:rPr>
        <w:t>：</w:t>
      </w:r>
    </w:p>
    <w:bookmarkEnd w:id="55"/>
    <w:p w14:paraId="1109E7BD">
      <w:pPr>
        <w:pStyle w:val="305"/>
        <w:numPr>
          <w:ilvl w:val="0"/>
          <w:numId w:val="56"/>
        </w:numPr>
        <w:rPr>
          <w:rFonts w:hAnsi="宋体"/>
        </w:rPr>
      </w:pPr>
      <w:r>
        <w:rPr>
          <w:rFonts w:hint="eastAsia" w:hAnsi="宋体"/>
        </w:rPr>
        <w:t>放喷时加强监测返出井液情况，并巡回监测工作环境中硫化氢含量；</w:t>
      </w:r>
    </w:p>
    <w:p w14:paraId="440BE5E6">
      <w:pPr>
        <w:pStyle w:val="305"/>
        <w:numPr>
          <w:ilvl w:val="0"/>
          <w:numId w:val="56"/>
        </w:numPr>
        <w:rPr>
          <w:rFonts w:hAnsi="宋体"/>
        </w:rPr>
      </w:pPr>
      <w:r>
        <w:rPr>
          <w:rFonts w:hint="eastAsia" w:hAnsi="宋体"/>
        </w:rPr>
        <w:t>放喷和测试期间发生硫化氢泄漏时，应立即启动应急关断装置，井下关井，中止测试。</w:t>
      </w:r>
    </w:p>
    <w:p w14:paraId="177F70CA">
      <w:pPr>
        <w:pStyle w:val="260"/>
        <w:outlineLvl w:val="1"/>
        <w:rPr>
          <w:rFonts w:ascii="宋体" w:hAnsi="宋体"/>
        </w:rPr>
      </w:pPr>
      <w:bookmarkStart w:id="57" w:name="_Toc196682339"/>
      <w:r>
        <w:rPr>
          <w:rFonts w:hint="eastAsia" w:ascii="宋体" w:hAnsi="宋体"/>
        </w:rPr>
        <w:t>采气工程</w:t>
      </w:r>
      <w:bookmarkEnd w:id="53"/>
      <w:bookmarkEnd w:id="57"/>
    </w:p>
    <w:p w14:paraId="0F16ACC2">
      <w:pPr>
        <w:pStyle w:val="261"/>
        <w:numPr>
          <w:ilvl w:val="2"/>
          <w:numId w:val="57"/>
        </w:numPr>
        <w:spacing w:before="156" w:after="156"/>
        <w:outlineLvl w:val="2"/>
        <w:rPr>
          <w:rFonts w:ascii="宋体" w:hAnsi="宋体"/>
        </w:rPr>
      </w:pPr>
      <w:bookmarkStart w:id="58" w:name="_Hlk193360331"/>
      <w:r>
        <w:rPr>
          <w:rFonts w:hint="eastAsia" w:ascii="宋体" w:hAnsi="宋体"/>
        </w:rPr>
        <w:t>设计</w:t>
      </w:r>
    </w:p>
    <w:bookmarkEnd w:id="58"/>
    <w:p w14:paraId="73EE4ADE">
      <w:pPr>
        <w:pStyle w:val="327"/>
        <w:jc w:val="both"/>
        <w:rPr>
          <w:rFonts w:ascii="宋体" w:hAnsi="宋体"/>
        </w:rPr>
      </w:pPr>
      <w:bookmarkStart w:id="59" w:name="_Hlk193360349"/>
      <w:r>
        <w:rPr>
          <w:rFonts w:hint="eastAsia" w:ascii="宋体" w:hAnsi="宋体"/>
        </w:rPr>
        <w:t>井口装置、采气树、节流管汇、压井管汇、油管、封隔器及其他井下装置等设备设施应满足抗硫要求。</w:t>
      </w:r>
    </w:p>
    <w:p w14:paraId="17BB0FED">
      <w:pPr>
        <w:pStyle w:val="327"/>
        <w:rPr>
          <w:rFonts w:ascii="宋体" w:hAnsi="宋体"/>
        </w:rPr>
      </w:pPr>
      <w:r>
        <w:rPr>
          <w:rFonts w:hint="eastAsia" w:ascii="宋体" w:hAnsi="宋体"/>
        </w:rPr>
        <w:t>硫化氢环境中存在CO</w:t>
      </w:r>
      <w:r>
        <w:rPr>
          <w:rFonts w:hint="eastAsia" w:ascii="宋体" w:hAnsi="宋体"/>
          <w:vertAlign w:val="subscript"/>
        </w:rPr>
        <w:t>2</w:t>
      </w:r>
      <w:r>
        <w:rPr>
          <w:rFonts w:hint="eastAsia" w:ascii="宋体" w:hAnsi="宋体"/>
        </w:rPr>
        <w:t>及其他腐蚀介质时，应根据实际情况采取腐蚀控制措施。</w:t>
      </w:r>
    </w:p>
    <w:bookmarkEnd w:id="59"/>
    <w:p w14:paraId="7E5EB283">
      <w:pPr>
        <w:pStyle w:val="261"/>
        <w:numPr>
          <w:ilvl w:val="2"/>
          <w:numId w:val="57"/>
        </w:numPr>
        <w:spacing w:before="156" w:after="156"/>
        <w:outlineLvl w:val="2"/>
        <w:rPr>
          <w:rFonts w:ascii="宋体" w:hAnsi="宋体"/>
        </w:rPr>
      </w:pPr>
      <w:r>
        <w:rPr>
          <w:rFonts w:hint="eastAsia" w:ascii="宋体" w:hAnsi="宋体"/>
        </w:rPr>
        <w:t>生产作业</w:t>
      </w:r>
    </w:p>
    <w:p w14:paraId="11F34D5E">
      <w:pPr>
        <w:pStyle w:val="327"/>
        <w:rPr>
          <w:rFonts w:ascii="宋体" w:hAnsi="宋体"/>
        </w:rPr>
      </w:pPr>
      <w:r>
        <w:rPr>
          <w:rFonts w:hint="eastAsia" w:ascii="宋体" w:hAnsi="宋体"/>
        </w:rPr>
        <w:t>定期检测生产井井口产出物中的硫化氢含量。</w:t>
      </w:r>
    </w:p>
    <w:p w14:paraId="3DEBD9B4">
      <w:pPr>
        <w:pStyle w:val="327"/>
        <w:jc w:val="both"/>
        <w:rPr>
          <w:rFonts w:ascii="宋体" w:hAnsi="宋体"/>
        </w:rPr>
      </w:pPr>
      <w:r>
        <w:rPr>
          <w:rFonts w:hint="eastAsia" w:ascii="宋体" w:hAnsi="宋体"/>
        </w:rPr>
        <w:t>当空气中硫化氢浓度达到15 mg/m</w:t>
      </w:r>
      <w:r>
        <w:rPr>
          <w:rFonts w:hint="eastAsia" w:ascii="宋体" w:hAnsi="宋体"/>
          <w:vertAlign w:val="superscript"/>
        </w:rPr>
        <w:t>3</w:t>
      </w:r>
      <w:r>
        <w:rPr>
          <w:rFonts w:hint="eastAsia" w:ascii="宋体" w:hAnsi="宋体"/>
        </w:rPr>
        <w:t>（10×10</w:t>
      </w:r>
      <w:r>
        <w:rPr>
          <w:rFonts w:hint="eastAsia" w:ascii="宋体" w:hAnsi="宋体"/>
          <w:vertAlign w:val="superscript"/>
        </w:rPr>
        <w:t>-6</w:t>
      </w:r>
      <w:r>
        <w:rPr>
          <w:rFonts w:hint="eastAsia" w:ascii="宋体" w:hAnsi="宋体"/>
        </w:rPr>
        <w:t>）或者二氧化硫浓度达到5.4 mg/m</w:t>
      </w:r>
      <w:r>
        <w:rPr>
          <w:rFonts w:hint="eastAsia" w:ascii="宋体" w:hAnsi="宋体"/>
          <w:vertAlign w:val="superscript"/>
        </w:rPr>
        <w:t>3</w:t>
      </w:r>
      <w:r>
        <w:rPr>
          <w:rFonts w:hint="eastAsia" w:ascii="宋体" w:hAnsi="宋体"/>
        </w:rPr>
        <w:t>（2×10</w:t>
      </w:r>
      <w:r>
        <w:rPr>
          <w:rFonts w:hint="eastAsia" w:ascii="宋体" w:hAnsi="宋体"/>
          <w:vertAlign w:val="superscript"/>
        </w:rPr>
        <w:t>-6</w:t>
      </w:r>
      <w:r>
        <w:rPr>
          <w:rFonts w:hint="eastAsia" w:ascii="宋体" w:hAnsi="宋体"/>
        </w:rPr>
        <w:t>）时，作业人员应佩戴正压式空气呼吸器。</w:t>
      </w:r>
    </w:p>
    <w:p w14:paraId="1C0B9DF8">
      <w:pPr>
        <w:pStyle w:val="327"/>
        <w:rPr>
          <w:rFonts w:ascii="宋体" w:hAnsi="宋体"/>
        </w:rPr>
      </w:pPr>
      <w:r>
        <w:rPr>
          <w:rFonts w:hint="eastAsia" w:ascii="宋体" w:hAnsi="宋体"/>
        </w:rPr>
        <w:t>作业人员进入硫化氢浓度不详区域前，应佩戴正压式空气呼吸器和便携式硫化氢检测仪。</w:t>
      </w:r>
    </w:p>
    <w:p w14:paraId="04B7E2D4">
      <w:pPr>
        <w:pStyle w:val="260"/>
        <w:rPr>
          <w:rFonts w:ascii="宋体" w:hAnsi="宋体"/>
        </w:rPr>
      </w:pPr>
      <w:bookmarkStart w:id="60" w:name="_Toc196682340"/>
      <w:r>
        <w:rPr>
          <w:rFonts w:hint="eastAsia" w:ascii="宋体" w:hAnsi="宋体"/>
        </w:rPr>
        <w:t>弃置</w:t>
      </w:r>
      <w:bookmarkEnd w:id="60"/>
    </w:p>
    <w:p w14:paraId="1D85872E">
      <w:pPr>
        <w:pStyle w:val="261"/>
        <w:numPr>
          <w:ilvl w:val="2"/>
          <w:numId w:val="57"/>
        </w:numPr>
        <w:spacing w:before="156" w:after="156"/>
        <w:outlineLvl w:val="2"/>
        <w:rPr>
          <w:rFonts w:ascii="宋体" w:hAnsi="宋体"/>
        </w:rPr>
      </w:pPr>
      <w:r>
        <w:rPr>
          <w:rFonts w:hint="eastAsia" w:ascii="宋体" w:hAnsi="宋体"/>
        </w:rPr>
        <w:t>设计</w:t>
      </w:r>
    </w:p>
    <w:p w14:paraId="269FB0FA">
      <w:pPr>
        <w:pStyle w:val="327"/>
        <w:jc w:val="both"/>
        <w:rPr>
          <w:rFonts w:ascii="宋体" w:hAnsi="宋体"/>
        </w:rPr>
      </w:pPr>
      <w:bookmarkStart w:id="61" w:name="_Hlk193360533"/>
      <w:r>
        <w:rPr>
          <w:rFonts w:hint="eastAsia" w:ascii="宋体" w:hAnsi="宋体"/>
        </w:rPr>
        <w:t>含硫化氢天然气井弃置处理前应针对硫化氢开展安全风险评估，制定硫化氢防护措施，根据含硫化氢天然气井的井筒完整性现状、周围环境等编制弃井方案</w:t>
      </w:r>
      <w:bookmarkEnd w:id="61"/>
      <w:r>
        <w:rPr>
          <w:rFonts w:hint="eastAsia" w:ascii="宋体" w:hAnsi="宋体"/>
        </w:rPr>
        <w:t>。</w:t>
      </w:r>
    </w:p>
    <w:p w14:paraId="57552250">
      <w:pPr>
        <w:pStyle w:val="327"/>
        <w:rPr>
          <w:rFonts w:ascii="宋体" w:hAnsi="宋体"/>
        </w:rPr>
      </w:pPr>
      <w:r>
        <w:rPr>
          <w:rFonts w:hint="eastAsia" w:ascii="宋体" w:hAnsi="宋体"/>
        </w:rPr>
        <w:t>含硫化氢天然气井弃置时，应在弃置设计中明确弃置方法和封井条件。</w:t>
      </w:r>
    </w:p>
    <w:p w14:paraId="78123971">
      <w:pPr>
        <w:pStyle w:val="261"/>
        <w:numPr>
          <w:ilvl w:val="2"/>
          <w:numId w:val="57"/>
        </w:numPr>
        <w:spacing w:before="156" w:after="156"/>
        <w:outlineLvl w:val="2"/>
        <w:rPr>
          <w:rFonts w:ascii="宋体" w:hAnsi="宋体"/>
        </w:rPr>
      </w:pPr>
      <w:r>
        <w:rPr>
          <w:rFonts w:hint="eastAsia" w:ascii="宋体" w:hAnsi="宋体"/>
        </w:rPr>
        <w:t>施工作业</w:t>
      </w:r>
    </w:p>
    <w:p w14:paraId="6E3290D8">
      <w:pPr>
        <w:pStyle w:val="327"/>
        <w:jc w:val="both"/>
        <w:rPr>
          <w:rFonts w:ascii="宋体" w:hAnsi="宋体"/>
        </w:rPr>
      </w:pPr>
      <w:r>
        <w:rPr>
          <w:rFonts w:hint="eastAsia" w:ascii="宋体" w:hAnsi="宋体"/>
        </w:rPr>
        <w:t>计划进行永久弃井时，应根据井的条件采取合适的废弃方法及可靠的井控措施，封隔含硫化氢的地层。</w:t>
      </w:r>
    </w:p>
    <w:p w14:paraId="24EBA4C8">
      <w:pPr>
        <w:pStyle w:val="327"/>
        <w:jc w:val="both"/>
        <w:rPr>
          <w:rFonts w:ascii="宋体" w:hAnsi="宋体"/>
        </w:rPr>
      </w:pPr>
      <w:r>
        <w:rPr>
          <w:rFonts w:hint="eastAsia" w:ascii="宋体" w:hAnsi="宋体"/>
        </w:rPr>
        <w:t>含硫化氢天然气井临时弃井应使用可钻式桥塞进行封隔，永久弃井应使用永久式桥塞进行封隔。</w:t>
      </w:r>
    </w:p>
    <w:bookmarkEnd w:id="54"/>
    <w:p w14:paraId="7F1D5F4C">
      <w:pPr>
        <w:pStyle w:val="259"/>
        <w:outlineLvl w:val="0"/>
        <w:rPr>
          <w:rFonts w:ascii="宋体" w:hAnsi="宋体"/>
        </w:rPr>
      </w:pPr>
      <w:bookmarkStart w:id="62" w:name="_Toc30474"/>
      <w:bookmarkStart w:id="63" w:name="_Toc21246"/>
      <w:bookmarkStart w:id="64" w:name="_Toc196682341"/>
      <w:r>
        <w:rPr>
          <w:rFonts w:hint="eastAsia" w:ascii="宋体" w:hAnsi="宋体"/>
        </w:rPr>
        <w:t>应急管理</w:t>
      </w:r>
      <w:bookmarkEnd w:id="62"/>
      <w:bookmarkEnd w:id="63"/>
      <w:bookmarkEnd w:id="64"/>
    </w:p>
    <w:p w14:paraId="24DDF43A">
      <w:pPr>
        <w:pStyle w:val="260"/>
        <w:outlineLvl w:val="1"/>
        <w:rPr>
          <w:rFonts w:ascii="宋体" w:hAnsi="宋体"/>
        </w:rPr>
      </w:pPr>
      <w:bookmarkStart w:id="65" w:name="_Toc1763"/>
      <w:bookmarkStart w:id="66" w:name="_Toc196682342"/>
      <w:bookmarkStart w:id="67" w:name="_Toc16001"/>
      <w:r>
        <w:rPr>
          <w:rFonts w:hint="eastAsia" w:ascii="宋体" w:hAnsi="宋体"/>
        </w:rPr>
        <w:t>通用要求</w:t>
      </w:r>
      <w:bookmarkEnd w:id="65"/>
      <w:bookmarkEnd w:id="66"/>
      <w:bookmarkEnd w:id="67"/>
    </w:p>
    <w:p w14:paraId="71EF143B">
      <w:pPr>
        <w:pStyle w:val="326"/>
        <w:jc w:val="both"/>
        <w:rPr>
          <w:rFonts w:ascii="宋体" w:hAnsi="宋体"/>
        </w:rPr>
      </w:pPr>
      <w:r>
        <w:rPr>
          <w:rFonts w:hint="eastAsia" w:ascii="宋体" w:hAnsi="宋体"/>
        </w:rPr>
        <w:t>企业应按照GB/T 29639的要求建立应急预案，包含硫化氢泄漏、中毒处置等内容，并适时开展修订、备案等工作。</w:t>
      </w:r>
    </w:p>
    <w:p w14:paraId="7BE8205A">
      <w:pPr>
        <w:pStyle w:val="326"/>
        <w:jc w:val="both"/>
        <w:rPr>
          <w:rFonts w:ascii="宋体" w:hAnsi="宋体"/>
        </w:rPr>
      </w:pPr>
      <w:r>
        <w:rPr>
          <w:rFonts w:hint="eastAsia" w:ascii="宋体" w:hAnsi="宋体"/>
        </w:rPr>
        <w:t>针对重点岗位特点，编制硫化氢泄漏及人员中毒应急处置卡。应急处置卡应规定重点岗位、人员应急处置程序和措施，以及相关联络人员和联系方式。</w:t>
      </w:r>
    </w:p>
    <w:p w14:paraId="132E25E4">
      <w:pPr>
        <w:pStyle w:val="326"/>
        <w:jc w:val="both"/>
        <w:rPr>
          <w:rFonts w:ascii="宋体" w:hAnsi="宋体"/>
        </w:rPr>
      </w:pPr>
      <w:bookmarkStart w:id="68" w:name="_Hlk193360740"/>
      <w:r>
        <w:rPr>
          <w:rFonts w:hint="eastAsia" w:ascii="宋体" w:hAnsi="宋体"/>
        </w:rPr>
        <w:t>企业应结合陆上含硫化氢天然气井情况，建立企地定期会商研判、日常联防联控和协同应急处置工作机制，统筹应对井喷失控、硫化氢泄漏等突发事故事件。</w:t>
      </w:r>
    </w:p>
    <w:p w14:paraId="6C7065C8">
      <w:pPr>
        <w:pStyle w:val="326"/>
        <w:rPr>
          <w:rFonts w:ascii="宋体" w:hAnsi="宋体"/>
        </w:rPr>
      </w:pPr>
      <w:r>
        <w:rPr>
          <w:rFonts w:hint="eastAsia" w:ascii="宋体" w:hAnsi="宋体"/>
        </w:rPr>
        <w:t>应急资源应满足应急处置需要。</w:t>
      </w:r>
    </w:p>
    <w:p w14:paraId="2EFD8E36">
      <w:pPr>
        <w:pStyle w:val="326"/>
        <w:jc w:val="both"/>
        <w:rPr>
          <w:rFonts w:ascii="宋体" w:hAnsi="宋体"/>
        </w:rPr>
      </w:pPr>
      <w:r>
        <w:rPr>
          <w:rFonts w:hint="eastAsia" w:ascii="宋体" w:hAnsi="宋体"/>
        </w:rPr>
        <w:t>公众危害程度等级为一级的陆上含硫化氢天然气井，采用计算流体动力学方法，分析井喷事故导致的硫化氢泄漏扩散场景，确定应急疏散范围。</w:t>
      </w:r>
    </w:p>
    <w:bookmarkEnd w:id="68"/>
    <w:p w14:paraId="50457E77">
      <w:pPr>
        <w:pStyle w:val="260"/>
        <w:outlineLvl w:val="1"/>
        <w:rPr>
          <w:rFonts w:ascii="宋体" w:hAnsi="宋体"/>
        </w:rPr>
      </w:pPr>
      <w:bookmarkStart w:id="69" w:name="_Toc12658"/>
      <w:bookmarkStart w:id="70" w:name="_Toc15410"/>
      <w:bookmarkStart w:id="71" w:name="_Toc196682343"/>
      <w:r>
        <w:rPr>
          <w:rFonts w:hint="eastAsia" w:ascii="宋体" w:hAnsi="宋体"/>
        </w:rPr>
        <w:t>应急演练</w:t>
      </w:r>
      <w:bookmarkEnd w:id="69"/>
      <w:bookmarkEnd w:id="70"/>
      <w:bookmarkEnd w:id="71"/>
    </w:p>
    <w:p w14:paraId="151174B3">
      <w:pPr>
        <w:pStyle w:val="326"/>
        <w:jc w:val="both"/>
        <w:rPr>
          <w:rFonts w:ascii="宋体" w:hAnsi="宋体"/>
        </w:rPr>
      </w:pPr>
      <w:bookmarkStart w:id="72" w:name="_Hlk193360811"/>
      <w:r>
        <w:rPr>
          <w:rFonts w:hint="eastAsia" w:ascii="宋体" w:hAnsi="宋体"/>
        </w:rPr>
        <w:t>定期开展应急培训，确保作业人员明确各自的应急行动责任及操作要点，熟悉紧急情况下装置操作程序、硫化氢泄漏处置和救援措施、通知程序、集合地点、应急物资的位置和应急疏散程序。</w:t>
      </w:r>
    </w:p>
    <w:p w14:paraId="59B6A5DB">
      <w:pPr>
        <w:pStyle w:val="326"/>
        <w:rPr>
          <w:rFonts w:ascii="宋体" w:hAnsi="宋体"/>
        </w:rPr>
      </w:pPr>
      <w:r>
        <w:rPr>
          <w:rFonts w:hint="eastAsia" w:ascii="宋体" w:hAnsi="宋体"/>
        </w:rPr>
        <w:t>根据岗位需求定期开展应急演练，演练记录至少保存一年。</w:t>
      </w:r>
    </w:p>
    <w:p w14:paraId="4F05B08D">
      <w:pPr>
        <w:pStyle w:val="326"/>
        <w:jc w:val="both"/>
        <w:rPr>
          <w:rFonts w:ascii="宋体" w:hAnsi="宋体"/>
        </w:rPr>
      </w:pPr>
      <w:r>
        <w:rPr>
          <w:rFonts w:hint="eastAsia" w:ascii="宋体" w:hAnsi="宋体"/>
        </w:rPr>
        <w:t>采取实战演练或桌面演练的方式进行应急演练。每次演练后应进行总结评估，针对存在的问题提出改进措施。</w:t>
      </w:r>
    </w:p>
    <w:bookmarkEnd w:id="72"/>
    <w:p w14:paraId="285303F1">
      <w:pPr>
        <w:pStyle w:val="260"/>
        <w:outlineLvl w:val="1"/>
        <w:rPr>
          <w:rFonts w:ascii="宋体" w:hAnsi="宋体"/>
        </w:rPr>
      </w:pPr>
      <w:bookmarkStart w:id="73" w:name="_Toc28287"/>
      <w:bookmarkStart w:id="74" w:name="_Toc25294"/>
      <w:bookmarkStart w:id="75" w:name="_Toc196682344"/>
      <w:r>
        <w:rPr>
          <w:rFonts w:hint="eastAsia" w:ascii="宋体" w:hAnsi="宋体"/>
        </w:rPr>
        <w:t>应急撤离</w:t>
      </w:r>
      <w:bookmarkEnd w:id="73"/>
      <w:bookmarkEnd w:id="74"/>
      <w:bookmarkEnd w:id="75"/>
    </w:p>
    <w:p w14:paraId="13CAEB8D">
      <w:pPr>
        <w:pStyle w:val="326"/>
        <w:jc w:val="both"/>
        <w:rPr>
          <w:rFonts w:ascii="宋体" w:hAnsi="宋体"/>
        </w:rPr>
      </w:pPr>
      <w:r>
        <w:rPr>
          <w:rFonts w:hint="eastAsia" w:ascii="宋体" w:hAnsi="宋体"/>
        </w:rPr>
        <w:t>陆上作业场所监测到硫化氢时，按应急处置方案实施井控程序并组织应急撤离，应急撤离条件如下：</w:t>
      </w:r>
    </w:p>
    <w:p w14:paraId="6ABB4022">
      <w:pPr>
        <w:pStyle w:val="305"/>
        <w:numPr>
          <w:ilvl w:val="0"/>
          <w:numId w:val="58"/>
        </w:numPr>
        <w:rPr>
          <w:rFonts w:hAnsi="宋体"/>
        </w:rPr>
      </w:pPr>
      <w:r>
        <w:rPr>
          <w:rFonts w:hAnsi="宋体"/>
        </w:rPr>
        <w:t>当监测到空气中硫化氢气体浓度达到安全临界浓度30 mg/m</w:t>
      </w:r>
      <w:r>
        <w:rPr>
          <w:rFonts w:hAnsi="宋体"/>
          <w:vertAlign w:val="superscript"/>
        </w:rPr>
        <w:t>3</w:t>
      </w:r>
      <w:r>
        <w:rPr>
          <w:rFonts w:hAnsi="宋体"/>
        </w:rPr>
        <w:t>（20</w:t>
      </w:r>
      <w:r>
        <w:rPr>
          <w:rFonts w:hint="eastAsia" w:hAnsi="宋体"/>
        </w:rPr>
        <w:t>×</w:t>
      </w:r>
      <w:r>
        <w:rPr>
          <w:rFonts w:hAnsi="宋体"/>
        </w:rPr>
        <w:t>10</w:t>
      </w:r>
      <w:r>
        <w:rPr>
          <w:rFonts w:hAnsi="宋体"/>
          <w:vertAlign w:val="superscript"/>
        </w:rPr>
        <w:t>-6</w:t>
      </w:r>
      <w:r>
        <w:rPr>
          <w:rFonts w:hAnsi="宋体"/>
        </w:rPr>
        <w:t>）时，</w:t>
      </w:r>
      <w:r>
        <w:rPr>
          <w:rFonts w:hint="eastAsia" w:hAnsi="宋体"/>
        </w:rPr>
        <w:t>撤离非应急处置人员</w:t>
      </w:r>
      <w:r>
        <w:rPr>
          <w:rFonts w:hAnsi="宋体"/>
        </w:rPr>
        <w:t>；</w:t>
      </w:r>
    </w:p>
    <w:p w14:paraId="2C98563C">
      <w:pPr>
        <w:pStyle w:val="305"/>
        <w:numPr>
          <w:ilvl w:val="0"/>
          <w:numId w:val="58"/>
        </w:numPr>
        <w:rPr>
          <w:rFonts w:hAnsi="宋体"/>
        </w:rPr>
      </w:pPr>
      <w:r>
        <w:rPr>
          <w:rFonts w:hAnsi="宋体"/>
        </w:rPr>
        <w:t>井喷失控</w:t>
      </w:r>
      <w:r>
        <w:rPr>
          <w:rFonts w:hint="eastAsia" w:hAnsi="宋体"/>
        </w:rPr>
        <w:t>或</w:t>
      </w:r>
      <w:r>
        <w:rPr>
          <w:rFonts w:hAnsi="宋体"/>
        </w:rPr>
        <w:t>监测到空气中硫化氢气体浓度达到150 mg/m</w:t>
      </w:r>
      <w:r>
        <w:rPr>
          <w:rFonts w:hAnsi="宋体"/>
          <w:vertAlign w:val="superscript"/>
        </w:rPr>
        <w:t>3</w:t>
      </w:r>
      <w:r>
        <w:rPr>
          <w:rFonts w:hAnsi="宋体"/>
        </w:rPr>
        <w:t>（100</w:t>
      </w:r>
      <w:r>
        <w:rPr>
          <w:rFonts w:hint="eastAsia" w:hAnsi="宋体"/>
        </w:rPr>
        <w:t>×</w:t>
      </w:r>
      <w:r>
        <w:rPr>
          <w:rFonts w:hAnsi="宋体"/>
        </w:rPr>
        <w:t>10</w:t>
      </w:r>
      <w:r>
        <w:rPr>
          <w:rFonts w:hAnsi="宋体"/>
          <w:vertAlign w:val="superscript"/>
        </w:rPr>
        <w:t>-6</w:t>
      </w:r>
      <w:r>
        <w:rPr>
          <w:rFonts w:hAnsi="宋体"/>
        </w:rPr>
        <w:t>）时，</w:t>
      </w:r>
      <w:r>
        <w:rPr>
          <w:rFonts w:hint="eastAsia" w:hAnsi="宋体"/>
        </w:rPr>
        <w:t>撤离现场所有作业人员，立即向当地政府报告并协助做好周围居民的疏散、撤离工作。</w:t>
      </w:r>
    </w:p>
    <w:p w14:paraId="6B30F544">
      <w:pPr>
        <w:pStyle w:val="326"/>
        <w:rPr>
          <w:rFonts w:ascii="宋体" w:hAnsi="宋体"/>
        </w:rPr>
      </w:pPr>
      <w:r>
        <w:rPr>
          <w:rFonts w:hint="eastAsia" w:ascii="宋体" w:hAnsi="宋体"/>
        </w:rPr>
        <w:t>陆上撤离应注意以下事项：</w:t>
      </w:r>
    </w:p>
    <w:p w14:paraId="503E17C1">
      <w:pPr>
        <w:pStyle w:val="305"/>
        <w:numPr>
          <w:ilvl w:val="0"/>
          <w:numId w:val="59"/>
        </w:numPr>
        <w:rPr>
          <w:rFonts w:hAnsi="宋体"/>
        </w:rPr>
      </w:pPr>
      <w:r>
        <w:rPr>
          <w:rFonts w:hint="eastAsia" w:hAnsi="宋体"/>
        </w:rPr>
        <w:t>有专人引导现场人员撤离，并</w:t>
      </w:r>
      <w:r>
        <w:rPr>
          <w:rFonts w:hAnsi="宋体"/>
        </w:rPr>
        <w:t>向泄漏源的上风向、高处疏散撤离；</w:t>
      </w:r>
    </w:p>
    <w:p w14:paraId="7922303C">
      <w:pPr>
        <w:pStyle w:val="305"/>
        <w:numPr>
          <w:ilvl w:val="0"/>
          <w:numId w:val="59"/>
        </w:numPr>
        <w:rPr>
          <w:rFonts w:hAnsi="宋体"/>
        </w:rPr>
      </w:pPr>
      <w:r>
        <w:rPr>
          <w:rFonts w:hAnsi="宋体"/>
        </w:rPr>
        <w:t>疏散撤离时佩戴硫化氢防护器具或使用湿毛巾</w:t>
      </w:r>
      <w:r>
        <w:rPr>
          <w:rFonts w:hint="eastAsia" w:hAnsi="宋体"/>
        </w:rPr>
        <w:t>、衣物等</w:t>
      </w:r>
      <w:r>
        <w:rPr>
          <w:rFonts w:hAnsi="宋体"/>
        </w:rPr>
        <w:t>捂住口</w:t>
      </w:r>
      <w:r>
        <w:rPr>
          <w:rFonts w:hint="eastAsia" w:hAnsi="宋体"/>
        </w:rPr>
        <w:t>鼻呼吸；</w:t>
      </w:r>
    </w:p>
    <w:p w14:paraId="2FA167EE">
      <w:pPr>
        <w:pStyle w:val="305"/>
        <w:numPr>
          <w:ilvl w:val="0"/>
          <w:numId w:val="59"/>
        </w:numPr>
        <w:rPr>
          <w:rFonts w:hAnsi="宋体"/>
        </w:rPr>
      </w:pPr>
      <w:r>
        <w:rPr>
          <w:rFonts w:hint="eastAsia" w:hAnsi="宋体"/>
        </w:rPr>
        <w:t>安排专人对空气中的硫化氢浓度进行监测。</w:t>
      </w:r>
    </w:p>
    <w:p w14:paraId="5E1CF24C">
      <w:pPr>
        <w:pStyle w:val="326"/>
        <w:rPr>
          <w:rFonts w:ascii="宋体" w:hAnsi="宋体"/>
        </w:rPr>
      </w:pPr>
      <w:r>
        <w:rPr>
          <w:rFonts w:hint="eastAsia" w:ascii="宋体" w:hAnsi="宋体"/>
        </w:rPr>
        <w:t>海上应急处置和撤离应符合以下要求：</w:t>
      </w:r>
    </w:p>
    <w:p w14:paraId="17882979">
      <w:pPr>
        <w:pStyle w:val="305"/>
        <w:numPr>
          <w:ilvl w:val="0"/>
          <w:numId w:val="60"/>
        </w:numPr>
        <w:rPr>
          <w:rFonts w:hAnsi="宋体"/>
        </w:rPr>
      </w:pPr>
      <w:r>
        <w:rPr>
          <w:rFonts w:hint="eastAsia" w:hAnsi="宋体"/>
        </w:rPr>
        <w:t>当空气中硫化氢浓度达到15 mg/m</w:t>
      </w:r>
      <w:r>
        <w:rPr>
          <w:rFonts w:hint="eastAsia" w:hAnsi="宋体"/>
          <w:vertAlign w:val="superscript"/>
        </w:rPr>
        <w:t>3</w:t>
      </w:r>
      <w:r>
        <w:rPr>
          <w:rFonts w:hint="eastAsia" w:hAnsi="宋体"/>
        </w:rPr>
        <w:t>（1</w:t>
      </w:r>
      <w:r>
        <w:rPr>
          <w:rFonts w:hAnsi="宋体"/>
        </w:rPr>
        <w:t>0</w:t>
      </w:r>
      <w:r>
        <w:rPr>
          <w:rFonts w:hint="eastAsia" w:hAnsi="宋体"/>
        </w:rPr>
        <w:t>×</w:t>
      </w:r>
      <w:r>
        <w:rPr>
          <w:rFonts w:hAnsi="宋体"/>
        </w:rPr>
        <w:t>10</w:t>
      </w:r>
      <w:r>
        <w:rPr>
          <w:rFonts w:hAnsi="宋体"/>
          <w:vertAlign w:val="superscript"/>
        </w:rPr>
        <w:t>-6</w:t>
      </w:r>
      <w:r>
        <w:rPr>
          <w:rFonts w:hint="eastAsia" w:hAnsi="宋体"/>
        </w:rPr>
        <w:t>）时，及时通知所有平台人员注意，加密观察和测量硫化氢浓度的次数，检查并准备好正压式空气呼吸器；</w:t>
      </w:r>
    </w:p>
    <w:p w14:paraId="5DABD4F5">
      <w:pPr>
        <w:pStyle w:val="305"/>
        <w:numPr>
          <w:ilvl w:val="0"/>
          <w:numId w:val="60"/>
        </w:numPr>
        <w:rPr>
          <w:rFonts w:hAnsi="宋体"/>
        </w:rPr>
      </w:pPr>
      <w:r>
        <w:rPr>
          <w:rFonts w:hint="eastAsia" w:hAnsi="宋体"/>
        </w:rPr>
        <w:t>当空气中硫化氢浓度达到30 mg/m</w:t>
      </w:r>
      <w:r>
        <w:rPr>
          <w:rFonts w:hint="eastAsia" w:hAnsi="宋体"/>
          <w:vertAlign w:val="superscript"/>
        </w:rPr>
        <w:t>3</w:t>
      </w:r>
      <w:r>
        <w:rPr>
          <w:rFonts w:hint="eastAsia" w:hAnsi="宋体"/>
        </w:rPr>
        <w:t>（20×</w:t>
      </w:r>
      <w:r>
        <w:rPr>
          <w:rFonts w:hAnsi="宋体"/>
        </w:rPr>
        <w:t>10</w:t>
      </w:r>
      <w:r>
        <w:rPr>
          <w:rFonts w:hAnsi="宋体"/>
          <w:vertAlign w:val="superscript"/>
        </w:rPr>
        <w:t>-6</w:t>
      </w:r>
      <w:r>
        <w:rPr>
          <w:rFonts w:hint="eastAsia" w:hAnsi="宋体"/>
        </w:rPr>
        <w:t>）时，作业人员迅速取用正压式空气呼吸器，其他人员到达安全区。通知守护船在平台上风向海域起锚待命；</w:t>
      </w:r>
    </w:p>
    <w:p w14:paraId="24159837">
      <w:pPr>
        <w:pStyle w:val="305"/>
        <w:numPr>
          <w:ilvl w:val="0"/>
          <w:numId w:val="60"/>
        </w:numPr>
        <w:rPr>
          <w:rFonts w:hAnsi="宋体"/>
        </w:rPr>
      </w:pPr>
      <w:r>
        <w:rPr>
          <w:rFonts w:hint="eastAsia" w:hAnsi="宋体"/>
        </w:rPr>
        <w:t>当空气中硫化氢浓度达到150 mg/m</w:t>
      </w:r>
      <w:r>
        <w:rPr>
          <w:rFonts w:hint="eastAsia" w:hAnsi="宋体"/>
          <w:vertAlign w:val="superscript"/>
        </w:rPr>
        <w:t>3</w:t>
      </w:r>
      <w:r>
        <w:rPr>
          <w:rFonts w:hint="eastAsia" w:hAnsi="宋体"/>
        </w:rPr>
        <w:t>（1</w:t>
      </w:r>
      <w:r>
        <w:rPr>
          <w:rFonts w:hAnsi="宋体"/>
        </w:rPr>
        <w:t>0</w:t>
      </w:r>
      <w:r>
        <w:rPr>
          <w:rFonts w:hint="eastAsia" w:hAnsi="宋体"/>
        </w:rPr>
        <w:t>0×</w:t>
      </w:r>
      <w:r>
        <w:rPr>
          <w:rFonts w:hAnsi="宋体"/>
        </w:rPr>
        <w:t>10</w:t>
      </w:r>
      <w:r>
        <w:rPr>
          <w:rFonts w:hAnsi="宋体"/>
          <w:vertAlign w:val="superscript"/>
        </w:rPr>
        <w:t>-6</w:t>
      </w:r>
      <w:r>
        <w:rPr>
          <w:rFonts w:hint="eastAsia" w:hAnsi="宋体"/>
        </w:rPr>
        <w:t>）时，组织所有人员撤离。</w:t>
      </w:r>
    </w:p>
    <w:p w14:paraId="6B7D4E52">
      <w:pPr>
        <w:pStyle w:val="260"/>
        <w:outlineLvl w:val="1"/>
        <w:rPr>
          <w:rFonts w:ascii="宋体" w:hAnsi="宋体"/>
        </w:rPr>
      </w:pPr>
      <w:bookmarkStart w:id="76" w:name="_Toc4830"/>
      <w:bookmarkStart w:id="77" w:name="_Toc31779"/>
      <w:bookmarkStart w:id="78" w:name="_Toc196682345"/>
      <w:r>
        <w:rPr>
          <w:rFonts w:hint="eastAsia" w:ascii="宋体" w:hAnsi="宋体"/>
        </w:rPr>
        <w:t>现场救护</w:t>
      </w:r>
      <w:bookmarkEnd w:id="76"/>
      <w:bookmarkEnd w:id="77"/>
      <w:bookmarkEnd w:id="78"/>
    </w:p>
    <w:p w14:paraId="41327F8C">
      <w:pPr>
        <w:pStyle w:val="326"/>
        <w:rPr>
          <w:rFonts w:ascii="宋体" w:hAnsi="宋体"/>
        </w:rPr>
      </w:pPr>
      <w:bookmarkStart w:id="79" w:name="_Toc7710"/>
      <w:bookmarkStart w:id="80" w:name="_Toc1051"/>
      <w:r>
        <w:rPr>
          <w:rFonts w:hint="eastAsia" w:ascii="宋体" w:hAnsi="宋体"/>
        </w:rPr>
        <w:t>企业应落实医务人员、医疗设备和药品等医疗资源，满足硫化氢中毒救治需求。</w:t>
      </w:r>
    </w:p>
    <w:p w14:paraId="4953FD18">
      <w:pPr>
        <w:pStyle w:val="326"/>
        <w:rPr>
          <w:rFonts w:ascii="宋体" w:hAnsi="宋体"/>
        </w:rPr>
      </w:pPr>
      <w:r>
        <w:rPr>
          <w:rFonts w:hint="eastAsia" w:ascii="宋体" w:hAnsi="宋体"/>
        </w:rPr>
        <w:t>硫化氢中毒的应急处置措施包括但不限于：</w:t>
      </w:r>
    </w:p>
    <w:p w14:paraId="36215663">
      <w:pPr>
        <w:pStyle w:val="305"/>
        <w:numPr>
          <w:ilvl w:val="0"/>
          <w:numId w:val="61"/>
        </w:numPr>
        <w:rPr>
          <w:rFonts w:hAnsi="宋体"/>
        </w:rPr>
      </w:pPr>
      <w:r>
        <w:rPr>
          <w:rFonts w:hint="eastAsia" w:hAnsi="宋体"/>
        </w:rPr>
        <w:t>评估环境状况，做好人员个体防护后再施救；</w:t>
      </w:r>
    </w:p>
    <w:p w14:paraId="37FBF78C">
      <w:pPr>
        <w:pStyle w:val="305"/>
        <w:numPr>
          <w:ilvl w:val="0"/>
          <w:numId w:val="61"/>
        </w:numPr>
        <w:rPr>
          <w:rFonts w:hAnsi="宋体"/>
        </w:rPr>
      </w:pPr>
      <w:r>
        <w:rPr>
          <w:rFonts w:hint="eastAsia" w:hAnsi="宋体"/>
        </w:rPr>
        <w:t>将中毒人员移至安全区并及时拨打救援电话或送医院就诊。</w:t>
      </w:r>
    </w:p>
    <w:p w14:paraId="585478B2">
      <w:pPr>
        <w:pStyle w:val="260"/>
        <w:outlineLvl w:val="1"/>
        <w:rPr>
          <w:rFonts w:ascii="宋体" w:hAnsi="宋体"/>
        </w:rPr>
      </w:pPr>
      <w:bookmarkStart w:id="81" w:name="_Toc196682346"/>
      <w:r>
        <w:rPr>
          <w:rFonts w:hint="eastAsia" w:ascii="宋体" w:hAnsi="宋体"/>
        </w:rPr>
        <w:t>陆上井口点火处理</w:t>
      </w:r>
      <w:bookmarkEnd w:id="79"/>
      <w:bookmarkEnd w:id="81"/>
    </w:p>
    <w:p w14:paraId="3BA71F67">
      <w:pPr>
        <w:pStyle w:val="326"/>
        <w:rPr>
          <w:rFonts w:ascii="宋体" w:hAnsi="宋体"/>
        </w:rPr>
      </w:pPr>
      <w:r>
        <w:rPr>
          <w:rFonts w:hint="eastAsia" w:ascii="宋体" w:hAnsi="宋体"/>
        </w:rPr>
        <w:t>含硫化氢天然气井出现井喷事故征兆时，现场作业人员应立即进行点火准备工作。</w:t>
      </w:r>
    </w:p>
    <w:bookmarkEnd w:id="80"/>
    <w:p w14:paraId="156C8AFC">
      <w:pPr>
        <w:pStyle w:val="326"/>
        <w:rPr>
          <w:rFonts w:ascii="宋体" w:hAnsi="宋体"/>
        </w:rPr>
      </w:pPr>
      <w:bookmarkStart w:id="82" w:name="_Hlk193361214"/>
      <w:bookmarkStart w:id="83" w:name="_Toc12917"/>
      <w:r>
        <w:rPr>
          <w:rFonts w:hint="eastAsia" w:ascii="宋体" w:hAnsi="宋体"/>
        </w:rPr>
        <w:t>含硫化氢天然气井发生井喷失控，符合下述条件之一时，应在15 min内实施井口点火</w:t>
      </w:r>
      <w:bookmarkEnd w:id="82"/>
      <w:r>
        <w:rPr>
          <w:rFonts w:hint="eastAsia" w:ascii="宋体" w:hAnsi="宋体"/>
        </w:rPr>
        <w:t>：</w:t>
      </w:r>
    </w:p>
    <w:p w14:paraId="001CB3DA">
      <w:pPr>
        <w:pStyle w:val="305"/>
        <w:numPr>
          <w:ilvl w:val="0"/>
          <w:numId w:val="62"/>
        </w:numPr>
        <w:rPr>
          <w:rFonts w:hAnsi="宋体"/>
        </w:rPr>
      </w:pPr>
      <w:r>
        <w:rPr>
          <w:rFonts w:hint="eastAsia" w:hAnsi="宋体"/>
        </w:rPr>
        <w:t>距井口500 m范围内存在未撤离的公众；</w:t>
      </w:r>
    </w:p>
    <w:p w14:paraId="682C5E8D">
      <w:pPr>
        <w:pStyle w:val="305"/>
        <w:numPr>
          <w:ilvl w:val="0"/>
          <w:numId w:val="62"/>
        </w:numPr>
        <w:rPr>
          <w:rFonts w:hAnsi="宋体"/>
        </w:rPr>
      </w:pPr>
      <w:r>
        <w:rPr>
          <w:rFonts w:hint="eastAsia" w:hAnsi="宋体"/>
        </w:rPr>
        <w:t>距井口500 m范围内居民点的硫化氢3 min平均监测浓度达到150 mg/m</w:t>
      </w:r>
      <w:r>
        <w:rPr>
          <w:rFonts w:hint="eastAsia" w:hAnsi="宋体"/>
          <w:vertAlign w:val="superscript"/>
        </w:rPr>
        <w:t>3</w:t>
      </w:r>
      <w:r>
        <w:rPr>
          <w:rFonts w:hint="eastAsia" w:hAnsi="宋体"/>
        </w:rPr>
        <w:t>（100×10</w:t>
      </w:r>
      <w:r>
        <w:rPr>
          <w:rFonts w:hint="eastAsia" w:hAnsi="宋体"/>
          <w:vertAlign w:val="superscript"/>
        </w:rPr>
        <w:t>-6</w:t>
      </w:r>
      <w:r>
        <w:rPr>
          <w:rFonts w:hint="eastAsia" w:hAnsi="宋体"/>
        </w:rPr>
        <w:t>），且存在无防护措施的公众；</w:t>
      </w:r>
    </w:p>
    <w:p w14:paraId="09343573">
      <w:pPr>
        <w:pStyle w:val="305"/>
        <w:numPr>
          <w:ilvl w:val="0"/>
          <w:numId w:val="62"/>
        </w:numPr>
        <w:rPr>
          <w:rFonts w:hAnsi="宋体"/>
        </w:rPr>
      </w:pPr>
      <w:r>
        <w:rPr>
          <w:rFonts w:hint="eastAsia" w:hAnsi="宋体"/>
        </w:rPr>
        <w:t>井场周边1000 m范围内无有效的硫化氢监测手段。</w:t>
      </w:r>
    </w:p>
    <w:p w14:paraId="32F31FB2">
      <w:pPr>
        <w:pStyle w:val="326"/>
        <w:rPr>
          <w:rFonts w:ascii="宋体" w:hAnsi="宋体"/>
        </w:rPr>
      </w:pPr>
      <w:r>
        <w:rPr>
          <w:rFonts w:hint="eastAsia" w:ascii="宋体" w:hAnsi="宋体"/>
        </w:rPr>
        <w:t>点火后应对下风方向，尤其是井场生活区、周围居民区、医院、学校等人员聚集场所的二氧化硫浓度进行监测。</w:t>
      </w:r>
    </w:p>
    <w:bookmarkEnd w:id="83"/>
    <w:p w14:paraId="0ACB074F">
      <w:pPr>
        <w:pStyle w:val="326"/>
        <w:numPr>
          <w:ilvl w:val="255"/>
          <w:numId w:val="0"/>
        </w:numPr>
        <w:rPr>
          <w:rFonts w:ascii="宋体" w:hAnsi="宋体"/>
        </w:rPr>
      </w:pPr>
    </w:p>
    <w:p w14:paraId="3413BBDE">
      <w:pPr>
        <w:pStyle w:val="326"/>
        <w:numPr>
          <w:ilvl w:val="255"/>
          <w:numId w:val="0"/>
        </w:numPr>
        <w:rPr>
          <w:rFonts w:ascii="宋体" w:hAnsi="宋体"/>
        </w:rPr>
        <w:sectPr>
          <w:headerReference r:id="rId11" w:type="default"/>
          <w:footerReference r:id="rId12" w:type="default"/>
          <w:type w:val="continuous"/>
          <w:pgSz w:w="11907" w:h="16840"/>
          <w:pgMar w:top="1418" w:right="1134" w:bottom="1134" w:left="1418" w:header="1418" w:footer="1134" w:gutter="0"/>
          <w:pgNumType w:start="1"/>
          <w:cols w:space="425" w:num="1"/>
          <w:docGrid w:type="linesAndChars" w:linePitch="312" w:charSpace="0"/>
        </w:sectPr>
      </w:pPr>
    </w:p>
    <w:p w14:paraId="741B0312">
      <w:pPr>
        <w:pStyle w:val="258"/>
        <w:ind w:firstLine="0" w:firstLineChars="0"/>
        <w:rPr>
          <w:rFonts w:hAnsi="宋体"/>
        </w:rPr>
      </w:pPr>
      <w:bookmarkStart w:id="84" w:name="标准参考文献"/>
      <w:bookmarkEnd w:id="84"/>
      <w:bookmarkStart w:id="85" w:name="SectionMark5"/>
    </w:p>
    <w:bookmarkEnd w:id="85"/>
    <w:p w14:paraId="4B51B80F">
      <w:pPr>
        <w:pStyle w:val="257"/>
        <w:numPr>
          <w:ilvl w:val="255"/>
          <w:numId w:val="0"/>
        </w:numPr>
        <w:ind w:firstLine="420" w:firstLineChars="200"/>
        <w:rPr>
          <w:rFonts w:ascii="宋体" w:hAnsi="宋体"/>
        </w:rPr>
      </w:pPr>
      <w:bookmarkStart w:id="86" w:name="_Toc196682347"/>
      <w:bookmarkStart w:id="87" w:name="_Hlk196680849"/>
      <w:r>
        <w:rPr>
          <w:rFonts w:hint="eastAsia" w:ascii="宋体" w:hAnsi="宋体"/>
        </w:rPr>
        <w:t>参  考  文  献</w:t>
      </w:r>
      <w:bookmarkEnd w:id="86"/>
    </w:p>
    <w:p w14:paraId="190EEE4B">
      <w:pPr>
        <w:pStyle w:val="258"/>
        <w:numPr>
          <w:ilvl w:val="0"/>
          <w:numId w:val="63"/>
        </w:numPr>
        <w:autoSpaceDE w:val="0"/>
        <w:autoSpaceDN w:val="0"/>
        <w:ind w:firstLine="420"/>
        <w:rPr>
          <w:rFonts w:hAnsi="宋体"/>
        </w:rPr>
      </w:pPr>
      <w:r>
        <w:rPr>
          <w:rFonts w:hAnsi="宋体"/>
        </w:rPr>
        <w:t>GB 40554.1</w:t>
      </w:r>
      <w:r>
        <w:rPr>
          <w:rFonts w:hint="eastAsia" w:hAnsi="宋体"/>
        </w:rPr>
        <w:t xml:space="preserve"> 海洋石油天然气开采安全规程 第1部分：总则</w:t>
      </w:r>
    </w:p>
    <w:p w14:paraId="6CD87ABA">
      <w:pPr>
        <w:pStyle w:val="258"/>
        <w:numPr>
          <w:ilvl w:val="0"/>
          <w:numId w:val="63"/>
        </w:numPr>
        <w:autoSpaceDE w:val="0"/>
        <w:autoSpaceDN w:val="0"/>
        <w:ind w:firstLine="420"/>
        <w:rPr>
          <w:rFonts w:hAnsi="宋体"/>
        </w:rPr>
      </w:pPr>
      <w:r>
        <w:rPr>
          <w:rFonts w:hAnsi="宋体"/>
        </w:rPr>
        <w:t>GB/T 41029</w:t>
      </w:r>
      <w:r>
        <w:rPr>
          <w:rFonts w:hint="eastAsia" w:hAnsi="宋体"/>
        </w:rPr>
        <w:t xml:space="preserve"> 石油天然气钻井海洋弃井作业规程</w:t>
      </w:r>
    </w:p>
    <w:p w14:paraId="47E91659">
      <w:pPr>
        <w:pStyle w:val="258"/>
        <w:numPr>
          <w:ilvl w:val="0"/>
          <w:numId w:val="63"/>
        </w:numPr>
        <w:autoSpaceDE w:val="0"/>
        <w:autoSpaceDN w:val="0"/>
        <w:ind w:firstLine="420"/>
        <w:rPr>
          <w:rFonts w:hAnsi="宋体"/>
        </w:rPr>
      </w:pPr>
      <w:r>
        <w:rPr>
          <w:rFonts w:hAnsi="宋体"/>
        </w:rPr>
        <w:t>GB 42294</w:t>
      </w:r>
      <w:r>
        <w:rPr>
          <w:rFonts w:hint="eastAsia" w:hAnsi="宋体"/>
        </w:rPr>
        <w:t xml:space="preserve"> 陆上石油天然气开采安全规程</w:t>
      </w:r>
    </w:p>
    <w:p w14:paraId="540B3A02">
      <w:pPr>
        <w:pStyle w:val="258"/>
        <w:numPr>
          <w:ilvl w:val="0"/>
          <w:numId w:val="63"/>
        </w:numPr>
        <w:autoSpaceDE w:val="0"/>
        <w:autoSpaceDN w:val="0"/>
        <w:ind w:firstLine="420"/>
        <w:rPr>
          <w:rFonts w:hAnsi="宋体"/>
        </w:rPr>
      </w:pPr>
      <w:r>
        <w:rPr>
          <w:rFonts w:hAnsi="宋体"/>
        </w:rPr>
        <w:t>SY/T 5087</w:t>
      </w:r>
      <w:r>
        <w:rPr>
          <w:rFonts w:hint="eastAsia" w:hAnsi="宋体"/>
        </w:rPr>
        <w:t xml:space="preserve"> 硫化氢环境钻井场所作业安全规范</w:t>
      </w:r>
    </w:p>
    <w:p w14:paraId="4DBD4B39">
      <w:pPr>
        <w:pStyle w:val="258"/>
        <w:numPr>
          <w:ilvl w:val="0"/>
          <w:numId w:val="63"/>
        </w:numPr>
        <w:autoSpaceDE w:val="0"/>
        <w:autoSpaceDN w:val="0"/>
        <w:ind w:firstLine="420"/>
        <w:rPr>
          <w:rFonts w:hAnsi="宋体"/>
        </w:rPr>
      </w:pPr>
      <w:r>
        <w:rPr>
          <w:rFonts w:hAnsi="宋体"/>
        </w:rPr>
        <w:t>SY/T 6137</w:t>
      </w:r>
      <w:r>
        <w:rPr>
          <w:rFonts w:hint="eastAsia" w:hAnsi="宋体"/>
        </w:rPr>
        <w:t xml:space="preserve"> 硫化氢环境天然气采集与处理安全规范</w:t>
      </w:r>
    </w:p>
    <w:p w14:paraId="71FBA425">
      <w:pPr>
        <w:pStyle w:val="258"/>
        <w:numPr>
          <w:ilvl w:val="0"/>
          <w:numId w:val="63"/>
        </w:numPr>
        <w:autoSpaceDE w:val="0"/>
        <w:autoSpaceDN w:val="0"/>
        <w:ind w:firstLine="420"/>
        <w:rPr>
          <w:rFonts w:hAnsi="宋体"/>
        </w:rPr>
      </w:pPr>
      <w:r>
        <w:rPr>
          <w:rFonts w:hAnsi="宋体"/>
        </w:rPr>
        <w:t>SY/T 6277</w:t>
      </w:r>
      <w:r>
        <w:rPr>
          <w:rFonts w:hint="eastAsia" w:hAnsi="宋体"/>
        </w:rPr>
        <w:t xml:space="preserve"> 硫化氢环境人身防护规范</w:t>
      </w:r>
    </w:p>
    <w:p w14:paraId="5DD5027F">
      <w:pPr>
        <w:pStyle w:val="258"/>
        <w:numPr>
          <w:ilvl w:val="0"/>
          <w:numId w:val="63"/>
        </w:numPr>
        <w:autoSpaceDE w:val="0"/>
        <w:autoSpaceDN w:val="0"/>
        <w:ind w:firstLine="420"/>
        <w:rPr>
          <w:rFonts w:hAnsi="宋体"/>
        </w:rPr>
      </w:pPr>
      <w:r>
        <w:rPr>
          <w:rFonts w:hAnsi="宋体"/>
        </w:rPr>
        <w:t>SY/T 6503</w:t>
      </w:r>
      <w:r>
        <w:rPr>
          <w:rFonts w:hint="eastAsia" w:hAnsi="宋体"/>
        </w:rPr>
        <w:t xml:space="preserve"> 石油天然气工程可燃气体和有毒气体检测报警系统安全规范</w:t>
      </w:r>
    </w:p>
    <w:p w14:paraId="4FCDA112">
      <w:pPr>
        <w:pStyle w:val="258"/>
        <w:numPr>
          <w:ilvl w:val="0"/>
          <w:numId w:val="63"/>
        </w:numPr>
        <w:autoSpaceDE w:val="0"/>
        <w:autoSpaceDN w:val="0"/>
        <w:ind w:firstLine="420"/>
        <w:rPr>
          <w:rFonts w:hAnsi="宋体"/>
        </w:rPr>
      </w:pPr>
      <w:r>
        <w:rPr>
          <w:rFonts w:hAnsi="宋体"/>
        </w:rPr>
        <w:t>SY/T 6610</w:t>
      </w:r>
      <w:r>
        <w:rPr>
          <w:rFonts w:hint="eastAsia" w:hAnsi="宋体"/>
        </w:rPr>
        <w:t xml:space="preserve"> 硫化氢环境井下作业场所作业安全规范</w:t>
      </w:r>
    </w:p>
    <w:p w14:paraId="1EA90EB3">
      <w:pPr>
        <w:pStyle w:val="258"/>
        <w:numPr>
          <w:ilvl w:val="0"/>
          <w:numId w:val="63"/>
        </w:numPr>
        <w:autoSpaceDE w:val="0"/>
        <w:autoSpaceDN w:val="0"/>
        <w:ind w:firstLine="420"/>
        <w:rPr>
          <w:rFonts w:hAnsi="宋体"/>
        </w:rPr>
      </w:pPr>
      <w:r>
        <w:rPr>
          <w:rFonts w:hAnsi="宋体"/>
          <w:szCs w:val="21"/>
        </w:rPr>
        <w:t xml:space="preserve">SY/T 7356 </w:t>
      </w:r>
      <w:r>
        <w:rPr>
          <w:rFonts w:hint="eastAsia" w:hAnsi="宋体"/>
          <w:szCs w:val="21"/>
        </w:rPr>
        <w:t>硫化氢防护安全培训规范</w:t>
      </w:r>
    </w:p>
    <w:p w14:paraId="56A5B6BA">
      <w:pPr>
        <w:rPr>
          <w:rFonts w:ascii="宋体" w:hAnsi="宋体"/>
        </w:rPr>
      </w:pPr>
    </w:p>
    <w:p w14:paraId="2E5FE546">
      <w:pPr>
        <w:widowControl/>
        <w:jc w:val="left"/>
        <w:rPr>
          <w:rFonts w:ascii="宋体" w:hAnsi="宋体"/>
        </w:rPr>
      </w:pPr>
      <w:r>
        <w:rPr>
          <w:rFonts w:ascii="宋体" w:hAnsi="宋体"/>
        </w:rPr>
        <w:pict>
          <v:rect id="_x0000_i1030" o:spt="1" style="height:1.5pt;width:116.95pt;" fillcolor="#000000" filled="t" stroked="f" coordsize="21600,21600" o:hr="t" o:hrstd="t" o:hrnoshade="t" o:hrpct="250" o:hralign="center">
            <v:path/>
            <v:fill on="t" focussize="0,0"/>
            <v:stroke on="f"/>
            <v:imagedata o:title=""/>
            <o:lock v:ext="edit"/>
            <w10:wrap type="none"/>
            <w10:anchorlock/>
          </v:rect>
        </w:pict>
      </w:r>
      <w:r>
        <w:rPr>
          <w:rFonts w:ascii="宋体" w:hAnsi="宋体"/>
        </w:rPr>
        <w:br w:type="page"/>
      </w:r>
    </w:p>
    <w:p w14:paraId="2FEB70E4">
      <w:pPr>
        <w:rPr>
          <w:rFonts w:ascii="宋体" w:hAnsi="宋体"/>
          <w:sz w:val="44"/>
          <w:szCs w:val="44"/>
        </w:rPr>
      </w:pPr>
    </w:p>
    <w:p w14:paraId="7656B916">
      <w:pPr>
        <w:rPr>
          <w:rFonts w:ascii="宋体" w:hAnsi="宋体"/>
          <w:sz w:val="44"/>
          <w:szCs w:val="44"/>
        </w:rPr>
      </w:pPr>
    </w:p>
    <w:p w14:paraId="78076E29">
      <w:pPr>
        <w:rPr>
          <w:rFonts w:ascii="宋体" w:hAnsi="宋体"/>
          <w:sz w:val="44"/>
          <w:szCs w:val="44"/>
        </w:rPr>
      </w:pPr>
    </w:p>
    <w:p w14:paraId="501A0DC2">
      <w:pPr>
        <w:spacing w:line="360" w:lineRule="auto"/>
        <w:jc w:val="center"/>
        <w:rPr>
          <w:rFonts w:ascii="宋体" w:hAnsi="宋体" w:eastAsia="方正小标宋简体"/>
          <w:sz w:val="40"/>
          <w:szCs w:val="40"/>
        </w:rPr>
      </w:pPr>
      <w:r>
        <w:rPr>
          <w:rFonts w:hint="eastAsia" w:ascii="宋体" w:hAnsi="宋体" w:eastAsia="方正小标宋简体"/>
          <w:sz w:val="40"/>
          <w:szCs w:val="40"/>
        </w:rPr>
        <w:t>《含硫化氢天然气井安全防护规范》</w:t>
      </w:r>
    </w:p>
    <w:p w14:paraId="128EB6DA">
      <w:pPr>
        <w:adjustRightInd w:val="0"/>
        <w:spacing w:line="360" w:lineRule="auto"/>
        <w:jc w:val="center"/>
        <w:rPr>
          <w:rFonts w:ascii="宋体" w:hAnsi="宋体" w:eastAsia="仿宋_GB2312"/>
          <w:sz w:val="32"/>
          <w:szCs w:val="32"/>
        </w:rPr>
      </w:pP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14:paraId="080987D7">
      <w:pPr>
        <w:jc w:val="center"/>
        <w:rPr>
          <w:rFonts w:ascii="宋体" w:hAnsi="宋体" w:eastAsia="黑体"/>
          <w:b/>
          <w:spacing w:val="44"/>
          <w:sz w:val="52"/>
          <w:szCs w:val="52"/>
        </w:rPr>
      </w:pPr>
    </w:p>
    <w:p w14:paraId="70ACF0E2">
      <w:pPr>
        <w:jc w:val="center"/>
        <w:rPr>
          <w:rFonts w:ascii="宋体" w:hAnsi="宋体" w:eastAsia="黑体"/>
          <w:bCs/>
          <w:spacing w:val="44"/>
          <w:sz w:val="44"/>
          <w:szCs w:val="44"/>
        </w:rPr>
      </w:pPr>
      <w:r>
        <w:rPr>
          <w:rFonts w:ascii="宋体" w:hAnsi="宋体" w:eastAsia="黑体"/>
          <w:bCs/>
          <w:spacing w:val="44"/>
          <w:sz w:val="44"/>
          <w:szCs w:val="44"/>
        </w:rPr>
        <w:t>编制说明</w:t>
      </w:r>
    </w:p>
    <w:p w14:paraId="35A20DA1">
      <w:pPr>
        <w:jc w:val="center"/>
        <w:rPr>
          <w:rFonts w:ascii="宋体" w:hAnsi="宋体"/>
          <w:spacing w:val="44"/>
          <w:sz w:val="32"/>
          <w:szCs w:val="32"/>
        </w:rPr>
      </w:pPr>
    </w:p>
    <w:p w14:paraId="24F1B953">
      <w:pPr>
        <w:jc w:val="center"/>
        <w:rPr>
          <w:rFonts w:ascii="宋体" w:hAnsi="宋体"/>
          <w:spacing w:val="44"/>
          <w:sz w:val="32"/>
          <w:szCs w:val="32"/>
        </w:rPr>
      </w:pPr>
    </w:p>
    <w:p w14:paraId="685F64D7">
      <w:pPr>
        <w:jc w:val="center"/>
        <w:rPr>
          <w:rFonts w:ascii="宋体" w:hAnsi="宋体"/>
          <w:spacing w:val="44"/>
          <w:sz w:val="32"/>
          <w:szCs w:val="32"/>
        </w:rPr>
      </w:pPr>
    </w:p>
    <w:p w14:paraId="2EAC7515">
      <w:pPr>
        <w:jc w:val="center"/>
        <w:rPr>
          <w:rFonts w:ascii="宋体" w:hAnsi="宋体"/>
          <w:spacing w:val="44"/>
          <w:sz w:val="32"/>
          <w:szCs w:val="32"/>
        </w:rPr>
      </w:pPr>
    </w:p>
    <w:p w14:paraId="29146C77">
      <w:pPr>
        <w:jc w:val="center"/>
        <w:rPr>
          <w:rFonts w:ascii="宋体" w:hAnsi="宋体"/>
          <w:spacing w:val="44"/>
          <w:sz w:val="32"/>
          <w:szCs w:val="32"/>
        </w:rPr>
      </w:pPr>
    </w:p>
    <w:p w14:paraId="0F91CFCD">
      <w:pPr>
        <w:jc w:val="center"/>
        <w:rPr>
          <w:rFonts w:ascii="宋体" w:hAnsi="宋体"/>
          <w:spacing w:val="44"/>
          <w:sz w:val="32"/>
          <w:szCs w:val="32"/>
        </w:rPr>
      </w:pPr>
    </w:p>
    <w:p w14:paraId="67DD9249">
      <w:pPr>
        <w:jc w:val="center"/>
        <w:rPr>
          <w:rFonts w:ascii="宋体" w:hAnsi="宋体"/>
          <w:spacing w:val="44"/>
          <w:sz w:val="32"/>
          <w:szCs w:val="32"/>
        </w:rPr>
      </w:pPr>
    </w:p>
    <w:p w14:paraId="3A41D7CE">
      <w:pPr>
        <w:jc w:val="center"/>
        <w:rPr>
          <w:rFonts w:ascii="宋体" w:hAnsi="宋体"/>
          <w:spacing w:val="44"/>
          <w:sz w:val="32"/>
          <w:szCs w:val="32"/>
        </w:rPr>
      </w:pPr>
    </w:p>
    <w:p w14:paraId="0B00D926">
      <w:pPr>
        <w:jc w:val="center"/>
        <w:rPr>
          <w:rFonts w:ascii="宋体" w:hAnsi="宋体"/>
          <w:spacing w:val="44"/>
          <w:sz w:val="32"/>
          <w:szCs w:val="32"/>
        </w:rPr>
      </w:pPr>
    </w:p>
    <w:p w14:paraId="3A973C14">
      <w:pPr>
        <w:jc w:val="center"/>
        <w:rPr>
          <w:rFonts w:ascii="宋体" w:hAnsi="宋体"/>
          <w:spacing w:val="44"/>
          <w:sz w:val="32"/>
          <w:szCs w:val="32"/>
        </w:rPr>
      </w:pPr>
    </w:p>
    <w:p w14:paraId="56E8AAB9">
      <w:pPr>
        <w:jc w:val="center"/>
        <w:rPr>
          <w:rFonts w:ascii="宋体" w:hAnsi="宋体"/>
          <w:spacing w:val="44"/>
          <w:sz w:val="32"/>
          <w:szCs w:val="32"/>
        </w:rPr>
      </w:pPr>
    </w:p>
    <w:p w14:paraId="36EA64C8">
      <w:pPr>
        <w:adjustRightInd w:val="0"/>
        <w:spacing w:line="360" w:lineRule="auto"/>
        <w:jc w:val="center"/>
        <w:rPr>
          <w:rFonts w:ascii="宋体" w:hAnsi="宋体" w:eastAsia="仿宋_GB2312" w:cs="仿宋_GB2312"/>
          <w:sz w:val="32"/>
          <w:szCs w:val="32"/>
        </w:rPr>
      </w:pPr>
      <w:r>
        <w:rPr>
          <w:rFonts w:hint="eastAsia" w:ascii="宋体" w:hAnsi="宋体" w:eastAsia="仿宋_GB2312" w:cs="仿宋_GB2312"/>
          <w:sz w:val="32"/>
          <w:szCs w:val="32"/>
        </w:rPr>
        <w:t>标准编制组</w:t>
      </w:r>
    </w:p>
    <w:p w14:paraId="592923DF">
      <w:pPr>
        <w:spacing w:line="360" w:lineRule="auto"/>
        <w:jc w:val="center"/>
        <w:rPr>
          <w:rFonts w:ascii="宋体" w:hAnsi="宋体" w:eastAsia="仿宋_GB2312" w:cs="仿宋_GB2312"/>
          <w:sz w:val="32"/>
          <w:szCs w:val="32"/>
        </w:rPr>
      </w:pPr>
      <w:r>
        <w:rPr>
          <w:rFonts w:hint="eastAsia" w:ascii="宋体" w:hAnsi="宋体" w:eastAsia="仿宋_GB2312" w:cs="仿宋_GB2312"/>
          <w:sz w:val="32"/>
          <w:szCs w:val="32"/>
        </w:rPr>
        <w:t>2025年</w:t>
      </w:r>
      <w:r>
        <w:rPr>
          <w:rFonts w:ascii="宋体" w:hAnsi="宋体" w:eastAsia="仿宋_GB2312" w:cs="仿宋_GB2312"/>
          <w:sz w:val="32"/>
          <w:szCs w:val="32"/>
        </w:rPr>
        <w:t>4</w:t>
      </w:r>
      <w:r>
        <w:rPr>
          <w:rFonts w:hint="eastAsia" w:ascii="宋体" w:hAnsi="宋体" w:eastAsia="仿宋_GB2312" w:cs="仿宋_GB2312"/>
          <w:sz w:val="32"/>
          <w:szCs w:val="32"/>
        </w:rPr>
        <w:t>月</w:t>
      </w:r>
    </w:p>
    <w:p w14:paraId="1A520C56">
      <w:pPr>
        <w:rPr>
          <w:rFonts w:ascii="宋体" w:hAnsi="宋体" w:eastAsia="仿宋_GB2312" w:cs="仿宋_GB2312"/>
          <w:sz w:val="32"/>
          <w:szCs w:val="32"/>
        </w:rPr>
      </w:pPr>
    </w:p>
    <w:p w14:paraId="58B00F6A">
      <w:pPr>
        <w:rPr>
          <w:rFonts w:ascii="宋体" w:hAnsi="宋体" w:eastAsia="黑体"/>
          <w:sz w:val="32"/>
          <w:szCs w:val="32"/>
        </w:rPr>
        <w:sectPr>
          <w:headerReference r:id="rId14" w:type="first"/>
          <w:footerReference r:id="rId15" w:type="first"/>
          <w:headerReference r:id="rId13" w:type="default"/>
          <w:type w:val="continuous"/>
          <w:pgSz w:w="11907" w:h="16840"/>
          <w:pgMar w:top="1418" w:right="1134" w:bottom="1134" w:left="1418" w:header="851" w:footer="992" w:gutter="0"/>
          <w:cols w:space="720" w:num="1"/>
          <w:titlePg/>
          <w:docGrid w:type="linesAndChars" w:linePitch="312" w:charSpace="0"/>
        </w:sectPr>
      </w:pPr>
    </w:p>
    <w:p w14:paraId="0F2027C0">
      <w:pPr>
        <w:widowControl/>
        <w:spacing w:line="560" w:lineRule="exact"/>
        <w:ind w:firstLine="3600" w:firstLineChars="900"/>
        <w:jc w:val="left"/>
        <w:rPr>
          <w:rFonts w:hint="eastAsia" w:ascii="宋体" w:hAnsi="宋体" w:eastAsia="方正黑体_GBK" w:cs="方正黑体_GBK"/>
          <w:kern w:val="0"/>
          <w:sz w:val="40"/>
          <w:szCs w:val="40"/>
          <w:lang w:bidi="ar"/>
        </w:rPr>
      </w:pPr>
    </w:p>
    <w:p w14:paraId="754C3CFB">
      <w:pPr>
        <w:widowControl/>
        <w:spacing w:line="560" w:lineRule="exact"/>
        <w:ind w:firstLine="3600" w:firstLineChars="900"/>
        <w:jc w:val="left"/>
        <w:rPr>
          <w:rFonts w:ascii="宋体" w:hAnsi="宋体" w:eastAsia="方正黑体_GBK" w:cs="方正黑体_GBK"/>
          <w:kern w:val="0"/>
          <w:sz w:val="40"/>
          <w:szCs w:val="40"/>
          <w:lang w:bidi="ar"/>
        </w:rPr>
      </w:pPr>
      <w:r>
        <w:rPr>
          <w:rFonts w:hint="eastAsia" w:ascii="宋体" w:hAnsi="宋体" w:eastAsia="方正黑体_GBK" w:cs="方正黑体_GBK"/>
          <w:kern w:val="0"/>
          <w:sz w:val="40"/>
          <w:szCs w:val="40"/>
          <w:lang w:bidi="ar"/>
        </w:rPr>
        <w:t xml:space="preserve">说 明 </w:t>
      </w:r>
    </w:p>
    <w:p w14:paraId="08CC6378">
      <w:pPr>
        <w:widowControl/>
        <w:spacing w:line="560" w:lineRule="exact"/>
        <w:ind w:firstLine="720" w:firstLineChars="300"/>
        <w:jc w:val="left"/>
        <w:rPr>
          <w:rFonts w:ascii="宋体" w:hAnsi="宋体" w:cs="宋体"/>
          <w:kern w:val="0"/>
          <w:sz w:val="24"/>
          <w:lang w:bidi="ar"/>
        </w:rPr>
      </w:pPr>
    </w:p>
    <w:p w14:paraId="2410B6DB">
      <w:pPr>
        <w:spacing w:line="360" w:lineRule="auto"/>
        <w:ind w:firstLine="480" w:firstLineChars="200"/>
        <w:rPr>
          <w:rFonts w:ascii="宋体" w:hAnsi="宋体" w:eastAsia="仿宋_GB2312"/>
          <w:sz w:val="24"/>
          <w:szCs w:val="21"/>
        </w:rPr>
      </w:pPr>
      <w:r>
        <w:rPr>
          <w:rFonts w:hint="eastAsia" w:ascii="宋体" w:hAnsi="宋体" w:eastAsia="仿宋_GB2312"/>
          <w:sz w:val="24"/>
          <w:szCs w:val="21"/>
        </w:rPr>
        <w:t>1.</w:t>
      </w:r>
      <w:r>
        <w:rPr>
          <w:rFonts w:ascii="宋体" w:hAnsi="宋体" w:eastAsia="仿宋_GB2312"/>
          <w:sz w:val="24"/>
          <w:szCs w:val="21"/>
        </w:rPr>
        <w:t xml:space="preserve">标准编制说明的封面 </w:t>
      </w:r>
    </w:p>
    <w:p w14:paraId="3043B53E">
      <w:pPr>
        <w:spacing w:line="360" w:lineRule="auto"/>
        <w:ind w:firstLine="480" w:firstLineChars="200"/>
        <w:rPr>
          <w:rFonts w:ascii="宋体" w:hAnsi="宋体" w:eastAsia="仿宋_GB2312"/>
          <w:sz w:val="24"/>
          <w:szCs w:val="21"/>
        </w:rPr>
      </w:pPr>
      <w:r>
        <w:rPr>
          <w:rFonts w:ascii="宋体" w:hAnsi="宋体" w:eastAsia="仿宋_GB2312"/>
          <w:sz w:val="24"/>
          <w:szCs w:val="21"/>
        </w:rPr>
        <w:t>（1）标准名称。应在封面靠上居中位置，与标准稿名称保持一致。字体字号为方正小标宋二号。</w:t>
      </w:r>
    </w:p>
    <w:p w14:paraId="308CE284">
      <w:pPr>
        <w:spacing w:line="360" w:lineRule="auto"/>
        <w:ind w:firstLine="480" w:firstLineChars="200"/>
        <w:rPr>
          <w:rFonts w:ascii="宋体" w:hAnsi="宋体" w:eastAsia="仿宋_GB2312"/>
          <w:sz w:val="24"/>
          <w:szCs w:val="21"/>
        </w:rPr>
      </w:pPr>
      <w:r>
        <w:rPr>
          <w:rFonts w:ascii="宋体" w:hAnsi="宋体" w:eastAsia="仿宋_GB2312"/>
          <w:sz w:val="24"/>
          <w:szCs w:val="21"/>
        </w:rPr>
        <w:t>（2）标准文稿版次。在标准名称下方</w:t>
      </w:r>
      <w:r>
        <w:rPr>
          <w:rFonts w:hint="eastAsia" w:ascii="宋体" w:hAnsi="宋体" w:eastAsia="仿宋_GB2312"/>
          <w:sz w:val="24"/>
          <w:szCs w:val="21"/>
        </w:rPr>
        <w:t>“</w:t>
      </w:r>
      <w:r>
        <w:rPr>
          <w:rFonts w:ascii="宋体" w:hAnsi="宋体" w:eastAsia="仿宋_GB2312"/>
          <w:sz w:val="24"/>
          <w:szCs w:val="21"/>
        </w:rPr>
        <w:t>征求意见稿、送审稿、报批稿</w:t>
      </w:r>
      <w:r>
        <w:rPr>
          <w:rFonts w:hint="eastAsia" w:ascii="宋体" w:hAnsi="宋体" w:eastAsia="仿宋_GB2312"/>
          <w:sz w:val="24"/>
          <w:szCs w:val="21"/>
        </w:rPr>
        <w:t>”</w:t>
      </w:r>
      <w:r>
        <w:rPr>
          <w:rFonts w:ascii="宋体" w:hAnsi="宋体" w:eastAsia="仿宋_GB2312"/>
          <w:sz w:val="24"/>
          <w:szCs w:val="21"/>
        </w:rPr>
        <w:t>前的方框选其一，例如</w:t>
      </w:r>
      <w:r>
        <w:rPr>
          <w:rFonts w:hint="eastAsia" w:ascii="宋体" w:hAnsi="宋体" w:eastAsia="仿宋_GB2312"/>
          <w:sz w:val="24"/>
          <w:szCs w:val="21"/>
        </w:rPr>
        <w:t>“</w:t>
      </w:r>
      <w:r>
        <w:rPr>
          <w:rFonts w:hint="eastAsia" w:ascii="宋体" w:hAnsi="宋体" w:eastAsia="华文宋体" w:cs="华文宋体"/>
          <w:sz w:val="24"/>
          <w:szCs w:val="21"/>
        </w:rPr>
        <w:t>■</w:t>
      </w:r>
      <w:r>
        <w:rPr>
          <w:rFonts w:ascii="宋体" w:hAnsi="宋体" w:eastAsia="仿宋_GB2312"/>
          <w:sz w:val="24"/>
          <w:szCs w:val="21"/>
        </w:rPr>
        <w:t>征求意见稿</w:t>
      </w:r>
      <w:r>
        <w:rPr>
          <w:rFonts w:hint="eastAsia" w:ascii="宋体" w:hAnsi="宋体" w:eastAsia="仿宋_GB2312"/>
          <w:sz w:val="24"/>
          <w:szCs w:val="21"/>
        </w:rPr>
        <w:t>”</w:t>
      </w:r>
      <w:r>
        <w:rPr>
          <w:rFonts w:ascii="宋体" w:hAnsi="宋体" w:eastAsia="仿宋_GB2312"/>
          <w:sz w:val="24"/>
          <w:szCs w:val="21"/>
        </w:rPr>
        <w:t>。字体字号为仿宋三号。</w:t>
      </w:r>
    </w:p>
    <w:p w14:paraId="27DAB760">
      <w:pPr>
        <w:spacing w:line="360" w:lineRule="auto"/>
        <w:ind w:firstLine="480" w:firstLineChars="200"/>
        <w:rPr>
          <w:rFonts w:ascii="宋体" w:hAnsi="宋体" w:eastAsia="仿宋_GB2312"/>
          <w:sz w:val="24"/>
          <w:szCs w:val="21"/>
        </w:rPr>
      </w:pPr>
      <w:r>
        <w:rPr>
          <w:rFonts w:ascii="宋体" w:hAnsi="宋体" w:eastAsia="仿宋_GB2312"/>
          <w:sz w:val="24"/>
          <w:szCs w:val="21"/>
        </w:rPr>
        <w:t>（3）标准编制组。在封面靠下居中位置。字体字号为仿宋三号。</w:t>
      </w:r>
    </w:p>
    <w:p w14:paraId="0CB9940D">
      <w:pPr>
        <w:spacing w:line="360" w:lineRule="auto"/>
        <w:ind w:firstLine="480" w:firstLineChars="200"/>
        <w:rPr>
          <w:rFonts w:ascii="宋体" w:hAnsi="宋体" w:eastAsia="仿宋_GB2312"/>
          <w:sz w:val="24"/>
          <w:szCs w:val="21"/>
        </w:rPr>
      </w:pPr>
      <w:r>
        <w:rPr>
          <w:rFonts w:ascii="宋体" w:hAnsi="宋体" w:eastAsia="仿宋_GB2312"/>
          <w:sz w:val="24"/>
          <w:szCs w:val="21"/>
        </w:rPr>
        <w:t>（4）编制日期。编制日期为本阶段完成的日期，以数字格式书写，字体为宋体</w:t>
      </w:r>
      <w:r>
        <w:rPr>
          <w:rFonts w:hint="eastAsia" w:ascii="宋体" w:hAnsi="宋体" w:eastAsia="仿宋_GB2312"/>
          <w:sz w:val="24"/>
          <w:szCs w:val="21"/>
        </w:rPr>
        <w:t>，</w:t>
      </w:r>
      <w:r>
        <w:rPr>
          <w:rFonts w:ascii="宋体" w:hAnsi="宋体" w:eastAsia="仿宋_GB2312"/>
          <w:sz w:val="24"/>
          <w:szCs w:val="21"/>
        </w:rPr>
        <w:t>字号为三号。如：</w:t>
      </w:r>
      <w:r>
        <w:rPr>
          <w:rFonts w:hint="eastAsia" w:ascii="宋体" w:hAnsi="宋体" w:eastAsia="仿宋_GB2312"/>
          <w:sz w:val="24"/>
          <w:szCs w:val="21"/>
        </w:rPr>
        <w:t>“</w:t>
      </w:r>
      <w:r>
        <w:rPr>
          <w:rFonts w:ascii="宋体" w:hAnsi="宋体" w:eastAsia="仿宋_GB2312"/>
          <w:sz w:val="24"/>
          <w:szCs w:val="21"/>
        </w:rPr>
        <w:t>2020 年 3 月 30 日</w:t>
      </w:r>
      <w:r>
        <w:rPr>
          <w:rFonts w:hint="eastAsia" w:ascii="宋体" w:hAnsi="宋体" w:eastAsia="仿宋_GB2312"/>
          <w:sz w:val="24"/>
          <w:szCs w:val="21"/>
        </w:rPr>
        <w:t>”</w:t>
      </w:r>
      <w:r>
        <w:rPr>
          <w:rFonts w:ascii="宋体" w:hAnsi="宋体" w:eastAsia="仿宋_GB2312"/>
          <w:sz w:val="24"/>
          <w:szCs w:val="21"/>
        </w:rPr>
        <w:t>。</w:t>
      </w:r>
    </w:p>
    <w:p w14:paraId="467176B6">
      <w:pPr>
        <w:spacing w:line="360" w:lineRule="auto"/>
        <w:ind w:firstLine="480" w:firstLineChars="200"/>
        <w:rPr>
          <w:rFonts w:ascii="宋体" w:hAnsi="宋体" w:eastAsia="仿宋_GB2312"/>
          <w:sz w:val="24"/>
          <w:szCs w:val="21"/>
        </w:rPr>
      </w:pPr>
      <w:r>
        <w:rPr>
          <w:rFonts w:ascii="宋体" w:hAnsi="宋体" w:eastAsia="仿宋_GB2312"/>
          <w:sz w:val="24"/>
          <w:szCs w:val="21"/>
        </w:rPr>
        <w:t xml:space="preserve">2．标准编制说明的正文 </w:t>
      </w:r>
    </w:p>
    <w:p w14:paraId="09E4029B">
      <w:pPr>
        <w:spacing w:line="360" w:lineRule="auto"/>
        <w:ind w:firstLine="480" w:firstLineChars="200"/>
        <w:rPr>
          <w:rFonts w:ascii="宋体" w:hAnsi="宋体" w:eastAsia="仿宋_GB2312"/>
          <w:sz w:val="24"/>
          <w:szCs w:val="21"/>
        </w:rPr>
      </w:pPr>
      <w:r>
        <w:rPr>
          <w:rFonts w:ascii="宋体" w:hAnsi="宋体" w:eastAsia="仿宋_GB2312"/>
          <w:sz w:val="24"/>
          <w:szCs w:val="21"/>
        </w:rPr>
        <w:t>（1）正文页边距为上 3cm、下 2.6cm、左 2.8cm、右 2.6cm。</w:t>
      </w:r>
    </w:p>
    <w:p w14:paraId="0B44A9A9">
      <w:pPr>
        <w:spacing w:line="360" w:lineRule="auto"/>
        <w:ind w:firstLine="480" w:firstLineChars="200"/>
        <w:rPr>
          <w:rFonts w:ascii="宋体" w:hAnsi="宋体" w:eastAsia="仿宋_GB2312"/>
          <w:sz w:val="24"/>
          <w:szCs w:val="21"/>
        </w:rPr>
      </w:pPr>
      <w:r>
        <w:rPr>
          <w:rFonts w:ascii="宋体" w:hAnsi="宋体" w:eastAsia="仿宋_GB2312"/>
          <w:sz w:val="24"/>
          <w:szCs w:val="21"/>
        </w:rPr>
        <w:t>（2）正文标题，一级标题用黑体三号字，二级标题用楷体三号字不加粗。三级、四级标题用仿宋 GB-2312 三号字不加粗。文中结构层次序数为</w:t>
      </w:r>
      <w:r>
        <w:rPr>
          <w:rFonts w:hint="eastAsia" w:ascii="宋体" w:hAnsi="宋体" w:eastAsia="仿宋_GB2312"/>
          <w:sz w:val="24"/>
          <w:szCs w:val="21"/>
        </w:rPr>
        <w:t>“</w:t>
      </w:r>
      <w:r>
        <w:rPr>
          <w:rFonts w:ascii="宋体" w:hAnsi="宋体" w:eastAsia="仿宋_GB2312"/>
          <w:sz w:val="24"/>
          <w:szCs w:val="21"/>
        </w:rPr>
        <w:t>一</w:t>
      </w:r>
      <w:r>
        <w:rPr>
          <w:rFonts w:hint="eastAsia" w:ascii="宋体" w:hAnsi="宋体" w:eastAsia="仿宋_GB2312"/>
          <w:sz w:val="24"/>
          <w:szCs w:val="21"/>
        </w:rPr>
        <w:t>”、“</w:t>
      </w:r>
      <w:r>
        <w:rPr>
          <w:rFonts w:ascii="宋体" w:hAnsi="宋体" w:eastAsia="仿宋_GB2312"/>
          <w:sz w:val="24"/>
          <w:szCs w:val="21"/>
        </w:rPr>
        <w:t>（一）</w:t>
      </w:r>
      <w:r>
        <w:rPr>
          <w:rFonts w:hint="eastAsia" w:ascii="宋体" w:hAnsi="宋体" w:eastAsia="仿宋_GB2312"/>
          <w:sz w:val="24"/>
          <w:szCs w:val="21"/>
        </w:rPr>
        <w:t>”、“</w:t>
      </w:r>
      <w:r>
        <w:rPr>
          <w:rFonts w:ascii="宋体" w:hAnsi="宋体" w:eastAsia="仿宋_GB2312"/>
          <w:sz w:val="24"/>
          <w:szCs w:val="21"/>
        </w:rPr>
        <w:t>1.</w:t>
      </w:r>
      <w:r>
        <w:rPr>
          <w:rFonts w:hint="eastAsia" w:ascii="宋体" w:hAnsi="宋体" w:eastAsia="仿宋_GB2312"/>
          <w:sz w:val="24"/>
          <w:szCs w:val="21"/>
        </w:rPr>
        <w:t>”、“</w:t>
      </w:r>
      <w:r>
        <w:rPr>
          <w:rFonts w:ascii="宋体" w:hAnsi="宋体" w:eastAsia="仿宋_GB2312"/>
          <w:sz w:val="24"/>
          <w:szCs w:val="21"/>
        </w:rPr>
        <w:t>（1）</w:t>
      </w:r>
      <w:r>
        <w:rPr>
          <w:rFonts w:hint="eastAsia" w:ascii="宋体" w:hAnsi="宋体" w:eastAsia="仿宋_GB2312"/>
          <w:sz w:val="24"/>
          <w:szCs w:val="21"/>
        </w:rPr>
        <w:t>”</w:t>
      </w:r>
      <w:r>
        <w:rPr>
          <w:rFonts w:ascii="宋体" w:hAnsi="宋体" w:eastAsia="仿宋_GB2312"/>
          <w:sz w:val="24"/>
          <w:szCs w:val="21"/>
        </w:rPr>
        <w:t>标注。</w:t>
      </w:r>
    </w:p>
    <w:p w14:paraId="642D7875">
      <w:pPr>
        <w:spacing w:line="360" w:lineRule="auto"/>
        <w:ind w:firstLine="480" w:firstLineChars="200"/>
        <w:rPr>
          <w:rFonts w:ascii="宋体" w:hAnsi="宋体" w:eastAsia="仿宋_GB2312"/>
          <w:sz w:val="24"/>
          <w:szCs w:val="21"/>
        </w:rPr>
      </w:pPr>
      <w:r>
        <w:rPr>
          <w:rFonts w:ascii="宋体" w:hAnsi="宋体" w:eastAsia="仿宋_GB2312"/>
          <w:sz w:val="24"/>
          <w:szCs w:val="21"/>
        </w:rPr>
        <w:t>（3）正文中文字体字号为仿宋GB-2312三号字，数字、字母等西文字体为宋体 三号字，段落行距为28磅，首行缩进2字符。</w:t>
      </w:r>
    </w:p>
    <w:p w14:paraId="3F7305F5">
      <w:pPr>
        <w:spacing w:line="360" w:lineRule="auto"/>
        <w:ind w:firstLine="480" w:firstLineChars="200"/>
        <w:rPr>
          <w:rFonts w:ascii="宋体" w:hAnsi="宋体" w:eastAsia="仿宋_GB2312"/>
          <w:sz w:val="24"/>
          <w:szCs w:val="21"/>
        </w:rPr>
      </w:pPr>
      <w:r>
        <w:rPr>
          <w:rFonts w:ascii="宋体" w:hAnsi="宋体" w:eastAsia="仿宋_GB2312"/>
          <w:sz w:val="24"/>
          <w:szCs w:val="21"/>
        </w:rPr>
        <w:t>3.编制说明的内容</w:t>
      </w:r>
    </w:p>
    <w:p w14:paraId="3AB85F99">
      <w:pPr>
        <w:spacing w:line="360" w:lineRule="auto"/>
        <w:ind w:firstLine="480" w:firstLineChars="200"/>
        <w:rPr>
          <w:rFonts w:ascii="宋体" w:hAnsi="宋体" w:eastAsia="仿宋_GB2312"/>
          <w:sz w:val="24"/>
          <w:szCs w:val="21"/>
        </w:rPr>
      </w:pPr>
      <w:r>
        <w:rPr>
          <w:rFonts w:ascii="宋体" w:hAnsi="宋体" w:eastAsia="仿宋_GB2312"/>
          <w:sz w:val="24"/>
          <w:szCs w:val="21"/>
        </w:rPr>
        <w:t>（1）应按照格式要求逐条说明，不涉及的填“无”。</w:t>
      </w:r>
    </w:p>
    <w:p w14:paraId="4E383105">
      <w:pPr>
        <w:spacing w:line="360" w:lineRule="auto"/>
        <w:ind w:firstLine="480" w:firstLineChars="200"/>
        <w:rPr>
          <w:rFonts w:ascii="宋体" w:hAnsi="宋体" w:eastAsia="仿宋_GB2312"/>
          <w:sz w:val="24"/>
          <w:szCs w:val="21"/>
        </w:rPr>
      </w:pPr>
      <w:r>
        <w:rPr>
          <w:rFonts w:ascii="宋体" w:hAnsi="宋体" w:eastAsia="仿宋_GB2312"/>
          <w:sz w:val="24"/>
          <w:szCs w:val="21"/>
        </w:rPr>
        <w:t>（2）应根据工作进度不断补充完善，工作过程有连续性。</w:t>
      </w:r>
    </w:p>
    <w:p w14:paraId="5CBD6EBF">
      <w:pPr>
        <w:spacing w:line="360" w:lineRule="auto"/>
        <w:ind w:firstLine="480" w:firstLineChars="200"/>
        <w:rPr>
          <w:rFonts w:ascii="宋体" w:hAnsi="宋体" w:eastAsia="仿宋_GB2312"/>
          <w:sz w:val="24"/>
          <w:szCs w:val="21"/>
        </w:rPr>
      </w:pPr>
      <w:r>
        <w:rPr>
          <w:rFonts w:ascii="宋体" w:hAnsi="宋体" w:eastAsia="仿宋_GB2312"/>
          <w:sz w:val="24"/>
          <w:szCs w:val="21"/>
        </w:rPr>
        <w:t>（3）编制说明不是对标准内容的复制。</w:t>
      </w:r>
    </w:p>
    <w:p w14:paraId="6A4E7EBC">
      <w:pPr>
        <w:spacing w:line="360" w:lineRule="auto"/>
        <w:ind w:firstLine="480" w:firstLineChars="200"/>
        <w:rPr>
          <w:rFonts w:ascii="宋体" w:hAnsi="宋体" w:eastAsia="仿宋_GB2312"/>
          <w:sz w:val="24"/>
          <w:szCs w:val="21"/>
        </w:rPr>
      </w:pPr>
      <w:r>
        <w:rPr>
          <w:rFonts w:ascii="宋体" w:hAnsi="宋体" w:eastAsia="仿宋_GB2312"/>
          <w:sz w:val="24"/>
          <w:szCs w:val="21"/>
        </w:rPr>
        <w:t>（4）应关注强制性标准的依据、修订标准的主要技术内容比对、标准实施过渡期、强制性标准实施政策等重要内容的编写，详见下文模板。</w:t>
      </w:r>
    </w:p>
    <w:p w14:paraId="6060DAF8">
      <w:pPr>
        <w:spacing w:line="360" w:lineRule="auto"/>
        <w:ind w:firstLine="480" w:firstLineChars="200"/>
        <w:rPr>
          <w:rFonts w:ascii="宋体" w:hAnsi="宋体" w:eastAsia="仿宋_GB2312"/>
          <w:sz w:val="24"/>
          <w:szCs w:val="21"/>
        </w:rPr>
      </w:pPr>
      <w:r>
        <w:rPr>
          <w:rFonts w:ascii="宋体" w:hAnsi="宋体" w:eastAsia="仿宋_GB2312"/>
          <w:sz w:val="24"/>
          <w:szCs w:val="21"/>
        </w:rPr>
        <w:t xml:space="preserve">4.其他 </w:t>
      </w:r>
    </w:p>
    <w:p w14:paraId="7EBD52C7">
      <w:pPr>
        <w:spacing w:line="360" w:lineRule="auto"/>
        <w:ind w:firstLine="480" w:firstLineChars="200"/>
        <w:rPr>
          <w:rFonts w:ascii="宋体" w:hAnsi="宋体" w:eastAsia="仿宋_GB2312"/>
          <w:sz w:val="24"/>
          <w:szCs w:val="21"/>
        </w:rPr>
      </w:pPr>
      <w:r>
        <w:rPr>
          <w:rFonts w:ascii="宋体" w:hAnsi="宋体" w:eastAsia="仿宋_GB2312"/>
          <w:sz w:val="24"/>
          <w:szCs w:val="21"/>
        </w:rPr>
        <w:t>（1）编制说明内容模板中的斜体文字内容为参考，正式提交后应删除。</w:t>
      </w:r>
    </w:p>
    <w:p w14:paraId="401D91B5">
      <w:pPr>
        <w:spacing w:line="360" w:lineRule="auto"/>
        <w:ind w:firstLine="480" w:firstLineChars="200"/>
        <w:rPr>
          <w:rFonts w:ascii="宋体" w:hAnsi="宋体" w:eastAsia="仿宋_GB2312"/>
          <w:sz w:val="24"/>
          <w:szCs w:val="21"/>
        </w:rPr>
      </w:pPr>
      <w:r>
        <w:rPr>
          <w:rFonts w:ascii="宋体" w:hAnsi="宋体" w:eastAsia="仿宋_GB2312"/>
          <w:sz w:val="24"/>
          <w:szCs w:val="21"/>
        </w:rPr>
        <w:t>（2）编制说明应正反面打印。本说明保留，打印首页反面。</w:t>
      </w:r>
    </w:p>
    <w:p w14:paraId="496B9882">
      <w:pPr>
        <w:jc w:val="center"/>
        <w:rPr>
          <w:rFonts w:ascii="宋体" w:hAnsi="宋体" w:eastAsia="黑体"/>
          <w:sz w:val="32"/>
          <w:szCs w:val="32"/>
        </w:rPr>
      </w:pPr>
    </w:p>
    <w:p w14:paraId="3FC67F34">
      <w:pPr>
        <w:rPr>
          <w:rFonts w:ascii="宋体" w:hAnsi="宋体" w:eastAsia="黑体"/>
          <w:sz w:val="32"/>
          <w:szCs w:val="32"/>
        </w:rPr>
        <w:sectPr>
          <w:headerReference r:id="rId17" w:type="first"/>
          <w:headerReference r:id="rId16" w:type="default"/>
          <w:footerReference r:id="rId18" w:type="default"/>
          <w:type w:val="continuous"/>
          <w:pgSz w:w="11907" w:h="16840"/>
          <w:pgMar w:top="1440" w:right="1800" w:bottom="1440" w:left="1800" w:header="851" w:footer="992" w:gutter="0"/>
          <w:cols w:space="720" w:num="1"/>
          <w:titlePg/>
          <w:docGrid w:type="linesAndChars" w:linePitch="312" w:charSpace="0"/>
        </w:sectPr>
      </w:pPr>
    </w:p>
    <w:p w14:paraId="7A73A65A">
      <w:pPr>
        <w:pStyle w:val="258"/>
        <w:tabs>
          <w:tab w:val="center" w:pos="4201"/>
          <w:tab w:val="right" w:leader="dot" w:pos="9298"/>
        </w:tabs>
        <w:spacing w:line="560" w:lineRule="exact"/>
        <w:ind w:firstLine="480" w:firstLineChars="150"/>
        <w:outlineLvl w:val="0"/>
        <w:rPr>
          <w:rFonts w:hAnsi="宋体" w:eastAsia="黑体"/>
          <w:color w:val="000000"/>
          <w:sz w:val="32"/>
          <w:szCs w:val="32"/>
        </w:rPr>
      </w:pPr>
    </w:p>
    <w:p w14:paraId="3D0ACEC6">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一、工作简况</w:t>
      </w:r>
    </w:p>
    <w:p w14:paraId="62AB5672">
      <w:pPr>
        <w:spacing w:line="560" w:lineRule="exact"/>
        <w:ind w:firstLine="640" w:firstLineChars="200"/>
        <w:outlineLvl w:val="1"/>
        <w:rPr>
          <w:rFonts w:ascii="宋体" w:hAnsi="宋体" w:eastAsia="楷体" w:cs="方正楷体_GBK"/>
          <w:color w:val="000000"/>
          <w:sz w:val="32"/>
          <w:szCs w:val="32"/>
        </w:rPr>
      </w:pPr>
      <w:r>
        <w:rPr>
          <w:rFonts w:hint="eastAsia" w:ascii="宋体" w:hAnsi="宋体" w:eastAsia="楷体" w:cs="方正楷体_GBK"/>
          <w:color w:val="000000"/>
          <w:sz w:val="32"/>
          <w:szCs w:val="32"/>
        </w:rPr>
        <w:t>（一）任务来源</w:t>
      </w:r>
    </w:p>
    <w:p w14:paraId="62204F6B">
      <w:pPr>
        <w:spacing w:line="560" w:lineRule="exact"/>
        <w:ind w:firstLine="640" w:firstLineChars="200"/>
        <w:rPr>
          <w:rFonts w:ascii="宋体" w:hAnsi="宋体" w:eastAsia="仿宋_GB2312" w:cs="仿宋_GB2312"/>
          <w:sz w:val="32"/>
          <w:szCs w:val="32"/>
        </w:rPr>
      </w:pPr>
      <w:r>
        <w:rPr>
          <w:rFonts w:ascii="宋体" w:hAnsi="宋体" w:eastAsia="仿宋_GB2312"/>
          <w:sz w:val="32"/>
          <w:szCs w:val="32"/>
        </w:rPr>
        <w:t>根</w:t>
      </w:r>
      <w:r>
        <w:rPr>
          <w:rFonts w:hint="eastAsia" w:ascii="宋体" w:hAnsi="宋体" w:eastAsia="仿宋_GB2312"/>
          <w:sz w:val="32"/>
          <w:szCs w:val="32"/>
        </w:rPr>
        <w:t>据《国家标准化管理委员会关于下达安全生产领域强制性国家标准制修订专项计划的通知》（国标委发〔2024〕46号），强制性国家标准《含硫化氢天然气井安全防护规范》</w:t>
      </w:r>
      <w:r>
        <w:rPr>
          <w:rFonts w:ascii="宋体" w:hAnsi="宋体" w:eastAsia="仿宋_GB2312"/>
          <w:sz w:val="32"/>
          <w:szCs w:val="32"/>
        </w:rPr>
        <w:t>（标准计划号：20242797-Q-450）</w:t>
      </w:r>
      <w:r>
        <w:rPr>
          <w:rFonts w:hint="eastAsia" w:ascii="宋体" w:hAnsi="宋体" w:eastAsia="仿宋_GB2312"/>
          <w:sz w:val="32"/>
          <w:szCs w:val="32"/>
        </w:rPr>
        <w:t>制定计划正式下达。</w:t>
      </w:r>
      <w:r>
        <w:rPr>
          <w:rFonts w:hint="eastAsia" w:ascii="宋体" w:hAnsi="宋体" w:eastAsia="仿宋_GB2312" w:cs="仿宋_GB2312"/>
          <w:sz w:val="32"/>
          <w:szCs w:val="32"/>
        </w:rPr>
        <w:t>本标准项目由应急管理部归口，委托SAC TC288/SC10全国安全生产标准化技术委员会石油天然气开采安全分技术委员会组织制订，</w:t>
      </w:r>
      <w:r>
        <w:rPr>
          <w:rFonts w:hint="eastAsia" w:ascii="宋体" w:hAnsi="宋体" w:eastAsia="仿宋_GB2312"/>
          <w:sz w:val="32"/>
          <w:szCs w:val="32"/>
        </w:rPr>
        <w:t>由</w:t>
      </w:r>
      <w:r>
        <w:rPr>
          <w:rFonts w:ascii="宋体" w:hAnsi="宋体" w:eastAsia="仿宋_GB2312"/>
          <w:sz w:val="32"/>
          <w:szCs w:val="32"/>
        </w:rPr>
        <w:t>中国安全生产科学研究院</w:t>
      </w:r>
      <w:r>
        <w:rPr>
          <w:rFonts w:hint="eastAsia" w:ascii="宋体" w:hAnsi="宋体" w:eastAsia="仿宋_GB2312"/>
          <w:sz w:val="32"/>
          <w:szCs w:val="32"/>
        </w:rPr>
        <w:t>负责牵头标准编制的起草工作。</w:t>
      </w:r>
    </w:p>
    <w:p w14:paraId="0C93AD51">
      <w:pPr>
        <w:spacing w:line="560" w:lineRule="exact"/>
        <w:ind w:firstLine="640" w:firstLineChars="200"/>
        <w:outlineLvl w:val="1"/>
        <w:rPr>
          <w:rFonts w:ascii="宋体" w:hAnsi="宋体" w:eastAsia="楷体" w:cs="方正楷体_GBK"/>
          <w:color w:val="000000"/>
          <w:sz w:val="32"/>
          <w:szCs w:val="32"/>
        </w:rPr>
      </w:pPr>
      <w:r>
        <w:rPr>
          <w:rFonts w:ascii="宋体" w:hAnsi="宋体" w:eastAsia="楷体" w:cs="方正楷体_GBK"/>
          <w:color w:val="000000"/>
          <w:sz w:val="32"/>
          <w:szCs w:val="32"/>
        </w:rPr>
        <w:t>（二）</w:t>
      </w:r>
      <w:r>
        <w:rPr>
          <w:rFonts w:hint="eastAsia" w:ascii="宋体" w:hAnsi="宋体" w:eastAsia="楷体" w:cs="方正楷体_GBK"/>
          <w:color w:val="000000"/>
          <w:sz w:val="32"/>
          <w:szCs w:val="32"/>
        </w:rPr>
        <w:t>起草单位</w:t>
      </w:r>
    </w:p>
    <w:p w14:paraId="186CB00E">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标准由中国安全生产科学研究院牵头起草，中国石油天然气股份有限公司西南油气田分公司、中海油研究总院有限责任公司、中海油安全技术服务有限公司、中国石油化工股份有限公司中原油田分公司、中国石油集团安全环保技术研究院有限公司、四川省安全科学技术研究院、中国石油大学（北京）、西南石油大学参与起草。</w:t>
      </w:r>
    </w:p>
    <w:p w14:paraId="1CAAC255">
      <w:pPr>
        <w:spacing w:line="560" w:lineRule="exact"/>
        <w:ind w:firstLine="640" w:firstLineChars="200"/>
        <w:outlineLvl w:val="1"/>
        <w:rPr>
          <w:rFonts w:ascii="宋体" w:hAnsi="宋体" w:eastAsia="楷体" w:cs="方正楷体_GBK"/>
          <w:color w:val="000000"/>
          <w:sz w:val="32"/>
          <w:szCs w:val="32"/>
        </w:rPr>
      </w:pPr>
      <w:bookmarkStart w:id="88" w:name="_Toc32741"/>
      <w:bookmarkStart w:id="89" w:name="_Toc19071"/>
      <w:bookmarkStart w:id="90" w:name="_Toc31452"/>
      <w:bookmarkStart w:id="91" w:name="_Toc24917"/>
      <w:r>
        <w:rPr>
          <w:rFonts w:hint="eastAsia" w:ascii="宋体" w:hAnsi="宋体" w:eastAsia="楷体" w:cs="方正楷体_GBK"/>
          <w:color w:val="000000"/>
          <w:sz w:val="32"/>
          <w:szCs w:val="32"/>
        </w:rPr>
        <w:t>（三）标准制订的目的及意义</w:t>
      </w:r>
      <w:bookmarkEnd w:id="88"/>
      <w:bookmarkEnd w:id="89"/>
      <w:bookmarkEnd w:id="90"/>
      <w:bookmarkEnd w:id="91"/>
    </w:p>
    <w:p w14:paraId="5DEE0806">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近年来，我国在四川盆地、塔里木盆地等区域持续推进含硫天然气资源开发，高含硫天然气井数量持续增加。根据国家能源局统计数据显示，截至2023年底，我国已建成投产高含硫气田12个，单井硫化氢含量最高达17%（体积分数），年产气量突破300亿立方米，占全国天然气总产量的15%。由于高含硫气藏地质成因及流体相态变化规律复杂，硫化氢具有强腐蚀性和剧毒性，导致含硫化氢气藏开发的安全条件要求苛刻，出现异常工况时容易引发严重事故。尽管现行的行业标准从不同方面对含硫化氢天然气井的各项生产作业环节做出了基本规定，但在覆盖钻井、生产到废弃的全生命周期安全管理以及海上平台防护等方面仍存在不足，亟需针对含硫化氢天然气井建立覆盖全生命周期的安全防护规范。</w:t>
      </w:r>
    </w:p>
    <w:p w14:paraId="0FB6C385">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因此，为完善健全含硫化氢天然气井开采作业的安全要求，全面规范含硫化氢天然气井陆上及海上全生命周期生产作业过程中</w:t>
      </w:r>
      <w:r>
        <w:rPr>
          <w:rFonts w:hint="eastAsia" w:ascii="宋体" w:hAnsi="宋体" w:eastAsia="仿宋_GB2312" w:cs="仿宋_GB2312"/>
          <w:sz w:val="32"/>
          <w:szCs w:val="32"/>
        </w:rPr>
        <w:t>各阶段的安全生产要求</w:t>
      </w:r>
      <w:r>
        <w:rPr>
          <w:rFonts w:hint="eastAsia" w:ascii="宋体" w:hAnsi="宋体" w:eastAsia="仿宋_GB2312"/>
          <w:sz w:val="32"/>
          <w:szCs w:val="32"/>
        </w:rPr>
        <w:t>，进一步保障含硫化氢天然气井开采安全，</w:t>
      </w:r>
      <w:r>
        <w:rPr>
          <w:rFonts w:hint="eastAsia" w:ascii="宋体" w:hAnsi="宋体" w:eastAsia="仿宋_GB2312" w:cs="仿宋_GB2312"/>
          <w:sz w:val="32"/>
          <w:szCs w:val="32"/>
        </w:rPr>
        <w:t>计划起草国家标准《</w:t>
      </w:r>
      <w:r>
        <w:rPr>
          <w:rFonts w:hint="eastAsia" w:ascii="宋体" w:hAnsi="宋体" w:eastAsia="仿宋_GB2312"/>
          <w:sz w:val="32"/>
          <w:szCs w:val="32"/>
        </w:rPr>
        <w:t>含硫化氢天然气井安全防护规范</w:t>
      </w:r>
      <w:r>
        <w:rPr>
          <w:rFonts w:hint="eastAsia" w:ascii="宋体" w:hAnsi="宋体" w:eastAsia="仿宋_GB2312" w:cs="仿宋_GB2312"/>
          <w:sz w:val="32"/>
          <w:szCs w:val="32"/>
        </w:rPr>
        <w:t>》。</w:t>
      </w:r>
    </w:p>
    <w:p w14:paraId="71778A06">
      <w:pPr>
        <w:spacing w:line="560" w:lineRule="exact"/>
        <w:ind w:firstLine="640" w:firstLineChars="200"/>
        <w:outlineLvl w:val="1"/>
        <w:rPr>
          <w:rFonts w:ascii="宋体" w:hAnsi="宋体" w:eastAsia="楷体" w:cs="方正楷体_GBK"/>
          <w:sz w:val="32"/>
          <w:szCs w:val="32"/>
        </w:rPr>
      </w:pPr>
      <w:bookmarkStart w:id="92" w:name="_Toc7448"/>
      <w:bookmarkStart w:id="93" w:name="_Toc24522"/>
      <w:bookmarkStart w:id="94" w:name="_Toc21179"/>
      <w:bookmarkStart w:id="95" w:name="_Toc25935"/>
      <w:r>
        <w:rPr>
          <w:rFonts w:hint="eastAsia" w:ascii="宋体" w:hAnsi="宋体" w:eastAsia="楷体" w:cs="方正楷体_GBK"/>
          <w:color w:val="000000"/>
          <w:sz w:val="32"/>
          <w:szCs w:val="32"/>
        </w:rPr>
        <w:t>（</w:t>
      </w:r>
      <w:r>
        <w:rPr>
          <w:rFonts w:hint="eastAsia" w:ascii="宋体" w:hAnsi="宋体" w:eastAsia="楷体" w:cs="方正楷体_GBK"/>
          <w:sz w:val="32"/>
          <w:szCs w:val="32"/>
        </w:rPr>
        <w:t>四）标准编制过程</w:t>
      </w:r>
      <w:bookmarkEnd w:id="92"/>
      <w:bookmarkEnd w:id="93"/>
      <w:bookmarkEnd w:id="94"/>
      <w:bookmarkEnd w:id="95"/>
    </w:p>
    <w:p w14:paraId="11F6F7AD">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标准起草工作从202</w:t>
      </w:r>
      <w:r>
        <w:rPr>
          <w:rFonts w:ascii="宋体" w:hAnsi="宋体" w:eastAsia="仿宋_GB2312" w:cs="仿宋_GB2312"/>
          <w:sz w:val="32"/>
          <w:szCs w:val="32"/>
        </w:rPr>
        <w:t>4</w:t>
      </w:r>
      <w:r>
        <w:rPr>
          <w:rFonts w:hint="eastAsia" w:ascii="宋体" w:hAnsi="宋体" w:eastAsia="仿宋_GB2312" w:cs="仿宋_GB2312"/>
          <w:sz w:val="32"/>
          <w:szCs w:val="32"/>
        </w:rPr>
        <w:t>年</w:t>
      </w:r>
      <w:r>
        <w:rPr>
          <w:rFonts w:ascii="宋体" w:hAnsi="宋体" w:eastAsia="仿宋_GB2312" w:cs="仿宋_GB2312"/>
          <w:sz w:val="32"/>
          <w:szCs w:val="32"/>
        </w:rPr>
        <w:t>7</w:t>
      </w:r>
      <w:r>
        <w:rPr>
          <w:rFonts w:hint="eastAsia" w:ascii="宋体" w:hAnsi="宋体" w:eastAsia="仿宋_GB2312" w:cs="仿宋_GB2312"/>
          <w:sz w:val="32"/>
          <w:szCs w:val="32"/>
        </w:rPr>
        <w:t>月启动，制定了标准编制工作方案，在起草过程中，中国安全生产科学研究院成立了编制工作组，抽调相关参与单位中具有丰富现场经验及安全生产经验的专业技术人员，以《安全生产法》为总领，在现有国家、行业标准和安全标准基础上，参考含硫化氢天然气井开采作业过程中的管理规范，先后召开多次内部专题讨论，编写了标准总体框架，并经过交流、讨论，形成标准草稿。在此基础上，起草组组织对标准草案进行了专题讨论，并在中国石油天然气股份有限公司西南油气田分公司、中海油研究总院有限责任公司等相关单位征求了内部意见，提出了多项修改建议和编制要求。起草组积极响应，针对提出的各项问题开展《标准》的编制完善工作。</w:t>
      </w:r>
    </w:p>
    <w:p w14:paraId="4A88661D">
      <w:pPr>
        <w:pStyle w:val="27"/>
        <w:spacing w:line="560" w:lineRule="exact"/>
        <w:ind w:firstLine="640"/>
        <w:rPr>
          <w:rFonts w:ascii="宋体" w:hAnsi="宋体" w:eastAsia="仿宋_GB2312" w:cs="仿宋_GB2312"/>
          <w:sz w:val="32"/>
          <w:szCs w:val="32"/>
        </w:rPr>
      </w:pPr>
      <w:r>
        <w:rPr>
          <w:rFonts w:hint="eastAsia" w:ascii="宋体" w:hAnsi="宋体" w:eastAsia="仿宋_GB2312" w:cs="仿宋_GB2312"/>
          <w:sz w:val="32"/>
          <w:szCs w:val="32"/>
        </w:rPr>
        <w:t>2</w:t>
      </w:r>
      <w:r>
        <w:rPr>
          <w:rFonts w:ascii="宋体" w:hAnsi="宋体" w:eastAsia="仿宋_GB2312" w:cs="仿宋_GB2312"/>
          <w:sz w:val="32"/>
          <w:szCs w:val="32"/>
        </w:rPr>
        <w:t>024</w:t>
      </w:r>
      <w:r>
        <w:rPr>
          <w:rFonts w:hint="eastAsia" w:ascii="宋体" w:hAnsi="宋体" w:eastAsia="仿宋_GB2312" w:cs="仿宋_GB2312"/>
          <w:sz w:val="32"/>
          <w:szCs w:val="32"/>
        </w:rPr>
        <w:t>年7月，全国安全生产标准化技术委员会石油天然气开采安全分技术委员会（以下简称“石油安全分标委”）先后组织召开标准立项论证会和审查会，起草工作组进行了汇报，本标准顺利通过了论证和审查。</w:t>
      </w:r>
    </w:p>
    <w:p w14:paraId="6DC23E33">
      <w:pPr>
        <w:pStyle w:val="27"/>
        <w:spacing w:line="560" w:lineRule="exact"/>
        <w:ind w:firstLine="640"/>
        <w:rPr>
          <w:rFonts w:ascii="宋体" w:hAnsi="宋体" w:eastAsia="仿宋_GB2312" w:cs="仿宋_GB2312"/>
          <w:sz w:val="32"/>
          <w:szCs w:val="32"/>
        </w:rPr>
      </w:pPr>
      <w:r>
        <w:rPr>
          <w:rFonts w:ascii="宋体" w:hAnsi="宋体" w:eastAsia="仿宋_GB2312" w:cs="仿宋_GB2312"/>
          <w:sz w:val="32"/>
          <w:szCs w:val="32"/>
        </w:rPr>
        <w:t>2024</w:t>
      </w:r>
      <w:r>
        <w:rPr>
          <w:rFonts w:hint="eastAsia" w:ascii="宋体" w:hAnsi="宋体" w:eastAsia="仿宋_GB2312" w:cs="仿宋_GB2312"/>
          <w:sz w:val="32"/>
          <w:szCs w:val="32"/>
        </w:rPr>
        <w:t>年8月至</w:t>
      </w:r>
      <w:r>
        <w:rPr>
          <w:rFonts w:ascii="宋体" w:hAnsi="宋体" w:eastAsia="仿宋_GB2312" w:cs="仿宋_GB2312"/>
          <w:sz w:val="32"/>
          <w:szCs w:val="32"/>
        </w:rPr>
        <w:t>9</w:t>
      </w:r>
      <w:r>
        <w:rPr>
          <w:rFonts w:hint="eastAsia" w:ascii="宋体" w:hAnsi="宋体" w:eastAsia="仿宋_GB2312" w:cs="仿宋_GB2312"/>
          <w:sz w:val="32"/>
          <w:szCs w:val="32"/>
        </w:rPr>
        <w:t>月，中国安全生产科学研究院牵头组织各参与单位进行深度调研，实地考察现场安全防护需求，梳理含硫化氢天然气井全生命周期安全防护的关键环节以及当前生产作业过程中存在的主要问题。而后，组织参编单位商讨标准编制思路，确定标准编写框架结构。</w:t>
      </w:r>
    </w:p>
    <w:p w14:paraId="4FD9184C">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2</w:t>
      </w:r>
      <w:r>
        <w:rPr>
          <w:rFonts w:ascii="宋体" w:hAnsi="宋体" w:eastAsia="仿宋_GB2312" w:cs="仿宋_GB2312"/>
          <w:sz w:val="32"/>
          <w:szCs w:val="32"/>
        </w:rPr>
        <w:t>024</w:t>
      </w:r>
      <w:r>
        <w:rPr>
          <w:rFonts w:hint="eastAsia" w:ascii="宋体" w:hAnsi="宋体" w:eastAsia="仿宋_GB2312" w:cs="仿宋_GB2312"/>
          <w:sz w:val="32"/>
          <w:szCs w:val="32"/>
        </w:rPr>
        <w:t>年1</w:t>
      </w:r>
      <w:r>
        <w:rPr>
          <w:rFonts w:ascii="宋体" w:hAnsi="宋体" w:eastAsia="仿宋_GB2312" w:cs="仿宋_GB2312"/>
          <w:sz w:val="32"/>
          <w:szCs w:val="32"/>
        </w:rPr>
        <w:t>0</w:t>
      </w:r>
      <w:r>
        <w:rPr>
          <w:rFonts w:hint="eastAsia" w:ascii="宋体" w:hAnsi="宋体" w:eastAsia="仿宋_GB2312" w:cs="仿宋_GB2312"/>
          <w:sz w:val="32"/>
          <w:szCs w:val="32"/>
        </w:rPr>
        <w:t>月至</w:t>
      </w:r>
      <w:r>
        <w:rPr>
          <w:rFonts w:ascii="宋体" w:hAnsi="宋体" w:eastAsia="仿宋_GB2312" w:cs="仿宋_GB2312"/>
          <w:sz w:val="32"/>
          <w:szCs w:val="32"/>
        </w:rPr>
        <w:t>12</w:t>
      </w:r>
      <w:r>
        <w:rPr>
          <w:rFonts w:hint="eastAsia" w:ascii="宋体" w:hAnsi="宋体" w:eastAsia="仿宋_GB2312" w:cs="仿宋_GB2312"/>
          <w:sz w:val="32"/>
          <w:szCs w:val="32"/>
        </w:rPr>
        <w:t>月，</w:t>
      </w:r>
      <w:r>
        <w:rPr>
          <w:rFonts w:ascii="宋体" w:hAnsi="宋体" w:eastAsia="仿宋_GB2312" w:cs="仿宋_GB2312"/>
          <w:sz w:val="32"/>
          <w:szCs w:val="32"/>
        </w:rPr>
        <w:t>起草工作组</w:t>
      </w:r>
      <w:r>
        <w:rPr>
          <w:rFonts w:hint="eastAsia" w:ascii="宋体" w:hAnsi="宋体" w:eastAsia="仿宋_GB2312" w:cs="仿宋_GB2312"/>
          <w:sz w:val="32"/>
          <w:szCs w:val="32"/>
        </w:rPr>
        <w:t>收集整理含硫化氢天然气井开采主要作业方、相关安全职能部门的意见建议，组织标准讨论会，修改标准文本，形成标准初稿。</w:t>
      </w:r>
    </w:p>
    <w:p w14:paraId="5685F97E">
      <w:pPr>
        <w:pStyle w:val="27"/>
        <w:spacing w:line="560" w:lineRule="exact"/>
        <w:ind w:firstLine="640"/>
        <w:rPr>
          <w:rFonts w:ascii="宋体" w:hAnsi="宋体" w:eastAsia="仿宋_GB2312" w:cs="仿宋_GB2312"/>
          <w:sz w:val="32"/>
          <w:szCs w:val="32"/>
        </w:rPr>
      </w:pPr>
      <w:r>
        <w:rPr>
          <w:rFonts w:hint="eastAsia" w:ascii="宋体" w:hAnsi="宋体" w:eastAsia="仿宋_GB2312" w:cs="仿宋_GB2312"/>
          <w:sz w:val="32"/>
          <w:szCs w:val="32"/>
        </w:rPr>
        <w:t>2024年12月，石油天然气安全分标委组织召开了《含硫化氢天然气井安全防护规范》国家标准审核研讨会，中石油、中石化等企业相关部门负责人和专家对标准草案进行审查研讨。重点针对人员培训以及陆上和海上含硫化氢天然气井开采差异进行了梳理和讨论。会后，中国安全生产科学研究院组织起草组按照专家意见对标准草案进行修改完善。</w:t>
      </w:r>
    </w:p>
    <w:p w14:paraId="6CC14777">
      <w:pPr>
        <w:pStyle w:val="27"/>
        <w:spacing w:line="560" w:lineRule="exact"/>
        <w:ind w:firstLine="640"/>
        <w:rPr>
          <w:rFonts w:ascii="宋体" w:hAnsi="宋体" w:eastAsia="仿宋_GB2312" w:cs="仿宋_GB2312"/>
          <w:sz w:val="32"/>
          <w:szCs w:val="32"/>
        </w:rPr>
      </w:pPr>
      <w:r>
        <w:rPr>
          <w:rFonts w:hint="eastAsia" w:ascii="宋体" w:hAnsi="宋体" w:eastAsia="仿宋_GB2312" w:cs="仿宋_GB2312"/>
          <w:sz w:val="32"/>
          <w:szCs w:val="32"/>
        </w:rPr>
        <w:t>2</w:t>
      </w:r>
      <w:r>
        <w:rPr>
          <w:rFonts w:ascii="宋体" w:hAnsi="宋体" w:eastAsia="仿宋_GB2312" w:cs="仿宋_GB2312"/>
          <w:sz w:val="32"/>
          <w:szCs w:val="32"/>
        </w:rPr>
        <w:t>025</w:t>
      </w:r>
      <w:r>
        <w:rPr>
          <w:rFonts w:hint="eastAsia" w:ascii="宋体" w:hAnsi="宋体" w:eastAsia="仿宋_GB2312" w:cs="仿宋_GB2312"/>
          <w:sz w:val="32"/>
          <w:szCs w:val="32"/>
        </w:rPr>
        <w:t>年</w:t>
      </w:r>
      <w:r>
        <w:rPr>
          <w:rFonts w:ascii="宋体" w:hAnsi="宋体" w:eastAsia="仿宋_GB2312" w:cs="仿宋_GB2312"/>
          <w:sz w:val="32"/>
          <w:szCs w:val="32"/>
        </w:rPr>
        <w:t>1</w:t>
      </w:r>
      <w:r>
        <w:rPr>
          <w:rFonts w:hint="eastAsia" w:ascii="宋体" w:hAnsi="宋体" w:eastAsia="仿宋_GB2312" w:cs="仿宋_GB2312"/>
          <w:sz w:val="32"/>
          <w:szCs w:val="32"/>
        </w:rPr>
        <w:t>月至3月，石油安全分标委又先后组织三次标准初稿审核会，</w:t>
      </w:r>
      <w:r>
        <w:rPr>
          <w:rFonts w:hint="eastAsia" w:ascii="宋体" w:hAnsi="宋体" w:eastAsia="仿宋_GB2312" w:cs="仿宋_GB2312"/>
          <w:sz w:val="32"/>
          <w:szCs w:val="32"/>
          <w:lang w:eastAsia="zh-CN"/>
        </w:rPr>
        <w:t>有关省级应急管理</w:t>
      </w:r>
      <w:r>
        <w:rPr>
          <w:rFonts w:hint="eastAsia" w:ascii="宋体" w:hAnsi="宋体" w:eastAsia="仿宋_GB2312" w:cs="仿宋_GB2312"/>
          <w:sz w:val="32"/>
          <w:szCs w:val="32"/>
        </w:rPr>
        <w:t>部门有关处室负责人，中石油、中石化、中海油等企业相关部门负责人和专家，对标准草案进行审查研讨。研讨会主要就标准适用范围、文本框架和具体条款表述等方面进行了讨论，提出了相关修改意见建议。</w:t>
      </w:r>
    </w:p>
    <w:p w14:paraId="4DDF8143">
      <w:pPr>
        <w:spacing w:line="560" w:lineRule="exact"/>
        <w:ind w:firstLine="640" w:firstLineChars="200"/>
        <w:rPr>
          <w:rFonts w:ascii="宋体" w:hAnsi="宋体" w:eastAsia="仿宋_GB2312"/>
          <w:sz w:val="32"/>
          <w:szCs w:val="32"/>
        </w:rPr>
      </w:pPr>
      <w:r>
        <w:rPr>
          <w:rFonts w:hint="eastAsia" w:ascii="宋体" w:hAnsi="宋体" w:eastAsia="仿宋_GB2312" w:cs="仿宋_GB2312"/>
          <w:sz w:val="32"/>
          <w:szCs w:val="32"/>
        </w:rPr>
        <w:t>2025年</w:t>
      </w:r>
      <w:r>
        <w:rPr>
          <w:rFonts w:ascii="宋体" w:hAnsi="宋体" w:eastAsia="仿宋_GB2312" w:cs="仿宋_GB2312"/>
          <w:sz w:val="32"/>
          <w:szCs w:val="32"/>
        </w:rPr>
        <w:t>4</w:t>
      </w:r>
      <w:r>
        <w:rPr>
          <w:rFonts w:hint="eastAsia" w:ascii="宋体" w:hAnsi="宋体" w:eastAsia="仿宋_GB2312" w:cs="仿宋_GB2312"/>
          <w:sz w:val="32"/>
          <w:szCs w:val="32"/>
        </w:rPr>
        <w:t>月，起草组</w:t>
      </w:r>
      <w:r>
        <w:rPr>
          <w:rFonts w:hint="eastAsia" w:ascii="宋体" w:hAnsi="宋体" w:eastAsia="仿宋_GB2312"/>
          <w:sz w:val="32"/>
          <w:szCs w:val="32"/>
        </w:rPr>
        <w:t>开展内部研讨并组织专家讨论，根据多次审核会相关专家意见，修改完善形成了标准征求意见稿。</w:t>
      </w:r>
    </w:p>
    <w:p w14:paraId="126EC9E0">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二、</w:t>
      </w:r>
      <w:r>
        <w:rPr>
          <w:rFonts w:hint="eastAsia" w:hAnsi="宋体" w:eastAsia="黑体"/>
          <w:color w:val="000000"/>
          <w:sz w:val="32"/>
          <w:szCs w:val="32"/>
        </w:rPr>
        <w:t>标准编制原则、主要技术内容及其确定依据</w:t>
      </w:r>
    </w:p>
    <w:p w14:paraId="3F434462">
      <w:pPr>
        <w:spacing w:line="560" w:lineRule="exact"/>
        <w:ind w:firstLine="640" w:firstLineChars="200"/>
        <w:rPr>
          <w:rFonts w:ascii="宋体" w:hAnsi="宋体" w:eastAsia="楷体" w:cs="方正楷体_GBK"/>
          <w:sz w:val="32"/>
          <w:szCs w:val="32"/>
        </w:rPr>
      </w:pPr>
      <w:r>
        <w:rPr>
          <w:rFonts w:ascii="宋体" w:hAnsi="宋体" w:eastAsia="楷体" w:cs="方正楷体_GBK"/>
          <w:sz w:val="32"/>
          <w:szCs w:val="32"/>
        </w:rPr>
        <w:t>（一）标准编制原则</w:t>
      </w:r>
    </w:p>
    <w:p w14:paraId="12A32B50">
      <w:pPr>
        <w:pStyle w:val="27"/>
        <w:spacing w:line="560" w:lineRule="exact"/>
        <w:ind w:firstLine="640"/>
        <w:rPr>
          <w:rFonts w:ascii="宋体" w:hAnsi="宋体" w:eastAsia="仿宋_GB2312" w:cs="仿宋_GB2312"/>
          <w:sz w:val="32"/>
          <w:szCs w:val="32"/>
        </w:rPr>
      </w:pPr>
      <w:r>
        <w:rPr>
          <w:rFonts w:ascii="宋体" w:hAnsi="宋体" w:eastAsia="仿宋_GB2312" w:cs="仿宋_GB2312"/>
          <w:sz w:val="32"/>
          <w:szCs w:val="32"/>
        </w:rPr>
        <w:t>1.</w:t>
      </w:r>
      <w:r>
        <w:rPr>
          <w:rFonts w:hint="eastAsia" w:ascii="宋体" w:hAnsi="宋体" w:eastAsia="仿宋_GB2312" w:cs="仿宋_GB2312"/>
          <w:sz w:val="32"/>
          <w:szCs w:val="32"/>
        </w:rPr>
        <w:t>科学性原则。运用科学的理论和方法，基于对硫化氢特性、泄漏扩散规律、对人体危害机理等方面深入研究。例如通过实践数据及数值模拟，分析确定硫化氢在不同环境条件下的扩散范围、浓度分布等，为安全防护距离、防护措施等标准内容提供科学依据。同时，参考国内外相关的科学研究成果和实践经验，确保标准具有科学性和先进性。</w:t>
      </w:r>
    </w:p>
    <w:p w14:paraId="18C14906">
      <w:pPr>
        <w:pStyle w:val="27"/>
        <w:spacing w:line="560" w:lineRule="exact"/>
        <w:ind w:firstLine="640"/>
        <w:rPr>
          <w:rFonts w:ascii="宋体" w:hAnsi="宋体" w:eastAsia="仿宋_GB2312"/>
          <w:sz w:val="32"/>
          <w:szCs w:val="32"/>
        </w:rPr>
      </w:pPr>
      <w:r>
        <w:rPr>
          <w:rFonts w:ascii="宋体" w:hAnsi="宋体" w:eastAsia="仿宋_GB2312" w:cs="仿宋_GB2312"/>
          <w:sz w:val="32"/>
          <w:szCs w:val="32"/>
        </w:rPr>
        <w:t>2.</w:t>
      </w:r>
      <w:r>
        <w:rPr>
          <w:rFonts w:hint="eastAsia" w:ascii="宋体" w:hAnsi="宋体" w:eastAsia="仿宋_GB2312" w:cs="仿宋_GB2312"/>
          <w:sz w:val="32"/>
          <w:szCs w:val="32"/>
        </w:rPr>
        <w:t>系统性原则。全面考虑含硫化氢天然气井从钻井、生产、废弃等全生命周期的安全防护要求，涵盖井场选址、井身结构设计、设备选型与安</w:t>
      </w:r>
      <w:r>
        <w:rPr>
          <w:rFonts w:hint="eastAsia" w:ascii="宋体" w:hAnsi="宋体" w:eastAsia="仿宋_GB2312"/>
          <w:sz w:val="32"/>
          <w:szCs w:val="32"/>
        </w:rPr>
        <w:t>装、操作流程规范、监测预警、应急救援等各个环节。比如井场选址要综合考虑周边人口分布、环境敏感点等因素，与居民区、公共设施等保持合理的安全距离；井身结构设计要确保在高压、高含硫等复杂工况下的密封性和稳定性。各环节之间相互关联、相互制约，形成一个完整的安全防护体系。</w:t>
      </w:r>
    </w:p>
    <w:p w14:paraId="4A1B1E0E">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3.</w:t>
      </w:r>
      <w:r>
        <w:rPr>
          <w:rFonts w:hint="eastAsia" w:ascii="宋体" w:hAnsi="宋体" w:eastAsia="仿宋_GB2312" w:cs="仿宋_GB2312"/>
          <w:sz w:val="32"/>
          <w:szCs w:val="32"/>
        </w:rPr>
        <w:t>安全性原则。将保障人员生命安全作为首要目标，确保标准中的安全防护要求能够有效降低硫化氢泄漏等事故对人员造成的危害。严格规定硫化氢的安全浓度限值，当超过限值时必须采取有效的防护和应急措施。加强对井场周边居民和公众的安全保护，通过设置安全防护距离、发布安全警示信息等方式，防止事故对周边人群产生影响。</w:t>
      </w:r>
    </w:p>
    <w:p w14:paraId="0D5CE5BE">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4</w:t>
      </w:r>
      <w:r>
        <w:rPr>
          <w:rFonts w:ascii="宋体" w:hAnsi="宋体" w:eastAsia="仿宋_GB2312" w:cs="仿宋_GB2312"/>
          <w:sz w:val="32"/>
          <w:szCs w:val="32"/>
        </w:rPr>
        <w:t>.</w:t>
      </w:r>
      <w:r>
        <w:rPr>
          <w:rFonts w:hint="eastAsia" w:ascii="宋体" w:hAnsi="宋体" w:eastAsia="仿宋_GB2312" w:cs="仿宋_GB2312"/>
          <w:sz w:val="32"/>
          <w:szCs w:val="32"/>
        </w:rPr>
        <w:t>适用性原则。在本标准的适用范围内，尽量引用和提炼出原部门规章、国家标准和安全标准中的成熟技术条款，充分考虑并保持与国家相关标准、规范的整体协调、衔接和配套。对国家推荐标准、行业标准、企业标准中适合于作为强制标准的内容，将其中的具体条款纳入本标准；现行标准中引用的其它标准，尽可能将其相关内容作为条款列入本标准，不引用整个标准，发挥基础标准的功能。</w:t>
      </w:r>
    </w:p>
    <w:p w14:paraId="3FE657A8">
      <w:pPr>
        <w:spacing w:line="560" w:lineRule="exact"/>
        <w:ind w:firstLine="640" w:firstLineChars="200"/>
        <w:rPr>
          <w:rFonts w:ascii="宋体" w:hAnsi="宋体" w:eastAsia="楷体" w:cs="方正楷体_GBK"/>
          <w:sz w:val="32"/>
          <w:szCs w:val="32"/>
        </w:rPr>
      </w:pPr>
      <w:r>
        <w:rPr>
          <w:rFonts w:hint="eastAsia" w:ascii="宋体" w:hAnsi="宋体" w:eastAsia="楷体" w:cs="方正楷体_GBK"/>
          <w:sz w:val="32"/>
          <w:szCs w:val="32"/>
        </w:rPr>
        <w:t>（二）标准框架和主要内容</w:t>
      </w:r>
    </w:p>
    <w:p w14:paraId="02BD9343">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本文件共包括</w:t>
      </w:r>
      <w:r>
        <w:rPr>
          <w:rFonts w:ascii="宋体" w:hAnsi="宋体" w:eastAsia="仿宋_GB2312" w:cs="仿宋_GB2312"/>
          <w:sz w:val="32"/>
          <w:szCs w:val="32"/>
        </w:rPr>
        <w:t>8</w:t>
      </w:r>
      <w:r>
        <w:rPr>
          <w:rFonts w:hint="eastAsia" w:ascii="宋体" w:hAnsi="宋体" w:eastAsia="仿宋_GB2312" w:cs="仿宋_GB2312"/>
          <w:sz w:val="32"/>
          <w:szCs w:val="32"/>
        </w:rPr>
        <w:t>部分的技术内容。</w:t>
      </w:r>
    </w:p>
    <w:p w14:paraId="3DC732E7">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1.范围</w:t>
      </w:r>
    </w:p>
    <w:p w14:paraId="1DF89F4A">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本文件规定了含硫化氢天然气井安全防护总体要求、公众危害程度分级与安全防护距离、陆上及海上生产作业过程安全防护与应急管理的要求。</w:t>
      </w:r>
    </w:p>
    <w:p w14:paraId="66039C6B">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本文件适用于含硫化氢天然气井的安全防护。</w:t>
      </w:r>
    </w:p>
    <w:p w14:paraId="33949A1A">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2.规范性引用文件</w:t>
      </w:r>
    </w:p>
    <w:p w14:paraId="66E89A21">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罗列了本标准引用和相衔接的相关标准。</w:t>
      </w:r>
    </w:p>
    <w:p w14:paraId="046DD728">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3.术语和定义</w:t>
      </w:r>
    </w:p>
    <w:p w14:paraId="04E3D3FB">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为了统一和明确行业相关用语表述，本文件列出了文中涉及的行业术语和定义，界定了含硫化氢天然气井、高含硫化氢天然气井、硫化氢释放速率、硫化氢环境、安全临界浓度</w:t>
      </w:r>
      <w:r>
        <w:rPr>
          <w:rFonts w:hint="eastAsia" w:ascii="宋体" w:hAnsi="宋体" w:eastAsia="仿宋_GB2312" w:cs="仿宋_GB2312"/>
          <w:sz w:val="32"/>
          <w:szCs w:val="32"/>
        </w:rPr>
        <w:t>共</w:t>
      </w:r>
      <w:r>
        <w:rPr>
          <w:rFonts w:ascii="宋体" w:hAnsi="宋体" w:eastAsia="仿宋_GB2312" w:cs="仿宋_GB2312"/>
          <w:sz w:val="32"/>
          <w:szCs w:val="32"/>
        </w:rPr>
        <w:t>5</w:t>
      </w:r>
      <w:r>
        <w:rPr>
          <w:rFonts w:hint="eastAsia" w:ascii="宋体" w:hAnsi="宋体" w:eastAsia="仿宋_GB2312" w:cs="仿宋_GB2312"/>
          <w:sz w:val="32"/>
          <w:szCs w:val="32"/>
        </w:rPr>
        <w:t>个术语和定义。部分根据行业内统一认识并结合专家评审会意见修改相关行业用语的表述。</w:t>
      </w:r>
    </w:p>
    <w:p w14:paraId="3347EB5F">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4.总体要求</w:t>
      </w:r>
    </w:p>
    <w:p w14:paraId="691D754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本文件第四章是含硫化氢天然气井安全防护的总体要求，从企业安全管理体系、硫化氢现场环境资料、作业人员培训内容以及非作业人员管理要求等方面进行了规定。</w:t>
      </w:r>
    </w:p>
    <w:p w14:paraId="2A28EF80">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5</w:t>
      </w:r>
      <w:r>
        <w:rPr>
          <w:rFonts w:ascii="宋体" w:hAnsi="宋体" w:eastAsia="仿宋_GB2312" w:cs="仿宋_GB2312"/>
          <w:sz w:val="32"/>
          <w:szCs w:val="32"/>
        </w:rPr>
        <w:t>.</w:t>
      </w:r>
      <w:r>
        <w:rPr>
          <w:rFonts w:hint="eastAsia" w:ascii="宋体" w:hAnsi="宋体" w:eastAsia="仿宋_GB2312" w:cs="仿宋_GB2312"/>
          <w:sz w:val="32"/>
          <w:szCs w:val="32"/>
        </w:rPr>
        <w:t>公众危害程度分级与安全防护距离</w:t>
      </w:r>
    </w:p>
    <w:p w14:paraId="7F78B8A5">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本文件第五章是公众危害程度分级与安全防护距离。首先，根据气井的硫化氢释放速率将含硫化氢天然气井公众危害程度等级分为一级、二级、三</w:t>
      </w:r>
      <w:r>
        <w:rPr>
          <w:rFonts w:hint="eastAsia" w:ascii="宋体" w:hAnsi="宋体" w:eastAsia="仿宋_GB2312"/>
          <w:sz w:val="32"/>
          <w:szCs w:val="32"/>
        </w:rPr>
        <w:t>级。针对未取得绝对无阻流量或硫化氢含量的气井，规定了硫化氢释放速率的计算方法。其次，依据陆上含</w:t>
      </w:r>
      <w:r>
        <w:rPr>
          <w:rFonts w:hint="eastAsia" w:ascii="宋体" w:hAnsi="宋体" w:eastAsia="仿宋_GB2312" w:cs="仿宋_GB2312"/>
          <w:sz w:val="32"/>
          <w:szCs w:val="32"/>
        </w:rPr>
        <w:t>硫化氢天然气井公众危害程度等级确定周边公众安全防护距离。</w:t>
      </w:r>
    </w:p>
    <w:p w14:paraId="55508627">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6.陆上生产作业过程安全防护</w:t>
      </w:r>
    </w:p>
    <w:p w14:paraId="0D377BE2">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本文件第六章是陆上生产作业过程安全防护，明确了含硫化氢天然气井的一般</w:t>
      </w:r>
      <w:r>
        <w:rPr>
          <w:rFonts w:hint="eastAsia" w:ascii="宋体" w:hAnsi="宋体" w:eastAsia="仿宋_GB2312"/>
          <w:sz w:val="32"/>
          <w:szCs w:val="32"/>
        </w:rPr>
        <w:t>要求，包括人员防护装备的配备、监测报警仪器的布置、风向标和警示标志等内容。此外，针对具体的作业环节分别明确了含硫化氢天然气井在钻井工程、录井工程、井下</w:t>
      </w:r>
      <w:r>
        <w:rPr>
          <w:rFonts w:hint="eastAsia" w:ascii="宋体" w:hAnsi="宋体" w:eastAsia="仿宋_GB2312" w:cs="仿宋_GB2312"/>
          <w:sz w:val="32"/>
          <w:szCs w:val="32"/>
        </w:rPr>
        <w:t>作业、采气工程、弃置等阶段的设计和施工阶段硫化氢防护要求。</w:t>
      </w:r>
    </w:p>
    <w:p w14:paraId="24984E4B">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7</w:t>
      </w:r>
      <w:r>
        <w:rPr>
          <w:rFonts w:hint="eastAsia" w:ascii="宋体" w:hAnsi="宋体" w:eastAsia="仿宋_GB2312" w:cs="仿宋_GB2312"/>
          <w:sz w:val="32"/>
          <w:szCs w:val="32"/>
        </w:rPr>
        <w:t>.海上生产作业过程安全防护</w:t>
      </w:r>
    </w:p>
    <w:p w14:paraId="020047C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本文件第七章</w:t>
      </w:r>
      <w:r>
        <w:rPr>
          <w:rFonts w:hint="eastAsia" w:ascii="宋体" w:hAnsi="宋体" w:eastAsia="仿宋_GB2312"/>
          <w:sz w:val="32"/>
          <w:szCs w:val="32"/>
        </w:rPr>
        <w:t>是海上生产作业过程安全防护，明确了含硫化氢天然气井海上平台在呼吸器配置、探测报警系统配置、硫化氢环境设备管材、便携式检测仪、医疗配置等一般要求，同时，对钻井工程、录井工程、测井工程、井下作业、采油工程和弃置阶段</w:t>
      </w:r>
      <w:r>
        <w:rPr>
          <w:rFonts w:hint="eastAsia" w:ascii="宋体" w:hAnsi="宋体" w:eastAsia="仿宋_GB2312" w:cs="仿宋_GB2312"/>
          <w:sz w:val="32"/>
          <w:szCs w:val="32"/>
        </w:rPr>
        <w:t>的设计和施工安全防护做出规定。</w:t>
      </w:r>
    </w:p>
    <w:p w14:paraId="5FCE3711">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8</w:t>
      </w:r>
      <w:r>
        <w:rPr>
          <w:rFonts w:hint="eastAsia" w:ascii="宋体" w:hAnsi="宋体" w:eastAsia="仿宋_GB2312" w:cs="仿宋_GB2312"/>
          <w:sz w:val="32"/>
          <w:szCs w:val="32"/>
        </w:rPr>
        <w:t>.应急管理</w:t>
      </w:r>
    </w:p>
    <w:p w14:paraId="0523739A">
      <w:pPr>
        <w:spacing w:line="560" w:lineRule="exact"/>
        <w:ind w:firstLine="640" w:firstLineChars="200"/>
        <w:rPr>
          <w:rFonts w:ascii="宋体" w:hAnsi="宋体" w:eastAsia="仿宋_GB2312"/>
          <w:sz w:val="32"/>
          <w:szCs w:val="32"/>
        </w:rPr>
      </w:pPr>
      <w:r>
        <w:rPr>
          <w:rFonts w:hint="eastAsia" w:ascii="宋体" w:hAnsi="宋体" w:eastAsia="仿宋_GB2312" w:cs="仿宋_GB2312"/>
          <w:sz w:val="32"/>
          <w:szCs w:val="32"/>
        </w:rPr>
        <w:t>本文件</w:t>
      </w:r>
      <w:r>
        <w:rPr>
          <w:rFonts w:hint="eastAsia" w:ascii="宋体" w:hAnsi="宋体" w:eastAsia="仿宋_GB2312"/>
          <w:sz w:val="32"/>
          <w:szCs w:val="32"/>
        </w:rPr>
        <w:t>第八章是应急管理，明确了含硫化氢天然气井在应急管理方面的通用要求以及应急演练、应急撤离、现场救护、陆上井口点火处理等的具体要求。</w:t>
      </w:r>
    </w:p>
    <w:p w14:paraId="3C169F0E">
      <w:pPr>
        <w:spacing w:line="560" w:lineRule="exact"/>
        <w:ind w:firstLine="640" w:firstLineChars="200"/>
        <w:rPr>
          <w:rFonts w:ascii="宋体" w:hAnsi="宋体" w:eastAsia="楷体" w:cs="方正楷体_GBK"/>
          <w:sz w:val="32"/>
          <w:szCs w:val="32"/>
        </w:rPr>
      </w:pPr>
      <w:r>
        <w:rPr>
          <w:rFonts w:hint="eastAsia" w:ascii="宋体" w:hAnsi="宋体" w:eastAsia="楷体" w:cs="方正楷体_GBK"/>
          <w:sz w:val="32"/>
          <w:szCs w:val="32"/>
        </w:rPr>
        <w:t>（三）主要技术要求的依据及理由</w:t>
      </w:r>
    </w:p>
    <w:p w14:paraId="4AE0BA32">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1.基于已经实施运行多年的经验</w:t>
      </w:r>
    </w:p>
    <w:p w14:paraId="2A53EF6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1）我国四川盆地、塔里木盆地等典型区域历经数十年含硫天然气资源开发，已形成一套成熟的安全生产技术体系与管理模式。例如，在井喷防控、腐蚀防护、硫化氢监测预警、应急响应等领域积累了丰富的工程实践经验。这些经验可为本标准制定风险防控体系构建提供支撑。</w:t>
      </w:r>
    </w:p>
    <w:p w14:paraId="7113F0B9">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2）中国石油、中国石化、中国海油作为含硫化氢天然气井开发的主体单位，已经形成了一系列行之有效的行业及企业安全生产标准，经过系统的梳理优化后可以上升为国标。在编制过程中充分参考、借鉴目前已有的、行之有效的相关技术条款内容，确保技术标准层次结构的合理性和内容的全面性。具体参照标准如下：</w:t>
      </w:r>
    </w:p>
    <w:p w14:paraId="2506CCCA">
      <w:pPr>
        <w:spacing w:line="560" w:lineRule="exact"/>
        <w:ind w:firstLine="640" w:firstLineChars="200"/>
        <w:rPr>
          <w:rFonts w:ascii="宋体" w:hAnsi="宋体" w:eastAsia="仿宋_GB2312" w:cs="仿宋_GB2312"/>
          <w:sz w:val="32"/>
          <w:szCs w:val="32"/>
        </w:rPr>
      </w:pPr>
      <w:r>
        <w:rPr>
          <w:rFonts w:hint="eastAsia" w:ascii="宋体" w:hAnsi="宋体" w:eastAsia="仿宋_GB2312"/>
          <w:sz w:val="32"/>
          <w:szCs w:val="32"/>
        </w:rPr>
        <w:t>本文件第四章中的安全管理及人员培训要求，主要借鉴了相关方企业现行的规章管理制度和硫化氢培训取证要求，以及行业标准</w:t>
      </w:r>
      <w:r>
        <w:rPr>
          <w:rFonts w:hint="eastAsia" w:ascii="宋体" w:hAnsi="宋体" w:eastAsia="仿宋_GB2312" w:cs="仿宋_GB2312"/>
          <w:sz w:val="32"/>
          <w:szCs w:val="32"/>
        </w:rPr>
        <w:t>《硫化氢防护安全培训规范》（SY/T 7356）中的考核培训内容。</w:t>
      </w:r>
    </w:p>
    <w:p w14:paraId="10EB244C">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本文件第五章公众危害程度分级与安全防护距离以及8</w:t>
      </w:r>
      <w:r>
        <w:rPr>
          <w:rFonts w:ascii="宋体" w:hAnsi="宋体" w:eastAsia="仿宋_GB2312" w:cs="仿宋_GB2312"/>
          <w:sz w:val="32"/>
          <w:szCs w:val="32"/>
        </w:rPr>
        <w:t>.5</w:t>
      </w:r>
      <w:r>
        <w:rPr>
          <w:rFonts w:hint="eastAsia" w:ascii="宋体" w:hAnsi="宋体" w:eastAsia="仿宋_GB2312" w:cs="仿宋_GB2312"/>
          <w:sz w:val="32"/>
          <w:szCs w:val="32"/>
        </w:rPr>
        <w:t>条陆上井口点火处理等内容主要借鉴了我国安全行业标准AQ</w:t>
      </w:r>
      <w:r>
        <w:rPr>
          <w:rFonts w:ascii="宋体" w:hAnsi="宋体" w:eastAsia="仿宋_GB2312" w:cs="仿宋_GB2312"/>
          <w:sz w:val="32"/>
          <w:szCs w:val="32"/>
        </w:rPr>
        <w:t xml:space="preserve"> </w:t>
      </w:r>
      <w:r>
        <w:rPr>
          <w:rFonts w:hint="eastAsia" w:ascii="宋体" w:hAnsi="宋体" w:eastAsia="仿宋_GB2312" w:cs="仿宋_GB2312"/>
          <w:sz w:val="32"/>
          <w:szCs w:val="32"/>
        </w:rPr>
        <w:t>201</w:t>
      </w:r>
      <w:r>
        <w:rPr>
          <w:rFonts w:ascii="宋体" w:hAnsi="宋体" w:eastAsia="仿宋_GB2312" w:cs="仿宋_GB2312"/>
          <w:sz w:val="32"/>
          <w:szCs w:val="32"/>
        </w:rPr>
        <w:t>6</w:t>
      </w:r>
      <w:r>
        <w:rPr>
          <w:rFonts w:hint="eastAsia" w:ascii="宋体" w:hAnsi="宋体" w:eastAsia="仿宋_GB2312" w:cs="仿宋_GB2312"/>
          <w:sz w:val="32"/>
          <w:szCs w:val="32"/>
        </w:rPr>
        <w:t>-2008、AQ</w:t>
      </w:r>
      <w:r>
        <w:rPr>
          <w:rFonts w:ascii="宋体" w:hAnsi="宋体" w:eastAsia="仿宋_GB2312" w:cs="仿宋_GB2312"/>
          <w:sz w:val="32"/>
          <w:szCs w:val="32"/>
        </w:rPr>
        <w:t xml:space="preserve"> </w:t>
      </w:r>
      <w:r>
        <w:rPr>
          <w:rFonts w:hint="eastAsia" w:ascii="宋体" w:hAnsi="宋体" w:eastAsia="仿宋_GB2312" w:cs="仿宋_GB2312"/>
          <w:sz w:val="32"/>
          <w:szCs w:val="32"/>
        </w:rPr>
        <w:t>201</w:t>
      </w:r>
      <w:r>
        <w:rPr>
          <w:rFonts w:ascii="宋体" w:hAnsi="宋体" w:eastAsia="仿宋_GB2312" w:cs="仿宋_GB2312"/>
          <w:sz w:val="32"/>
          <w:szCs w:val="32"/>
        </w:rPr>
        <w:t>7</w:t>
      </w:r>
      <w:r>
        <w:rPr>
          <w:rFonts w:hint="eastAsia" w:ascii="宋体" w:hAnsi="宋体" w:eastAsia="仿宋_GB2312" w:cs="仿宋_GB2312"/>
          <w:sz w:val="32"/>
          <w:szCs w:val="32"/>
        </w:rPr>
        <w:t>-2008、AQ</w:t>
      </w:r>
      <w:r>
        <w:rPr>
          <w:rFonts w:ascii="宋体" w:hAnsi="宋体" w:eastAsia="仿宋_GB2312" w:cs="仿宋_GB2312"/>
          <w:sz w:val="32"/>
          <w:szCs w:val="32"/>
        </w:rPr>
        <w:t xml:space="preserve"> </w:t>
      </w:r>
      <w:r>
        <w:rPr>
          <w:rFonts w:hint="eastAsia" w:ascii="宋体" w:hAnsi="宋体" w:eastAsia="仿宋_GB2312" w:cs="仿宋_GB2312"/>
          <w:sz w:val="32"/>
          <w:szCs w:val="32"/>
        </w:rPr>
        <w:t>201</w:t>
      </w:r>
      <w:r>
        <w:rPr>
          <w:rFonts w:ascii="宋体" w:hAnsi="宋体" w:eastAsia="仿宋_GB2312" w:cs="仿宋_GB2312"/>
          <w:sz w:val="32"/>
          <w:szCs w:val="32"/>
        </w:rPr>
        <w:t>8</w:t>
      </w:r>
      <w:r>
        <w:rPr>
          <w:rFonts w:hint="eastAsia" w:ascii="宋体" w:hAnsi="宋体" w:eastAsia="仿宋_GB2312" w:cs="仿宋_GB2312"/>
          <w:sz w:val="32"/>
          <w:szCs w:val="32"/>
        </w:rPr>
        <w:t>-2008等三项安全标准。首先根据气井的硫化氢释放速率将含硫化氢天然气井公众危害程度等级分为一级、二级、三级，而后根据气井公众危害程度分级确定不同的距离要求。</w:t>
      </w:r>
    </w:p>
    <w:p w14:paraId="27DC32F4">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本文件第六章和第七章的陆上及海上生产作业过程安全防护的具体要求主要借鉴了现行国标及行标的相关规定，主要包括《陆上石油天然气开采安全规程》（</w:t>
      </w:r>
      <w:r>
        <w:rPr>
          <w:rFonts w:ascii="宋体" w:hAnsi="宋体" w:eastAsia="仿宋_GB2312" w:cs="仿宋_GB2312"/>
          <w:sz w:val="32"/>
          <w:szCs w:val="32"/>
        </w:rPr>
        <w:t>GB 42294</w:t>
      </w:r>
      <w:r>
        <w:rPr>
          <w:rFonts w:hint="eastAsia" w:ascii="宋体" w:hAnsi="宋体" w:eastAsia="仿宋_GB2312" w:cs="仿宋_GB2312"/>
          <w:sz w:val="32"/>
          <w:szCs w:val="32"/>
        </w:rPr>
        <w:t>-2022）、《海洋石油天然气开采安全规程 第1部分：总则》（</w:t>
      </w:r>
      <w:r>
        <w:rPr>
          <w:rFonts w:ascii="宋体" w:hAnsi="宋体" w:eastAsia="仿宋_GB2312" w:cs="仿宋_GB2312"/>
          <w:sz w:val="32"/>
          <w:szCs w:val="32"/>
        </w:rPr>
        <w:t>GB 40554.1</w:t>
      </w:r>
      <w:r>
        <w:rPr>
          <w:rFonts w:hint="eastAsia" w:ascii="宋体" w:hAnsi="宋体" w:eastAsia="仿宋_GB2312" w:cs="仿宋_GB2312"/>
          <w:sz w:val="32"/>
          <w:szCs w:val="32"/>
        </w:rPr>
        <w:t>-2021）、《硫化氢环境钻井场所作业安全规范》（</w:t>
      </w:r>
      <w:r>
        <w:rPr>
          <w:rFonts w:ascii="宋体" w:hAnsi="宋体" w:eastAsia="仿宋_GB2312" w:cs="仿宋_GB2312"/>
          <w:sz w:val="32"/>
          <w:szCs w:val="32"/>
        </w:rPr>
        <w:t>SY/T 5087</w:t>
      </w:r>
      <w:r>
        <w:rPr>
          <w:rFonts w:hint="eastAsia" w:ascii="宋体" w:hAnsi="宋体" w:eastAsia="仿宋_GB2312" w:cs="仿宋_GB2312"/>
          <w:sz w:val="32"/>
          <w:szCs w:val="32"/>
        </w:rPr>
        <w:t>-2017）、《硫化氢环境井下作业场所作业安全规范》（</w:t>
      </w:r>
      <w:r>
        <w:rPr>
          <w:rFonts w:ascii="宋体" w:hAnsi="宋体" w:eastAsia="仿宋_GB2312" w:cs="仿宋_GB2312"/>
          <w:sz w:val="32"/>
          <w:szCs w:val="32"/>
        </w:rPr>
        <w:t>SY/T 6610</w:t>
      </w:r>
      <w:r>
        <w:rPr>
          <w:rFonts w:hint="eastAsia" w:ascii="宋体" w:hAnsi="宋体" w:eastAsia="仿宋_GB2312" w:cs="仿宋_GB2312"/>
          <w:sz w:val="32"/>
          <w:szCs w:val="32"/>
        </w:rPr>
        <w:t>-2017）、《硫化氢环境人身防护规范》（</w:t>
      </w:r>
      <w:r>
        <w:rPr>
          <w:rFonts w:ascii="宋体" w:hAnsi="宋体" w:eastAsia="仿宋_GB2312" w:cs="仿宋_GB2312"/>
          <w:sz w:val="32"/>
          <w:szCs w:val="32"/>
        </w:rPr>
        <w:t>SY/T 6277</w:t>
      </w:r>
      <w:r>
        <w:rPr>
          <w:rFonts w:hint="eastAsia" w:ascii="宋体" w:hAnsi="宋体" w:eastAsia="仿宋_GB2312" w:cs="仿宋_GB2312"/>
          <w:sz w:val="32"/>
          <w:szCs w:val="32"/>
        </w:rPr>
        <w:t>-2017）等。</w:t>
      </w:r>
    </w:p>
    <w:p w14:paraId="459B8F1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2.业内成熟做法与专家建议</w:t>
      </w:r>
    </w:p>
    <w:p w14:paraId="7BCD0DAA">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在本标准制订过程中，石油安全分标委以及编制牵头单位等组织多次研讨，历经多次内审，既有标准参编单位和相关的安全管理部门，也有硫化氢现场作业施工单位，覆盖了中石油、中石化、中海油等相关方企业的部门负责人和专家，包含钻完井作业、油气开采和安全防护等专业，标准各部分内容充分征求了业内专家的意见和建议。</w:t>
      </w:r>
    </w:p>
    <w:p w14:paraId="04922853">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总体上，本标准条款内容从满足对含硫化氢天然气井的安全监管、识别危害程度等级、防范重大隐患的需求出发，对编写内容及条款进行规划，通过广泛对标现行相关法律法规、国家标准、安全行业标准、石油行业标准，并适当参考中石油、中石化、中海油等企业标准、规章制度和事故案例，结合工程实践后进行编写。明确了含硫化氢天然气井在安全管理、人员防护、探测报警系统配置、硫化氢环境设备管材、医疗配置等一般要求，同时，对钻井工程、录井工程、测井工程、井下作业、采气工程和弃置阶段的设计和施工安全防护做出规定，保障标准的指导性、实用性、专业性和可操作性。</w:t>
      </w:r>
    </w:p>
    <w:p w14:paraId="7621AB7A">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三、</w:t>
      </w:r>
      <w:r>
        <w:rPr>
          <w:rFonts w:hint="eastAsia" w:hAnsi="宋体" w:eastAsia="黑体"/>
          <w:color w:val="000000"/>
          <w:sz w:val="32"/>
          <w:szCs w:val="32"/>
        </w:rPr>
        <w:t>与有关法律、行政法规和其他强制性标准的关系，配套推荐性标准的制定情况</w:t>
      </w:r>
    </w:p>
    <w:p w14:paraId="478C5781">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一）法律法规方面。《安全生产法》是我国全面规范安全生产的专门法律，虽然没有专门针对含硫化氢作业的具体规定，但《安全生产法》为《含硫化氢天然气井安全防护规范》的制定提供了全面的法律依据和指导。例如《安全生产法》要求生产经营单位建立安全风险分级管控制度等。含硫化氢作业通常风险较高，属于需要重点管控的作业类型。作业单位必须对含硫化氢的作业场所进行风险辨识，确定风险等级，并采取相应的管控措施。</w:t>
      </w:r>
    </w:p>
    <w:p w14:paraId="6E05BD56">
      <w:pPr>
        <w:spacing w:line="560" w:lineRule="exact"/>
        <w:ind w:firstLine="640" w:firstLineChars="200"/>
        <w:rPr>
          <w:rFonts w:ascii="宋体" w:hAnsi="宋体" w:eastAsia="仿宋_GB2312"/>
          <w:sz w:val="32"/>
          <w:szCs w:val="32"/>
        </w:rPr>
      </w:pPr>
      <w:r>
        <w:rPr>
          <w:rFonts w:hint="eastAsia" w:ascii="宋体" w:hAnsi="宋体" w:eastAsia="仿宋_GB2312" w:cs="仿宋_GB2312"/>
          <w:sz w:val="32"/>
          <w:szCs w:val="32"/>
        </w:rPr>
        <w:t>（二）国家标准方面。GB</w:t>
      </w:r>
      <w:r>
        <w:rPr>
          <w:rFonts w:ascii="宋体" w:hAnsi="宋体" w:eastAsia="仿宋_GB2312" w:cs="仿宋_GB2312"/>
          <w:sz w:val="32"/>
          <w:szCs w:val="32"/>
        </w:rPr>
        <w:t xml:space="preserve"> </w:t>
      </w:r>
      <w:r>
        <w:rPr>
          <w:rFonts w:hint="eastAsia" w:ascii="宋体" w:hAnsi="宋体" w:eastAsia="仿宋_GB2312" w:cs="仿宋_GB2312"/>
          <w:sz w:val="32"/>
          <w:szCs w:val="32"/>
        </w:rPr>
        <w:t>42294</w:t>
      </w:r>
      <w:r>
        <w:rPr>
          <w:rFonts w:ascii="宋体" w:hAnsi="宋体" w:eastAsia="仿宋_GB2312" w:cs="仿宋_GB2312"/>
          <w:sz w:val="32"/>
          <w:szCs w:val="32"/>
        </w:rPr>
        <w:t>-2022</w:t>
      </w:r>
      <w:r>
        <w:rPr>
          <w:rFonts w:hint="eastAsia" w:ascii="宋体" w:hAnsi="宋体" w:eastAsia="仿宋_GB2312" w:cs="仿宋_GB2312"/>
          <w:sz w:val="32"/>
          <w:szCs w:val="32"/>
        </w:rPr>
        <w:t>天然气井开采安全规程》、</w:t>
      </w:r>
      <w:r>
        <w:rPr>
          <w:rFonts w:ascii="宋体" w:hAnsi="宋体" w:eastAsia="仿宋_GB2312" w:cs="仿宋_GB2312"/>
          <w:sz w:val="32"/>
          <w:szCs w:val="32"/>
        </w:rPr>
        <w:t>GB 40554.1</w:t>
      </w:r>
      <w:r>
        <w:rPr>
          <w:rFonts w:hint="eastAsia" w:ascii="宋体" w:hAnsi="宋体" w:eastAsia="仿宋_GB2312" w:cs="仿宋_GB2312"/>
          <w:sz w:val="32"/>
          <w:szCs w:val="32"/>
        </w:rPr>
        <w:t>-2021《海洋石油天然气开采安全规程 第1部分：总则》、GB/T 41029《石油天然气钻井海洋弃井作业规程》等标准涵盖了陆上及海上石油天然气井开采活动涉及的作业安全管理、人员培训和设备设施要求等多个方面内容。提出了钻井、井下作业和采气生产过程中设计井控和硫化氢防护等方面的安全管理要求。但是标准并未专门</w:t>
      </w:r>
      <w:r>
        <w:rPr>
          <w:rFonts w:hint="eastAsia" w:ascii="宋体" w:hAnsi="宋体" w:eastAsia="仿宋_GB2312"/>
          <w:sz w:val="32"/>
          <w:szCs w:val="32"/>
        </w:rPr>
        <w:t>针对含硫化氢天然气井全生命周期的安全防护进行梳理，例如缺少含硫化氢气井公众安全防护距离、安全设施的设置、硫化氢防护培训、硫化氢气井废弃处理、硫化氢泄漏应急撤离等具体内容。</w:t>
      </w:r>
    </w:p>
    <w:p w14:paraId="6D3D856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（三）安全标准方面。涉及含硫化氢天然气井开采的A</w:t>
      </w:r>
      <w:r>
        <w:rPr>
          <w:rFonts w:ascii="宋体" w:hAnsi="宋体" w:eastAsia="仿宋_GB2312" w:cs="仿宋_GB2312"/>
          <w:sz w:val="32"/>
          <w:szCs w:val="32"/>
        </w:rPr>
        <w:t>Q</w:t>
      </w:r>
      <w:r>
        <w:rPr>
          <w:rFonts w:hint="eastAsia" w:ascii="宋体" w:hAnsi="宋体" w:eastAsia="仿宋_GB2312" w:cs="仿宋_GB2312"/>
          <w:sz w:val="32"/>
          <w:szCs w:val="32"/>
        </w:rPr>
        <w:t>安全标准主要有</w:t>
      </w:r>
      <w:r>
        <w:rPr>
          <w:rFonts w:ascii="宋体" w:hAnsi="宋体" w:eastAsia="仿宋_GB2312" w:cs="仿宋_GB2312"/>
          <w:sz w:val="32"/>
          <w:szCs w:val="32"/>
        </w:rPr>
        <w:t>3</w:t>
      </w:r>
      <w:r>
        <w:rPr>
          <w:rFonts w:hint="eastAsia" w:ascii="宋体" w:hAnsi="宋体" w:eastAsia="仿宋_GB2312" w:cs="仿宋_GB2312"/>
          <w:sz w:val="32"/>
          <w:szCs w:val="32"/>
        </w:rPr>
        <w:t>个分别是《含硫化氢天然气井失控井口点火时间确定》（AQ 2016-2008）、《含硫化氢天然气井公共危害程度分级办法》（AQ 2017-2008）和《含硫化氢天然气井公共安全防护距离》（AQ 2018-2008），这些标准分别针对含硫化氢天然气井的点火时间、公众危害程度分级以及公共安全防护距离做出了规定，对含硫化氢天然气井的安全防护起到了积极的推动作用。但是各项标准关注的安全防护内容都较为片面，缺乏对全生命建井周期内各阶段的梳理，包括</w:t>
      </w:r>
      <w:r>
        <w:rPr>
          <w:rFonts w:hint="eastAsia" w:ascii="宋体" w:hAnsi="宋体" w:eastAsia="仿宋_GB2312"/>
          <w:sz w:val="32"/>
          <w:szCs w:val="32"/>
        </w:rPr>
        <w:t>钻井、录井、井下作业、生产开发和弃置等内容，因此仅依靠现行的</w:t>
      </w:r>
      <w:r>
        <w:rPr>
          <w:rFonts w:hint="eastAsia" w:ascii="宋体" w:hAnsi="宋体" w:eastAsia="仿宋_GB2312" w:cs="仿宋_GB2312"/>
          <w:sz w:val="32"/>
          <w:szCs w:val="32"/>
        </w:rPr>
        <w:t>A</w:t>
      </w:r>
      <w:r>
        <w:rPr>
          <w:rFonts w:ascii="宋体" w:hAnsi="宋体" w:eastAsia="仿宋_GB2312" w:cs="仿宋_GB2312"/>
          <w:sz w:val="32"/>
          <w:szCs w:val="32"/>
        </w:rPr>
        <w:t>Q</w:t>
      </w:r>
      <w:r>
        <w:rPr>
          <w:rFonts w:hint="eastAsia" w:ascii="宋体" w:hAnsi="宋体" w:eastAsia="仿宋_GB2312" w:cs="仿宋_GB2312"/>
          <w:sz w:val="32"/>
          <w:szCs w:val="32"/>
        </w:rPr>
        <w:t>安全标准无法满足规范含硫化氢天然气井安全防护的需要。</w:t>
      </w:r>
    </w:p>
    <w:p w14:paraId="6C338F51">
      <w:pPr>
        <w:spacing w:line="560" w:lineRule="exact"/>
        <w:ind w:firstLine="640" w:firstLineChars="200"/>
        <w:rPr>
          <w:rFonts w:ascii="宋体" w:hAnsi="宋体" w:eastAsia="仿宋_GB2312"/>
          <w:sz w:val="32"/>
          <w:szCs w:val="32"/>
        </w:rPr>
      </w:pPr>
      <w:r>
        <w:rPr>
          <w:rFonts w:ascii="宋体" w:hAnsi="宋体" w:eastAsia="仿宋_GB2312"/>
          <w:sz w:val="32"/>
          <w:szCs w:val="32"/>
        </w:rPr>
        <w:t>本标准</w:t>
      </w:r>
      <w:r>
        <w:rPr>
          <w:rFonts w:hint="eastAsia" w:ascii="宋体" w:hAnsi="宋体" w:eastAsia="仿宋_GB2312"/>
          <w:sz w:val="32"/>
          <w:szCs w:val="32"/>
        </w:rPr>
        <w:t>参考以上法律及国家标准中含硫天然气井防护相关要求，根据硫化氢释放速率将含硫化氢天然气井公众危害程度等级分为一、二、三级，并根据陆上含硫化氢天然气井公众危害程度等级确定周边公众安全防护距离，并按钻井工程、录井工程、</w:t>
      </w:r>
      <w:r>
        <w:rPr>
          <w:rFonts w:ascii="宋体" w:hAnsi="宋体" w:eastAsia="仿宋_GB2312"/>
          <w:sz w:val="32"/>
          <w:szCs w:val="32"/>
        </w:rPr>
        <w:t>井下作业</w:t>
      </w:r>
      <w:r>
        <w:rPr>
          <w:rFonts w:hint="eastAsia" w:ascii="宋体" w:hAnsi="宋体" w:eastAsia="仿宋_GB2312"/>
          <w:sz w:val="32"/>
          <w:szCs w:val="32"/>
        </w:rPr>
        <w:t>、</w:t>
      </w:r>
      <w:r>
        <w:rPr>
          <w:rFonts w:ascii="宋体" w:hAnsi="宋体" w:eastAsia="仿宋_GB2312"/>
          <w:sz w:val="32"/>
          <w:szCs w:val="32"/>
        </w:rPr>
        <w:t>采气工程</w:t>
      </w:r>
      <w:r>
        <w:rPr>
          <w:rFonts w:hint="eastAsia" w:ascii="宋体" w:hAnsi="宋体" w:eastAsia="仿宋_GB2312"/>
          <w:sz w:val="32"/>
          <w:szCs w:val="32"/>
        </w:rPr>
        <w:t>、</w:t>
      </w:r>
      <w:r>
        <w:rPr>
          <w:rFonts w:ascii="宋体" w:hAnsi="宋体" w:eastAsia="仿宋_GB2312"/>
          <w:sz w:val="32"/>
          <w:szCs w:val="32"/>
        </w:rPr>
        <w:t>弃置</w:t>
      </w:r>
      <w:r>
        <w:rPr>
          <w:rFonts w:hint="eastAsia" w:ascii="宋体" w:hAnsi="宋体" w:eastAsia="仿宋_GB2312"/>
          <w:sz w:val="32"/>
          <w:szCs w:val="32"/>
        </w:rPr>
        <w:t>等阶段进一步细化含硫天然气井全生命周期的硫化氢防护要求。进一步明确了应急管理通用要求、应急演练、应急撤离、现场救护、陆上井口点火处理等要求，以确保含硫天然气井全生命周期的安全。</w:t>
      </w:r>
    </w:p>
    <w:p w14:paraId="110DFA9C">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本标准在制订过程中，充分考虑了现行其他强制性标准的相关要求，与其他强制性相关标准进行了有效衔接，提出了适用于陆上和海上含硫化氢天然气井安全防护的通用性要求，定位明确，与现行标准无冲突。</w:t>
      </w:r>
    </w:p>
    <w:p w14:paraId="6053E09A">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四、与国际、国外有关法律法规和标准水平的对比分析</w:t>
      </w:r>
    </w:p>
    <w:p w14:paraId="0CDC5B0D">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1.</w:t>
      </w:r>
      <w:r>
        <w:rPr>
          <w:rFonts w:hint="eastAsia" w:ascii="宋体" w:hAnsi="宋体" w:eastAsia="仿宋_GB2312" w:cs="仿宋_GB2312"/>
          <w:sz w:val="32"/>
          <w:szCs w:val="32"/>
        </w:rPr>
        <w:t>防护距离标准</w:t>
      </w:r>
    </w:p>
    <w:p w14:paraId="7C9DB2CC">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我国行业标准AQ</w:t>
      </w:r>
      <w:r>
        <w:rPr>
          <w:rFonts w:ascii="宋体" w:hAnsi="宋体" w:eastAsia="仿宋_GB2312" w:cs="仿宋_GB2312"/>
          <w:sz w:val="32"/>
          <w:szCs w:val="32"/>
        </w:rPr>
        <w:t xml:space="preserve"> </w:t>
      </w:r>
      <w:r>
        <w:rPr>
          <w:rFonts w:hint="eastAsia" w:ascii="宋体" w:hAnsi="宋体" w:eastAsia="仿宋_GB2312" w:cs="仿宋_GB2312"/>
          <w:sz w:val="32"/>
          <w:szCs w:val="32"/>
        </w:rPr>
        <w:t>2018-2008规定了陆上含硫化氢天然气井与民宅、铁路等的公众安全防护距离，根据气井公众危害程度分级确定不同距离要求，如危害程度为一级的井井口距民宅应不小于100m，且距井口300m内常住居民户数不应大于20户等。</w:t>
      </w:r>
    </w:p>
    <w:p w14:paraId="48E13B56">
      <w:pPr>
        <w:spacing w:line="560" w:lineRule="exact"/>
        <w:ind w:firstLine="640" w:firstLineChars="200"/>
        <w:rPr>
          <w:rFonts w:ascii="宋体" w:hAnsi="宋体" w:eastAsia="仿宋_GB2312" w:cs="仿宋_GB2312"/>
          <w:sz w:val="32"/>
          <w:szCs w:val="32"/>
        </w:rPr>
      </w:pPr>
      <w:r>
        <w:rPr>
          <w:rFonts w:hint="eastAsia" w:ascii="宋体" w:hAnsi="宋体" w:eastAsia="仿宋_GB2312"/>
          <w:sz w:val="32"/>
          <w:szCs w:val="32"/>
        </w:rPr>
        <w:t>加拿大</w:t>
      </w:r>
      <w:r>
        <w:rPr>
          <w:rFonts w:hint="eastAsia" w:ascii="宋体" w:hAnsi="宋体" w:eastAsia="仿宋_GB2312" w:cs="仿宋_GB2312"/>
          <w:sz w:val="32"/>
          <w:szCs w:val="32"/>
        </w:rPr>
        <w:t>阿尔伯特省EUB</w:t>
      </w:r>
      <w:r>
        <w:rPr>
          <w:rFonts w:ascii="宋体" w:hAnsi="宋体" w:eastAsia="仿宋_GB2312" w:cs="仿宋_GB2312"/>
          <w:sz w:val="32"/>
          <w:szCs w:val="32"/>
        </w:rPr>
        <w:t xml:space="preserve"> </w:t>
      </w:r>
      <w:r>
        <w:rPr>
          <w:rFonts w:hint="eastAsia" w:ascii="宋体" w:hAnsi="宋体" w:eastAsia="仿宋_GB2312" w:cs="仿宋_GB2312"/>
          <w:sz w:val="32"/>
          <w:szCs w:val="32"/>
        </w:rPr>
        <w:t>Directive</w:t>
      </w:r>
      <w:r>
        <w:rPr>
          <w:rFonts w:ascii="宋体" w:hAnsi="宋体" w:eastAsia="仿宋_GB2312" w:cs="仿宋_GB2312"/>
          <w:sz w:val="32"/>
          <w:szCs w:val="32"/>
        </w:rPr>
        <w:t xml:space="preserve"> </w:t>
      </w:r>
      <w:r>
        <w:rPr>
          <w:rFonts w:hint="eastAsia" w:ascii="宋体" w:hAnsi="宋体" w:eastAsia="仿宋_GB2312" w:cs="仿宋_GB2312"/>
          <w:sz w:val="32"/>
          <w:szCs w:val="32"/>
        </w:rPr>
        <w:t>056等文件对酸性井许可、钻井要求及新建酸气设施与居民区最小距离有相关规定，是我国制定防护距离标准的参考依据之一。</w:t>
      </w:r>
    </w:p>
    <w:p w14:paraId="03AE3C92">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美国密歇根州《密歇根油气规定》中有关于含硫化氢天然气井相关防护距离的内容，我国在制定标准时也进行了参考借鉴。</w:t>
      </w:r>
    </w:p>
    <w:p w14:paraId="4E5656D9">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2.</w:t>
      </w:r>
      <w:r>
        <w:rPr>
          <w:rFonts w:hint="eastAsia" w:ascii="宋体" w:hAnsi="宋体" w:eastAsia="仿宋_GB2312" w:cs="仿宋_GB2312"/>
          <w:sz w:val="32"/>
          <w:szCs w:val="32"/>
        </w:rPr>
        <w:t>硫化氢监测方面</w:t>
      </w:r>
    </w:p>
    <w:p w14:paraId="614EAA4E">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 xml:space="preserve">我国要求在井口、生产区等关键部位设置硫化氢监测装置，实时监测硫化氢浓度。对于监测设备的性能、检测频率等有相关标准规范，如规定了硫化氢气体检测仪的高低报警值，低报15 </w:t>
      </w:r>
      <w:r>
        <w:rPr>
          <w:rFonts w:hint="eastAsia" w:ascii="宋体" w:hAnsi="宋体" w:cs="仿宋_GB2312" w:eastAsiaTheme="majorEastAsia"/>
          <w:sz w:val="32"/>
          <w:szCs w:val="32"/>
        </w:rPr>
        <w:t>mg/m</w:t>
      </w:r>
      <w:r>
        <w:rPr>
          <w:rFonts w:ascii="宋体" w:hAnsi="宋体" w:cs="Calibri" w:eastAsiaTheme="majorEastAsia"/>
          <w:sz w:val="32"/>
          <w:szCs w:val="32"/>
        </w:rPr>
        <w:t>³</w:t>
      </w:r>
      <w:r>
        <w:rPr>
          <w:rFonts w:hint="eastAsia" w:ascii="宋体" w:hAnsi="宋体" w:eastAsia="仿宋_GB2312" w:cs="仿宋_GB2312"/>
          <w:sz w:val="32"/>
          <w:szCs w:val="32"/>
        </w:rPr>
        <w:t>（10×10</w:t>
      </w:r>
      <w:r>
        <w:rPr>
          <w:rFonts w:hint="eastAsia" w:ascii="宋体" w:hAnsi="宋体" w:eastAsia="仿宋_GB2312" w:cs="仿宋_GB2312"/>
          <w:sz w:val="32"/>
          <w:szCs w:val="32"/>
          <w:vertAlign w:val="superscript"/>
        </w:rPr>
        <w:t>-6</w:t>
      </w:r>
      <w:r>
        <w:rPr>
          <w:rFonts w:hint="eastAsia" w:ascii="宋体" w:hAnsi="宋体" w:eastAsia="仿宋_GB2312" w:cs="仿宋_GB2312"/>
          <w:sz w:val="32"/>
          <w:szCs w:val="32"/>
        </w:rPr>
        <w:t>），高报</w:t>
      </w:r>
      <w:r>
        <w:rPr>
          <w:rFonts w:ascii="宋体" w:hAnsi="宋体" w:eastAsia="仿宋_GB2312" w:cs="仿宋_GB2312"/>
          <w:sz w:val="32"/>
          <w:szCs w:val="32"/>
        </w:rPr>
        <w:t>30</w:t>
      </w:r>
      <w:r>
        <w:rPr>
          <w:rFonts w:hint="eastAsia" w:ascii="宋体" w:hAnsi="宋体" w:eastAsia="仿宋_GB2312" w:cs="仿宋_GB2312"/>
          <w:sz w:val="32"/>
          <w:szCs w:val="32"/>
        </w:rPr>
        <w:t xml:space="preserve"> </w:t>
      </w:r>
      <w:r>
        <w:rPr>
          <w:rFonts w:hint="eastAsia" w:ascii="宋体" w:hAnsi="宋体" w:cs="仿宋_GB2312" w:eastAsiaTheme="majorEastAsia"/>
          <w:sz w:val="32"/>
          <w:szCs w:val="32"/>
        </w:rPr>
        <w:t>mg/m</w:t>
      </w:r>
      <w:r>
        <w:rPr>
          <w:rFonts w:ascii="宋体" w:hAnsi="宋体" w:cs="Calibri" w:eastAsiaTheme="majorEastAsia"/>
          <w:sz w:val="32"/>
          <w:szCs w:val="32"/>
        </w:rPr>
        <w:t>³</w:t>
      </w:r>
      <w:r>
        <w:rPr>
          <w:rFonts w:hint="eastAsia" w:ascii="宋体" w:hAnsi="宋体" w:eastAsia="仿宋_GB2312" w:cs="仿宋_GB2312"/>
          <w:sz w:val="32"/>
          <w:szCs w:val="32"/>
        </w:rPr>
        <w:t>（20×10</w:t>
      </w:r>
      <w:r>
        <w:rPr>
          <w:rFonts w:hint="eastAsia" w:ascii="宋体" w:hAnsi="宋体" w:eastAsia="仿宋_GB2312" w:cs="仿宋_GB2312"/>
          <w:sz w:val="32"/>
          <w:szCs w:val="32"/>
          <w:vertAlign w:val="superscript"/>
        </w:rPr>
        <w:t>-6</w:t>
      </w:r>
      <w:r>
        <w:rPr>
          <w:rFonts w:hint="eastAsia" w:ascii="宋体" w:hAnsi="宋体" w:eastAsia="仿宋_GB2312" w:cs="仿宋_GB2312"/>
          <w:sz w:val="32"/>
          <w:szCs w:val="32"/>
        </w:rPr>
        <w:t>）。</w:t>
      </w:r>
    </w:p>
    <w:p w14:paraId="21E86C9F">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国际上一些先进标准对硫化氢监测同样重视，如国际石油行业普遍要求采用高精度、高</w:t>
      </w:r>
      <w:r>
        <w:rPr>
          <w:rFonts w:hint="eastAsia" w:ascii="宋体" w:hAnsi="宋体" w:eastAsia="仿宋_GB2312"/>
          <w:sz w:val="32"/>
          <w:szCs w:val="32"/>
        </w:rPr>
        <w:t>可靠性的监测设备，并且监测系统具备远程传输和数据记录功能，以便更好地进行安全管理和事故</w:t>
      </w:r>
      <w:r>
        <w:rPr>
          <w:rFonts w:hint="eastAsia" w:ascii="宋体" w:hAnsi="宋体" w:eastAsia="仿宋_GB2312" w:cs="仿宋_GB2312"/>
          <w:sz w:val="32"/>
          <w:szCs w:val="32"/>
        </w:rPr>
        <w:t>分析。</w:t>
      </w:r>
    </w:p>
    <w:p w14:paraId="6C9BD405">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3.</w:t>
      </w:r>
      <w:r>
        <w:rPr>
          <w:rFonts w:hint="eastAsia" w:ascii="宋体" w:hAnsi="宋体" w:eastAsia="仿宋_GB2312" w:cs="仿宋_GB2312"/>
          <w:sz w:val="32"/>
          <w:szCs w:val="32"/>
        </w:rPr>
        <w:t>人员培训方面</w:t>
      </w:r>
    </w:p>
    <w:p w14:paraId="3121AFDD">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我国规定作业人员需接受有关硫化氢性质及危害、安全操作规程等方面的培训，了解硫化氢的物理性质、化学性质、毒性及对人体的危害，掌握防护装备使用方法。</w:t>
      </w:r>
    </w:p>
    <w:p w14:paraId="7464886D">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国际上强调对员工进行全面系统的培训，除了理论知识和操作技能，还包括应急处置、心理辅导等方面，以提高员工在面对硫化氢泄漏等紧急情况时的应对能力和心理承受能力。</w:t>
      </w:r>
    </w:p>
    <w:p w14:paraId="4FD2A0F4">
      <w:pPr>
        <w:spacing w:line="56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4.</w:t>
      </w:r>
      <w:r>
        <w:rPr>
          <w:rFonts w:hint="eastAsia" w:ascii="宋体" w:hAnsi="宋体" w:eastAsia="仿宋_GB2312" w:cs="仿宋_GB2312"/>
          <w:sz w:val="32"/>
          <w:szCs w:val="32"/>
        </w:rPr>
        <w:t>应急管理方面</w:t>
      </w:r>
    </w:p>
    <w:p w14:paraId="5E758515">
      <w:pPr>
        <w:spacing w:line="560" w:lineRule="exact"/>
        <w:ind w:firstLine="640" w:firstLineChars="200"/>
        <w:rPr>
          <w:rFonts w:ascii="宋体" w:hAnsi="宋体" w:eastAsia="仿宋_GB2312"/>
          <w:sz w:val="32"/>
          <w:szCs w:val="32"/>
        </w:rPr>
      </w:pPr>
      <w:r>
        <w:rPr>
          <w:rFonts w:hint="eastAsia" w:ascii="宋体" w:hAnsi="宋体" w:eastAsia="仿宋_GB2312" w:cs="仿宋_GB2312"/>
          <w:sz w:val="32"/>
          <w:szCs w:val="32"/>
        </w:rPr>
        <w:t>我国要求制定含硫化氢</w:t>
      </w:r>
      <w:r>
        <w:rPr>
          <w:rFonts w:hint="eastAsia" w:ascii="宋体" w:hAnsi="宋体" w:eastAsia="仿宋_GB2312"/>
          <w:sz w:val="32"/>
          <w:szCs w:val="32"/>
        </w:rPr>
        <w:t>天然气井的应急救援预案，明确应急组织、通信联络、现场处置等方面的要求，井场设置畅通的应急疏散通道等。</w:t>
      </w:r>
    </w:p>
    <w:p w14:paraId="5D7F6BAA">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国际上一些标准更注重应急演练的实战性和常态化，要求定期进行不同场景下的应急演练，并且与周边社区和相关应急救援机构建立紧密的协作机制，以确保在事故发生时能够迅速、有效地进行救援和应对。</w:t>
      </w:r>
    </w:p>
    <w:p w14:paraId="7C524E51">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总体而言，含硫化氢天然气井安全防护规范国家标准在借鉴国际、国外先进经验的基础上，结合本国国情和行业实际情况制定，在一些方面与国际水平相当，但在某些细节和管理理念上可能存在一定差距，如在人员培训的全面性和应急管理的协作机制方面，国际上的一些做法有值得我国进一步学习和完善的地方。</w:t>
      </w:r>
    </w:p>
    <w:p w14:paraId="7C937966">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五、重大分歧意见的处理过程及依据</w:t>
      </w:r>
    </w:p>
    <w:p w14:paraId="40A5478C">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本标准通过多次研讨会和征求意见过程，无重大分歧意见</w:t>
      </w:r>
      <w:r>
        <w:rPr>
          <w:rFonts w:ascii="宋体" w:hAnsi="宋体" w:eastAsia="仿宋_GB2312"/>
          <w:sz w:val="32"/>
          <w:szCs w:val="32"/>
        </w:rPr>
        <w:t>。</w:t>
      </w:r>
    </w:p>
    <w:p w14:paraId="1FB6ABB0">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六、</w:t>
      </w:r>
      <w:r>
        <w:rPr>
          <w:rFonts w:hint="eastAsia" w:hAnsi="宋体" w:eastAsia="黑体"/>
          <w:color w:val="000000"/>
          <w:sz w:val="32"/>
          <w:szCs w:val="32"/>
        </w:rPr>
        <w:t>强制性国家标准自发布日期至实施日期之间的过渡期的建议及理由</w:t>
      </w:r>
    </w:p>
    <w:p w14:paraId="3DE55302">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考虑标准发布、宣贯所需时间，本标准发布日期至实施日期之间的过渡期建议为</w:t>
      </w:r>
      <w:r>
        <w:rPr>
          <w:rFonts w:ascii="宋体" w:hAnsi="宋体" w:eastAsia="仿宋_GB2312" w:cs="仿宋_GB2312"/>
          <w:sz w:val="32"/>
          <w:szCs w:val="32"/>
        </w:rPr>
        <w:t>6</w:t>
      </w:r>
      <w:r>
        <w:rPr>
          <w:rFonts w:hint="eastAsia" w:ascii="宋体" w:hAnsi="宋体" w:eastAsia="仿宋_GB2312" w:cs="仿宋_GB2312"/>
          <w:sz w:val="32"/>
          <w:szCs w:val="32"/>
        </w:rPr>
        <w:t>个月。</w:t>
      </w:r>
    </w:p>
    <w:p w14:paraId="21AE45ED">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七、</w:t>
      </w:r>
      <w:r>
        <w:rPr>
          <w:rFonts w:hint="eastAsia" w:hAnsi="宋体" w:eastAsia="黑体"/>
          <w:color w:val="000000"/>
          <w:sz w:val="32"/>
          <w:szCs w:val="32"/>
        </w:rPr>
        <w:t>实施强制性国家标准有关的政策措施（包括实施监督管理部门以及对违反强制性国家标准的行为进行处理的有关法律、行政法规、部门规章依据等）</w:t>
      </w:r>
    </w:p>
    <w:p w14:paraId="35BD528A">
      <w:pPr>
        <w:spacing w:line="560" w:lineRule="exact"/>
        <w:ind w:firstLine="640" w:firstLineChars="200"/>
        <w:rPr>
          <w:rFonts w:ascii="宋体" w:hAnsi="宋体" w:eastAsia="楷体" w:cs="方正楷体_GBK"/>
          <w:sz w:val="32"/>
          <w:szCs w:val="32"/>
        </w:rPr>
      </w:pPr>
      <w:r>
        <w:rPr>
          <w:rFonts w:hint="eastAsia" w:ascii="宋体" w:hAnsi="宋体" w:eastAsia="楷体" w:cs="方正楷体_GBK"/>
          <w:sz w:val="32"/>
          <w:szCs w:val="32"/>
        </w:rPr>
        <w:t>（一）实施监督管理部门</w:t>
      </w:r>
    </w:p>
    <w:p w14:paraId="3B144FE0">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标准文件的实施监督管理部门为应急管理部危险化学品安全监督管理二司。</w:t>
      </w:r>
    </w:p>
    <w:p w14:paraId="154912C1">
      <w:pPr>
        <w:spacing w:line="560" w:lineRule="exact"/>
        <w:ind w:firstLine="640" w:firstLineChars="200"/>
        <w:rPr>
          <w:rFonts w:ascii="宋体" w:hAnsi="宋体" w:eastAsia="楷体" w:cs="方正楷体_GBK"/>
          <w:sz w:val="32"/>
          <w:szCs w:val="32"/>
        </w:rPr>
      </w:pPr>
      <w:r>
        <w:rPr>
          <w:rFonts w:hint="eastAsia" w:ascii="宋体" w:hAnsi="宋体" w:eastAsia="楷体" w:cs="方正楷体_GBK"/>
          <w:sz w:val="32"/>
          <w:szCs w:val="32"/>
        </w:rPr>
        <w:t>（二）对违反强制性国家标准的行为进行处理的有关法律、行政法规、部门规章依据等</w:t>
      </w:r>
    </w:p>
    <w:p w14:paraId="2F612971">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对违反强制性国家标准的行为，进行处理所依据的法律为《安全生产法》。</w:t>
      </w:r>
    </w:p>
    <w:p w14:paraId="3D7F97C9">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依据的主要条款包括但不限于：</w:t>
      </w:r>
    </w:p>
    <w:p w14:paraId="62EEDBA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《中华人民共和国安全生产法》</w:t>
      </w:r>
    </w:p>
    <w:p w14:paraId="006D6326">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第十一条规定“生产经营单位必须执行依法制定的保障安全生产的国家标准或者行业标准。”</w:t>
      </w:r>
    </w:p>
    <w:p w14:paraId="7F81553C">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第二十条规定“生产经营单位应当具备本法和有关法律、行政法规和国家标准或者行业标准规定的安全生产条件；不具备安全生产条件的，不得从事生产经营活动。”</w:t>
      </w:r>
    </w:p>
    <w:p w14:paraId="1FAFD3FD">
      <w:pPr>
        <w:spacing w:line="56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第六十三条规定“负有安全生产监督管理职责的部门依照有关法律、法规的规定，对涉及安全生产的事项需要审查批准（包括批准、核准、许可、注册、认证、颁发证照等，）或者验收的，必须严格依照有关法律、法规和国家标准或者行业标准规定的安全生产条件和程序进行审查；不符合有关法律、法规和国家标准或者行业标准规定的安全生产条件的，不得批准或者验收通过。”</w:t>
      </w:r>
    </w:p>
    <w:p w14:paraId="1ED98208">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八、</w:t>
      </w:r>
      <w:r>
        <w:rPr>
          <w:rFonts w:hint="eastAsia" w:hAnsi="宋体" w:eastAsia="黑体"/>
          <w:color w:val="000000"/>
          <w:sz w:val="32"/>
          <w:szCs w:val="32"/>
        </w:rPr>
        <w:t>是否需要对外通报的建议及理由</w:t>
      </w:r>
    </w:p>
    <w:p w14:paraId="195E3BF5">
      <w:pPr>
        <w:spacing w:line="560" w:lineRule="exact"/>
        <w:ind w:firstLine="640" w:firstLineChars="200"/>
        <w:rPr>
          <w:rFonts w:ascii="宋体" w:hAnsi="宋体" w:eastAsia="仿宋_GB2312" w:cs="仿宋_GB2312"/>
          <w:kern w:val="0"/>
          <w:sz w:val="32"/>
          <w:szCs w:val="32"/>
        </w:rPr>
      </w:pPr>
      <w:r>
        <w:rPr>
          <w:rFonts w:hint="eastAsia" w:ascii="宋体" w:hAnsi="宋体" w:eastAsia="仿宋_GB2312" w:cs="仿宋_GB2312"/>
          <w:kern w:val="0"/>
          <w:sz w:val="32"/>
          <w:szCs w:val="32"/>
        </w:rPr>
        <w:t>无需对外通报，主要原因为本标准未直接引用和采用国外标准。另本标准为含硫化氢天然气井安全防护技术标准，非产品标准。</w:t>
      </w:r>
    </w:p>
    <w:p w14:paraId="4F2EF1AE">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九、废止现行有关标准的建议</w:t>
      </w:r>
    </w:p>
    <w:p w14:paraId="56FA8B95">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本文件内容中已完全覆盖《含硫化氢天然气井失控井口点火时间确</w:t>
      </w:r>
      <w:r>
        <w:rPr>
          <w:rFonts w:hint="eastAsia" w:ascii="宋体" w:hAnsi="宋体" w:eastAsia="仿宋_GB2312" w:cs="仿宋_GB2312"/>
          <w:sz w:val="32"/>
          <w:szCs w:val="32"/>
        </w:rPr>
        <w:t>定》（AQ 2016-2008）、《含硫化氢天然气井公共危害程度分级办法》（AQ 2017-2008）和《含硫化氢天然气井公共安全防护距离》（AQ 2018-2008）三项安全标准的全部内容，并根据当前的安全管理要求对其进行了完善</w:t>
      </w:r>
      <w:r>
        <w:rPr>
          <w:rFonts w:ascii="宋体" w:hAnsi="宋体" w:eastAsia="仿宋_GB2312" w:cs="仿宋_GB2312"/>
          <w:sz w:val="32"/>
          <w:szCs w:val="32"/>
        </w:rPr>
        <w:t>。</w:t>
      </w:r>
      <w:r>
        <w:rPr>
          <w:rFonts w:hint="eastAsia" w:ascii="宋体" w:hAnsi="宋体" w:eastAsia="仿宋_GB2312" w:cs="仿宋_GB2312"/>
          <w:sz w:val="32"/>
          <w:szCs w:val="32"/>
        </w:rPr>
        <w:t>因此，建议废除AQ 2016-2008、AQ 2017-2008、AQ 2018-2008等三</w:t>
      </w:r>
      <w:r>
        <w:rPr>
          <w:rFonts w:hint="eastAsia" w:ascii="宋体" w:hAnsi="宋体" w:eastAsia="仿宋_GB2312"/>
          <w:sz w:val="32"/>
          <w:szCs w:val="32"/>
        </w:rPr>
        <w:t>项标准。</w:t>
      </w:r>
    </w:p>
    <w:p w14:paraId="64C9B821">
      <w:pPr>
        <w:pStyle w:val="258"/>
        <w:tabs>
          <w:tab w:val="center" w:pos="4201"/>
          <w:tab w:val="right" w:leader="dot" w:pos="9298"/>
        </w:tabs>
        <w:spacing w:line="560" w:lineRule="exact"/>
        <w:ind w:firstLine="480" w:firstLineChars="150"/>
        <w:outlineLvl w:val="0"/>
        <w:rPr>
          <w:rFonts w:hAnsi="宋体" w:eastAsia="黑体"/>
          <w:color w:val="000000"/>
          <w:sz w:val="32"/>
          <w:szCs w:val="32"/>
        </w:rPr>
      </w:pPr>
      <w:r>
        <w:rPr>
          <w:rFonts w:hAnsi="宋体" w:eastAsia="黑体"/>
          <w:color w:val="000000"/>
          <w:sz w:val="32"/>
          <w:szCs w:val="32"/>
        </w:rPr>
        <w:t>十、涉及专利的有关说明</w:t>
      </w:r>
    </w:p>
    <w:p w14:paraId="29A9C47F">
      <w:pPr>
        <w:spacing w:line="560" w:lineRule="exact"/>
        <w:ind w:firstLine="640" w:firstLineChars="200"/>
        <w:rPr>
          <w:rFonts w:ascii="宋体" w:hAnsi="宋体" w:eastAsia="仿宋_GB2312"/>
          <w:sz w:val="32"/>
          <w:szCs w:val="32"/>
        </w:rPr>
      </w:pPr>
      <w:r>
        <w:rPr>
          <w:rFonts w:ascii="宋体" w:hAnsi="宋体" w:eastAsia="仿宋_GB2312"/>
          <w:sz w:val="32"/>
          <w:szCs w:val="32"/>
        </w:rPr>
        <w:t>无。</w:t>
      </w:r>
    </w:p>
    <w:p w14:paraId="70E4154C">
      <w:pPr>
        <w:pStyle w:val="258"/>
        <w:tabs>
          <w:tab w:val="center" w:pos="4201"/>
          <w:tab w:val="right" w:leader="dot" w:pos="9298"/>
        </w:tabs>
        <w:spacing w:line="560" w:lineRule="exact"/>
        <w:ind w:firstLine="480" w:firstLineChars="150"/>
        <w:outlineLvl w:val="0"/>
        <w:rPr>
          <w:rFonts w:hAnsi="宋体" w:eastAsia="黑体"/>
          <w:color w:val="000000"/>
          <w:sz w:val="32"/>
          <w:szCs w:val="32"/>
        </w:rPr>
      </w:pPr>
      <w:bookmarkStart w:id="96" w:name="_Toc4624"/>
      <w:bookmarkStart w:id="97" w:name="_Toc27716"/>
      <w:bookmarkStart w:id="98" w:name="_Toc28110"/>
      <w:bookmarkStart w:id="99" w:name="_Toc8554"/>
      <w:bookmarkStart w:id="100" w:name="_Toc26909"/>
      <w:r>
        <w:rPr>
          <w:rFonts w:hAnsi="宋体" w:eastAsia="黑体"/>
          <w:color w:val="000000"/>
          <w:sz w:val="32"/>
          <w:szCs w:val="32"/>
        </w:rPr>
        <w:t>十一、强制性国家标准所涉及的产品、过程和服务目录</w:t>
      </w:r>
      <w:bookmarkEnd w:id="96"/>
      <w:bookmarkEnd w:id="97"/>
      <w:bookmarkEnd w:id="98"/>
      <w:bookmarkEnd w:id="99"/>
      <w:bookmarkEnd w:id="100"/>
    </w:p>
    <w:p w14:paraId="79120AA7">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涉及含硫化氢天然气井安全防护总体要求、公众危害程度分级与安全防护距离、陆上及海上生产作业过程安全防护与应急管理的要求；涉及含硫化氢天然气井的安全防护。</w:t>
      </w:r>
    </w:p>
    <w:p w14:paraId="442FA739">
      <w:pPr>
        <w:spacing w:line="560" w:lineRule="exact"/>
        <w:ind w:firstLine="640" w:firstLineChars="200"/>
        <w:rPr>
          <w:rFonts w:ascii="宋体" w:hAnsi="宋体" w:eastAsia="黑体"/>
          <w:sz w:val="32"/>
          <w:szCs w:val="32"/>
        </w:rPr>
      </w:pPr>
      <w:r>
        <w:rPr>
          <w:rFonts w:ascii="宋体" w:hAnsi="宋体" w:eastAsia="黑体"/>
          <w:sz w:val="32"/>
          <w:szCs w:val="32"/>
        </w:rPr>
        <w:t>十二、其他应予以说明的事项</w:t>
      </w:r>
    </w:p>
    <w:p w14:paraId="732F079A">
      <w:pPr>
        <w:spacing w:line="560" w:lineRule="exact"/>
        <w:ind w:firstLine="640" w:firstLineChars="200"/>
        <w:rPr>
          <w:rFonts w:ascii="宋体" w:hAnsi="宋体" w:eastAsia="仿宋_GB2312"/>
          <w:sz w:val="32"/>
          <w:szCs w:val="32"/>
        </w:rPr>
      </w:pPr>
      <w:r>
        <w:rPr>
          <w:rFonts w:hint="eastAsia" w:ascii="宋体" w:hAnsi="宋体" w:eastAsia="仿宋_GB2312" w:cs="仿宋_GB2312"/>
          <w:sz w:val="32"/>
          <w:szCs w:val="32"/>
        </w:rPr>
        <w:t>无其它需要说明的事项。</w:t>
      </w:r>
      <w:bookmarkEnd w:id="87"/>
    </w:p>
    <w:sectPr>
      <w:footerReference r:id="rId19" w:type="first"/>
      <w:type w:val="continuous"/>
      <w:pgSz w:w="11907" w:h="16840"/>
      <w:pgMar w:top="1701" w:right="1587" w:bottom="1474"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icrosoft YaHei UI">
    <w:altName w:val="宋体"/>
    <w:panose1 w:val="020B0503020204020204"/>
    <w:charset w:val="86"/>
    <w:family w:val="swiss"/>
    <w:pitch w:val="default"/>
    <w:sig w:usb0="00000000" w:usb1="00000000" w:usb2="00000016" w:usb3="00000000" w:csb0="0004001F" w:csb1="00000000"/>
  </w:font>
  <w:font w:name="Britannic Bold">
    <w:altName w:val="Segoe Print"/>
    <w:panose1 w:val="020B0903060703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TimesNewRomanPSMT">
    <w:altName w:val="Times New Roman"/>
    <w:panose1 w:val="00000000000000000000"/>
    <w:charset w:val="00"/>
    <w:family w:val="auto"/>
    <w:pitch w:val="default"/>
    <w:sig w:usb0="00000000" w:usb1="00000000" w:usb2="00000000" w:usb3="00000000" w:csb0="00040001" w:csb1="00000000"/>
  </w:font>
  <w:font w:name="Univers">
    <w:altName w:val="Segoe Print"/>
    <w:panose1 w:val="00000000000000000000"/>
    <w:charset w:val="00"/>
    <w:family w:val="swiss"/>
    <w:pitch w:val="default"/>
    <w:sig w:usb0="00000000" w:usb1="00000000" w:usb2="00000000" w:usb3="00000000" w:csb0="0000000F" w:csb1="00000000"/>
  </w:font>
  <w:font w:name="Verdana">
    <w:panose1 w:val="020B0604030504040204"/>
    <w:charset w:val="00"/>
    <w:family w:val="swiss"/>
    <w:pitch w:val="default"/>
    <w:sig w:usb0="A10006FF" w:usb1="4000205B" w:usb2="0000001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540850"/>
      <w:docPartObj>
        <w:docPartGallery w:val="autotext"/>
      </w:docPartObj>
    </w:sdtPr>
    <w:sdtContent>
      <w:p w14:paraId="3B1C1E34">
        <w:pPr>
          <w:pStyle w:val="59"/>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0607833"/>
      <w:docPartObj>
        <w:docPartGallery w:val="autotext"/>
      </w:docPartObj>
    </w:sdtPr>
    <w:sdtContent>
      <w:p w14:paraId="673668CC">
        <w:pPr>
          <w:pStyle w:val="59"/>
          <w:jc w:val="left"/>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4229896"/>
      <w:docPartObj>
        <w:docPartGallery w:val="autotext"/>
      </w:docPartObj>
    </w:sdtPr>
    <w:sdtContent>
      <w:p w14:paraId="3B79FABC">
        <w:pPr>
          <w:pStyle w:val="59"/>
          <w:jc w:val="left"/>
        </w:pPr>
        <w:r>
          <w:fldChar w:fldCharType="begin"/>
        </w:r>
        <w:r>
          <w:instrText xml:space="preserve">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3350504"/>
      <w:docPartObj>
        <w:docPartGallery w:val="autotext"/>
      </w:docPartObj>
    </w:sdtPr>
    <w:sdtContent>
      <w:p w14:paraId="12066ED3">
        <w:pPr>
          <w:pStyle w:val="59"/>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5A7C6">
    <w:pPr>
      <w:pStyle w:val="59"/>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02C23F75">
    <w:pPr>
      <w:pStyle w:val="5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0763703"/>
      <w:docPartObj>
        <w:docPartGallery w:val="autotext"/>
      </w:docPartObj>
    </w:sdtPr>
    <w:sdtContent>
      <w:p w14:paraId="68F90FCE">
        <w:pPr>
          <w:pStyle w:val="59"/>
          <w:jc w:val="center"/>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3508664"/>
      <w:docPartObj>
        <w:docPartGallery w:val="autotext"/>
      </w:docPartObj>
    </w:sdtPr>
    <w:sdtContent>
      <w:p w14:paraId="13074D59">
        <w:pPr>
          <w:pStyle w:val="59"/>
        </w:pPr>
        <w:r>
          <w:fldChar w:fldCharType="begin"/>
        </w:r>
        <w:r>
          <w:instrText xml:space="preserve">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4707166"/>
      <w:docPartObj>
        <w:docPartGallery w:val="autotext"/>
      </w:docPartObj>
    </w:sdtPr>
    <w:sdtContent>
      <w:p w14:paraId="6537F0F3">
        <w:pPr>
          <w:pStyle w:val="59"/>
          <w:jc w:val="center"/>
        </w:pPr>
        <w:r>
          <w:fldChar w:fldCharType="begin"/>
        </w:r>
        <w:r>
          <w:instrText xml:space="preserve">PAGE   \* MERGEFORMAT</w:instrText>
        </w:r>
        <w:r>
          <w:fldChar w:fldCharType="separate"/>
        </w:r>
        <w:r>
          <w:rPr>
            <w:lang w:val="zh-CN"/>
          </w:rPr>
          <w:t>2</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C371">
    <w:pPr>
      <w:pStyle w:val="59"/>
      <w:jc w:val="center"/>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A043C">
    <w:pPr>
      <w:pStyle w:val="254"/>
    </w:pPr>
    <w:r>
      <w:rPr>
        <w:rFonts w:ascii="Times New Roman"/>
        <w:b/>
      </w:rPr>
      <w:t>GB</w:t>
    </w:r>
    <w:r>
      <w:rPr>
        <w:b/>
      </w:rPr>
      <w:t xml:space="preserve"> </w:t>
    </w:r>
    <w:r>
      <w:rPr>
        <w:rFonts w:hint="eastAsia" w:hAnsi="黑体"/>
      </w:rPr>
      <w:t>××××</w:t>
    </w:r>
    <w:r>
      <w:rPr>
        <w:rFonts w:hAnsi="黑体"/>
      </w:rPr>
      <w:t>—</w:t>
    </w:r>
    <w:r>
      <w:rPr>
        <w:rFonts w:hint="eastAsia" w:hAnsi="黑体"/>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4EB2A">
    <w:pPr>
      <w:pStyle w:val="253"/>
    </w:pPr>
    <w:r>
      <w:rPr>
        <w:rFonts w:ascii="Times New Roman" w:eastAsia="宋体"/>
        <w:b/>
      </w:rPr>
      <w:t>GB</w:t>
    </w:r>
    <w:r>
      <w:rPr>
        <w:rFonts w:hint="eastAsia" w:ascii="Times New Roman" w:eastAsia="宋体"/>
        <w:b/>
      </w:rPr>
      <w:t xml:space="preserve"> </w:t>
    </w:r>
    <w:r>
      <w:rPr>
        <w:rFonts w:ascii="Times New Roman" w:eastAsia="宋体"/>
        <w:b/>
      </w:rPr>
      <w:t xml:space="preserve"> </w:t>
    </w:r>
    <w:r>
      <w:rPr>
        <w:rFonts w:hint="eastAsia" w:hAnsi="黑体" w:cs="黑体"/>
        <w:bCs/>
      </w:rPr>
      <w:t>××××</w:t>
    </w:r>
    <w:r>
      <w:rPr>
        <w:rFonts w:hAnsi="黑体"/>
      </w:rPr>
      <w:t>—</w:t>
    </w:r>
    <w:r>
      <w:rPr>
        <w:rFonts w:hint="eastAsia" w:hAnsi="黑体" w:cs="黑体"/>
        <w:bC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598E6">
    <w:pPr>
      <w:pStyle w:val="6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E3363">
    <w:pPr>
      <w:pStyle w:val="254"/>
    </w:pPr>
    <w:r>
      <w:rPr>
        <w:rFonts w:ascii="Times New Roman"/>
        <w:b/>
      </w:rPr>
      <w:t>GB</w:t>
    </w:r>
    <w:r>
      <w:rPr>
        <w:b/>
      </w:rPr>
      <w:t xml:space="preserve"> </w:t>
    </w:r>
    <w:r>
      <w:rPr>
        <w:rFonts w:hint="eastAsia" w:hAnsi="黑体"/>
      </w:rPr>
      <w:t>××××</w:t>
    </w:r>
    <w:r>
      <w:rPr>
        <w:rFonts w:hAnsi="黑体"/>
      </w:rPr>
      <w:t>—</w:t>
    </w:r>
    <w:r>
      <w:rPr>
        <w:rFonts w:hint="eastAsia" w:hAnsi="黑体"/>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25B20">
    <w:pPr>
      <w:pStyle w:val="25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A2802">
    <w:pPr>
      <w:pStyle w:val="6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8CF3C">
    <w:pPr>
      <w:pStyle w:val="25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CF960">
    <w:pPr>
      <w:pStyle w:val="6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27F0F"/>
    <w:multiLevelType w:val="multilevel"/>
    <w:tmpl w:val="97027F0F"/>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B0D5C7D0"/>
    <w:multiLevelType w:val="singleLevel"/>
    <w:tmpl w:val="B0D5C7D0"/>
    <w:lvl w:ilvl="0" w:tentative="0">
      <w:start w:val="1"/>
      <w:numFmt w:val="decimal"/>
      <w:suff w:val="space"/>
      <w:lvlText w:val="[%1]"/>
      <w:lvlJc w:val="left"/>
    </w:lvl>
  </w:abstractNum>
  <w:abstractNum w:abstractNumId="2">
    <w:nsid w:val="B2C2FBBC"/>
    <w:multiLevelType w:val="multilevel"/>
    <w:tmpl w:val="B2C2FBBC"/>
    <w:lvl w:ilvl="0" w:tentative="0">
      <w:start w:val="1"/>
      <w:numFmt w:val="lowerLetter"/>
      <w:pStyle w:val="52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default" w:ascii="Times New Roman" w:hAnsi="Times New Roman" w:cs="Times New Roman"/>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B81FF4DE"/>
    <w:multiLevelType w:val="multilevel"/>
    <w:tmpl w:val="B81FF4DE"/>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EE4DFC71"/>
    <w:multiLevelType w:val="multilevel"/>
    <w:tmpl w:val="EE4DFC71"/>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F3990EFA"/>
    <w:multiLevelType w:val="multilevel"/>
    <w:tmpl w:val="F3990EF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7">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8">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9">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10">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11">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12">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13">
    <w:nsid w:val="FFFFFF83"/>
    <w:multiLevelType w:val="singleLevel"/>
    <w:tmpl w:val="FFFFFF83"/>
    <w:lvl w:ilvl="0" w:tentative="0">
      <w:start w:val="1"/>
      <w:numFmt w:val="bullet"/>
      <w:pStyle w:val="564"/>
      <w:lvlText w:val=""/>
      <w:lvlJc w:val="left"/>
      <w:pPr>
        <w:tabs>
          <w:tab w:val="left" w:pos="780"/>
        </w:tabs>
        <w:ind w:left="780" w:leftChars="200" w:hanging="360" w:hangingChars="200"/>
      </w:pPr>
      <w:rPr>
        <w:rFonts w:hint="default" w:ascii="Wingdings" w:hAnsi="Wingdings"/>
      </w:rPr>
    </w:lvl>
  </w:abstractNum>
  <w:abstractNum w:abstractNumId="14">
    <w:nsid w:val="FFFFFF88"/>
    <w:multiLevelType w:val="singleLevel"/>
    <w:tmpl w:val="FFFFFF88"/>
    <w:lvl w:ilvl="0" w:tentative="0">
      <w:start w:val="1"/>
      <w:numFmt w:val="decimal"/>
      <w:lvlText w:val="%1."/>
      <w:lvlJc w:val="left"/>
      <w:pPr>
        <w:tabs>
          <w:tab w:val="left" w:pos="360"/>
        </w:tabs>
        <w:ind w:left="360" w:hanging="360" w:hangingChars="200"/>
      </w:pPr>
    </w:lvl>
  </w:abstractNum>
  <w:abstractNum w:abstractNumId="15">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16">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4"/>
      <w:suff w:val="nothing"/>
      <w:lvlText w:val="%10.%2 "/>
      <w:lvlJc w:val="left"/>
      <w:pPr>
        <w:ind w:left="0" w:firstLine="0"/>
      </w:pPr>
      <w:rPr>
        <w:rFonts w:hint="eastAsia" w:ascii="黑体" w:eastAsia="黑体" w:hAnsiTheme="minorHAnsi"/>
        <w:b w:val="0"/>
        <w:i w:val="0"/>
        <w:sz w:val="21"/>
      </w:rPr>
    </w:lvl>
    <w:lvl w:ilvl="2" w:tentative="0">
      <w:start w:val="1"/>
      <w:numFmt w:val="decimal"/>
      <w:pStyle w:val="506"/>
      <w:suff w:val="nothing"/>
      <w:lvlText w:val="%10.%2.%3 "/>
      <w:lvlJc w:val="left"/>
      <w:pPr>
        <w:ind w:left="0" w:firstLine="0"/>
      </w:pPr>
      <w:rPr>
        <w:rFonts w:hint="eastAsia" w:ascii="黑体" w:eastAsia="黑体" w:hAnsiTheme="minorHAnsi"/>
        <w:b w:val="0"/>
        <w:i w:val="0"/>
        <w:sz w:val="21"/>
      </w:rPr>
    </w:lvl>
    <w:lvl w:ilvl="3" w:tentative="0">
      <w:start w:val="1"/>
      <w:numFmt w:val="decimal"/>
      <w:pStyle w:val="508"/>
      <w:suff w:val="nothing"/>
      <w:lvlText w:val="%10.%2.%3.%4 "/>
      <w:lvlJc w:val="left"/>
      <w:pPr>
        <w:ind w:left="0" w:firstLine="0"/>
      </w:pPr>
      <w:rPr>
        <w:rFonts w:hint="eastAsia" w:ascii="黑体" w:eastAsia="黑体" w:hAnsiTheme="minorHAnsi"/>
        <w:b w:val="0"/>
        <w:i w:val="0"/>
        <w:sz w:val="21"/>
      </w:rPr>
    </w:lvl>
    <w:lvl w:ilvl="4" w:tentative="0">
      <w:start w:val="1"/>
      <w:numFmt w:val="decimal"/>
      <w:pStyle w:val="510"/>
      <w:suff w:val="nothing"/>
      <w:lvlText w:val="%10.%2.%3.%4.%5 "/>
      <w:lvlJc w:val="left"/>
      <w:pPr>
        <w:ind w:left="0" w:firstLine="0"/>
      </w:pPr>
      <w:rPr>
        <w:rFonts w:hint="eastAsia" w:ascii="黑体" w:eastAsia="黑体" w:hAnsiTheme="minorHAnsi"/>
        <w:b w:val="0"/>
        <w:i w:val="0"/>
        <w:sz w:val="21"/>
      </w:rPr>
    </w:lvl>
    <w:lvl w:ilvl="5" w:tentative="0">
      <w:start w:val="1"/>
      <w:numFmt w:val="decimal"/>
      <w:pStyle w:val="512"/>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none"/>
      <w:pStyle w:val="316"/>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8">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9">
    <w:nsid w:val="0D46713A"/>
    <w:multiLevelType w:val="multilevel"/>
    <w:tmpl w:val="0D46713A"/>
    <w:lvl w:ilvl="0" w:tentative="0">
      <w:start w:val="1"/>
      <w:numFmt w:val="bullet"/>
      <w:pStyle w:val="325"/>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20">
    <w:nsid w:val="174F11EF"/>
    <w:multiLevelType w:val="multilevel"/>
    <w:tmpl w:val="174F11EF"/>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0" w:firstLine="0"/>
      </w:pPr>
      <w:rPr>
        <w:rFonts w:hint="default" w:ascii="黑体" w:hAnsi="Times New Roman" w:eastAsia="黑体"/>
        <w:b w:val="0"/>
        <w:i w:val="0"/>
        <w:color w:val="auto"/>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2">
    <w:nsid w:val="2A8F7113"/>
    <w:multiLevelType w:val="multilevel"/>
    <w:tmpl w:val="2A8F7113"/>
    <w:lvl w:ilvl="0" w:tentative="0">
      <w:start w:val="1"/>
      <w:numFmt w:val="upperLetter"/>
      <w:pStyle w:val="348"/>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3">
    <w:nsid w:val="44A35CF3"/>
    <w:multiLevelType w:val="multilevel"/>
    <w:tmpl w:val="44A35CF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4">
    <w:nsid w:val="4B733A5F"/>
    <w:multiLevelType w:val="multilevel"/>
    <w:tmpl w:val="4B733A5F"/>
    <w:lvl w:ilvl="0" w:tentative="0">
      <w:start w:val="1"/>
      <w:numFmt w:val="decimal"/>
      <w:pStyle w:val="30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5">
    <w:nsid w:val="4DDD6F39"/>
    <w:multiLevelType w:val="multilevel"/>
    <w:tmpl w:val="4DDD6F39"/>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5137045D"/>
    <w:multiLevelType w:val="multilevel"/>
    <w:tmpl w:val="5137045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55E02EF4"/>
    <w:multiLevelType w:val="multilevel"/>
    <w:tmpl w:val="55E02EF4"/>
    <w:lvl w:ilvl="0" w:tentative="0">
      <w:start w:val="1"/>
      <w:numFmt w:val="decimal"/>
      <w:pStyle w:val="302"/>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58CC5C88"/>
    <w:multiLevelType w:val="multilevel"/>
    <w:tmpl w:val="58CC5C88"/>
    <w:lvl w:ilvl="0" w:tentative="0">
      <w:start w:val="1"/>
      <w:numFmt w:val="decimal"/>
      <w:pStyle w:val="304"/>
      <w:suff w:val="nothing"/>
      <w:lvlText w:val="注%1："/>
      <w:lvlJc w:val="left"/>
      <w:pPr>
        <w:tabs>
          <w:tab w:val="left" w:pos="0"/>
        </w:tabs>
        <w:ind w:left="811" w:hanging="448"/>
      </w:pPr>
      <w:rPr>
        <w:rFonts w:hint="default" w:ascii="黑体" w:hAnsi="黑体" w:eastAsia="黑体" w:cs="Times New Roman"/>
        <w:b w:val="0"/>
        <w:bCs w:val="0"/>
        <w:i w:val="0"/>
        <w:iCs w:val="0"/>
        <w:caps w:val="0"/>
        <w:smallCaps w:val="0"/>
        <w:strike w:val="0"/>
        <w:dstrike w:val="0"/>
        <w:outline w:val="0"/>
        <w:shadow w:val="0"/>
        <w:emboss w:val="0"/>
        <w:imprint w:val="0"/>
        <w:vanish w:val="0"/>
        <w:spacing w:val="0"/>
        <w:position w:val="0"/>
        <w:sz w:val="18"/>
        <w:szCs w:val="1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9">
    <w:nsid w:val="5AFA03EA"/>
    <w:multiLevelType w:val="multilevel"/>
    <w:tmpl w:val="5AFA03E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1">
    <w:nsid w:val="5DBB2B2E"/>
    <w:multiLevelType w:val="multilevel"/>
    <w:tmpl w:val="5DBB2B2E"/>
    <w:lvl w:ilvl="0" w:tentative="0">
      <w:start w:val="1"/>
      <w:numFmt w:val="lowerLetter"/>
      <w:pStyle w:val="305"/>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60B55DC2"/>
    <w:multiLevelType w:val="multilevel"/>
    <w:tmpl w:val="60B55DC2"/>
    <w:lvl w:ilvl="0" w:tentative="0">
      <w:start w:val="1"/>
      <w:numFmt w:val="upperLetter"/>
      <w:pStyle w:val="347"/>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7"/>
      <w:suff w:val="nothing"/>
      <w:lvlText w:val="%3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3">
    <w:nsid w:val="64B00EDB"/>
    <w:multiLevelType w:val="singleLevel"/>
    <w:tmpl w:val="64B00EDB"/>
    <w:lvl w:ilvl="0" w:tentative="0">
      <w:start w:val="1"/>
      <w:numFmt w:val="bullet"/>
      <w:pStyle w:val="565"/>
      <w:lvlText w:val="*"/>
      <w:lvlJc w:val="left"/>
      <w:pPr>
        <w:tabs>
          <w:tab w:val="left" w:pos="567"/>
        </w:tabs>
        <w:ind w:left="567" w:hanging="567"/>
      </w:pPr>
      <w:rPr>
        <w:rFonts w:hint="default" w:ascii="Times New Roman" w:hAnsi="Times New Roman"/>
      </w:rPr>
    </w:lvl>
  </w:abstractNum>
  <w:abstractNum w:abstractNumId="34">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hint="eastAsia" w:ascii="黑体" w:hAnsi="Times New Roman" w:eastAsia="黑体"/>
        <w:b w:val="0"/>
        <w:i w:val="0"/>
        <w:sz w:val="21"/>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27"/>
      <w:suff w:val="nothing"/>
      <w:lvlText w:val="%1%2　"/>
      <w:lvlJc w:val="left"/>
      <w:pPr>
        <w:ind w:left="0" w:firstLine="0"/>
      </w:pPr>
      <w:rPr>
        <w:rFonts w:hint="eastAsia" w:ascii="黑体" w:eastAsia="黑体"/>
        <w:b w:val="0"/>
        <w:i w:val="0"/>
        <w:sz w:val="21"/>
      </w:rPr>
    </w:lvl>
    <w:lvl w:ilvl="2" w:tentative="0">
      <w:start w:val="1"/>
      <w:numFmt w:val="decimal"/>
      <w:pStyle w:val="52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24"/>
      <w:suff w:val="nothing"/>
      <w:lvlText w:val="%1%2.%3.%4　"/>
      <w:lvlJc w:val="left"/>
      <w:pPr>
        <w:ind w:left="85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6">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7">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7"/>
      <w:suff w:val="nothing"/>
      <w:lvlText w:val="%1%2 "/>
      <w:lvlJc w:val="left"/>
      <w:pPr>
        <w:ind w:left="0" w:firstLine="0"/>
      </w:pPr>
      <w:rPr>
        <w:rFonts w:hint="eastAsia" w:ascii="黑体" w:hAnsi="Times New Roman" w:eastAsia="黑体"/>
        <w:b/>
        <w:i w:val="0"/>
        <w:sz w:val="28"/>
      </w:rPr>
    </w:lvl>
    <w:lvl w:ilvl="2" w:tentative="0">
      <w:start w:val="1"/>
      <w:numFmt w:val="decimal"/>
      <w:pStyle w:val="308"/>
      <w:suff w:val="nothing"/>
      <w:lvlText w:val="%1%2.%3　"/>
      <w:lvlJc w:val="left"/>
      <w:pPr>
        <w:ind w:left="0" w:firstLine="0"/>
      </w:pPr>
      <w:rPr>
        <w:rFonts w:hint="eastAsia" w:ascii="黑体" w:hAnsi="Times New Roman" w:eastAsia="黑体"/>
        <w:b/>
        <w:i w:val="0"/>
        <w:sz w:val="21"/>
      </w:rPr>
    </w:lvl>
    <w:lvl w:ilvl="3" w:tentative="0">
      <w:start w:val="1"/>
      <w:numFmt w:val="decimal"/>
      <w:pStyle w:val="309"/>
      <w:suff w:val="nothing"/>
      <w:lvlText w:val="%1%2.%3.%4　"/>
      <w:lvlJc w:val="left"/>
      <w:pPr>
        <w:ind w:left="0" w:firstLine="0"/>
      </w:pPr>
      <w:rPr>
        <w:rFonts w:hint="eastAsia" w:ascii="黑体" w:hAnsi="Times New Roman" w:eastAsia="黑体"/>
        <w:b/>
        <w:i w:val="0"/>
        <w:sz w:val="21"/>
      </w:rPr>
    </w:lvl>
    <w:lvl w:ilvl="4" w:tentative="0">
      <w:start w:val="1"/>
      <w:numFmt w:val="decimal"/>
      <w:pStyle w:val="310"/>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1"/>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2"/>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4"/>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3"/>
      <w:lvlText w:val="%2.0.%9"/>
      <w:lvlJc w:val="left"/>
      <w:pPr>
        <w:tabs>
          <w:tab w:val="left" w:pos="720"/>
        </w:tabs>
        <w:ind w:left="0" w:firstLine="0"/>
      </w:pPr>
      <w:rPr>
        <w:rFonts w:hint="eastAsia" w:ascii="黑体" w:hAnsi="华文细黑" w:eastAsia="黑体"/>
        <w:b/>
        <w:i w:val="0"/>
        <w:sz w:val="21"/>
      </w:rPr>
    </w:lvl>
  </w:abstractNum>
  <w:abstractNum w:abstractNumId="38">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11"/>
  </w:num>
  <w:num w:numId="3">
    <w:abstractNumId w:val="15"/>
  </w:num>
  <w:num w:numId="4">
    <w:abstractNumId w:val="12"/>
  </w:num>
  <w:num w:numId="5">
    <w:abstractNumId w:val="8"/>
  </w:num>
  <w:num w:numId="6">
    <w:abstractNumId w:val="10"/>
  </w:num>
  <w:num w:numId="7">
    <w:abstractNumId w:val="7"/>
  </w:num>
  <w:num w:numId="8">
    <w:abstractNumId w:val="6"/>
  </w:num>
  <w:num w:numId="9">
    <w:abstractNumId w:val="21"/>
  </w:num>
  <w:num w:numId="10">
    <w:abstractNumId w:val="34"/>
  </w:num>
  <w:num w:numId="11">
    <w:abstractNumId w:val="32"/>
  </w:num>
  <w:num w:numId="12">
    <w:abstractNumId w:val="22"/>
  </w:num>
  <w:num w:numId="13">
    <w:abstractNumId w:val="38"/>
  </w:num>
  <w:num w:numId="14">
    <w:abstractNumId w:val="18"/>
  </w:num>
  <w:num w:numId="15">
    <w:abstractNumId w:val="2"/>
  </w:num>
  <w:num w:numId="16">
    <w:abstractNumId w:val="30"/>
  </w:num>
  <w:num w:numId="17">
    <w:abstractNumId w:val="17"/>
  </w:num>
  <w:num w:numId="18">
    <w:abstractNumId w:val="27"/>
  </w:num>
  <w:num w:numId="19">
    <w:abstractNumId w:val="36"/>
  </w:num>
  <w:num w:numId="20">
    <w:abstractNumId w:val="28"/>
  </w:num>
  <w:num w:numId="21">
    <w:abstractNumId w:val="31"/>
  </w:num>
  <w:num w:numId="22">
    <w:abstractNumId w:val="24"/>
  </w:num>
  <w:num w:numId="23">
    <w:abstractNumId w:val="37"/>
  </w:num>
  <w:num w:numId="24">
    <w:abstractNumId w:val="19"/>
  </w:num>
  <w:num w:numId="25">
    <w:abstractNumId w:val="16"/>
  </w:num>
  <w:num w:numId="26">
    <w:abstractNumId w:val="35"/>
  </w:num>
  <w:num w:numId="27">
    <w:abstractNumId w:val="14"/>
  </w:num>
  <w:num w:numId="28">
    <w:abstractNumId w:val="13"/>
  </w:num>
  <w:num w:numId="29">
    <w:abstractNumId w:val="33"/>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num>
  <w:num w:numId="61">
    <w:abstractNumId w:val="25"/>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210"/>
  <w:evenAndOddHeaders w:val="1"/>
  <w:drawingGridHorizontalSpacing w:val="105"/>
  <w:drawingGridVerticalSpacing w:val="14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yZWQ5ZGVhNThkNDZlZWM0M2E5ODM5MTg5NzQ0ZWEifQ=="/>
  </w:docVars>
  <w:rsids>
    <w:rsidRoot w:val="6758338F"/>
    <w:rsid w:val="00001B07"/>
    <w:rsid w:val="00002056"/>
    <w:rsid w:val="00004EB0"/>
    <w:rsid w:val="00006548"/>
    <w:rsid w:val="0001297F"/>
    <w:rsid w:val="00012A37"/>
    <w:rsid w:val="000150C1"/>
    <w:rsid w:val="00015992"/>
    <w:rsid w:val="00015998"/>
    <w:rsid w:val="00016002"/>
    <w:rsid w:val="00016B00"/>
    <w:rsid w:val="00016DC5"/>
    <w:rsid w:val="0002132E"/>
    <w:rsid w:val="00022587"/>
    <w:rsid w:val="00022820"/>
    <w:rsid w:val="00023851"/>
    <w:rsid w:val="0002390E"/>
    <w:rsid w:val="00023D76"/>
    <w:rsid w:val="000261B7"/>
    <w:rsid w:val="00027619"/>
    <w:rsid w:val="00027BD3"/>
    <w:rsid w:val="00027F24"/>
    <w:rsid w:val="000302E9"/>
    <w:rsid w:val="00030581"/>
    <w:rsid w:val="00031065"/>
    <w:rsid w:val="00033FD8"/>
    <w:rsid w:val="00034F9C"/>
    <w:rsid w:val="00035647"/>
    <w:rsid w:val="0003621C"/>
    <w:rsid w:val="00036B39"/>
    <w:rsid w:val="00040A84"/>
    <w:rsid w:val="00040BBF"/>
    <w:rsid w:val="00041393"/>
    <w:rsid w:val="0004276F"/>
    <w:rsid w:val="00042B86"/>
    <w:rsid w:val="00043B5B"/>
    <w:rsid w:val="00045467"/>
    <w:rsid w:val="00047DE4"/>
    <w:rsid w:val="00050C9F"/>
    <w:rsid w:val="00053521"/>
    <w:rsid w:val="00053FB5"/>
    <w:rsid w:val="000554D7"/>
    <w:rsid w:val="00055FFA"/>
    <w:rsid w:val="0005658D"/>
    <w:rsid w:val="000601B3"/>
    <w:rsid w:val="00063AAA"/>
    <w:rsid w:val="00064AFC"/>
    <w:rsid w:val="00065DBA"/>
    <w:rsid w:val="00066B25"/>
    <w:rsid w:val="00067AE6"/>
    <w:rsid w:val="000707CF"/>
    <w:rsid w:val="00071160"/>
    <w:rsid w:val="00072698"/>
    <w:rsid w:val="00072D7E"/>
    <w:rsid w:val="00073277"/>
    <w:rsid w:val="00073DCF"/>
    <w:rsid w:val="00075DD9"/>
    <w:rsid w:val="00075E0C"/>
    <w:rsid w:val="0008547F"/>
    <w:rsid w:val="00085B90"/>
    <w:rsid w:val="000865FD"/>
    <w:rsid w:val="00087384"/>
    <w:rsid w:val="000876F7"/>
    <w:rsid w:val="00090D2F"/>
    <w:rsid w:val="00090E5A"/>
    <w:rsid w:val="0009181C"/>
    <w:rsid w:val="00094208"/>
    <w:rsid w:val="000962BA"/>
    <w:rsid w:val="00096449"/>
    <w:rsid w:val="0009648F"/>
    <w:rsid w:val="00096E44"/>
    <w:rsid w:val="000970B0"/>
    <w:rsid w:val="00097DE5"/>
    <w:rsid w:val="000A041F"/>
    <w:rsid w:val="000A1899"/>
    <w:rsid w:val="000A1BB1"/>
    <w:rsid w:val="000A41F4"/>
    <w:rsid w:val="000A4EA9"/>
    <w:rsid w:val="000A568D"/>
    <w:rsid w:val="000A6E5F"/>
    <w:rsid w:val="000B0F84"/>
    <w:rsid w:val="000B1F37"/>
    <w:rsid w:val="000B333C"/>
    <w:rsid w:val="000C1E53"/>
    <w:rsid w:val="000C21DC"/>
    <w:rsid w:val="000C2EFF"/>
    <w:rsid w:val="000C347D"/>
    <w:rsid w:val="000C4EE4"/>
    <w:rsid w:val="000C522C"/>
    <w:rsid w:val="000C54E6"/>
    <w:rsid w:val="000C665C"/>
    <w:rsid w:val="000D03FC"/>
    <w:rsid w:val="000D2ADB"/>
    <w:rsid w:val="000D3120"/>
    <w:rsid w:val="000D3C87"/>
    <w:rsid w:val="000D56A8"/>
    <w:rsid w:val="000D6EB7"/>
    <w:rsid w:val="000E0F53"/>
    <w:rsid w:val="000E1A47"/>
    <w:rsid w:val="000E2B29"/>
    <w:rsid w:val="000E2C4F"/>
    <w:rsid w:val="000E3853"/>
    <w:rsid w:val="000E4B3C"/>
    <w:rsid w:val="000E6E4C"/>
    <w:rsid w:val="000E7B1D"/>
    <w:rsid w:val="000E7E85"/>
    <w:rsid w:val="000F023D"/>
    <w:rsid w:val="000F29EF"/>
    <w:rsid w:val="000F2CC4"/>
    <w:rsid w:val="000F3215"/>
    <w:rsid w:val="000F3D3F"/>
    <w:rsid w:val="000F4267"/>
    <w:rsid w:val="000F461D"/>
    <w:rsid w:val="000F6928"/>
    <w:rsid w:val="00100DBB"/>
    <w:rsid w:val="00100E4C"/>
    <w:rsid w:val="00101436"/>
    <w:rsid w:val="001015D1"/>
    <w:rsid w:val="001017F3"/>
    <w:rsid w:val="00101D08"/>
    <w:rsid w:val="001030A5"/>
    <w:rsid w:val="0010313B"/>
    <w:rsid w:val="001038E0"/>
    <w:rsid w:val="00103E03"/>
    <w:rsid w:val="00104713"/>
    <w:rsid w:val="00104989"/>
    <w:rsid w:val="00104D30"/>
    <w:rsid w:val="0010540F"/>
    <w:rsid w:val="001058F5"/>
    <w:rsid w:val="00106030"/>
    <w:rsid w:val="00107623"/>
    <w:rsid w:val="0011024D"/>
    <w:rsid w:val="00110AAF"/>
    <w:rsid w:val="001114C7"/>
    <w:rsid w:val="0011193A"/>
    <w:rsid w:val="00112AB7"/>
    <w:rsid w:val="00112CFF"/>
    <w:rsid w:val="00112D98"/>
    <w:rsid w:val="00112EE8"/>
    <w:rsid w:val="0011595C"/>
    <w:rsid w:val="00115A6A"/>
    <w:rsid w:val="00116AD8"/>
    <w:rsid w:val="001205AF"/>
    <w:rsid w:val="001206E5"/>
    <w:rsid w:val="0012073F"/>
    <w:rsid w:val="00123A79"/>
    <w:rsid w:val="00123BF9"/>
    <w:rsid w:val="00124488"/>
    <w:rsid w:val="00126B6C"/>
    <w:rsid w:val="00127602"/>
    <w:rsid w:val="00127C93"/>
    <w:rsid w:val="001317FF"/>
    <w:rsid w:val="00131A5B"/>
    <w:rsid w:val="00132A34"/>
    <w:rsid w:val="00132B09"/>
    <w:rsid w:val="0013472B"/>
    <w:rsid w:val="00137113"/>
    <w:rsid w:val="00141642"/>
    <w:rsid w:val="00141A37"/>
    <w:rsid w:val="00141AE5"/>
    <w:rsid w:val="00142C5D"/>
    <w:rsid w:val="00142EC2"/>
    <w:rsid w:val="00144633"/>
    <w:rsid w:val="00145505"/>
    <w:rsid w:val="001456AE"/>
    <w:rsid w:val="00145A09"/>
    <w:rsid w:val="00145C4C"/>
    <w:rsid w:val="00146F5C"/>
    <w:rsid w:val="0015006F"/>
    <w:rsid w:val="00150CF3"/>
    <w:rsid w:val="001512A6"/>
    <w:rsid w:val="001517CF"/>
    <w:rsid w:val="001522E8"/>
    <w:rsid w:val="00152794"/>
    <w:rsid w:val="00152E3A"/>
    <w:rsid w:val="0015407F"/>
    <w:rsid w:val="001541AF"/>
    <w:rsid w:val="00154EA6"/>
    <w:rsid w:val="0015566A"/>
    <w:rsid w:val="0015674F"/>
    <w:rsid w:val="001569C2"/>
    <w:rsid w:val="00160015"/>
    <w:rsid w:val="001613E3"/>
    <w:rsid w:val="001628EB"/>
    <w:rsid w:val="00162DBA"/>
    <w:rsid w:val="001637E7"/>
    <w:rsid w:val="00163EF2"/>
    <w:rsid w:val="001644B6"/>
    <w:rsid w:val="00164C6D"/>
    <w:rsid w:val="001662F4"/>
    <w:rsid w:val="00166361"/>
    <w:rsid w:val="00167236"/>
    <w:rsid w:val="00167AE3"/>
    <w:rsid w:val="00167B87"/>
    <w:rsid w:val="00170B1F"/>
    <w:rsid w:val="00170BBE"/>
    <w:rsid w:val="00170CC9"/>
    <w:rsid w:val="001719CD"/>
    <w:rsid w:val="00171F77"/>
    <w:rsid w:val="00172236"/>
    <w:rsid w:val="0017294E"/>
    <w:rsid w:val="00172C11"/>
    <w:rsid w:val="00173240"/>
    <w:rsid w:val="00173F7E"/>
    <w:rsid w:val="0017448C"/>
    <w:rsid w:val="001748CC"/>
    <w:rsid w:val="0017505C"/>
    <w:rsid w:val="00175F5C"/>
    <w:rsid w:val="001761A9"/>
    <w:rsid w:val="0017737E"/>
    <w:rsid w:val="0018036F"/>
    <w:rsid w:val="001818F6"/>
    <w:rsid w:val="00181AD0"/>
    <w:rsid w:val="00182170"/>
    <w:rsid w:val="001830DE"/>
    <w:rsid w:val="001830FD"/>
    <w:rsid w:val="00183376"/>
    <w:rsid w:val="00183A9E"/>
    <w:rsid w:val="00184380"/>
    <w:rsid w:val="00187A63"/>
    <w:rsid w:val="001903F6"/>
    <w:rsid w:val="00190D5F"/>
    <w:rsid w:val="00191155"/>
    <w:rsid w:val="00191850"/>
    <w:rsid w:val="00192D9D"/>
    <w:rsid w:val="001944CE"/>
    <w:rsid w:val="00194E21"/>
    <w:rsid w:val="001958C8"/>
    <w:rsid w:val="00196A0B"/>
    <w:rsid w:val="00197757"/>
    <w:rsid w:val="001A068A"/>
    <w:rsid w:val="001A4045"/>
    <w:rsid w:val="001A5A8D"/>
    <w:rsid w:val="001A5BF9"/>
    <w:rsid w:val="001A6B10"/>
    <w:rsid w:val="001A6F1B"/>
    <w:rsid w:val="001B1830"/>
    <w:rsid w:val="001B2461"/>
    <w:rsid w:val="001B2828"/>
    <w:rsid w:val="001B3158"/>
    <w:rsid w:val="001B4003"/>
    <w:rsid w:val="001B4071"/>
    <w:rsid w:val="001B64B1"/>
    <w:rsid w:val="001C0454"/>
    <w:rsid w:val="001C2054"/>
    <w:rsid w:val="001C561B"/>
    <w:rsid w:val="001C732E"/>
    <w:rsid w:val="001C7FE7"/>
    <w:rsid w:val="001D0E31"/>
    <w:rsid w:val="001D135E"/>
    <w:rsid w:val="001D1618"/>
    <w:rsid w:val="001D2DEF"/>
    <w:rsid w:val="001D35D7"/>
    <w:rsid w:val="001D3B85"/>
    <w:rsid w:val="001D5576"/>
    <w:rsid w:val="001D5AA4"/>
    <w:rsid w:val="001D647D"/>
    <w:rsid w:val="001D6F99"/>
    <w:rsid w:val="001D71BA"/>
    <w:rsid w:val="001D7699"/>
    <w:rsid w:val="001E06F8"/>
    <w:rsid w:val="001E21ED"/>
    <w:rsid w:val="001E2FE6"/>
    <w:rsid w:val="001E3534"/>
    <w:rsid w:val="001E3BF3"/>
    <w:rsid w:val="001E3D32"/>
    <w:rsid w:val="001E41DE"/>
    <w:rsid w:val="001E4D6B"/>
    <w:rsid w:val="001E577C"/>
    <w:rsid w:val="001E5CF5"/>
    <w:rsid w:val="001F0E09"/>
    <w:rsid w:val="001F1F15"/>
    <w:rsid w:val="001F2F83"/>
    <w:rsid w:val="001F3346"/>
    <w:rsid w:val="001F53C9"/>
    <w:rsid w:val="001F5F68"/>
    <w:rsid w:val="001F67A1"/>
    <w:rsid w:val="001F6916"/>
    <w:rsid w:val="001F6C21"/>
    <w:rsid w:val="001F7B2C"/>
    <w:rsid w:val="001F7BD7"/>
    <w:rsid w:val="00200382"/>
    <w:rsid w:val="00200B95"/>
    <w:rsid w:val="00202827"/>
    <w:rsid w:val="00204964"/>
    <w:rsid w:val="00204F28"/>
    <w:rsid w:val="00205A34"/>
    <w:rsid w:val="00205B8B"/>
    <w:rsid w:val="002064F8"/>
    <w:rsid w:val="00206FC5"/>
    <w:rsid w:val="00210B53"/>
    <w:rsid w:val="00210F10"/>
    <w:rsid w:val="0021201F"/>
    <w:rsid w:val="002126F6"/>
    <w:rsid w:val="002129BD"/>
    <w:rsid w:val="00212C2F"/>
    <w:rsid w:val="002133C6"/>
    <w:rsid w:val="002134C3"/>
    <w:rsid w:val="00213D2B"/>
    <w:rsid w:val="00214DD8"/>
    <w:rsid w:val="00216F51"/>
    <w:rsid w:val="00221CD1"/>
    <w:rsid w:val="002229A7"/>
    <w:rsid w:val="002247B2"/>
    <w:rsid w:val="00224866"/>
    <w:rsid w:val="00225878"/>
    <w:rsid w:val="00227E52"/>
    <w:rsid w:val="0023186E"/>
    <w:rsid w:val="00231F99"/>
    <w:rsid w:val="00232EA9"/>
    <w:rsid w:val="00234769"/>
    <w:rsid w:val="0023499D"/>
    <w:rsid w:val="00234E6F"/>
    <w:rsid w:val="00235CB0"/>
    <w:rsid w:val="002361FA"/>
    <w:rsid w:val="00237304"/>
    <w:rsid w:val="00237BD5"/>
    <w:rsid w:val="00237C95"/>
    <w:rsid w:val="00240463"/>
    <w:rsid w:val="00240DC0"/>
    <w:rsid w:val="00241E79"/>
    <w:rsid w:val="002421EB"/>
    <w:rsid w:val="00242E0A"/>
    <w:rsid w:val="00245151"/>
    <w:rsid w:val="00245BAE"/>
    <w:rsid w:val="002462C1"/>
    <w:rsid w:val="0024683E"/>
    <w:rsid w:val="00247101"/>
    <w:rsid w:val="00247E6D"/>
    <w:rsid w:val="00247EBA"/>
    <w:rsid w:val="00251563"/>
    <w:rsid w:val="002517F3"/>
    <w:rsid w:val="0025196D"/>
    <w:rsid w:val="002523E7"/>
    <w:rsid w:val="00252D0B"/>
    <w:rsid w:val="00253874"/>
    <w:rsid w:val="00253C94"/>
    <w:rsid w:val="00254521"/>
    <w:rsid w:val="00255149"/>
    <w:rsid w:val="00255558"/>
    <w:rsid w:val="002558FF"/>
    <w:rsid w:val="00260590"/>
    <w:rsid w:val="00262F11"/>
    <w:rsid w:val="00264CA9"/>
    <w:rsid w:val="00265057"/>
    <w:rsid w:val="00265C58"/>
    <w:rsid w:val="00266D60"/>
    <w:rsid w:val="00267674"/>
    <w:rsid w:val="00267C09"/>
    <w:rsid w:val="002712A3"/>
    <w:rsid w:val="00271CCA"/>
    <w:rsid w:val="002737A1"/>
    <w:rsid w:val="00273BF1"/>
    <w:rsid w:val="0027680D"/>
    <w:rsid w:val="00276CE2"/>
    <w:rsid w:val="0027759E"/>
    <w:rsid w:val="002816B7"/>
    <w:rsid w:val="00282ED0"/>
    <w:rsid w:val="00282FBE"/>
    <w:rsid w:val="00283679"/>
    <w:rsid w:val="00284B13"/>
    <w:rsid w:val="00285797"/>
    <w:rsid w:val="00285BC4"/>
    <w:rsid w:val="00286595"/>
    <w:rsid w:val="00286730"/>
    <w:rsid w:val="00287C06"/>
    <w:rsid w:val="002917C0"/>
    <w:rsid w:val="002919E4"/>
    <w:rsid w:val="00292302"/>
    <w:rsid w:val="00292D09"/>
    <w:rsid w:val="00292FA2"/>
    <w:rsid w:val="00293E04"/>
    <w:rsid w:val="002943C6"/>
    <w:rsid w:val="002958D2"/>
    <w:rsid w:val="00295B71"/>
    <w:rsid w:val="00295BCC"/>
    <w:rsid w:val="00297E3D"/>
    <w:rsid w:val="002A0E4B"/>
    <w:rsid w:val="002A1D4A"/>
    <w:rsid w:val="002A3799"/>
    <w:rsid w:val="002A3BE2"/>
    <w:rsid w:val="002A648D"/>
    <w:rsid w:val="002A6B18"/>
    <w:rsid w:val="002A78D8"/>
    <w:rsid w:val="002B053F"/>
    <w:rsid w:val="002B060C"/>
    <w:rsid w:val="002B070E"/>
    <w:rsid w:val="002B1872"/>
    <w:rsid w:val="002B3018"/>
    <w:rsid w:val="002B335C"/>
    <w:rsid w:val="002B428D"/>
    <w:rsid w:val="002B50FC"/>
    <w:rsid w:val="002B5BAA"/>
    <w:rsid w:val="002B6072"/>
    <w:rsid w:val="002B64A3"/>
    <w:rsid w:val="002B668F"/>
    <w:rsid w:val="002B6A85"/>
    <w:rsid w:val="002B6F8C"/>
    <w:rsid w:val="002B7705"/>
    <w:rsid w:val="002B782D"/>
    <w:rsid w:val="002C086F"/>
    <w:rsid w:val="002C0A44"/>
    <w:rsid w:val="002C1A21"/>
    <w:rsid w:val="002C1F41"/>
    <w:rsid w:val="002C2E29"/>
    <w:rsid w:val="002C59DA"/>
    <w:rsid w:val="002C6C4A"/>
    <w:rsid w:val="002C70B4"/>
    <w:rsid w:val="002C7DC9"/>
    <w:rsid w:val="002D040D"/>
    <w:rsid w:val="002D123D"/>
    <w:rsid w:val="002D2358"/>
    <w:rsid w:val="002D3DC2"/>
    <w:rsid w:val="002D4720"/>
    <w:rsid w:val="002D6BCC"/>
    <w:rsid w:val="002E0086"/>
    <w:rsid w:val="002E0821"/>
    <w:rsid w:val="002E099B"/>
    <w:rsid w:val="002E4C28"/>
    <w:rsid w:val="002E5156"/>
    <w:rsid w:val="002E63A0"/>
    <w:rsid w:val="002E6B99"/>
    <w:rsid w:val="002E6C80"/>
    <w:rsid w:val="002E75D0"/>
    <w:rsid w:val="002F0693"/>
    <w:rsid w:val="002F1167"/>
    <w:rsid w:val="002F12B8"/>
    <w:rsid w:val="002F17E8"/>
    <w:rsid w:val="002F19F4"/>
    <w:rsid w:val="002F1D68"/>
    <w:rsid w:val="002F1E4A"/>
    <w:rsid w:val="002F2125"/>
    <w:rsid w:val="002F3841"/>
    <w:rsid w:val="002F5ACC"/>
    <w:rsid w:val="002F6554"/>
    <w:rsid w:val="0030029A"/>
    <w:rsid w:val="003004CD"/>
    <w:rsid w:val="00301E20"/>
    <w:rsid w:val="00302D40"/>
    <w:rsid w:val="00303CA5"/>
    <w:rsid w:val="00303D09"/>
    <w:rsid w:val="00304A61"/>
    <w:rsid w:val="00305389"/>
    <w:rsid w:val="003109DF"/>
    <w:rsid w:val="0031202C"/>
    <w:rsid w:val="00313B11"/>
    <w:rsid w:val="003144AE"/>
    <w:rsid w:val="00314AB0"/>
    <w:rsid w:val="0031551F"/>
    <w:rsid w:val="00316B59"/>
    <w:rsid w:val="00322938"/>
    <w:rsid w:val="00322F90"/>
    <w:rsid w:val="00324802"/>
    <w:rsid w:val="00325E0E"/>
    <w:rsid w:val="00326B74"/>
    <w:rsid w:val="00326D17"/>
    <w:rsid w:val="0033026E"/>
    <w:rsid w:val="00332143"/>
    <w:rsid w:val="003326A1"/>
    <w:rsid w:val="0033358A"/>
    <w:rsid w:val="0033370D"/>
    <w:rsid w:val="00334ABB"/>
    <w:rsid w:val="003369F6"/>
    <w:rsid w:val="0033718F"/>
    <w:rsid w:val="00337808"/>
    <w:rsid w:val="003408E9"/>
    <w:rsid w:val="003436D8"/>
    <w:rsid w:val="00345A9D"/>
    <w:rsid w:val="00347E0A"/>
    <w:rsid w:val="00350509"/>
    <w:rsid w:val="003521F1"/>
    <w:rsid w:val="00353B20"/>
    <w:rsid w:val="00354B7B"/>
    <w:rsid w:val="00355F3E"/>
    <w:rsid w:val="003567C3"/>
    <w:rsid w:val="00356F0E"/>
    <w:rsid w:val="00357272"/>
    <w:rsid w:val="00357EFF"/>
    <w:rsid w:val="00361973"/>
    <w:rsid w:val="00361AD2"/>
    <w:rsid w:val="00362D7A"/>
    <w:rsid w:val="00363304"/>
    <w:rsid w:val="003638BC"/>
    <w:rsid w:val="00364873"/>
    <w:rsid w:val="00366B99"/>
    <w:rsid w:val="00366DA1"/>
    <w:rsid w:val="003709FD"/>
    <w:rsid w:val="00371412"/>
    <w:rsid w:val="003739D3"/>
    <w:rsid w:val="00375529"/>
    <w:rsid w:val="00376869"/>
    <w:rsid w:val="003803A6"/>
    <w:rsid w:val="003812EE"/>
    <w:rsid w:val="00381ABD"/>
    <w:rsid w:val="0038223A"/>
    <w:rsid w:val="00382261"/>
    <w:rsid w:val="0038273D"/>
    <w:rsid w:val="00382F10"/>
    <w:rsid w:val="0038300B"/>
    <w:rsid w:val="003852F1"/>
    <w:rsid w:val="003861C0"/>
    <w:rsid w:val="0038731F"/>
    <w:rsid w:val="0039067A"/>
    <w:rsid w:val="00390827"/>
    <w:rsid w:val="00391971"/>
    <w:rsid w:val="00391FDA"/>
    <w:rsid w:val="003924BD"/>
    <w:rsid w:val="003926E8"/>
    <w:rsid w:val="003930AF"/>
    <w:rsid w:val="003938D7"/>
    <w:rsid w:val="003946EF"/>
    <w:rsid w:val="00394AB5"/>
    <w:rsid w:val="003961A5"/>
    <w:rsid w:val="00396DB6"/>
    <w:rsid w:val="00397346"/>
    <w:rsid w:val="00397925"/>
    <w:rsid w:val="003A2B71"/>
    <w:rsid w:val="003A431E"/>
    <w:rsid w:val="003A48A1"/>
    <w:rsid w:val="003A4C47"/>
    <w:rsid w:val="003A4F7B"/>
    <w:rsid w:val="003A51BE"/>
    <w:rsid w:val="003A5CE6"/>
    <w:rsid w:val="003A6A90"/>
    <w:rsid w:val="003B4A54"/>
    <w:rsid w:val="003B52DA"/>
    <w:rsid w:val="003B6269"/>
    <w:rsid w:val="003B65E2"/>
    <w:rsid w:val="003B6BD3"/>
    <w:rsid w:val="003C0D60"/>
    <w:rsid w:val="003C12A9"/>
    <w:rsid w:val="003C32DC"/>
    <w:rsid w:val="003C4624"/>
    <w:rsid w:val="003C4C87"/>
    <w:rsid w:val="003C4CB0"/>
    <w:rsid w:val="003C532C"/>
    <w:rsid w:val="003C5C82"/>
    <w:rsid w:val="003C6148"/>
    <w:rsid w:val="003D03C2"/>
    <w:rsid w:val="003D1643"/>
    <w:rsid w:val="003D3B3B"/>
    <w:rsid w:val="003D5ECA"/>
    <w:rsid w:val="003D7045"/>
    <w:rsid w:val="003D7C6A"/>
    <w:rsid w:val="003E0140"/>
    <w:rsid w:val="003E1353"/>
    <w:rsid w:val="003E18CA"/>
    <w:rsid w:val="003E1B1B"/>
    <w:rsid w:val="003E27EF"/>
    <w:rsid w:val="003E2E54"/>
    <w:rsid w:val="003E2E62"/>
    <w:rsid w:val="003E325F"/>
    <w:rsid w:val="003E42D0"/>
    <w:rsid w:val="003E49F2"/>
    <w:rsid w:val="003E54DC"/>
    <w:rsid w:val="003E65CC"/>
    <w:rsid w:val="003E6A1B"/>
    <w:rsid w:val="003E7CE2"/>
    <w:rsid w:val="003F0819"/>
    <w:rsid w:val="003F1188"/>
    <w:rsid w:val="003F1A81"/>
    <w:rsid w:val="003F2DA8"/>
    <w:rsid w:val="003F41DD"/>
    <w:rsid w:val="003F4245"/>
    <w:rsid w:val="003F5D9D"/>
    <w:rsid w:val="003F764E"/>
    <w:rsid w:val="003F7CC8"/>
    <w:rsid w:val="0040085A"/>
    <w:rsid w:val="004018C4"/>
    <w:rsid w:val="004027F4"/>
    <w:rsid w:val="0040289B"/>
    <w:rsid w:val="00402B6E"/>
    <w:rsid w:val="00403736"/>
    <w:rsid w:val="00405E1E"/>
    <w:rsid w:val="004061A1"/>
    <w:rsid w:val="0040659D"/>
    <w:rsid w:val="00406CC1"/>
    <w:rsid w:val="00406FF8"/>
    <w:rsid w:val="00407484"/>
    <w:rsid w:val="004077C9"/>
    <w:rsid w:val="0040789E"/>
    <w:rsid w:val="004114D7"/>
    <w:rsid w:val="0041198C"/>
    <w:rsid w:val="00411C7F"/>
    <w:rsid w:val="00411FCF"/>
    <w:rsid w:val="0041207A"/>
    <w:rsid w:val="00412129"/>
    <w:rsid w:val="004127EE"/>
    <w:rsid w:val="00413B34"/>
    <w:rsid w:val="0041425F"/>
    <w:rsid w:val="0041426E"/>
    <w:rsid w:val="0041491B"/>
    <w:rsid w:val="00417640"/>
    <w:rsid w:val="00420271"/>
    <w:rsid w:val="00421BD9"/>
    <w:rsid w:val="00423524"/>
    <w:rsid w:val="00423C37"/>
    <w:rsid w:val="00425939"/>
    <w:rsid w:val="00425EC6"/>
    <w:rsid w:val="00427F7C"/>
    <w:rsid w:val="00431171"/>
    <w:rsid w:val="00431F40"/>
    <w:rsid w:val="0043219B"/>
    <w:rsid w:val="0043386F"/>
    <w:rsid w:val="00434572"/>
    <w:rsid w:val="0043553A"/>
    <w:rsid w:val="0043610B"/>
    <w:rsid w:val="0043667B"/>
    <w:rsid w:val="00436B50"/>
    <w:rsid w:val="00436ECC"/>
    <w:rsid w:val="004403B2"/>
    <w:rsid w:val="004403BE"/>
    <w:rsid w:val="00440817"/>
    <w:rsid w:val="0044120F"/>
    <w:rsid w:val="004414E6"/>
    <w:rsid w:val="00441B94"/>
    <w:rsid w:val="00442241"/>
    <w:rsid w:val="00442D63"/>
    <w:rsid w:val="00444719"/>
    <w:rsid w:val="00444766"/>
    <w:rsid w:val="004453C3"/>
    <w:rsid w:val="0044565B"/>
    <w:rsid w:val="00446209"/>
    <w:rsid w:val="004464B8"/>
    <w:rsid w:val="0044744B"/>
    <w:rsid w:val="00447505"/>
    <w:rsid w:val="00450010"/>
    <w:rsid w:val="0045015D"/>
    <w:rsid w:val="00450602"/>
    <w:rsid w:val="004506E2"/>
    <w:rsid w:val="00453EDD"/>
    <w:rsid w:val="0045409A"/>
    <w:rsid w:val="0045477C"/>
    <w:rsid w:val="0045591B"/>
    <w:rsid w:val="00456653"/>
    <w:rsid w:val="00457B47"/>
    <w:rsid w:val="00457E5E"/>
    <w:rsid w:val="004619AC"/>
    <w:rsid w:val="00461C2C"/>
    <w:rsid w:val="00462562"/>
    <w:rsid w:val="0046273F"/>
    <w:rsid w:val="00463A10"/>
    <w:rsid w:val="004645D1"/>
    <w:rsid w:val="00465AAE"/>
    <w:rsid w:val="004660EB"/>
    <w:rsid w:val="00466F0B"/>
    <w:rsid w:val="00467339"/>
    <w:rsid w:val="0046769E"/>
    <w:rsid w:val="00471322"/>
    <w:rsid w:val="00471586"/>
    <w:rsid w:val="00472AD4"/>
    <w:rsid w:val="00472DEF"/>
    <w:rsid w:val="00477B8E"/>
    <w:rsid w:val="00477DB6"/>
    <w:rsid w:val="00477FCA"/>
    <w:rsid w:val="0048074E"/>
    <w:rsid w:val="004826C9"/>
    <w:rsid w:val="00483526"/>
    <w:rsid w:val="00483554"/>
    <w:rsid w:val="004843B5"/>
    <w:rsid w:val="00484489"/>
    <w:rsid w:val="004844D6"/>
    <w:rsid w:val="00484CEF"/>
    <w:rsid w:val="00485FE1"/>
    <w:rsid w:val="0048668C"/>
    <w:rsid w:val="00487229"/>
    <w:rsid w:val="00490088"/>
    <w:rsid w:val="00490413"/>
    <w:rsid w:val="00491B82"/>
    <w:rsid w:val="004926E1"/>
    <w:rsid w:val="00493F2C"/>
    <w:rsid w:val="0049429E"/>
    <w:rsid w:val="0049509B"/>
    <w:rsid w:val="00496D22"/>
    <w:rsid w:val="00497AE9"/>
    <w:rsid w:val="004A0122"/>
    <w:rsid w:val="004A1EB8"/>
    <w:rsid w:val="004A22EE"/>
    <w:rsid w:val="004A2BE8"/>
    <w:rsid w:val="004A3243"/>
    <w:rsid w:val="004A32C6"/>
    <w:rsid w:val="004A356C"/>
    <w:rsid w:val="004A3AE2"/>
    <w:rsid w:val="004A479D"/>
    <w:rsid w:val="004A492C"/>
    <w:rsid w:val="004A618D"/>
    <w:rsid w:val="004A70CD"/>
    <w:rsid w:val="004B01B0"/>
    <w:rsid w:val="004B0375"/>
    <w:rsid w:val="004B1211"/>
    <w:rsid w:val="004B2798"/>
    <w:rsid w:val="004B28D8"/>
    <w:rsid w:val="004B4A82"/>
    <w:rsid w:val="004B6446"/>
    <w:rsid w:val="004B67E8"/>
    <w:rsid w:val="004B6D6B"/>
    <w:rsid w:val="004C299F"/>
    <w:rsid w:val="004C4DF3"/>
    <w:rsid w:val="004C5186"/>
    <w:rsid w:val="004C54F1"/>
    <w:rsid w:val="004D0552"/>
    <w:rsid w:val="004D1092"/>
    <w:rsid w:val="004D12B5"/>
    <w:rsid w:val="004D19E9"/>
    <w:rsid w:val="004D1AE6"/>
    <w:rsid w:val="004D2D7E"/>
    <w:rsid w:val="004D57A4"/>
    <w:rsid w:val="004D598D"/>
    <w:rsid w:val="004D5F78"/>
    <w:rsid w:val="004D5FFB"/>
    <w:rsid w:val="004D65E7"/>
    <w:rsid w:val="004D664C"/>
    <w:rsid w:val="004D67B2"/>
    <w:rsid w:val="004D705A"/>
    <w:rsid w:val="004E0769"/>
    <w:rsid w:val="004E37B8"/>
    <w:rsid w:val="004E3EDF"/>
    <w:rsid w:val="004E415F"/>
    <w:rsid w:val="004E4330"/>
    <w:rsid w:val="004E46FD"/>
    <w:rsid w:val="004E4792"/>
    <w:rsid w:val="004E4A4C"/>
    <w:rsid w:val="004E4D55"/>
    <w:rsid w:val="004E5921"/>
    <w:rsid w:val="004E5EC6"/>
    <w:rsid w:val="004E6676"/>
    <w:rsid w:val="004E688D"/>
    <w:rsid w:val="004E6C74"/>
    <w:rsid w:val="004E6F13"/>
    <w:rsid w:val="004E6F40"/>
    <w:rsid w:val="004E7DB2"/>
    <w:rsid w:val="004E7F8D"/>
    <w:rsid w:val="004F095A"/>
    <w:rsid w:val="004F1C42"/>
    <w:rsid w:val="004F3890"/>
    <w:rsid w:val="004F40D0"/>
    <w:rsid w:val="004F4201"/>
    <w:rsid w:val="004F5081"/>
    <w:rsid w:val="004F63A0"/>
    <w:rsid w:val="004F6505"/>
    <w:rsid w:val="004F6636"/>
    <w:rsid w:val="004F7BEE"/>
    <w:rsid w:val="0050256F"/>
    <w:rsid w:val="005029DA"/>
    <w:rsid w:val="00503D2B"/>
    <w:rsid w:val="00504C1D"/>
    <w:rsid w:val="0050545B"/>
    <w:rsid w:val="005058BC"/>
    <w:rsid w:val="00505A66"/>
    <w:rsid w:val="00505EB3"/>
    <w:rsid w:val="005062BF"/>
    <w:rsid w:val="00506BA6"/>
    <w:rsid w:val="00510520"/>
    <w:rsid w:val="005105BD"/>
    <w:rsid w:val="00510DA1"/>
    <w:rsid w:val="005134E3"/>
    <w:rsid w:val="00514DD3"/>
    <w:rsid w:val="005156F7"/>
    <w:rsid w:val="00515AC9"/>
    <w:rsid w:val="00515B8D"/>
    <w:rsid w:val="0051655D"/>
    <w:rsid w:val="005175BF"/>
    <w:rsid w:val="00520DEA"/>
    <w:rsid w:val="00521243"/>
    <w:rsid w:val="00521E61"/>
    <w:rsid w:val="0052235F"/>
    <w:rsid w:val="00522979"/>
    <w:rsid w:val="0052450A"/>
    <w:rsid w:val="00524D7E"/>
    <w:rsid w:val="00525D84"/>
    <w:rsid w:val="005272AE"/>
    <w:rsid w:val="00527519"/>
    <w:rsid w:val="005322CC"/>
    <w:rsid w:val="005324F4"/>
    <w:rsid w:val="0053303D"/>
    <w:rsid w:val="0053390B"/>
    <w:rsid w:val="00533FB4"/>
    <w:rsid w:val="00534368"/>
    <w:rsid w:val="00534928"/>
    <w:rsid w:val="005366DA"/>
    <w:rsid w:val="00536CA2"/>
    <w:rsid w:val="005404F9"/>
    <w:rsid w:val="00541FE7"/>
    <w:rsid w:val="00544D07"/>
    <w:rsid w:val="0054641B"/>
    <w:rsid w:val="0054686C"/>
    <w:rsid w:val="00550B53"/>
    <w:rsid w:val="005548F3"/>
    <w:rsid w:val="00556F81"/>
    <w:rsid w:val="005574D7"/>
    <w:rsid w:val="00557704"/>
    <w:rsid w:val="00561036"/>
    <w:rsid w:val="00561DD4"/>
    <w:rsid w:val="00561DF3"/>
    <w:rsid w:val="00565FBE"/>
    <w:rsid w:val="005660BF"/>
    <w:rsid w:val="00566544"/>
    <w:rsid w:val="00573966"/>
    <w:rsid w:val="00573C30"/>
    <w:rsid w:val="005754B8"/>
    <w:rsid w:val="00576AD8"/>
    <w:rsid w:val="00576C85"/>
    <w:rsid w:val="0058041C"/>
    <w:rsid w:val="00580741"/>
    <w:rsid w:val="00580D25"/>
    <w:rsid w:val="005823A2"/>
    <w:rsid w:val="00583363"/>
    <w:rsid w:val="00583E58"/>
    <w:rsid w:val="0058430F"/>
    <w:rsid w:val="00584575"/>
    <w:rsid w:val="005849B7"/>
    <w:rsid w:val="00585A5F"/>
    <w:rsid w:val="00585D08"/>
    <w:rsid w:val="00585DCB"/>
    <w:rsid w:val="00586B47"/>
    <w:rsid w:val="00592E19"/>
    <w:rsid w:val="00593D01"/>
    <w:rsid w:val="00594FCF"/>
    <w:rsid w:val="005956DA"/>
    <w:rsid w:val="00595A0C"/>
    <w:rsid w:val="00595B6C"/>
    <w:rsid w:val="00596BBE"/>
    <w:rsid w:val="005A0A3B"/>
    <w:rsid w:val="005A0E7D"/>
    <w:rsid w:val="005A1AE0"/>
    <w:rsid w:val="005A258B"/>
    <w:rsid w:val="005A2877"/>
    <w:rsid w:val="005A35D5"/>
    <w:rsid w:val="005A4014"/>
    <w:rsid w:val="005A406C"/>
    <w:rsid w:val="005A5412"/>
    <w:rsid w:val="005A59CD"/>
    <w:rsid w:val="005A5F70"/>
    <w:rsid w:val="005A678F"/>
    <w:rsid w:val="005B1F88"/>
    <w:rsid w:val="005B1FC4"/>
    <w:rsid w:val="005B36AE"/>
    <w:rsid w:val="005B4516"/>
    <w:rsid w:val="005B4F15"/>
    <w:rsid w:val="005B5B04"/>
    <w:rsid w:val="005B5DA9"/>
    <w:rsid w:val="005B6518"/>
    <w:rsid w:val="005B683F"/>
    <w:rsid w:val="005B6F3E"/>
    <w:rsid w:val="005B76C6"/>
    <w:rsid w:val="005C15FA"/>
    <w:rsid w:val="005C21BC"/>
    <w:rsid w:val="005C2901"/>
    <w:rsid w:val="005C31DC"/>
    <w:rsid w:val="005C3377"/>
    <w:rsid w:val="005C4BBE"/>
    <w:rsid w:val="005C593B"/>
    <w:rsid w:val="005C6AC9"/>
    <w:rsid w:val="005C7740"/>
    <w:rsid w:val="005D20B1"/>
    <w:rsid w:val="005D23E5"/>
    <w:rsid w:val="005D279C"/>
    <w:rsid w:val="005D4975"/>
    <w:rsid w:val="005D58DC"/>
    <w:rsid w:val="005D592D"/>
    <w:rsid w:val="005D632E"/>
    <w:rsid w:val="005D69FD"/>
    <w:rsid w:val="005D6C3C"/>
    <w:rsid w:val="005D6FAA"/>
    <w:rsid w:val="005D7D02"/>
    <w:rsid w:val="005E0A44"/>
    <w:rsid w:val="005E4BAF"/>
    <w:rsid w:val="005E7572"/>
    <w:rsid w:val="005E761D"/>
    <w:rsid w:val="005E78E6"/>
    <w:rsid w:val="005E7B16"/>
    <w:rsid w:val="005F05DA"/>
    <w:rsid w:val="005F09D2"/>
    <w:rsid w:val="005F37E7"/>
    <w:rsid w:val="005F3ACC"/>
    <w:rsid w:val="005F3AD6"/>
    <w:rsid w:val="005F4256"/>
    <w:rsid w:val="005F5287"/>
    <w:rsid w:val="00600777"/>
    <w:rsid w:val="00601445"/>
    <w:rsid w:val="00603C05"/>
    <w:rsid w:val="00604958"/>
    <w:rsid w:val="00604A6F"/>
    <w:rsid w:val="006053FA"/>
    <w:rsid w:val="0060546D"/>
    <w:rsid w:val="00605D46"/>
    <w:rsid w:val="00606EE4"/>
    <w:rsid w:val="00606F2B"/>
    <w:rsid w:val="0060753F"/>
    <w:rsid w:val="006111FB"/>
    <w:rsid w:val="00611BBD"/>
    <w:rsid w:val="006123C2"/>
    <w:rsid w:val="00615325"/>
    <w:rsid w:val="00616471"/>
    <w:rsid w:val="0061695B"/>
    <w:rsid w:val="00616AC8"/>
    <w:rsid w:val="0062043E"/>
    <w:rsid w:val="006208D3"/>
    <w:rsid w:val="00620C93"/>
    <w:rsid w:val="006230F2"/>
    <w:rsid w:val="0062583B"/>
    <w:rsid w:val="006267E2"/>
    <w:rsid w:val="00626F56"/>
    <w:rsid w:val="00627A62"/>
    <w:rsid w:val="00630BFA"/>
    <w:rsid w:val="00631593"/>
    <w:rsid w:val="0063174F"/>
    <w:rsid w:val="0063220F"/>
    <w:rsid w:val="006343C8"/>
    <w:rsid w:val="006348AB"/>
    <w:rsid w:val="00634F20"/>
    <w:rsid w:val="006351FC"/>
    <w:rsid w:val="006358B5"/>
    <w:rsid w:val="00635B46"/>
    <w:rsid w:val="0063673A"/>
    <w:rsid w:val="00637F20"/>
    <w:rsid w:val="00640D78"/>
    <w:rsid w:val="00642B0C"/>
    <w:rsid w:val="006437DA"/>
    <w:rsid w:val="00643F57"/>
    <w:rsid w:val="0064409A"/>
    <w:rsid w:val="00644CE5"/>
    <w:rsid w:val="0064723D"/>
    <w:rsid w:val="00650320"/>
    <w:rsid w:val="006505E2"/>
    <w:rsid w:val="006508F6"/>
    <w:rsid w:val="0065094C"/>
    <w:rsid w:val="006511F5"/>
    <w:rsid w:val="006516E0"/>
    <w:rsid w:val="00651B25"/>
    <w:rsid w:val="00651F1B"/>
    <w:rsid w:val="00652C27"/>
    <w:rsid w:val="006535C6"/>
    <w:rsid w:val="00654140"/>
    <w:rsid w:val="00657BFC"/>
    <w:rsid w:val="0066029D"/>
    <w:rsid w:val="00660839"/>
    <w:rsid w:val="00660C71"/>
    <w:rsid w:val="00662D3B"/>
    <w:rsid w:val="006630D7"/>
    <w:rsid w:val="00663171"/>
    <w:rsid w:val="006640DE"/>
    <w:rsid w:val="006641C6"/>
    <w:rsid w:val="006655FD"/>
    <w:rsid w:val="00666095"/>
    <w:rsid w:val="0066643B"/>
    <w:rsid w:val="00666D6F"/>
    <w:rsid w:val="006671D8"/>
    <w:rsid w:val="00667A1B"/>
    <w:rsid w:val="00670D94"/>
    <w:rsid w:val="00670F0A"/>
    <w:rsid w:val="00671EC3"/>
    <w:rsid w:val="00673558"/>
    <w:rsid w:val="00674496"/>
    <w:rsid w:val="006759F3"/>
    <w:rsid w:val="00675DCF"/>
    <w:rsid w:val="00676032"/>
    <w:rsid w:val="00676D90"/>
    <w:rsid w:val="00677116"/>
    <w:rsid w:val="00680984"/>
    <w:rsid w:val="00681844"/>
    <w:rsid w:val="0068200E"/>
    <w:rsid w:val="0068285B"/>
    <w:rsid w:val="00682F80"/>
    <w:rsid w:val="00683507"/>
    <w:rsid w:val="0068621B"/>
    <w:rsid w:val="00686578"/>
    <w:rsid w:val="00690884"/>
    <w:rsid w:val="006910D9"/>
    <w:rsid w:val="006939B3"/>
    <w:rsid w:val="006974E7"/>
    <w:rsid w:val="006A01D7"/>
    <w:rsid w:val="006A23EE"/>
    <w:rsid w:val="006A2B26"/>
    <w:rsid w:val="006A32C0"/>
    <w:rsid w:val="006A3B3B"/>
    <w:rsid w:val="006A4CB2"/>
    <w:rsid w:val="006A502F"/>
    <w:rsid w:val="006A5B7F"/>
    <w:rsid w:val="006A625C"/>
    <w:rsid w:val="006A7885"/>
    <w:rsid w:val="006A7D2E"/>
    <w:rsid w:val="006B06A3"/>
    <w:rsid w:val="006B0710"/>
    <w:rsid w:val="006B2F38"/>
    <w:rsid w:val="006B4BB5"/>
    <w:rsid w:val="006B54DB"/>
    <w:rsid w:val="006B56DF"/>
    <w:rsid w:val="006B6080"/>
    <w:rsid w:val="006B643E"/>
    <w:rsid w:val="006B658D"/>
    <w:rsid w:val="006B6DF5"/>
    <w:rsid w:val="006B7BFA"/>
    <w:rsid w:val="006B7E90"/>
    <w:rsid w:val="006C01EB"/>
    <w:rsid w:val="006C0BAF"/>
    <w:rsid w:val="006C13E5"/>
    <w:rsid w:val="006C22B7"/>
    <w:rsid w:val="006C283C"/>
    <w:rsid w:val="006C43D4"/>
    <w:rsid w:val="006C51CE"/>
    <w:rsid w:val="006C562E"/>
    <w:rsid w:val="006C5ECF"/>
    <w:rsid w:val="006C6B17"/>
    <w:rsid w:val="006D0F5C"/>
    <w:rsid w:val="006D1CF4"/>
    <w:rsid w:val="006D2327"/>
    <w:rsid w:val="006D4E92"/>
    <w:rsid w:val="006D577C"/>
    <w:rsid w:val="006D61A8"/>
    <w:rsid w:val="006D6D2B"/>
    <w:rsid w:val="006D6EDB"/>
    <w:rsid w:val="006E1AAC"/>
    <w:rsid w:val="006E29B1"/>
    <w:rsid w:val="006E576E"/>
    <w:rsid w:val="006E57A6"/>
    <w:rsid w:val="006E581E"/>
    <w:rsid w:val="006E5B70"/>
    <w:rsid w:val="006E73AE"/>
    <w:rsid w:val="006E7D00"/>
    <w:rsid w:val="006F0365"/>
    <w:rsid w:val="006F0D87"/>
    <w:rsid w:val="006F1FF9"/>
    <w:rsid w:val="006F24AE"/>
    <w:rsid w:val="006F3070"/>
    <w:rsid w:val="006F3F43"/>
    <w:rsid w:val="006F556B"/>
    <w:rsid w:val="006F6BCA"/>
    <w:rsid w:val="00701F82"/>
    <w:rsid w:val="00705357"/>
    <w:rsid w:val="007064A5"/>
    <w:rsid w:val="00707146"/>
    <w:rsid w:val="00710430"/>
    <w:rsid w:val="00711177"/>
    <w:rsid w:val="0071138E"/>
    <w:rsid w:val="00711E67"/>
    <w:rsid w:val="0071244E"/>
    <w:rsid w:val="00712643"/>
    <w:rsid w:val="007159DC"/>
    <w:rsid w:val="00720702"/>
    <w:rsid w:val="00720810"/>
    <w:rsid w:val="00720EF1"/>
    <w:rsid w:val="0072194E"/>
    <w:rsid w:val="00725521"/>
    <w:rsid w:val="007264F1"/>
    <w:rsid w:val="007308E9"/>
    <w:rsid w:val="00730ED2"/>
    <w:rsid w:val="007312B1"/>
    <w:rsid w:val="00732164"/>
    <w:rsid w:val="0073258B"/>
    <w:rsid w:val="007346DD"/>
    <w:rsid w:val="0073661D"/>
    <w:rsid w:val="007372C1"/>
    <w:rsid w:val="00740043"/>
    <w:rsid w:val="00741283"/>
    <w:rsid w:val="00743CC7"/>
    <w:rsid w:val="00745275"/>
    <w:rsid w:val="0074543F"/>
    <w:rsid w:val="00745989"/>
    <w:rsid w:val="00745FC2"/>
    <w:rsid w:val="007460B3"/>
    <w:rsid w:val="00746274"/>
    <w:rsid w:val="00746301"/>
    <w:rsid w:val="00746925"/>
    <w:rsid w:val="0074732A"/>
    <w:rsid w:val="0074756C"/>
    <w:rsid w:val="007478FD"/>
    <w:rsid w:val="0074797B"/>
    <w:rsid w:val="00747F2E"/>
    <w:rsid w:val="00750492"/>
    <w:rsid w:val="007505C8"/>
    <w:rsid w:val="00751123"/>
    <w:rsid w:val="0075194C"/>
    <w:rsid w:val="00752406"/>
    <w:rsid w:val="00753396"/>
    <w:rsid w:val="00753482"/>
    <w:rsid w:val="0075486A"/>
    <w:rsid w:val="00754C20"/>
    <w:rsid w:val="0075535E"/>
    <w:rsid w:val="00755E69"/>
    <w:rsid w:val="007569FD"/>
    <w:rsid w:val="007600F8"/>
    <w:rsid w:val="0076186D"/>
    <w:rsid w:val="00761D97"/>
    <w:rsid w:val="0076320E"/>
    <w:rsid w:val="0076712B"/>
    <w:rsid w:val="00767432"/>
    <w:rsid w:val="00767B2F"/>
    <w:rsid w:val="0077056C"/>
    <w:rsid w:val="007712C2"/>
    <w:rsid w:val="007727CD"/>
    <w:rsid w:val="00773A5E"/>
    <w:rsid w:val="00776408"/>
    <w:rsid w:val="00777DD6"/>
    <w:rsid w:val="0078233D"/>
    <w:rsid w:val="007839CF"/>
    <w:rsid w:val="00783A9D"/>
    <w:rsid w:val="00783F75"/>
    <w:rsid w:val="00784716"/>
    <w:rsid w:val="00784DD1"/>
    <w:rsid w:val="007853F4"/>
    <w:rsid w:val="00786D8C"/>
    <w:rsid w:val="00786FAF"/>
    <w:rsid w:val="00787331"/>
    <w:rsid w:val="0079068E"/>
    <w:rsid w:val="0079083C"/>
    <w:rsid w:val="007909EE"/>
    <w:rsid w:val="007913F4"/>
    <w:rsid w:val="00791D46"/>
    <w:rsid w:val="00791F0A"/>
    <w:rsid w:val="00793214"/>
    <w:rsid w:val="007937D1"/>
    <w:rsid w:val="007939E7"/>
    <w:rsid w:val="007969FD"/>
    <w:rsid w:val="007A1D3C"/>
    <w:rsid w:val="007A1DFA"/>
    <w:rsid w:val="007A2871"/>
    <w:rsid w:val="007A2AF1"/>
    <w:rsid w:val="007A37A3"/>
    <w:rsid w:val="007A37DC"/>
    <w:rsid w:val="007A42E6"/>
    <w:rsid w:val="007A5FF6"/>
    <w:rsid w:val="007A6BD0"/>
    <w:rsid w:val="007B3239"/>
    <w:rsid w:val="007B4281"/>
    <w:rsid w:val="007B432D"/>
    <w:rsid w:val="007B5758"/>
    <w:rsid w:val="007B63F5"/>
    <w:rsid w:val="007B6574"/>
    <w:rsid w:val="007B671C"/>
    <w:rsid w:val="007B7BE1"/>
    <w:rsid w:val="007C0DDD"/>
    <w:rsid w:val="007C2EA3"/>
    <w:rsid w:val="007C3FA3"/>
    <w:rsid w:val="007C4B7D"/>
    <w:rsid w:val="007C5748"/>
    <w:rsid w:val="007D0329"/>
    <w:rsid w:val="007D152B"/>
    <w:rsid w:val="007D1DE7"/>
    <w:rsid w:val="007D2FAA"/>
    <w:rsid w:val="007D5C05"/>
    <w:rsid w:val="007D5CC7"/>
    <w:rsid w:val="007D6596"/>
    <w:rsid w:val="007D7238"/>
    <w:rsid w:val="007E0206"/>
    <w:rsid w:val="007E188A"/>
    <w:rsid w:val="007E2712"/>
    <w:rsid w:val="007E306F"/>
    <w:rsid w:val="007E3F4F"/>
    <w:rsid w:val="007E43CD"/>
    <w:rsid w:val="007E63C9"/>
    <w:rsid w:val="007E73FE"/>
    <w:rsid w:val="007F18B3"/>
    <w:rsid w:val="007F1ADC"/>
    <w:rsid w:val="007F228A"/>
    <w:rsid w:val="007F3381"/>
    <w:rsid w:val="007F33EB"/>
    <w:rsid w:val="007F33F9"/>
    <w:rsid w:val="007F3734"/>
    <w:rsid w:val="007F3BD7"/>
    <w:rsid w:val="007F4453"/>
    <w:rsid w:val="007F4750"/>
    <w:rsid w:val="007F50C4"/>
    <w:rsid w:val="007F56BF"/>
    <w:rsid w:val="007F5AD4"/>
    <w:rsid w:val="007F5D77"/>
    <w:rsid w:val="007F5FAF"/>
    <w:rsid w:val="007F60FF"/>
    <w:rsid w:val="007F69B9"/>
    <w:rsid w:val="0080127A"/>
    <w:rsid w:val="0080343D"/>
    <w:rsid w:val="00803B2C"/>
    <w:rsid w:val="00805EA5"/>
    <w:rsid w:val="00810977"/>
    <w:rsid w:val="00811C33"/>
    <w:rsid w:val="00812EBA"/>
    <w:rsid w:val="0081519F"/>
    <w:rsid w:val="00815EC2"/>
    <w:rsid w:val="00817467"/>
    <w:rsid w:val="00820267"/>
    <w:rsid w:val="00820F34"/>
    <w:rsid w:val="00821434"/>
    <w:rsid w:val="00821611"/>
    <w:rsid w:val="0082283A"/>
    <w:rsid w:val="00823645"/>
    <w:rsid w:val="008236E8"/>
    <w:rsid w:val="00823CF4"/>
    <w:rsid w:val="008259F7"/>
    <w:rsid w:val="00825DDC"/>
    <w:rsid w:val="00826BC6"/>
    <w:rsid w:val="008270C4"/>
    <w:rsid w:val="00827248"/>
    <w:rsid w:val="00827ADA"/>
    <w:rsid w:val="00830123"/>
    <w:rsid w:val="00830A69"/>
    <w:rsid w:val="0083104E"/>
    <w:rsid w:val="00831725"/>
    <w:rsid w:val="00831A83"/>
    <w:rsid w:val="00831E32"/>
    <w:rsid w:val="00831FFD"/>
    <w:rsid w:val="008321B8"/>
    <w:rsid w:val="0083251B"/>
    <w:rsid w:val="00833516"/>
    <w:rsid w:val="00833D6E"/>
    <w:rsid w:val="00833E2E"/>
    <w:rsid w:val="008344D7"/>
    <w:rsid w:val="00834F6B"/>
    <w:rsid w:val="00837E7C"/>
    <w:rsid w:val="008409F0"/>
    <w:rsid w:val="00840FE1"/>
    <w:rsid w:val="0084153F"/>
    <w:rsid w:val="008415C2"/>
    <w:rsid w:val="0084221A"/>
    <w:rsid w:val="00842D62"/>
    <w:rsid w:val="0084386E"/>
    <w:rsid w:val="0084401E"/>
    <w:rsid w:val="00844264"/>
    <w:rsid w:val="008455D4"/>
    <w:rsid w:val="008470AB"/>
    <w:rsid w:val="00850ABC"/>
    <w:rsid w:val="00851438"/>
    <w:rsid w:val="00851ADD"/>
    <w:rsid w:val="00852C68"/>
    <w:rsid w:val="00852FD6"/>
    <w:rsid w:val="00853007"/>
    <w:rsid w:val="00853222"/>
    <w:rsid w:val="00853C46"/>
    <w:rsid w:val="00854BA2"/>
    <w:rsid w:val="00854C3C"/>
    <w:rsid w:val="0085513C"/>
    <w:rsid w:val="00855371"/>
    <w:rsid w:val="0085608A"/>
    <w:rsid w:val="00856557"/>
    <w:rsid w:val="00856B71"/>
    <w:rsid w:val="0085746E"/>
    <w:rsid w:val="00860922"/>
    <w:rsid w:val="0086159D"/>
    <w:rsid w:val="00862F6A"/>
    <w:rsid w:val="00863D8F"/>
    <w:rsid w:val="00863DC3"/>
    <w:rsid w:val="00864454"/>
    <w:rsid w:val="00866309"/>
    <w:rsid w:val="00866E09"/>
    <w:rsid w:val="0086798F"/>
    <w:rsid w:val="008701D8"/>
    <w:rsid w:val="008708FD"/>
    <w:rsid w:val="00870B7C"/>
    <w:rsid w:val="00871911"/>
    <w:rsid w:val="00871C90"/>
    <w:rsid w:val="00874DBD"/>
    <w:rsid w:val="008752E7"/>
    <w:rsid w:val="0087617A"/>
    <w:rsid w:val="0088092F"/>
    <w:rsid w:val="00880E66"/>
    <w:rsid w:val="00881302"/>
    <w:rsid w:val="00884A23"/>
    <w:rsid w:val="00885E00"/>
    <w:rsid w:val="00886027"/>
    <w:rsid w:val="008867BA"/>
    <w:rsid w:val="00887859"/>
    <w:rsid w:val="008928BE"/>
    <w:rsid w:val="00894698"/>
    <w:rsid w:val="00894AB4"/>
    <w:rsid w:val="00894DF3"/>
    <w:rsid w:val="00894EB5"/>
    <w:rsid w:val="008956C3"/>
    <w:rsid w:val="008960B8"/>
    <w:rsid w:val="008974F5"/>
    <w:rsid w:val="008A195E"/>
    <w:rsid w:val="008A2372"/>
    <w:rsid w:val="008A26C3"/>
    <w:rsid w:val="008A2959"/>
    <w:rsid w:val="008A37C6"/>
    <w:rsid w:val="008A5E75"/>
    <w:rsid w:val="008B25F5"/>
    <w:rsid w:val="008B2FE7"/>
    <w:rsid w:val="008B35D1"/>
    <w:rsid w:val="008B3EFB"/>
    <w:rsid w:val="008B4040"/>
    <w:rsid w:val="008B6492"/>
    <w:rsid w:val="008C0B04"/>
    <w:rsid w:val="008C30C7"/>
    <w:rsid w:val="008C4384"/>
    <w:rsid w:val="008C4E94"/>
    <w:rsid w:val="008C5347"/>
    <w:rsid w:val="008C54A5"/>
    <w:rsid w:val="008C59F4"/>
    <w:rsid w:val="008C6CA3"/>
    <w:rsid w:val="008C6F9D"/>
    <w:rsid w:val="008C7DCE"/>
    <w:rsid w:val="008D01B4"/>
    <w:rsid w:val="008D0E35"/>
    <w:rsid w:val="008D2560"/>
    <w:rsid w:val="008D2799"/>
    <w:rsid w:val="008D383F"/>
    <w:rsid w:val="008D40D3"/>
    <w:rsid w:val="008D442A"/>
    <w:rsid w:val="008D4B42"/>
    <w:rsid w:val="008D68E7"/>
    <w:rsid w:val="008D7AFD"/>
    <w:rsid w:val="008D7EE4"/>
    <w:rsid w:val="008E045C"/>
    <w:rsid w:val="008E0F32"/>
    <w:rsid w:val="008E1AE0"/>
    <w:rsid w:val="008E1DFB"/>
    <w:rsid w:val="008E1E48"/>
    <w:rsid w:val="008E2055"/>
    <w:rsid w:val="008E2793"/>
    <w:rsid w:val="008E31E3"/>
    <w:rsid w:val="008E3251"/>
    <w:rsid w:val="008E351F"/>
    <w:rsid w:val="008E4F0E"/>
    <w:rsid w:val="008E505C"/>
    <w:rsid w:val="008E5261"/>
    <w:rsid w:val="008F0FF2"/>
    <w:rsid w:val="008F17FA"/>
    <w:rsid w:val="008F185D"/>
    <w:rsid w:val="008F1A18"/>
    <w:rsid w:val="008F2E34"/>
    <w:rsid w:val="008F3443"/>
    <w:rsid w:val="008F3C9E"/>
    <w:rsid w:val="008F71D4"/>
    <w:rsid w:val="00900662"/>
    <w:rsid w:val="00900ED5"/>
    <w:rsid w:val="00901264"/>
    <w:rsid w:val="0090184B"/>
    <w:rsid w:val="00901DA3"/>
    <w:rsid w:val="00901FEF"/>
    <w:rsid w:val="00902E3E"/>
    <w:rsid w:val="0090459F"/>
    <w:rsid w:val="009048F9"/>
    <w:rsid w:val="00905D07"/>
    <w:rsid w:val="00905FA4"/>
    <w:rsid w:val="00906D8A"/>
    <w:rsid w:val="009076CB"/>
    <w:rsid w:val="00907ABB"/>
    <w:rsid w:val="00907FDC"/>
    <w:rsid w:val="009100F4"/>
    <w:rsid w:val="00912118"/>
    <w:rsid w:val="00913F1C"/>
    <w:rsid w:val="0091585E"/>
    <w:rsid w:val="0091643B"/>
    <w:rsid w:val="00916FD9"/>
    <w:rsid w:val="00917AF5"/>
    <w:rsid w:val="009203E3"/>
    <w:rsid w:val="00920BE8"/>
    <w:rsid w:val="0092137A"/>
    <w:rsid w:val="00923A5D"/>
    <w:rsid w:val="00924947"/>
    <w:rsid w:val="00925A0A"/>
    <w:rsid w:val="00925CE6"/>
    <w:rsid w:val="00925E1C"/>
    <w:rsid w:val="0092765A"/>
    <w:rsid w:val="00927744"/>
    <w:rsid w:val="00930FC3"/>
    <w:rsid w:val="00931F2F"/>
    <w:rsid w:val="00932966"/>
    <w:rsid w:val="00933FB5"/>
    <w:rsid w:val="00935470"/>
    <w:rsid w:val="00936175"/>
    <w:rsid w:val="00941961"/>
    <w:rsid w:val="00942261"/>
    <w:rsid w:val="009422AC"/>
    <w:rsid w:val="00944790"/>
    <w:rsid w:val="009457AD"/>
    <w:rsid w:val="00945E21"/>
    <w:rsid w:val="009460E9"/>
    <w:rsid w:val="0094621C"/>
    <w:rsid w:val="00946BEF"/>
    <w:rsid w:val="00946ECD"/>
    <w:rsid w:val="00947461"/>
    <w:rsid w:val="009478A4"/>
    <w:rsid w:val="009506DE"/>
    <w:rsid w:val="0095251D"/>
    <w:rsid w:val="009527AD"/>
    <w:rsid w:val="009532EC"/>
    <w:rsid w:val="009535DF"/>
    <w:rsid w:val="00953CF2"/>
    <w:rsid w:val="009543EF"/>
    <w:rsid w:val="0095522E"/>
    <w:rsid w:val="0095659D"/>
    <w:rsid w:val="0095696D"/>
    <w:rsid w:val="0095713E"/>
    <w:rsid w:val="00957C95"/>
    <w:rsid w:val="00960804"/>
    <w:rsid w:val="00960AEC"/>
    <w:rsid w:val="00960B1E"/>
    <w:rsid w:val="00961C79"/>
    <w:rsid w:val="00962557"/>
    <w:rsid w:val="00965BEE"/>
    <w:rsid w:val="00965F20"/>
    <w:rsid w:val="009676B1"/>
    <w:rsid w:val="009707A8"/>
    <w:rsid w:val="00970856"/>
    <w:rsid w:val="00970E70"/>
    <w:rsid w:val="00971B3A"/>
    <w:rsid w:val="00971F4F"/>
    <w:rsid w:val="009721AF"/>
    <w:rsid w:val="0097267E"/>
    <w:rsid w:val="0097278A"/>
    <w:rsid w:val="00973613"/>
    <w:rsid w:val="009739F5"/>
    <w:rsid w:val="0097455E"/>
    <w:rsid w:val="00975C24"/>
    <w:rsid w:val="00976A9C"/>
    <w:rsid w:val="0098313F"/>
    <w:rsid w:val="00983A13"/>
    <w:rsid w:val="009844A5"/>
    <w:rsid w:val="00984DC4"/>
    <w:rsid w:val="00985132"/>
    <w:rsid w:val="00985833"/>
    <w:rsid w:val="00985C1C"/>
    <w:rsid w:val="00986740"/>
    <w:rsid w:val="009878FE"/>
    <w:rsid w:val="00987F63"/>
    <w:rsid w:val="009948F8"/>
    <w:rsid w:val="00995052"/>
    <w:rsid w:val="00997529"/>
    <w:rsid w:val="009A29E7"/>
    <w:rsid w:val="009A2D27"/>
    <w:rsid w:val="009A3149"/>
    <w:rsid w:val="009A34DA"/>
    <w:rsid w:val="009A3628"/>
    <w:rsid w:val="009A3FB9"/>
    <w:rsid w:val="009A446A"/>
    <w:rsid w:val="009A60A1"/>
    <w:rsid w:val="009A7A05"/>
    <w:rsid w:val="009B1732"/>
    <w:rsid w:val="009B41CD"/>
    <w:rsid w:val="009B7796"/>
    <w:rsid w:val="009C0704"/>
    <w:rsid w:val="009C3765"/>
    <w:rsid w:val="009C38C5"/>
    <w:rsid w:val="009C3DEF"/>
    <w:rsid w:val="009C5B15"/>
    <w:rsid w:val="009C7047"/>
    <w:rsid w:val="009C7363"/>
    <w:rsid w:val="009D19E4"/>
    <w:rsid w:val="009D1D9A"/>
    <w:rsid w:val="009D21A9"/>
    <w:rsid w:val="009D4A3F"/>
    <w:rsid w:val="009D7917"/>
    <w:rsid w:val="009E0139"/>
    <w:rsid w:val="009E1114"/>
    <w:rsid w:val="009E1195"/>
    <w:rsid w:val="009E22E3"/>
    <w:rsid w:val="009E29FA"/>
    <w:rsid w:val="009E47ED"/>
    <w:rsid w:val="009E5EB4"/>
    <w:rsid w:val="009E680A"/>
    <w:rsid w:val="009E7214"/>
    <w:rsid w:val="009E7E37"/>
    <w:rsid w:val="009F010A"/>
    <w:rsid w:val="009F0517"/>
    <w:rsid w:val="009F0619"/>
    <w:rsid w:val="009F3836"/>
    <w:rsid w:val="009F428B"/>
    <w:rsid w:val="009F742A"/>
    <w:rsid w:val="009F7A32"/>
    <w:rsid w:val="009F7CDF"/>
    <w:rsid w:val="00A01BF5"/>
    <w:rsid w:val="00A02A6D"/>
    <w:rsid w:val="00A0470B"/>
    <w:rsid w:val="00A049B9"/>
    <w:rsid w:val="00A05568"/>
    <w:rsid w:val="00A07A96"/>
    <w:rsid w:val="00A10D38"/>
    <w:rsid w:val="00A10E74"/>
    <w:rsid w:val="00A13B80"/>
    <w:rsid w:val="00A15272"/>
    <w:rsid w:val="00A15AB1"/>
    <w:rsid w:val="00A16B50"/>
    <w:rsid w:val="00A17C8E"/>
    <w:rsid w:val="00A17E3E"/>
    <w:rsid w:val="00A2037A"/>
    <w:rsid w:val="00A20AB8"/>
    <w:rsid w:val="00A22E24"/>
    <w:rsid w:val="00A232FC"/>
    <w:rsid w:val="00A263D0"/>
    <w:rsid w:val="00A269F3"/>
    <w:rsid w:val="00A27BF8"/>
    <w:rsid w:val="00A31955"/>
    <w:rsid w:val="00A31EC3"/>
    <w:rsid w:val="00A329C9"/>
    <w:rsid w:val="00A330B1"/>
    <w:rsid w:val="00A33990"/>
    <w:rsid w:val="00A342E2"/>
    <w:rsid w:val="00A3634C"/>
    <w:rsid w:val="00A40CF5"/>
    <w:rsid w:val="00A41D50"/>
    <w:rsid w:val="00A46373"/>
    <w:rsid w:val="00A46E82"/>
    <w:rsid w:val="00A470A7"/>
    <w:rsid w:val="00A473CC"/>
    <w:rsid w:val="00A47FBE"/>
    <w:rsid w:val="00A51FE7"/>
    <w:rsid w:val="00A52684"/>
    <w:rsid w:val="00A55470"/>
    <w:rsid w:val="00A55A7D"/>
    <w:rsid w:val="00A560C9"/>
    <w:rsid w:val="00A566DD"/>
    <w:rsid w:val="00A60B4A"/>
    <w:rsid w:val="00A618DD"/>
    <w:rsid w:val="00A61E5B"/>
    <w:rsid w:val="00A62A46"/>
    <w:rsid w:val="00A632B6"/>
    <w:rsid w:val="00A64E42"/>
    <w:rsid w:val="00A65F38"/>
    <w:rsid w:val="00A70AC2"/>
    <w:rsid w:val="00A72248"/>
    <w:rsid w:val="00A723DE"/>
    <w:rsid w:val="00A724B3"/>
    <w:rsid w:val="00A73694"/>
    <w:rsid w:val="00A74D0E"/>
    <w:rsid w:val="00A752FE"/>
    <w:rsid w:val="00A75695"/>
    <w:rsid w:val="00A75729"/>
    <w:rsid w:val="00A77714"/>
    <w:rsid w:val="00A8054B"/>
    <w:rsid w:val="00A81D98"/>
    <w:rsid w:val="00A8240A"/>
    <w:rsid w:val="00A827A7"/>
    <w:rsid w:val="00A82B49"/>
    <w:rsid w:val="00A82DD9"/>
    <w:rsid w:val="00A83036"/>
    <w:rsid w:val="00A832D8"/>
    <w:rsid w:val="00A85640"/>
    <w:rsid w:val="00A8584E"/>
    <w:rsid w:val="00A85F0A"/>
    <w:rsid w:val="00A87239"/>
    <w:rsid w:val="00A93834"/>
    <w:rsid w:val="00A9405D"/>
    <w:rsid w:val="00A94542"/>
    <w:rsid w:val="00A94796"/>
    <w:rsid w:val="00A94AEA"/>
    <w:rsid w:val="00A9641F"/>
    <w:rsid w:val="00A97036"/>
    <w:rsid w:val="00A97618"/>
    <w:rsid w:val="00A97BC4"/>
    <w:rsid w:val="00AA2452"/>
    <w:rsid w:val="00AA3456"/>
    <w:rsid w:val="00AA4BDA"/>
    <w:rsid w:val="00AA5CBE"/>
    <w:rsid w:val="00AA7F54"/>
    <w:rsid w:val="00AB0F55"/>
    <w:rsid w:val="00AB18E5"/>
    <w:rsid w:val="00AB1AAC"/>
    <w:rsid w:val="00AB1BA7"/>
    <w:rsid w:val="00AB2AD0"/>
    <w:rsid w:val="00AB3AAA"/>
    <w:rsid w:val="00AB52AC"/>
    <w:rsid w:val="00AB6821"/>
    <w:rsid w:val="00AB6C4B"/>
    <w:rsid w:val="00AB7C61"/>
    <w:rsid w:val="00AB7E0A"/>
    <w:rsid w:val="00AC03D8"/>
    <w:rsid w:val="00AC06BB"/>
    <w:rsid w:val="00AC2A49"/>
    <w:rsid w:val="00AC3ACC"/>
    <w:rsid w:val="00AC3BB1"/>
    <w:rsid w:val="00AC496C"/>
    <w:rsid w:val="00AC71BF"/>
    <w:rsid w:val="00AC7D7E"/>
    <w:rsid w:val="00AD014A"/>
    <w:rsid w:val="00AD17F2"/>
    <w:rsid w:val="00AD250E"/>
    <w:rsid w:val="00AD2C38"/>
    <w:rsid w:val="00AD4220"/>
    <w:rsid w:val="00AD426A"/>
    <w:rsid w:val="00AD4293"/>
    <w:rsid w:val="00AD564C"/>
    <w:rsid w:val="00AD60CF"/>
    <w:rsid w:val="00AD6470"/>
    <w:rsid w:val="00AD73A6"/>
    <w:rsid w:val="00AE13A7"/>
    <w:rsid w:val="00AE2987"/>
    <w:rsid w:val="00AE3B0D"/>
    <w:rsid w:val="00AE49C8"/>
    <w:rsid w:val="00AE6833"/>
    <w:rsid w:val="00AE72C6"/>
    <w:rsid w:val="00AF20F0"/>
    <w:rsid w:val="00AF2DD6"/>
    <w:rsid w:val="00AF3C05"/>
    <w:rsid w:val="00AF638A"/>
    <w:rsid w:val="00AF688A"/>
    <w:rsid w:val="00AF6996"/>
    <w:rsid w:val="00AF77B3"/>
    <w:rsid w:val="00AF7A69"/>
    <w:rsid w:val="00AF7F19"/>
    <w:rsid w:val="00B00130"/>
    <w:rsid w:val="00B001AE"/>
    <w:rsid w:val="00B00252"/>
    <w:rsid w:val="00B00D39"/>
    <w:rsid w:val="00B019BC"/>
    <w:rsid w:val="00B01D8B"/>
    <w:rsid w:val="00B02E67"/>
    <w:rsid w:val="00B0338D"/>
    <w:rsid w:val="00B03D5E"/>
    <w:rsid w:val="00B04152"/>
    <w:rsid w:val="00B053BE"/>
    <w:rsid w:val="00B0553D"/>
    <w:rsid w:val="00B05F38"/>
    <w:rsid w:val="00B06562"/>
    <w:rsid w:val="00B067D0"/>
    <w:rsid w:val="00B07892"/>
    <w:rsid w:val="00B07B13"/>
    <w:rsid w:val="00B1076F"/>
    <w:rsid w:val="00B108E0"/>
    <w:rsid w:val="00B11C26"/>
    <w:rsid w:val="00B131FC"/>
    <w:rsid w:val="00B13E76"/>
    <w:rsid w:val="00B167D2"/>
    <w:rsid w:val="00B16966"/>
    <w:rsid w:val="00B20B7A"/>
    <w:rsid w:val="00B224F2"/>
    <w:rsid w:val="00B23075"/>
    <w:rsid w:val="00B23F88"/>
    <w:rsid w:val="00B24BAB"/>
    <w:rsid w:val="00B25881"/>
    <w:rsid w:val="00B2775D"/>
    <w:rsid w:val="00B277DC"/>
    <w:rsid w:val="00B27CFC"/>
    <w:rsid w:val="00B30363"/>
    <w:rsid w:val="00B30576"/>
    <w:rsid w:val="00B31307"/>
    <w:rsid w:val="00B323A1"/>
    <w:rsid w:val="00B3300F"/>
    <w:rsid w:val="00B33228"/>
    <w:rsid w:val="00B341CA"/>
    <w:rsid w:val="00B34D35"/>
    <w:rsid w:val="00B350E6"/>
    <w:rsid w:val="00B359AD"/>
    <w:rsid w:val="00B35A32"/>
    <w:rsid w:val="00B368D7"/>
    <w:rsid w:val="00B36C19"/>
    <w:rsid w:val="00B4344C"/>
    <w:rsid w:val="00B43729"/>
    <w:rsid w:val="00B44A25"/>
    <w:rsid w:val="00B454CA"/>
    <w:rsid w:val="00B45A8C"/>
    <w:rsid w:val="00B46865"/>
    <w:rsid w:val="00B469A7"/>
    <w:rsid w:val="00B46EFC"/>
    <w:rsid w:val="00B46F50"/>
    <w:rsid w:val="00B50B7E"/>
    <w:rsid w:val="00B51204"/>
    <w:rsid w:val="00B53591"/>
    <w:rsid w:val="00B53A0C"/>
    <w:rsid w:val="00B54511"/>
    <w:rsid w:val="00B55871"/>
    <w:rsid w:val="00B565EB"/>
    <w:rsid w:val="00B57752"/>
    <w:rsid w:val="00B60EA4"/>
    <w:rsid w:val="00B610F9"/>
    <w:rsid w:val="00B614B1"/>
    <w:rsid w:val="00B615AC"/>
    <w:rsid w:val="00B62834"/>
    <w:rsid w:val="00B628B6"/>
    <w:rsid w:val="00B629E7"/>
    <w:rsid w:val="00B63B78"/>
    <w:rsid w:val="00B657A7"/>
    <w:rsid w:val="00B70FCF"/>
    <w:rsid w:val="00B71E1F"/>
    <w:rsid w:val="00B7330D"/>
    <w:rsid w:val="00B73BD2"/>
    <w:rsid w:val="00B74AE3"/>
    <w:rsid w:val="00B74D02"/>
    <w:rsid w:val="00B75BD9"/>
    <w:rsid w:val="00B764B0"/>
    <w:rsid w:val="00B765C3"/>
    <w:rsid w:val="00B76F2E"/>
    <w:rsid w:val="00B76FD0"/>
    <w:rsid w:val="00B81EA9"/>
    <w:rsid w:val="00B82546"/>
    <w:rsid w:val="00B8282A"/>
    <w:rsid w:val="00B82952"/>
    <w:rsid w:val="00B82C40"/>
    <w:rsid w:val="00B832F1"/>
    <w:rsid w:val="00B8388F"/>
    <w:rsid w:val="00B83D23"/>
    <w:rsid w:val="00B844A7"/>
    <w:rsid w:val="00B85B73"/>
    <w:rsid w:val="00B91A64"/>
    <w:rsid w:val="00B9230C"/>
    <w:rsid w:val="00B947DB"/>
    <w:rsid w:val="00B94F4B"/>
    <w:rsid w:val="00B95B95"/>
    <w:rsid w:val="00B96C8E"/>
    <w:rsid w:val="00B9785A"/>
    <w:rsid w:val="00BA0746"/>
    <w:rsid w:val="00BA0B18"/>
    <w:rsid w:val="00BA1E5B"/>
    <w:rsid w:val="00BA620B"/>
    <w:rsid w:val="00BA6E6E"/>
    <w:rsid w:val="00BB04C4"/>
    <w:rsid w:val="00BB175A"/>
    <w:rsid w:val="00BB1AF2"/>
    <w:rsid w:val="00BB2BB1"/>
    <w:rsid w:val="00BB3444"/>
    <w:rsid w:val="00BB364E"/>
    <w:rsid w:val="00BB3B89"/>
    <w:rsid w:val="00BB4E1F"/>
    <w:rsid w:val="00BB514D"/>
    <w:rsid w:val="00BB69E1"/>
    <w:rsid w:val="00BB6C22"/>
    <w:rsid w:val="00BB77CD"/>
    <w:rsid w:val="00BB7CAA"/>
    <w:rsid w:val="00BC04B3"/>
    <w:rsid w:val="00BC479C"/>
    <w:rsid w:val="00BC4C3E"/>
    <w:rsid w:val="00BC6C4C"/>
    <w:rsid w:val="00BC7C7E"/>
    <w:rsid w:val="00BC7E22"/>
    <w:rsid w:val="00BD0394"/>
    <w:rsid w:val="00BD0DDC"/>
    <w:rsid w:val="00BD19BA"/>
    <w:rsid w:val="00BD1C7D"/>
    <w:rsid w:val="00BD2D14"/>
    <w:rsid w:val="00BD42EB"/>
    <w:rsid w:val="00BD6417"/>
    <w:rsid w:val="00BD68A8"/>
    <w:rsid w:val="00BD6CC2"/>
    <w:rsid w:val="00BD74A8"/>
    <w:rsid w:val="00BD7B2F"/>
    <w:rsid w:val="00BE027D"/>
    <w:rsid w:val="00BE067D"/>
    <w:rsid w:val="00BE2E77"/>
    <w:rsid w:val="00BE31FC"/>
    <w:rsid w:val="00BE5787"/>
    <w:rsid w:val="00BE59B6"/>
    <w:rsid w:val="00BE600F"/>
    <w:rsid w:val="00BE6098"/>
    <w:rsid w:val="00BE6D5A"/>
    <w:rsid w:val="00BF07F1"/>
    <w:rsid w:val="00BF0861"/>
    <w:rsid w:val="00BF0E1F"/>
    <w:rsid w:val="00BF0EE2"/>
    <w:rsid w:val="00BF3DB8"/>
    <w:rsid w:val="00BF489B"/>
    <w:rsid w:val="00BF533F"/>
    <w:rsid w:val="00BF6261"/>
    <w:rsid w:val="00BF6C68"/>
    <w:rsid w:val="00C0150F"/>
    <w:rsid w:val="00C02E3B"/>
    <w:rsid w:val="00C05B61"/>
    <w:rsid w:val="00C05DF1"/>
    <w:rsid w:val="00C05EF8"/>
    <w:rsid w:val="00C07153"/>
    <w:rsid w:val="00C10D53"/>
    <w:rsid w:val="00C11551"/>
    <w:rsid w:val="00C12CA5"/>
    <w:rsid w:val="00C13F98"/>
    <w:rsid w:val="00C14364"/>
    <w:rsid w:val="00C153D7"/>
    <w:rsid w:val="00C204B8"/>
    <w:rsid w:val="00C22264"/>
    <w:rsid w:val="00C231D9"/>
    <w:rsid w:val="00C23A3C"/>
    <w:rsid w:val="00C23FA3"/>
    <w:rsid w:val="00C24532"/>
    <w:rsid w:val="00C2457E"/>
    <w:rsid w:val="00C24592"/>
    <w:rsid w:val="00C2580B"/>
    <w:rsid w:val="00C26FF1"/>
    <w:rsid w:val="00C30160"/>
    <w:rsid w:val="00C30C3E"/>
    <w:rsid w:val="00C33270"/>
    <w:rsid w:val="00C338F5"/>
    <w:rsid w:val="00C33F99"/>
    <w:rsid w:val="00C345A8"/>
    <w:rsid w:val="00C345DA"/>
    <w:rsid w:val="00C35025"/>
    <w:rsid w:val="00C361CB"/>
    <w:rsid w:val="00C37024"/>
    <w:rsid w:val="00C37273"/>
    <w:rsid w:val="00C40B13"/>
    <w:rsid w:val="00C417C2"/>
    <w:rsid w:val="00C431EE"/>
    <w:rsid w:val="00C44646"/>
    <w:rsid w:val="00C446EB"/>
    <w:rsid w:val="00C46327"/>
    <w:rsid w:val="00C477D2"/>
    <w:rsid w:val="00C52580"/>
    <w:rsid w:val="00C52A60"/>
    <w:rsid w:val="00C543BF"/>
    <w:rsid w:val="00C547AA"/>
    <w:rsid w:val="00C555E1"/>
    <w:rsid w:val="00C55959"/>
    <w:rsid w:val="00C55D14"/>
    <w:rsid w:val="00C55D96"/>
    <w:rsid w:val="00C56762"/>
    <w:rsid w:val="00C57395"/>
    <w:rsid w:val="00C57F12"/>
    <w:rsid w:val="00C608EF"/>
    <w:rsid w:val="00C60F7E"/>
    <w:rsid w:val="00C64269"/>
    <w:rsid w:val="00C64453"/>
    <w:rsid w:val="00C64E12"/>
    <w:rsid w:val="00C65833"/>
    <w:rsid w:val="00C659DE"/>
    <w:rsid w:val="00C707D0"/>
    <w:rsid w:val="00C70EE9"/>
    <w:rsid w:val="00C71D21"/>
    <w:rsid w:val="00C7294C"/>
    <w:rsid w:val="00C72ACC"/>
    <w:rsid w:val="00C72BC7"/>
    <w:rsid w:val="00C7546F"/>
    <w:rsid w:val="00C7721B"/>
    <w:rsid w:val="00C80B64"/>
    <w:rsid w:val="00C81F9E"/>
    <w:rsid w:val="00C825D9"/>
    <w:rsid w:val="00C83F59"/>
    <w:rsid w:val="00C8430D"/>
    <w:rsid w:val="00C845C8"/>
    <w:rsid w:val="00C86E55"/>
    <w:rsid w:val="00C872A7"/>
    <w:rsid w:val="00C91193"/>
    <w:rsid w:val="00C9123C"/>
    <w:rsid w:val="00C923DE"/>
    <w:rsid w:val="00C94051"/>
    <w:rsid w:val="00C95264"/>
    <w:rsid w:val="00C95B2A"/>
    <w:rsid w:val="00C972AD"/>
    <w:rsid w:val="00CA0D41"/>
    <w:rsid w:val="00CA1496"/>
    <w:rsid w:val="00CA1680"/>
    <w:rsid w:val="00CA3185"/>
    <w:rsid w:val="00CA3552"/>
    <w:rsid w:val="00CA45A4"/>
    <w:rsid w:val="00CA47E3"/>
    <w:rsid w:val="00CA56D1"/>
    <w:rsid w:val="00CA591D"/>
    <w:rsid w:val="00CA612B"/>
    <w:rsid w:val="00CA6140"/>
    <w:rsid w:val="00CB09F0"/>
    <w:rsid w:val="00CB1612"/>
    <w:rsid w:val="00CB2013"/>
    <w:rsid w:val="00CB4844"/>
    <w:rsid w:val="00CB4A5A"/>
    <w:rsid w:val="00CB4EFF"/>
    <w:rsid w:val="00CB5DAD"/>
    <w:rsid w:val="00CB76F5"/>
    <w:rsid w:val="00CC01D1"/>
    <w:rsid w:val="00CC0777"/>
    <w:rsid w:val="00CC178A"/>
    <w:rsid w:val="00CC19EC"/>
    <w:rsid w:val="00CC1FA4"/>
    <w:rsid w:val="00CC26B4"/>
    <w:rsid w:val="00CC3BF6"/>
    <w:rsid w:val="00CC5627"/>
    <w:rsid w:val="00CC6381"/>
    <w:rsid w:val="00CC6B17"/>
    <w:rsid w:val="00CC6C5F"/>
    <w:rsid w:val="00CD0334"/>
    <w:rsid w:val="00CD0862"/>
    <w:rsid w:val="00CD2285"/>
    <w:rsid w:val="00CD3028"/>
    <w:rsid w:val="00CD3222"/>
    <w:rsid w:val="00CD466B"/>
    <w:rsid w:val="00CD6414"/>
    <w:rsid w:val="00CD6445"/>
    <w:rsid w:val="00CD6752"/>
    <w:rsid w:val="00CE0378"/>
    <w:rsid w:val="00CE1370"/>
    <w:rsid w:val="00CE29FF"/>
    <w:rsid w:val="00CE4D76"/>
    <w:rsid w:val="00CE52FF"/>
    <w:rsid w:val="00CE582B"/>
    <w:rsid w:val="00CE61C7"/>
    <w:rsid w:val="00CE62D8"/>
    <w:rsid w:val="00CE7906"/>
    <w:rsid w:val="00CE7B32"/>
    <w:rsid w:val="00CF1510"/>
    <w:rsid w:val="00CF2B96"/>
    <w:rsid w:val="00CF2F42"/>
    <w:rsid w:val="00CF4F77"/>
    <w:rsid w:val="00CF5586"/>
    <w:rsid w:val="00D00B06"/>
    <w:rsid w:val="00D02A18"/>
    <w:rsid w:val="00D02A60"/>
    <w:rsid w:val="00D02E47"/>
    <w:rsid w:val="00D05193"/>
    <w:rsid w:val="00D05D25"/>
    <w:rsid w:val="00D068F1"/>
    <w:rsid w:val="00D06C02"/>
    <w:rsid w:val="00D07450"/>
    <w:rsid w:val="00D07804"/>
    <w:rsid w:val="00D079AA"/>
    <w:rsid w:val="00D10F52"/>
    <w:rsid w:val="00D122A4"/>
    <w:rsid w:val="00D1315C"/>
    <w:rsid w:val="00D1362D"/>
    <w:rsid w:val="00D13E9A"/>
    <w:rsid w:val="00D143B5"/>
    <w:rsid w:val="00D145DF"/>
    <w:rsid w:val="00D14800"/>
    <w:rsid w:val="00D15739"/>
    <w:rsid w:val="00D15FEB"/>
    <w:rsid w:val="00D1678B"/>
    <w:rsid w:val="00D168C7"/>
    <w:rsid w:val="00D204BF"/>
    <w:rsid w:val="00D21D30"/>
    <w:rsid w:val="00D22003"/>
    <w:rsid w:val="00D22D13"/>
    <w:rsid w:val="00D2310C"/>
    <w:rsid w:val="00D24027"/>
    <w:rsid w:val="00D25D29"/>
    <w:rsid w:val="00D26042"/>
    <w:rsid w:val="00D26279"/>
    <w:rsid w:val="00D26B55"/>
    <w:rsid w:val="00D274B3"/>
    <w:rsid w:val="00D277E9"/>
    <w:rsid w:val="00D27D31"/>
    <w:rsid w:val="00D30A63"/>
    <w:rsid w:val="00D31A1A"/>
    <w:rsid w:val="00D32102"/>
    <w:rsid w:val="00D32C81"/>
    <w:rsid w:val="00D32D55"/>
    <w:rsid w:val="00D32DDB"/>
    <w:rsid w:val="00D3389B"/>
    <w:rsid w:val="00D339B4"/>
    <w:rsid w:val="00D349BA"/>
    <w:rsid w:val="00D36AC4"/>
    <w:rsid w:val="00D41474"/>
    <w:rsid w:val="00D419B5"/>
    <w:rsid w:val="00D4215F"/>
    <w:rsid w:val="00D43FC1"/>
    <w:rsid w:val="00D4455D"/>
    <w:rsid w:val="00D44B9E"/>
    <w:rsid w:val="00D45D4C"/>
    <w:rsid w:val="00D474A8"/>
    <w:rsid w:val="00D50E47"/>
    <w:rsid w:val="00D51685"/>
    <w:rsid w:val="00D51EDE"/>
    <w:rsid w:val="00D52B83"/>
    <w:rsid w:val="00D52C47"/>
    <w:rsid w:val="00D52DC0"/>
    <w:rsid w:val="00D531F3"/>
    <w:rsid w:val="00D545CD"/>
    <w:rsid w:val="00D56D0E"/>
    <w:rsid w:val="00D605CB"/>
    <w:rsid w:val="00D60931"/>
    <w:rsid w:val="00D60D22"/>
    <w:rsid w:val="00D61771"/>
    <w:rsid w:val="00D6252B"/>
    <w:rsid w:val="00D65155"/>
    <w:rsid w:val="00D65400"/>
    <w:rsid w:val="00D672CD"/>
    <w:rsid w:val="00D679FB"/>
    <w:rsid w:val="00D67EE4"/>
    <w:rsid w:val="00D702F2"/>
    <w:rsid w:val="00D703B9"/>
    <w:rsid w:val="00D716F7"/>
    <w:rsid w:val="00D71D10"/>
    <w:rsid w:val="00D72E85"/>
    <w:rsid w:val="00D72FC3"/>
    <w:rsid w:val="00D737CE"/>
    <w:rsid w:val="00D7402B"/>
    <w:rsid w:val="00D75CD8"/>
    <w:rsid w:val="00D767AB"/>
    <w:rsid w:val="00D7685D"/>
    <w:rsid w:val="00D77074"/>
    <w:rsid w:val="00D7796B"/>
    <w:rsid w:val="00D817B1"/>
    <w:rsid w:val="00D81E0F"/>
    <w:rsid w:val="00D84A0C"/>
    <w:rsid w:val="00D84A5B"/>
    <w:rsid w:val="00D859FD"/>
    <w:rsid w:val="00D85BAB"/>
    <w:rsid w:val="00D87A65"/>
    <w:rsid w:val="00D90945"/>
    <w:rsid w:val="00D9335B"/>
    <w:rsid w:val="00D9537B"/>
    <w:rsid w:val="00D95C5B"/>
    <w:rsid w:val="00D95E56"/>
    <w:rsid w:val="00D9696D"/>
    <w:rsid w:val="00DA13CB"/>
    <w:rsid w:val="00DA1821"/>
    <w:rsid w:val="00DA1BB3"/>
    <w:rsid w:val="00DA2344"/>
    <w:rsid w:val="00DA54DF"/>
    <w:rsid w:val="00DB01C2"/>
    <w:rsid w:val="00DB1674"/>
    <w:rsid w:val="00DB1E38"/>
    <w:rsid w:val="00DB26CE"/>
    <w:rsid w:val="00DB2B27"/>
    <w:rsid w:val="00DB4AFD"/>
    <w:rsid w:val="00DB6309"/>
    <w:rsid w:val="00DB7144"/>
    <w:rsid w:val="00DC04A8"/>
    <w:rsid w:val="00DC0A81"/>
    <w:rsid w:val="00DC2B04"/>
    <w:rsid w:val="00DC300E"/>
    <w:rsid w:val="00DC3C39"/>
    <w:rsid w:val="00DC4344"/>
    <w:rsid w:val="00DC4E2A"/>
    <w:rsid w:val="00DC5920"/>
    <w:rsid w:val="00DC5AEF"/>
    <w:rsid w:val="00DC6117"/>
    <w:rsid w:val="00DD0323"/>
    <w:rsid w:val="00DD172E"/>
    <w:rsid w:val="00DD19EA"/>
    <w:rsid w:val="00DD1E9B"/>
    <w:rsid w:val="00DD42BC"/>
    <w:rsid w:val="00DD4970"/>
    <w:rsid w:val="00DD54CD"/>
    <w:rsid w:val="00DD5AE1"/>
    <w:rsid w:val="00DD7C31"/>
    <w:rsid w:val="00DE196B"/>
    <w:rsid w:val="00DE1B89"/>
    <w:rsid w:val="00DE2E38"/>
    <w:rsid w:val="00DE3FC2"/>
    <w:rsid w:val="00DE5657"/>
    <w:rsid w:val="00DE6C5C"/>
    <w:rsid w:val="00DE782A"/>
    <w:rsid w:val="00DE79D1"/>
    <w:rsid w:val="00DF4D80"/>
    <w:rsid w:val="00DF4F17"/>
    <w:rsid w:val="00DF58FF"/>
    <w:rsid w:val="00DF6572"/>
    <w:rsid w:val="00DF6EB6"/>
    <w:rsid w:val="00E00453"/>
    <w:rsid w:val="00E0373E"/>
    <w:rsid w:val="00E04857"/>
    <w:rsid w:val="00E0531D"/>
    <w:rsid w:val="00E065BA"/>
    <w:rsid w:val="00E06807"/>
    <w:rsid w:val="00E107F0"/>
    <w:rsid w:val="00E10FD6"/>
    <w:rsid w:val="00E11A02"/>
    <w:rsid w:val="00E125C7"/>
    <w:rsid w:val="00E12905"/>
    <w:rsid w:val="00E129AE"/>
    <w:rsid w:val="00E12E32"/>
    <w:rsid w:val="00E134F0"/>
    <w:rsid w:val="00E14250"/>
    <w:rsid w:val="00E14751"/>
    <w:rsid w:val="00E14805"/>
    <w:rsid w:val="00E15364"/>
    <w:rsid w:val="00E15AB7"/>
    <w:rsid w:val="00E15B80"/>
    <w:rsid w:val="00E208B8"/>
    <w:rsid w:val="00E2122C"/>
    <w:rsid w:val="00E215D9"/>
    <w:rsid w:val="00E224BA"/>
    <w:rsid w:val="00E23512"/>
    <w:rsid w:val="00E238A4"/>
    <w:rsid w:val="00E2400F"/>
    <w:rsid w:val="00E245C7"/>
    <w:rsid w:val="00E2469D"/>
    <w:rsid w:val="00E274B3"/>
    <w:rsid w:val="00E27A2B"/>
    <w:rsid w:val="00E27C4A"/>
    <w:rsid w:val="00E3070C"/>
    <w:rsid w:val="00E307EE"/>
    <w:rsid w:val="00E30917"/>
    <w:rsid w:val="00E3103C"/>
    <w:rsid w:val="00E3170C"/>
    <w:rsid w:val="00E31C86"/>
    <w:rsid w:val="00E31FCD"/>
    <w:rsid w:val="00E32ACF"/>
    <w:rsid w:val="00E33A22"/>
    <w:rsid w:val="00E34285"/>
    <w:rsid w:val="00E34DF5"/>
    <w:rsid w:val="00E356C8"/>
    <w:rsid w:val="00E36B1B"/>
    <w:rsid w:val="00E36EFE"/>
    <w:rsid w:val="00E376DF"/>
    <w:rsid w:val="00E42645"/>
    <w:rsid w:val="00E4308E"/>
    <w:rsid w:val="00E43A19"/>
    <w:rsid w:val="00E463C4"/>
    <w:rsid w:val="00E46EA6"/>
    <w:rsid w:val="00E47435"/>
    <w:rsid w:val="00E47E17"/>
    <w:rsid w:val="00E47E9E"/>
    <w:rsid w:val="00E5007A"/>
    <w:rsid w:val="00E5250F"/>
    <w:rsid w:val="00E538F1"/>
    <w:rsid w:val="00E557D0"/>
    <w:rsid w:val="00E57861"/>
    <w:rsid w:val="00E57BC4"/>
    <w:rsid w:val="00E57E46"/>
    <w:rsid w:val="00E607CC"/>
    <w:rsid w:val="00E60E94"/>
    <w:rsid w:val="00E62335"/>
    <w:rsid w:val="00E624A0"/>
    <w:rsid w:val="00E638E4"/>
    <w:rsid w:val="00E63CB5"/>
    <w:rsid w:val="00E643A8"/>
    <w:rsid w:val="00E64A80"/>
    <w:rsid w:val="00E64C90"/>
    <w:rsid w:val="00E65DB1"/>
    <w:rsid w:val="00E66F81"/>
    <w:rsid w:val="00E6729C"/>
    <w:rsid w:val="00E67B4D"/>
    <w:rsid w:val="00E67EEA"/>
    <w:rsid w:val="00E70C0E"/>
    <w:rsid w:val="00E71FB8"/>
    <w:rsid w:val="00E7280A"/>
    <w:rsid w:val="00E72AB5"/>
    <w:rsid w:val="00E73319"/>
    <w:rsid w:val="00E75163"/>
    <w:rsid w:val="00E7554D"/>
    <w:rsid w:val="00E759FB"/>
    <w:rsid w:val="00E76455"/>
    <w:rsid w:val="00E76E93"/>
    <w:rsid w:val="00E77D16"/>
    <w:rsid w:val="00E81DB2"/>
    <w:rsid w:val="00E83142"/>
    <w:rsid w:val="00E83DED"/>
    <w:rsid w:val="00E83E07"/>
    <w:rsid w:val="00E84052"/>
    <w:rsid w:val="00E84061"/>
    <w:rsid w:val="00E85362"/>
    <w:rsid w:val="00E87328"/>
    <w:rsid w:val="00E877C7"/>
    <w:rsid w:val="00E87A23"/>
    <w:rsid w:val="00E90DFF"/>
    <w:rsid w:val="00E9209B"/>
    <w:rsid w:val="00E92D26"/>
    <w:rsid w:val="00E94C67"/>
    <w:rsid w:val="00E9692E"/>
    <w:rsid w:val="00E96E93"/>
    <w:rsid w:val="00E975C4"/>
    <w:rsid w:val="00E97A09"/>
    <w:rsid w:val="00EA0058"/>
    <w:rsid w:val="00EA00C5"/>
    <w:rsid w:val="00EA0177"/>
    <w:rsid w:val="00EA09D7"/>
    <w:rsid w:val="00EA1ADE"/>
    <w:rsid w:val="00EA1F7A"/>
    <w:rsid w:val="00EA27EE"/>
    <w:rsid w:val="00EA409D"/>
    <w:rsid w:val="00EA6668"/>
    <w:rsid w:val="00EA6FF0"/>
    <w:rsid w:val="00EA7168"/>
    <w:rsid w:val="00EB0050"/>
    <w:rsid w:val="00EB430D"/>
    <w:rsid w:val="00EB4AB9"/>
    <w:rsid w:val="00EB52D5"/>
    <w:rsid w:val="00EB65C8"/>
    <w:rsid w:val="00EB7238"/>
    <w:rsid w:val="00EB7386"/>
    <w:rsid w:val="00EB779D"/>
    <w:rsid w:val="00EB786C"/>
    <w:rsid w:val="00EC087C"/>
    <w:rsid w:val="00EC1BFE"/>
    <w:rsid w:val="00EC2715"/>
    <w:rsid w:val="00EC4418"/>
    <w:rsid w:val="00EC46A2"/>
    <w:rsid w:val="00EC69F3"/>
    <w:rsid w:val="00EC74B9"/>
    <w:rsid w:val="00ED1C7A"/>
    <w:rsid w:val="00ED2C5B"/>
    <w:rsid w:val="00ED2DAF"/>
    <w:rsid w:val="00ED623B"/>
    <w:rsid w:val="00ED63F4"/>
    <w:rsid w:val="00ED697A"/>
    <w:rsid w:val="00ED69E8"/>
    <w:rsid w:val="00ED7098"/>
    <w:rsid w:val="00EE026E"/>
    <w:rsid w:val="00EE2106"/>
    <w:rsid w:val="00EE3EF6"/>
    <w:rsid w:val="00EE4854"/>
    <w:rsid w:val="00EE4858"/>
    <w:rsid w:val="00EE48C6"/>
    <w:rsid w:val="00EE5F72"/>
    <w:rsid w:val="00EF0EA0"/>
    <w:rsid w:val="00EF22F6"/>
    <w:rsid w:val="00EF2C0F"/>
    <w:rsid w:val="00EF37F6"/>
    <w:rsid w:val="00EF51F2"/>
    <w:rsid w:val="00EF5503"/>
    <w:rsid w:val="00EF599C"/>
    <w:rsid w:val="00EF5F55"/>
    <w:rsid w:val="00EF6DAC"/>
    <w:rsid w:val="00F01B2C"/>
    <w:rsid w:val="00F02C23"/>
    <w:rsid w:val="00F04271"/>
    <w:rsid w:val="00F100E5"/>
    <w:rsid w:val="00F1063D"/>
    <w:rsid w:val="00F11855"/>
    <w:rsid w:val="00F12101"/>
    <w:rsid w:val="00F130AF"/>
    <w:rsid w:val="00F13A80"/>
    <w:rsid w:val="00F14CF5"/>
    <w:rsid w:val="00F15888"/>
    <w:rsid w:val="00F1614F"/>
    <w:rsid w:val="00F174DE"/>
    <w:rsid w:val="00F175E0"/>
    <w:rsid w:val="00F20DF5"/>
    <w:rsid w:val="00F20E85"/>
    <w:rsid w:val="00F212AC"/>
    <w:rsid w:val="00F22A1B"/>
    <w:rsid w:val="00F23B01"/>
    <w:rsid w:val="00F252F0"/>
    <w:rsid w:val="00F25CA4"/>
    <w:rsid w:val="00F272D3"/>
    <w:rsid w:val="00F27655"/>
    <w:rsid w:val="00F31C7F"/>
    <w:rsid w:val="00F33A67"/>
    <w:rsid w:val="00F3502C"/>
    <w:rsid w:val="00F35BCA"/>
    <w:rsid w:val="00F36892"/>
    <w:rsid w:val="00F36BCC"/>
    <w:rsid w:val="00F37680"/>
    <w:rsid w:val="00F4078F"/>
    <w:rsid w:val="00F40C62"/>
    <w:rsid w:val="00F41CD0"/>
    <w:rsid w:val="00F42770"/>
    <w:rsid w:val="00F436F9"/>
    <w:rsid w:val="00F479FA"/>
    <w:rsid w:val="00F533E5"/>
    <w:rsid w:val="00F53CEE"/>
    <w:rsid w:val="00F565E4"/>
    <w:rsid w:val="00F567EA"/>
    <w:rsid w:val="00F56B46"/>
    <w:rsid w:val="00F56CC9"/>
    <w:rsid w:val="00F57010"/>
    <w:rsid w:val="00F57B44"/>
    <w:rsid w:val="00F60E71"/>
    <w:rsid w:val="00F612D9"/>
    <w:rsid w:val="00F614B4"/>
    <w:rsid w:val="00F61AB4"/>
    <w:rsid w:val="00F61C35"/>
    <w:rsid w:val="00F63516"/>
    <w:rsid w:val="00F63D6D"/>
    <w:rsid w:val="00F643C3"/>
    <w:rsid w:val="00F646E9"/>
    <w:rsid w:val="00F66499"/>
    <w:rsid w:val="00F67045"/>
    <w:rsid w:val="00F70692"/>
    <w:rsid w:val="00F71ECA"/>
    <w:rsid w:val="00F72206"/>
    <w:rsid w:val="00F732E9"/>
    <w:rsid w:val="00F73EF2"/>
    <w:rsid w:val="00F7501F"/>
    <w:rsid w:val="00F75167"/>
    <w:rsid w:val="00F765D7"/>
    <w:rsid w:val="00F77671"/>
    <w:rsid w:val="00F8010F"/>
    <w:rsid w:val="00F8041E"/>
    <w:rsid w:val="00F80F62"/>
    <w:rsid w:val="00F82BC7"/>
    <w:rsid w:val="00F83D38"/>
    <w:rsid w:val="00F846F2"/>
    <w:rsid w:val="00F85454"/>
    <w:rsid w:val="00F855B8"/>
    <w:rsid w:val="00F86C49"/>
    <w:rsid w:val="00F87839"/>
    <w:rsid w:val="00F90186"/>
    <w:rsid w:val="00F9044D"/>
    <w:rsid w:val="00F907EB"/>
    <w:rsid w:val="00F90886"/>
    <w:rsid w:val="00F92752"/>
    <w:rsid w:val="00F94319"/>
    <w:rsid w:val="00F94978"/>
    <w:rsid w:val="00F95062"/>
    <w:rsid w:val="00F9683D"/>
    <w:rsid w:val="00F96951"/>
    <w:rsid w:val="00F96F34"/>
    <w:rsid w:val="00FA0945"/>
    <w:rsid w:val="00FA12BB"/>
    <w:rsid w:val="00FA527A"/>
    <w:rsid w:val="00FA72BD"/>
    <w:rsid w:val="00FB338A"/>
    <w:rsid w:val="00FB3DC3"/>
    <w:rsid w:val="00FB4841"/>
    <w:rsid w:val="00FB5A68"/>
    <w:rsid w:val="00FB6A97"/>
    <w:rsid w:val="00FC0127"/>
    <w:rsid w:val="00FC046B"/>
    <w:rsid w:val="00FC15F5"/>
    <w:rsid w:val="00FC24AC"/>
    <w:rsid w:val="00FC2BBA"/>
    <w:rsid w:val="00FC430D"/>
    <w:rsid w:val="00FC5D3F"/>
    <w:rsid w:val="00FC74CE"/>
    <w:rsid w:val="00FC7594"/>
    <w:rsid w:val="00FD042A"/>
    <w:rsid w:val="00FD07FC"/>
    <w:rsid w:val="00FD0937"/>
    <w:rsid w:val="00FD0D6F"/>
    <w:rsid w:val="00FD3B9B"/>
    <w:rsid w:val="00FD3DC0"/>
    <w:rsid w:val="00FD41DC"/>
    <w:rsid w:val="00FD5A95"/>
    <w:rsid w:val="00FD5C9B"/>
    <w:rsid w:val="00FD7408"/>
    <w:rsid w:val="00FD77F3"/>
    <w:rsid w:val="00FD7AD6"/>
    <w:rsid w:val="00FD7E5E"/>
    <w:rsid w:val="00FE1163"/>
    <w:rsid w:val="00FE1592"/>
    <w:rsid w:val="00FE4D49"/>
    <w:rsid w:val="00FE79D5"/>
    <w:rsid w:val="00FF02DB"/>
    <w:rsid w:val="00FF0F49"/>
    <w:rsid w:val="00FF2786"/>
    <w:rsid w:val="00FF28A1"/>
    <w:rsid w:val="00FF3F8F"/>
    <w:rsid w:val="00FF4424"/>
    <w:rsid w:val="00FF542E"/>
    <w:rsid w:val="00FF578C"/>
    <w:rsid w:val="00FF5C41"/>
    <w:rsid w:val="00FF6525"/>
    <w:rsid w:val="00FF7620"/>
    <w:rsid w:val="00FF7B44"/>
    <w:rsid w:val="013E446F"/>
    <w:rsid w:val="01522809"/>
    <w:rsid w:val="0155788E"/>
    <w:rsid w:val="01725A1C"/>
    <w:rsid w:val="01731C23"/>
    <w:rsid w:val="01780EF9"/>
    <w:rsid w:val="017C0734"/>
    <w:rsid w:val="01894C4E"/>
    <w:rsid w:val="01950A96"/>
    <w:rsid w:val="019B0502"/>
    <w:rsid w:val="019E1CDC"/>
    <w:rsid w:val="01A370F3"/>
    <w:rsid w:val="01A95CCD"/>
    <w:rsid w:val="01BE1085"/>
    <w:rsid w:val="01DC4FBD"/>
    <w:rsid w:val="01E02383"/>
    <w:rsid w:val="020F3DAF"/>
    <w:rsid w:val="02226DE7"/>
    <w:rsid w:val="02564898"/>
    <w:rsid w:val="02944B48"/>
    <w:rsid w:val="02957022"/>
    <w:rsid w:val="02D2541D"/>
    <w:rsid w:val="03037728"/>
    <w:rsid w:val="03176D9B"/>
    <w:rsid w:val="031F2A09"/>
    <w:rsid w:val="033B62FB"/>
    <w:rsid w:val="037A35D1"/>
    <w:rsid w:val="038C50E0"/>
    <w:rsid w:val="03975670"/>
    <w:rsid w:val="03A03ED9"/>
    <w:rsid w:val="03CD06C4"/>
    <w:rsid w:val="03D83659"/>
    <w:rsid w:val="03DD01D9"/>
    <w:rsid w:val="03FA0149"/>
    <w:rsid w:val="040579D2"/>
    <w:rsid w:val="04132513"/>
    <w:rsid w:val="046D43CA"/>
    <w:rsid w:val="04874232"/>
    <w:rsid w:val="04891483"/>
    <w:rsid w:val="04962E25"/>
    <w:rsid w:val="04974C22"/>
    <w:rsid w:val="04991817"/>
    <w:rsid w:val="04A02DA3"/>
    <w:rsid w:val="04BA08D2"/>
    <w:rsid w:val="04BB31A2"/>
    <w:rsid w:val="04C66136"/>
    <w:rsid w:val="04F773F0"/>
    <w:rsid w:val="0507547B"/>
    <w:rsid w:val="05185278"/>
    <w:rsid w:val="05356095"/>
    <w:rsid w:val="05391320"/>
    <w:rsid w:val="05724CAA"/>
    <w:rsid w:val="0574717F"/>
    <w:rsid w:val="05757520"/>
    <w:rsid w:val="058B6CDA"/>
    <w:rsid w:val="05A84E4A"/>
    <w:rsid w:val="05D20C9A"/>
    <w:rsid w:val="06044CE5"/>
    <w:rsid w:val="060B3AB8"/>
    <w:rsid w:val="06445632"/>
    <w:rsid w:val="064B10E8"/>
    <w:rsid w:val="06583D6F"/>
    <w:rsid w:val="06856B77"/>
    <w:rsid w:val="06A02173"/>
    <w:rsid w:val="06C11ECF"/>
    <w:rsid w:val="06D74FB7"/>
    <w:rsid w:val="06FB0A8B"/>
    <w:rsid w:val="0703310E"/>
    <w:rsid w:val="07170676"/>
    <w:rsid w:val="071A568C"/>
    <w:rsid w:val="074A2072"/>
    <w:rsid w:val="075F2E5B"/>
    <w:rsid w:val="07601EFB"/>
    <w:rsid w:val="077C2175"/>
    <w:rsid w:val="078058B0"/>
    <w:rsid w:val="079647D7"/>
    <w:rsid w:val="07D831D1"/>
    <w:rsid w:val="07DB53A5"/>
    <w:rsid w:val="07EA5598"/>
    <w:rsid w:val="07FE588D"/>
    <w:rsid w:val="08053498"/>
    <w:rsid w:val="081E1A47"/>
    <w:rsid w:val="08557366"/>
    <w:rsid w:val="08830733"/>
    <w:rsid w:val="088E7A2C"/>
    <w:rsid w:val="088F324C"/>
    <w:rsid w:val="08B56E0B"/>
    <w:rsid w:val="08D062B9"/>
    <w:rsid w:val="08D50935"/>
    <w:rsid w:val="08D97D1B"/>
    <w:rsid w:val="08F224E9"/>
    <w:rsid w:val="09231497"/>
    <w:rsid w:val="0927169A"/>
    <w:rsid w:val="093279E3"/>
    <w:rsid w:val="094427D6"/>
    <w:rsid w:val="09644DDC"/>
    <w:rsid w:val="09664531"/>
    <w:rsid w:val="098C61E7"/>
    <w:rsid w:val="099B737B"/>
    <w:rsid w:val="09A21211"/>
    <w:rsid w:val="09CC4AB3"/>
    <w:rsid w:val="09D22D06"/>
    <w:rsid w:val="09D64612"/>
    <w:rsid w:val="09DE540C"/>
    <w:rsid w:val="09EF74FF"/>
    <w:rsid w:val="0A243FB0"/>
    <w:rsid w:val="0A26573A"/>
    <w:rsid w:val="0A3274E6"/>
    <w:rsid w:val="0A714DAF"/>
    <w:rsid w:val="0A825DF6"/>
    <w:rsid w:val="0A885A81"/>
    <w:rsid w:val="0A8D1669"/>
    <w:rsid w:val="0A922A21"/>
    <w:rsid w:val="0AA35B83"/>
    <w:rsid w:val="0AB57123"/>
    <w:rsid w:val="0AD76E74"/>
    <w:rsid w:val="0ADA025B"/>
    <w:rsid w:val="0B046FC5"/>
    <w:rsid w:val="0B0E0C1E"/>
    <w:rsid w:val="0B2E7611"/>
    <w:rsid w:val="0B3D539E"/>
    <w:rsid w:val="0B3F1488"/>
    <w:rsid w:val="0B844E71"/>
    <w:rsid w:val="0BEC7B62"/>
    <w:rsid w:val="0BF138C4"/>
    <w:rsid w:val="0C311D87"/>
    <w:rsid w:val="0C5368AE"/>
    <w:rsid w:val="0C7E2533"/>
    <w:rsid w:val="0CB436F2"/>
    <w:rsid w:val="0CB4492C"/>
    <w:rsid w:val="0CB60FE5"/>
    <w:rsid w:val="0CBA2457"/>
    <w:rsid w:val="0CDF7A90"/>
    <w:rsid w:val="0CFF0957"/>
    <w:rsid w:val="0D2658A2"/>
    <w:rsid w:val="0D2E4C03"/>
    <w:rsid w:val="0D3C7979"/>
    <w:rsid w:val="0D5706D2"/>
    <w:rsid w:val="0D5F5604"/>
    <w:rsid w:val="0DB31D06"/>
    <w:rsid w:val="0DB33472"/>
    <w:rsid w:val="0DBC31CF"/>
    <w:rsid w:val="0DDD59C2"/>
    <w:rsid w:val="0DE45DA4"/>
    <w:rsid w:val="0DF43D2F"/>
    <w:rsid w:val="0DF7148B"/>
    <w:rsid w:val="0DF80327"/>
    <w:rsid w:val="0E0E0D5B"/>
    <w:rsid w:val="0E124A5A"/>
    <w:rsid w:val="0E1761DD"/>
    <w:rsid w:val="0E1C7FA0"/>
    <w:rsid w:val="0E1F38BB"/>
    <w:rsid w:val="0E430C3C"/>
    <w:rsid w:val="0E4D36E3"/>
    <w:rsid w:val="0E596DE1"/>
    <w:rsid w:val="0E947D89"/>
    <w:rsid w:val="0EB12E2A"/>
    <w:rsid w:val="0ED87486"/>
    <w:rsid w:val="0ED87DF0"/>
    <w:rsid w:val="0EF17425"/>
    <w:rsid w:val="0EF66D33"/>
    <w:rsid w:val="0F021C54"/>
    <w:rsid w:val="0F1935D8"/>
    <w:rsid w:val="0F3A50CC"/>
    <w:rsid w:val="0F3C1C39"/>
    <w:rsid w:val="0F4C5F6E"/>
    <w:rsid w:val="0F5248C1"/>
    <w:rsid w:val="0F5524E1"/>
    <w:rsid w:val="0F62434C"/>
    <w:rsid w:val="0F6273CA"/>
    <w:rsid w:val="0F874A16"/>
    <w:rsid w:val="0F8B6720"/>
    <w:rsid w:val="0F8D0AE1"/>
    <w:rsid w:val="0FA26895"/>
    <w:rsid w:val="0FA95703"/>
    <w:rsid w:val="0FB8618A"/>
    <w:rsid w:val="0FC634FA"/>
    <w:rsid w:val="0FE42611"/>
    <w:rsid w:val="100B5BA2"/>
    <w:rsid w:val="1027549B"/>
    <w:rsid w:val="10372668"/>
    <w:rsid w:val="104307F7"/>
    <w:rsid w:val="105030B7"/>
    <w:rsid w:val="108057EC"/>
    <w:rsid w:val="109B71AD"/>
    <w:rsid w:val="10AA19B6"/>
    <w:rsid w:val="10CC3256"/>
    <w:rsid w:val="10D5261C"/>
    <w:rsid w:val="10F70AE6"/>
    <w:rsid w:val="110754FD"/>
    <w:rsid w:val="111A4673"/>
    <w:rsid w:val="112872C4"/>
    <w:rsid w:val="11317FDE"/>
    <w:rsid w:val="11603BBD"/>
    <w:rsid w:val="1168359B"/>
    <w:rsid w:val="1171768D"/>
    <w:rsid w:val="11730CE2"/>
    <w:rsid w:val="11867ED9"/>
    <w:rsid w:val="11EA5AEF"/>
    <w:rsid w:val="11F84E40"/>
    <w:rsid w:val="12386C7D"/>
    <w:rsid w:val="124D61BB"/>
    <w:rsid w:val="126A7E60"/>
    <w:rsid w:val="12904ECE"/>
    <w:rsid w:val="12BB3C49"/>
    <w:rsid w:val="12D84B3E"/>
    <w:rsid w:val="12D90C7E"/>
    <w:rsid w:val="12DC1631"/>
    <w:rsid w:val="130A7FCB"/>
    <w:rsid w:val="134D0507"/>
    <w:rsid w:val="134D0656"/>
    <w:rsid w:val="136061FA"/>
    <w:rsid w:val="13785266"/>
    <w:rsid w:val="139021F1"/>
    <w:rsid w:val="13AA3B0E"/>
    <w:rsid w:val="13C24A51"/>
    <w:rsid w:val="13C670DC"/>
    <w:rsid w:val="13CD117A"/>
    <w:rsid w:val="13F4452B"/>
    <w:rsid w:val="141C0A56"/>
    <w:rsid w:val="14265B9D"/>
    <w:rsid w:val="14391709"/>
    <w:rsid w:val="1444658A"/>
    <w:rsid w:val="1458129A"/>
    <w:rsid w:val="146433B0"/>
    <w:rsid w:val="14786549"/>
    <w:rsid w:val="148951B3"/>
    <w:rsid w:val="14A8410E"/>
    <w:rsid w:val="14BC6B21"/>
    <w:rsid w:val="14E67A56"/>
    <w:rsid w:val="150D0478"/>
    <w:rsid w:val="152A6CEA"/>
    <w:rsid w:val="154F3AA4"/>
    <w:rsid w:val="157378A5"/>
    <w:rsid w:val="15B75FD7"/>
    <w:rsid w:val="15D72CD0"/>
    <w:rsid w:val="15FC70B7"/>
    <w:rsid w:val="15FF1117"/>
    <w:rsid w:val="16086AAD"/>
    <w:rsid w:val="160C2AB9"/>
    <w:rsid w:val="160D2D3C"/>
    <w:rsid w:val="1626206D"/>
    <w:rsid w:val="164C273F"/>
    <w:rsid w:val="164C2F5D"/>
    <w:rsid w:val="165F335C"/>
    <w:rsid w:val="168A60B6"/>
    <w:rsid w:val="16AC5892"/>
    <w:rsid w:val="16C27A9F"/>
    <w:rsid w:val="16CF61E0"/>
    <w:rsid w:val="171272EC"/>
    <w:rsid w:val="172D69DA"/>
    <w:rsid w:val="1732001A"/>
    <w:rsid w:val="174F033C"/>
    <w:rsid w:val="1751795E"/>
    <w:rsid w:val="176D5B83"/>
    <w:rsid w:val="17786D4B"/>
    <w:rsid w:val="177F3FD8"/>
    <w:rsid w:val="17892E7C"/>
    <w:rsid w:val="17934A43"/>
    <w:rsid w:val="17A17CC3"/>
    <w:rsid w:val="17B25A93"/>
    <w:rsid w:val="17D81DE1"/>
    <w:rsid w:val="18041D1D"/>
    <w:rsid w:val="181854A9"/>
    <w:rsid w:val="18331779"/>
    <w:rsid w:val="183C6A88"/>
    <w:rsid w:val="18427D3C"/>
    <w:rsid w:val="18483E85"/>
    <w:rsid w:val="187B17D4"/>
    <w:rsid w:val="18A34D7F"/>
    <w:rsid w:val="18B40583"/>
    <w:rsid w:val="18B53EC5"/>
    <w:rsid w:val="18C171AB"/>
    <w:rsid w:val="18C469B5"/>
    <w:rsid w:val="18C53463"/>
    <w:rsid w:val="18D44E6D"/>
    <w:rsid w:val="18EF015D"/>
    <w:rsid w:val="190E1A4B"/>
    <w:rsid w:val="19341F4D"/>
    <w:rsid w:val="1938149A"/>
    <w:rsid w:val="193B1102"/>
    <w:rsid w:val="193F7913"/>
    <w:rsid w:val="1941771E"/>
    <w:rsid w:val="19432F4F"/>
    <w:rsid w:val="19436CC0"/>
    <w:rsid w:val="194D42C7"/>
    <w:rsid w:val="195212B5"/>
    <w:rsid w:val="197B06AD"/>
    <w:rsid w:val="19897FF4"/>
    <w:rsid w:val="199E48D7"/>
    <w:rsid w:val="19AE79AF"/>
    <w:rsid w:val="19B734D1"/>
    <w:rsid w:val="19C229CB"/>
    <w:rsid w:val="19DF4A10"/>
    <w:rsid w:val="19F208DE"/>
    <w:rsid w:val="1A022D55"/>
    <w:rsid w:val="1A0745E0"/>
    <w:rsid w:val="1A0B630C"/>
    <w:rsid w:val="1A3B195B"/>
    <w:rsid w:val="1A513D9A"/>
    <w:rsid w:val="1A562496"/>
    <w:rsid w:val="1A5905CD"/>
    <w:rsid w:val="1A5E4A5D"/>
    <w:rsid w:val="1A5F6B94"/>
    <w:rsid w:val="1AC27A2C"/>
    <w:rsid w:val="1ACE6D21"/>
    <w:rsid w:val="1AD67CFD"/>
    <w:rsid w:val="1ADB1E91"/>
    <w:rsid w:val="1AE532AF"/>
    <w:rsid w:val="1AE723CD"/>
    <w:rsid w:val="1B18656A"/>
    <w:rsid w:val="1B2E4976"/>
    <w:rsid w:val="1B370771"/>
    <w:rsid w:val="1B657081"/>
    <w:rsid w:val="1B864A5C"/>
    <w:rsid w:val="1BAA302F"/>
    <w:rsid w:val="1BB65B86"/>
    <w:rsid w:val="1BBC4C4B"/>
    <w:rsid w:val="1BF715B0"/>
    <w:rsid w:val="1C105F71"/>
    <w:rsid w:val="1C2A6B58"/>
    <w:rsid w:val="1C3E28B4"/>
    <w:rsid w:val="1C4439DA"/>
    <w:rsid w:val="1C5B62FB"/>
    <w:rsid w:val="1C5E3753"/>
    <w:rsid w:val="1C9908C1"/>
    <w:rsid w:val="1C9F5BEC"/>
    <w:rsid w:val="1CAA6F03"/>
    <w:rsid w:val="1CAD1D3E"/>
    <w:rsid w:val="1CB97B2A"/>
    <w:rsid w:val="1D216228"/>
    <w:rsid w:val="1D2821E4"/>
    <w:rsid w:val="1D43088F"/>
    <w:rsid w:val="1D675659"/>
    <w:rsid w:val="1D73355D"/>
    <w:rsid w:val="1DDD0DD6"/>
    <w:rsid w:val="1DE60700"/>
    <w:rsid w:val="1DED3227"/>
    <w:rsid w:val="1DF744B0"/>
    <w:rsid w:val="1E05035C"/>
    <w:rsid w:val="1E061641"/>
    <w:rsid w:val="1E183420"/>
    <w:rsid w:val="1E2C36B3"/>
    <w:rsid w:val="1E3C2833"/>
    <w:rsid w:val="1E3E380F"/>
    <w:rsid w:val="1E41058F"/>
    <w:rsid w:val="1E5349A5"/>
    <w:rsid w:val="1E6D284C"/>
    <w:rsid w:val="1E761CFC"/>
    <w:rsid w:val="1E774F65"/>
    <w:rsid w:val="1E816A44"/>
    <w:rsid w:val="1E980D22"/>
    <w:rsid w:val="1EA52725"/>
    <w:rsid w:val="1EB028FC"/>
    <w:rsid w:val="1EC91910"/>
    <w:rsid w:val="1EF32FE5"/>
    <w:rsid w:val="1F0E7DE5"/>
    <w:rsid w:val="1F2F4C43"/>
    <w:rsid w:val="1F302910"/>
    <w:rsid w:val="1F410B14"/>
    <w:rsid w:val="1F412E7E"/>
    <w:rsid w:val="1F587326"/>
    <w:rsid w:val="1F92003C"/>
    <w:rsid w:val="1F926EBF"/>
    <w:rsid w:val="1FA433AF"/>
    <w:rsid w:val="1FA50A2A"/>
    <w:rsid w:val="1FAE594B"/>
    <w:rsid w:val="1FB16CC5"/>
    <w:rsid w:val="1FB85334"/>
    <w:rsid w:val="20027813"/>
    <w:rsid w:val="200F17DF"/>
    <w:rsid w:val="201E2BAD"/>
    <w:rsid w:val="20406C7D"/>
    <w:rsid w:val="20BE3C11"/>
    <w:rsid w:val="20E351A7"/>
    <w:rsid w:val="20FF02E6"/>
    <w:rsid w:val="212D2FC3"/>
    <w:rsid w:val="213132A5"/>
    <w:rsid w:val="21415852"/>
    <w:rsid w:val="21807CEC"/>
    <w:rsid w:val="2195222F"/>
    <w:rsid w:val="21B6720C"/>
    <w:rsid w:val="21CB5781"/>
    <w:rsid w:val="21D17DB0"/>
    <w:rsid w:val="21DE1584"/>
    <w:rsid w:val="21DF6B66"/>
    <w:rsid w:val="21E60A00"/>
    <w:rsid w:val="21E665CD"/>
    <w:rsid w:val="21ED6B47"/>
    <w:rsid w:val="21EE22ED"/>
    <w:rsid w:val="22017249"/>
    <w:rsid w:val="224507C8"/>
    <w:rsid w:val="225C3882"/>
    <w:rsid w:val="226A1E07"/>
    <w:rsid w:val="227934F0"/>
    <w:rsid w:val="227F4F48"/>
    <w:rsid w:val="22803009"/>
    <w:rsid w:val="22A805E7"/>
    <w:rsid w:val="22B25597"/>
    <w:rsid w:val="22B502DD"/>
    <w:rsid w:val="22C53695"/>
    <w:rsid w:val="22D14889"/>
    <w:rsid w:val="22EC1D3E"/>
    <w:rsid w:val="22F073D9"/>
    <w:rsid w:val="22F92D0F"/>
    <w:rsid w:val="22FF5432"/>
    <w:rsid w:val="231614B0"/>
    <w:rsid w:val="23355368"/>
    <w:rsid w:val="233B2D21"/>
    <w:rsid w:val="23553624"/>
    <w:rsid w:val="236227B3"/>
    <w:rsid w:val="23952E71"/>
    <w:rsid w:val="24162CFC"/>
    <w:rsid w:val="24216F3E"/>
    <w:rsid w:val="24304ABD"/>
    <w:rsid w:val="24443282"/>
    <w:rsid w:val="24520CD7"/>
    <w:rsid w:val="245D198E"/>
    <w:rsid w:val="2465241F"/>
    <w:rsid w:val="247578DE"/>
    <w:rsid w:val="24AE183E"/>
    <w:rsid w:val="24B32501"/>
    <w:rsid w:val="24B47738"/>
    <w:rsid w:val="24CF0AEC"/>
    <w:rsid w:val="24D065BB"/>
    <w:rsid w:val="24DB58B1"/>
    <w:rsid w:val="253E1840"/>
    <w:rsid w:val="259D3436"/>
    <w:rsid w:val="25C21091"/>
    <w:rsid w:val="25FD563F"/>
    <w:rsid w:val="26005338"/>
    <w:rsid w:val="26154279"/>
    <w:rsid w:val="263259D6"/>
    <w:rsid w:val="268C70C7"/>
    <w:rsid w:val="26941FF3"/>
    <w:rsid w:val="269C7532"/>
    <w:rsid w:val="26A358AB"/>
    <w:rsid w:val="26A73260"/>
    <w:rsid w:val="26B56AD0"/>
    <w:rsid w:val="26D76129"/>
    <w:rsid w:val="26F03CB8"/>
    <w:rsid w:val="26F356F3"/>
    <w:rsid w:val="270B66F3"/>
    <w:rsid w:val="2730514E"/>
    <w:rsid w:val="27465EDA"/>
    <w:rsid w:val="277C64CA"/>
    <w:rsid w:val="2786373D"/>
    <w:rsid w:val="27AD722E"/>
    <w:rsid w:val="27AE16A9"/>
    <w:rsid w:val="27CC2C2D"/>
    <w:rsid w:val="27E07AE5"/>
    <w:rsid w:val="27E95C02"/>
    <w:rsid w:val="27F22D4D"/>
    <w:rsid w:val="28137A3F"/>
    <w:rsid w:val="28224F19"/>
    <w:rsid w:val="284E0616"/>
    <w:rsid w:val="28744B7F"/>
    <w:rsid w:val="289007D4"/>
    <w:rsid w:val="28A52E36"/>
    <w:rsid w:val="28A72C9B"/>
    <w:rsid w:val="28AC1B99"/>
    <w:rsid w:val="28DF529E"/>
    <w:rsid w:val="28E05A89"/>
    <w:rsid w:val="28FF27ED"/>
    <w:rsid w:val="291A7E3F"/>
    <w:rsid w:val="29565D3F"/>
    <w:rsid w:val="29600B3C"/>
    <w:rsid w:val="29665177"/>
    <w:rsid w:val="296966EE"/>
    <w:rsid w:val="29783F4E"/>
    <w:rsid w:val="29A34E12"/>
    <w:rsid w:val="29BC2861"/>
    <w:rsid w:val="29BE561A"/>
    <w:rsid w:val="29CF44B8"/>
    <w:rsid w:val="29E41E9E"/>
    <w:rsid w:val="29EA20DB"/>
    <w:rsid w:val="29ED15EA"/>
    <w:rsid w:val="2A2D4445"/>
    <w:rsid w:val="2A3D1306"/>
    <w:rsid w:val="2A4D32E6"/>
    <w:rsid w:val="2A9B6F89"/>
    <w:rsid w:val="2A9F2B99"/>
    <w:rsid w:val="2A9F5694"/>
    <w:rsid w:val="2AA37315"/>
    <w:rsid w:val="2AA624D1"/>
    <w:rsid w:val="2AAE750B"/>
    <w:rsid w:val="2ABA522F"/>
    <w:rsid w:val="2ABC2F4D"/>
    <w:rsid w:val="2ACA72D6"/>
    <w:rsid w:val="2ADD25B4"/>
    <w:rsid w:val="2ADE27AC"/>
    <w:rsid w:val="2AE258E2"/>
    <w:rsid w:val="2B0547FB"/>
    <w:rsid w:val="2B173978"/>
    <w:rsid w:val="2B56110C"/>
    <w:rsid w:val="2B7C4E65"/>
    <w:rsid w:val="2B8350AD"/>
    <w:rsid w:val="2BD95D11"/>
    <w:rsid w:val="2BDD4176"/>
    <w:rsid w:val="2C1D2A82"/>
    <w:rsid w:val="2C2D55C1"/>
    <w:rsid w:val="2C2F14D4"/>
    <w:rsid w:val="2C39224A"/>
    <w:rsid w:val="2C92459A"/>
    <w:rsid w:val="2C992BAE"/>
    <w:rsid w:val="2CA433CB"/>
    <w:rsid w:val="2CB87DB5"/>
    <w:rsid w:val="2CD235E1"/>
    <w:rsid w:val="2CFA0557"/>
    <w:rsid w:val="2CFC751A"/>
    <w:rsid w:val="2D096BA1"/>
    <w:rsid w:val="2D1A1F8B"/>
    <w:rsid w:val="2D2E4578"/>
    <w:rsid w:val="2D492C4D"/>
    <w:rsid w:val="2D591C80"/>
    <w:rsid w:val="2D592778"/>
    <w:rsid w:val="2D813F86"/>
    <w:rsid w:val="2D8455E2"/>
    <w:rsid w:val="2DA42B86"/>
    <w:rsid w:val="2DB03068"/>
    <w:rsid w:val="2DBF71D3"/>
    <w:rsid w:val="2DC9792A"/>
    <w:rsid w:val="2DD26085"/>
    <w:rsid w:val="2DF048C3"/>
    <w:rsid w:val="2E0304B9"/>
    <w:rsid w:val="2E3F70D7"/>
    <w:rsid w:val="2E673094"/>
    <w:rsid w:val="2E6E018D"/>
    <w:rsid w:val="2E6E43CD"/>
    <w:rsid w:val="2E8F7410"/>
    <w:rsid w:val="2EA17CBC"/>
    <w:rsid w:val="2EA4593D"/>
    <w:rsid w:val="2EDE4FF0"/>
    <w:rsid w:val="2EED50EE"/>
    <w:rsid w:val="2F116787"/>
    <w:rsid w:val="2F217175"/>
    <w:rsid w:val="2F6B04E8"/>
    <w:rsid w:val="2F881415"/>
    <w:rsid w:val="2F8E4736"/>
    <w:rsid w:val="2F935762"/>
    <w:rsid w:val="2FB43F52"/>
    <w:rsid w:val="2FB444E1"/>
    <w:rsid w:val="300C2463"/>
    <w:rsid w:val="300C41E0"/>
    <w:rsid w:val="300F5CEA"/>
    <w:rsid w:val="301B1793"/>
    <w:rsid w:val="30281E0E"/>
    <w:rsid w:val="30344DA2"/>
    <w:rsid w:val="303455D3"/>
    <w:rsid w:val="304716F8"/>
    <w:rsid w:val="30560E5A"/>
    <w:rsid w:val="30622036"/>
    <w:rsid w:val="306373BB"/>
    <w:rsid w:val="306B5CE6"/>
    <w:rsid w:val="306D1AEC"/>
    <w:rsid w:val="30C035FA"/>
    <w:rsid w:val="30C05E3A"/>
    <w:rsid w:val="30EB090A"/>
    <w:rsid w:val="30F44AC0"/>
    <w:rsid w:val="310B6A3D"/>
    <w:rsid w:val="311A29AD"/>
    <w:rsid w:val="31440D43"/>
    <w:rsid w:val="31521212"/>
    <w:rsid w:val="31650116"/>
    <w:rsid w:val="317B7C04"/>
    <w:rsid w:val="31852721"/>
    <w:rsid w:val="31A36909"/>
    <w:rsid w:val="31AE3DCC"/>
    <w:rsid w:val="31DB13D9"/>
    <w:rsid w:val="31DD1779"/>
    <w:rsid w:val="31E067C6"/>
    <w:rsid w:val="31F72618"/>
    <w:rsid w:val="31FE51FC"/>
    <w:rsid w:val="32001381"/>
    <w:rsid w:val="3225346E"/>
    <w:rsid w:val="323B1B9E"/>
    <w:rsid w:val="325E687C"/>
    <w:rsid w:val="3260395B"/>
    <w:rsid w:val="326B090C"/>
    <w:rsid w:val="32713CD8"/>
    <w:rsid w:val="327146EF"/>
    <w:rsid w:val="32743F08"/>
    <w:rsid w:val="327D0BE3"/>
    <w:rsid w:val="329B51A6"/>
    <w:rsid w:val="32B026B6"/>
    <w:rsid w:val="32B94DA4"/>
    <w:rsid w:val="32C6368B"/>
    <w:rsid w:val="32E039C3"/>
    <w:rsid w:val="32EC014D"/>
    <w:rsid w:val="32F13048"/>
    <w:rsid w:val="32FD6ABE"/>
    <w:rsid w:val="331A01B8"/>
    <w:rsid w:val="334F0C17"/>
    <w:rsid w:val="33563A76"/>
    <w:rsid w:val="336B13B3"/>
    <w:rsid w:val="338641C9"/>
    <w:rsid w:val="338F2CFC"/>
    <w:rsid w:val="339452CC"/>
    <w:rsid w:val="339F6113"/>
    <w:rsid w:val="33AF4B9A"/>
    <w:rsid w:val="33FB2C5F"/>
    <w:rsid w:val="343C15EE"/>
    <w:rsid w:val="344623BE"/>
    <w:rsid w:val="345A26F2"/>
    <w:rsid w:val="34640521"/>
    <w:rsid w:val="346D6E38"/>
    <w:rsid w:val="34A2024C"/>
    <w:rsid w:val="34AE24B3"/>
    <w:rsid w:val="34AF1FC2"/>
    <w:rsid w:val="34D323EA"/>
    <w:rsid w:val="34E41468"/>
    <w:rsid w:val="3502119F"/>
    <w:rsid w:val="35113CF2"/>
    <w:rsid w:val="35247DCB"/>
    <w:rsid w:val="354174AE"/>
    <w:rsid w:val="354A26F6"/>
    <w:rsid w:val="356612CC"/>
    <w:rsid w:val="356815AA"/>
    <w:rsid w:val="35A1628C"/>
    <w:rsid w:val="35E201D7"/>
    <w:rsid w:val="35F63798"/>
    <w:rsid w:val="35FC7A72"/>
    <w:rsid w:val="35FD6559"/>
    <w:rsid w:val="360540F4"/>
    <w:rsid w:val="36373B3D"/>
    <w:rsid w:val="369B3939"/>
    <w:rsid w:val="36AC2704"/>
    <w:rsid w:val="36B84147"/>
    <w:rsid w:val="36D417D4"/>
    <w:rsid w:val="36D76995"/>
    <w:rsid w:val="36F74460"/>
    <w:rsid w:val="3714541D"/>
    <w:rsid w:val="37227478"/>
    <w:rsid w:val="37316BD8"/>
    <w:rsid w:val="373227D3"/>
    <w:rsid w:val="373B1E45"/>
    <w:rsid w:val="374D47A3"/>
    <w:rsid w:val="375A1773"/>
    <w:rsid w:val="375D116C"/>
    <w:rsid w:val="37C67315"/>
    <w:rsid w:val="37E6635B"/>
    <w:rsid w:val="37F7D571"/>
    <w:rsid w:val="38133366"/>
    <w:rsid w:val="38234CA6"/>
    <w:rsid w:val="3824060A"/>
    <w:rsid w:val="38683BCA"/>
    <w:rsid w:val="386E3E21"/>
    <w:rsid w:val="387A06B4"/>
    <w:rsid w:val="388145BC"/>
    <w:rsid w:val="389E0566"/>
    <w:rsid w:val="38C44F5E"/>
    <w:rsid w:val="38E55A8C"/>
    <w:rsid w:val="390D4859"/>
    <w:rsid w:val="39290794"/>
    <w:rsid w:val="392D520A"/>
    <w:rsid w:val="39451933"/>
    <w:rsid w:val="39463B04"/>
    <w:rsid w:val="395E44C1"/>
    <w:rsid w:val="39826682"/>
    <w:rsid w:val="398A6952"/>
    <w:rsid w:val="39F81E81"/>
    <w:rsid w:val="3A0564C1"/>
    <w:rsid w:val="3A097937"/>
    <w:rsid w:val="3A204FAE"/>
    <w:rsid w:val="3A405C86"/>
    <w:rsid w:val="3A7F65DF"/>
    <w:rsid w:val="3ABC52C8"/>
    <w:rsid w:val="3B1806BF"/>
    <w:rsid w:val="3B384441"/>
    <w:rsid w:val="3B4C792E"/>
    <w:rsid w:val="3B56782A"/>
    <w:rsid w:val="3B8A056A"/>
    <w:rsid w:val="3B931668"/>
    <w:rsid w:val="3BAF08C1"/>
    <w:rsid w:val="3BB02A0C"/>
    <w:rsid w:val="3BDB5501"/>
    <w:rsid w:val="3BE556D1"/>
    <w:rsid w:val="3BF76A91"/>
    <w:rsid w:val="3C151820"/>
    <w:rsid w:val="3C737E79"/>
    <w:rsid w:val="3C8F6A80"/>
    <w:rsid w:val="3CB12D52"/>
    <w:rsid w:val="3CB158DA"/>
    <w:rsid w:val="3CBB4FBC"/>
    <w:rsid w:val="3CBD7380"/>
    <w:rsid w:val="3CC17786"/>
    <w:rsid w:val="3CDF5C43"/>
    <w:rsid w:val="3D001E18"/>
    <w:rsid w:val="3D002F2D"/>
    <w:rsid w:val="3D1C6374"/>
    <w:rsid w:val="3D3E2DB3"/>
    <w:rsid w:val="3D7973CA"/>
    <w:rsid w:val="3D891C30"/>
    <w:rsid w:val="3D9C4215"/>
    <w:rsid w:val="3DAF3990"/>
    <w:rsid w:val="3DB114C5"/>
    <w:rsid w:val="3DCC5E19"/>
    <w:rsid w:val="3DD0194D"/>
    <w:rsid w:val="3E257342"/>
    <w:rsid w:val="3E3655F0"/>
    <w:rsid w:val="3E5B19FA"/>
    <w:rsid w:val="3E633276"/>
    <w:rsid w:val="3E6A14A3"/>
    <w:rsid w:val="3E890ADF"/>
    <w:rsid w:val="3E960A20"/>
    <w:rsid w:val="3EDB0ACF"/>
    <w:rsid w:val="3F13324D"/>
    <w:rsid w:val="3F3B50EF"/>
    <w:rsid w:val="3F4222EF"/>
    <w:rsid w:val="3F5C58B0"/>
    <w:rsid w:val="3F7F135B"/>
    <w:rsid w:val="3F805664"/>
    <w:rsid w:val="3F8253F5"/>
    <w:rsid w:val="3F960BAE"/>
    <w:rsid w:val="3FA076B8"/>
    <w:rsid w:val="3FBC4C57"/>
    <w:rsid w:val="3FCD7A2F"/>
    <w:rsid w:val="3FD73D22"/>
    <w:rsid w:val="3FFA1D93"/>
    <w:rsid w:val="402150F9"/>
    <w:rsid w:val="403D1357"/>
    <w:rsid w:val="40433303"/>
    <w:rsid w:val="404D4E2C"/>
    <w:rsid w:val="409E2E62"/>
    <w:rsid w:val="40B03F00"/>
    <w:rsid w:val="40D1414D"/>
    <w:rsid w:val="40FB7928"/>
    <w:rsid w:val="410155C4"/>
    <w:rsid w:val="41026B35"/>
    <w:rsid w:val="410F53A3"/>
    <w:rsid w:val="412879B1"/>
    <w:rsid w:val="412F2AF0"/>
    <w:rsid w:val="413F4DCF"/>
    <w:rsid w:val="41481AE8"/>
    <w:rsid w:val="415C53F7"/>
    <w:rsid w:val="417C30C4"/>
    <w:rsid w:val="418557A4"/>
    <w:rsid w:val="418C1319"/>
    <w:rsid w:val="419324FC"/>
    <w:rsid w:val="41AB623A"/>
    <w:rsid w:val="41C002C6"/>
    <w:rsid w:val="41C73335"/>
    <w:rsid w:val="41D35EF7"/>
    <w:rsid w:val="41F14EDE"/>
    <w:rsid w:val="421142DF"/>
    <w:rsid w:val="424D2993"/>
    <w:rsid w:val="425803A2"/>
    <w:rsid w:val="42596474"/>
    <w:rsid w:val="42624854"/>
    <w:rsid w:val="427D0B61"/>
    <w:rsid w:val="42823F1D"/>
    <w:rsid w:val="428827E5"/>
    <w:rsid w:val="429E1A6D"/>
    <w:rsid w:val="42A612B3"/>
    <w:rsid w:val="42B20796"/>
    <w:rsid w:val="42C579EB"/>
    <w:rsid w:val="42C6505E"/>
    <w:rsid w:val="42CE66BF"/>
    <w:rsid w:val="42D264CF"/>
    <w:rsid w:val="42E47FA3"/>
    <w:rsid w:val="42E77A79"/>
    <w:rsid w:val="42E85D24"/>
    <w:rsid w:val="42F030E9"/>
    <w:rsid w:val="42F54C68"/>
    <w:rsid w:val="4329260B"/>
    <w:rsid w:val="43344BA5"/>
    <w:rsid w:val="434B4020"/>
    <w:rsid w:val="43537C8F"/>
    <w:rsid w:val="43560964"/>
    <w:rsid w:val="435C6C43"/>
    <w:rsid w:val="437A2D2B"/>
    <w:rsid w:val="439E007F"/>
    <w:rsid w:val="43C1695B"/>
    <w:rsid w:val="43DE5273"/>
    <w:rsid w:val="43F1090A"/>
    <w:rsid w:val="43F55E37"/>
    <w:rsid w:val="440F3F46"/>
    <w:rsid w:val="444C6FC3"/>
    <w:rsid w:val="44534C8A"/>
    <w:rsid w:val="446A44F0"/>
    <w:rsid w:val="446C2D74"/>
    <w:rsid w:val="446F6056"/>
    <w:rsid w:val="447A08AC"/>
    <w:rsid w:val="447E6886"/>
    <w:rsid w:val="44A14B51"/>
    <w:rsid w:val="44AB71F5"/>
    <w:rsid w:val="44B26467"/>
    <w:rsid w:val="44B5244F"/>
    <w:rsid w:val="44C37254"/>
    <w:rsid w:val="44E8005D"/>
    <w:rsid w:val="44FF711D"/>
    <w:rsid w:val="450C741B"/>
    <w:rsid w:val="451C7D3D"/>
    <w:rsid w:val="453F5D5D"/>
    <w:rsid w:val="454C7DEA"/>
    <w:rsid w:val="45563E18"/>
    <w:rsid w:val="456B0D62"/>
    <w:rsid w:val="45743C2A"/>
    <w:rsid w:val="45823276"/>
    <w:rsid w:val="459070BC"/>
    <w:rsid w:val="45C77130"/>
    <w:rsid w:val="45D009F7"/>
    <w:rsid w:val="45DF172F"/>
    <w:rsid w:val="45ED7F98"/>
    <w:rsid w:val="46177B6F"/>
    <w:rsid w:val="46500769"/>
    <w:rsid w:val="465245CE"/>
    <w:rsid w:val="46614287"/>
    <w:rsid w:val="46662E31"/>
    <w:rsid w:val="4674487E"/>
    <w:rsid w:val="46F01B70"/>
    <w:rsid w:val="47111A8D"/>
    <w:rsid w:val="47174CAF"/>
    <w:rsid w:val="471D6B3C"/>
    <w:rsid w:val="472552CA"/>
    <w:rsid w:val="473B5EB5"/>
    <w:rsid w:val="474E4DA2"/>
    <w:rsid w:val="475E343E"/>
    <w:rsid w:val="4770347F"/>
    <w:rsid w:val="47785BC3"/>
    <w:rsid w:val="47803E9D"/>
    <w:rsid w:val="4787748C"/>
    <w:rsid w:val="47A007AD"/>
    <w:rsid w:val="47D56367"/>
    <w:rsid w:val="48077E3B"/>
    <w:rsid w:val="48505CB1"/>
    <w:rsid w:val="48644BB4"/>
    <w:rsid w:val="488E4FA1"/>
    <w:rsid w:val="48907743"/>
    <w:rsid w:val="4899520F"/>
    <w:rsid w:val="489E1623"/>
    <w:rsid w:val="489E48D8"/>
    <w:rsid w:val="48C20F7C"/>
    <w:rsid w:val="48D40BBB"/>
    <w:rsid w:val="48D44268"/>
    <w:rsid w:val="48EA0490"/>
    <w:rsid w:val="48F905B0"/>
    <w:rsid w:val="49072AF6"/>
    <w:rsid w:val="49097AC4"/>
    <w:rsid w:val="491177A4"/>
    <w:rsid w:val="493215D1"/>
    <w:rsid w:val="493B5B9C"/>
    <w:rsid w:val="4945145E"/>
    <w:rsid w:val="49616587"/>
    <w:rsid w:val="49621595"/>
    <w:rsid w:val="496C1724"/>
    <w:rsid w:val="49723BE1"/>
    <w:rsid w:val="497A1A64"/>
    <w:rsid w:val="497B438F"/>
    <w:rsid w:val="49A85843"/>
    <w:rsid w:val="49B926DB"/>
    <w:rsid w:val="49DA4302"/>
    <w:rsid w:val="49DC2C42"/>
    <w:rsid w:val="49E607DB"/>
    <w:rsid w:val="4A0467BF"/>
    <w:rsid w:val="4A0D408C"/>
    <w:rsid w:val="4A133DA0"/>
    <w:rsid w:val="4A207DCB"/>
    <w:rsid w:val="4A3B3DA3"/>
    <w:rsid w:val="4A691CA5"/>
    <w:rsid w:val="4A7613AE"/>
    <w:rsid w:val="4A787320"/>
    <w:rsid w:val="4A80689D"/>
    <w:rsid w:val="4A9F125F"/>
    <w:rsid w:val="4ABA28A7"/>
    <w:rsid w:val="4ABF46E4"/>
    <w:rsid w:val="4ACD2D30"/>
    <w:rsid w:val="4AD164EB"/>
    <w:rsid w:val="4AF857F2"/>
    <w:rsid w:val="4B203C3C"/>
    <w:rsid w:val="4B243848"/>
    <w:rsid w:val="4B4E5319"/>
    <w:rsid w:val="4B652367"/>
    <w:rsid w:val="4B870CF6"/>
    <w:rsid w:val="4B8C38AF"/>
    <w:rsid w:val="4B9A063C"/>
    <w:rsid w:val="4BB76656"/>
    <w:rsid w:val="4BE83568"/>
    <w:rsid w:val="4BEA6229"/>
    <w:rsid w:val="4BED70D4"/>
    <w:rsid w:val="4BEF428B"/>
    <w:rsid w:val="4C1D4AE7"/>
    <w:rsid w:val="4C4703D0"/>
    <w:rsid w:val="4C4A40F0"/>
    <w:rsid w:val="4C652B60"/>
    <w:rsid w:val="4C7D5539"/>
    <w:rsid w:val="4CA422DD"/>
    <w:rsid w:val="4CBC4830"/>
    <w:rsid w:val="4CCA6149"/>
    <w:rsid w:val="4CDE4B2B"/>
    <w:rsid w:val="4CE15997"/>
    <w:rsid w:val="4CE26411"/>
    <w:rsid w:val="4CE702F8"/>
    <w:rsid w:val="4CEF2847"/>
    <w:rsid w:val="4D0278FB"/>
    <w:rsid w:val="4D0609C8"/>
    <w:rsid w:val="4D394AFA"/>
    <w:rsid w:val="4D4B2530"/>
    <w:rsid w:val="4D4F3B65"/>
    <w:rsid w:val="4D53466B"/>
    <w:rsid w:val="4D577BB0"/>
    <w:rsid w:val="4D6436AB"/>
    <w:rsid w:val="4D754257"/>
    <w:rsid w:val="4D771E2F"/>
    <w:rsid w:val="4D7A1003"/>
    <w:rsid w:val="4DA111EA"/>
    <w:rsid w:val="4DA87A98"/>
    <w:rsid w:val="4DAA6CFC"/>
    <w:rsid w:val="4DB60F8B"/>
    <w:rsid w:val="4DCD65C7"/>
    <w:rsid w:val="4DD74506"/>
    <w:rsid w:val="4DFC6C93"/>
    <w:rsid w:val="4E06199D"/>
    <w:rsid w:val="4E2E5F05"/>
    <w:rsid w:val="4E4A17FE"/>
    <w:rsid w:val="4E4A3A49"/>
    <w:rsid w:val="4E790795"/>
    <w:rsid w:val="4EA12406"/>
    <w:rsid w:val="4EA60A6C"/>
    <w:rsid w:val="4F134E42"/>
    <w:rsid w:val="4F495F61"/>
    <w:rsid w:val="4F5A7EAF"/>
    <w:rsid w:val="4F6B59C1"/>
    <w:rsid w:val="4F745E94"/>
    <w:rsid w:val="4F7C2F76"/>
    <w:rsid w:val="4FA97F89"/>
    <w:rsid w:val="4FB768BC"/>
    <w:rsid w:val="4FD3240F"/>
    <w:rsid w:val="4FD8502E"/>
    <w:rsid w:val="4FDB3F44"/>
    <w:rsid w:val="4FE11744"/>
    <w:rsid w:val="4FF268C9"/>
    <w:rsid w:val="50002F5D"/>
    <w:rsid w:val="50040ACC"/>
    <w:rsid w:val="500B0F52"/>
    <w:rsid w:val="50243EE4"/>
    <w:rsid w:val="5035447A"/>
    <w:rsid w:val="504D574C"/>
    <w:rsid w:val="505C7995"/>
    <w:rsid w:val="50AE5F6C"/>
    <w:rsid w:val="50B92654"/>
    <w:rsid w:val="50C17D30"/>
    <w:rsid w:val="50C968ED"/>
    <w:rsid w:val="50CC6933"/>
    <w:rsid w:val="50DF48D0"/>
    <w:rsid w:val="50E336C1"/>
    <w:rsid w:val="50F60412"/>
    <w:rsid w:val="50FD3B06"/>
    <w:rsid w:val="510231EE"/>
    <w:rsid w:val="510870A5"/>
    <w:rsid w:val="512A58AF"/>
    <w:rsid w:val="5131385A"/>
    <w:rsid w:val="513D74D3"/>
    <w:rsid w:val="515204D9"/>
    <w:rsid w:val="5180403B"/>
    <w:rsid w:val="519E7AB9"/>
    <w:rsid w:val="51BB460D"/>
    <w:rsid w:val="51F87BF2"/>
    <w:rsid w:val="520560C7"/>
    <w:rsid w:val="520922DF"/>
    <w:rsid w:val="520C5E29"/>
    <w:rsid w:val="521A79C7"/>
    <w:rsid w:val="521D4799"/>
    <w:rsid w:val="52241311"/>
    <w:rsid w:val="52265EA2"/>
    <w:rsid w:val="522B2005"/>
    <w:rsid w:val="522E4B76"/>
    <w:rsid w:val="523B1D66"/>
    <w:rsid w:val="525C4A73"/>
    <w:rsid w:val="526B5AC6"/>
    <w:rsid w:val="52720F27"/>
    <w:rsid w:val="52852177"/>
    <w:rsid w:val="528B4E85"/>
    <w:rsid w:val="529C1A7A"/>
    <w:rsid w:val="52D64D77"/>
    <w:rsid w:val="52E15AA0"/>
    <w:rsid w:val="530D60FE"/>
    <w:rsid w:val="53305DD7"/>
    <w:rsid w:val="5359794D"/>
    <w:rsid w:val="53867DA9"/>
    <w:rsid w:val="53886660"/>
    <w:rsid w:val="53984C0E"/>
    <w:rsid w:val="5398581F"/>
    <w:rsid w:val="53A773E3"/>
    <w:rsid w:val="53C14802"/>
    <w:rsid w:val="54015A2E"/>
    <w:rsid w:val="541E5485"/>
    <w:rsid w:val="54240D4E"/>
    <w:rsid w:val="542D58C4"/>
    <w:rsid w:val="54332F77"/>
    <w:rsid w:val="54684D4C"/>
    <w:rsid w:val="547E16F4"/>
    <w:rsid w:val="54920645"/>
    <w:rsid w:val="54C46867"/>
    <w:rsid w:val="54EC38D0"/>
    <w:rsid w:val="55040DFA"/>
    <w:rsid w:val="5515342A"/>
    <w:rsid w:val="551E5B6E"/>
    <w:rsid w:val="553D3763"/>
    <w:rsid w:val="553E189E"/>
    <w:rsid w:val="55652076"/>
    <w:rsid w:val="55725B9A"/>
    <w:rsid w:val="558F1AEB"/>
    <w:rsid w:val="55A7136A"/>
    <w:rsid w:val="55C11387"/>
    <w:rsid w:val="55C86265"/>
    <w:rsid w:val="55FD4C77"/>
    <w:rsid w:val="560A2A09"/>
    <w:rsid w:val="561E51D5"/>
    <w:rsid w:val="562F0074"/>
    <w:rsid w:val="563B4F82"/>
    <w:rsid w:val="56523368"/>
    <w:rsid w:val="567468E6"/>
    <w:rsid w:val="56764CD1"/>
    <w:rsid w:val="56954007"/>
    <w:rsid w:val="56A6020D"/>
    <w:rsid w:val="56B63492"/>
    <w:rsid w:val="56F426B7"/>
    <w:rsid w:val="56F5234A"/>
    <w:rsid w:val="56F66F1E"/>
    <w:rsid w:val="56FE1C76"/>
    <w:rsid w:val="574A02E3"/>
    <w:rsid w:val="5754748A"/>
    <w:rsid w:val="576E416E"/>
    <w:rsid w:val="57730A07"/>
    <w:rsid w:val="57733075"/>
    <w:rsid w:val="5774279D"/>
    <w:rsid w:val="57840BAD"/>
    <w:rsid w:val="57937030"/>
    <w:rsid w:val="579B7686"/>
    <w:rsid w:val="579F27C9"/>
    <w:rsid w:val="57AD6F30"/>
    <w:rsid w:val="57BA3E16"/>
    <w:rsid w:val="57C64072"/>
    <w:rsid w:val="57CE64A5"/>
    <w:rsid w:val="57E50D11"/>
    <w:rsid w:val="57EF1091"/>
    <w:rsid w:val="580E669C"/>
    <w:rsid w:val="58157A42"/>
    <w:rsid w:val="582407E1"/>
    <w:rsid w:val="582D6622"/>
    <w:rsid w:val="58336238"/>
    <w:rsid w:val="583628E4"/>
    <w:rsid w:val="58404F0E"/>
    <w:rsid w:val="584667E1"/>
    <w:rsid w:val="5858376B"/>
    <w:rsid w:val="58756D68"/>
    <w:rsid w:val="58947DC1"/>
    <w:rsid w:val="589A0896"/>
    <w:rsid w:val="589A111B"/>
    <w:rsid w:val="58A65EFF"/>
    <w:rsid w:val="58B60F3E"/>
    <w:rsid w:val="58C4462C"/>
    <w:rsid w:val="58E17E0C"/>
    <w:rsid w:val="58FF6193"/>
    <w:rsid w:val="591A4615"/>
    <w:rsid w:val="593037D7"/>
    <w:rsid w:val="593B4206"/>
    <w:rsid w:val="594C136A"/>
    <w:rsid w:val="594E70AA"/>
    <w:rsid w:val="596A56C5"/>
    <w:rsid w:val="59792F63"/>
    <w:rsid w:val="598A13F7"/>
    <w:rsid w:val="59CF6768"/>
    <w:rsid w:val="5A0068EF"/>
    <w:rsid w:val="5A3A1A3E"/>
    <w:rsid w:val="5A4B0F21"/>
    <w:rsid w:val="5A860095"/>
    <w:rsid w:val="5AC17466"/>
    <w:rsid w:val="5ADB5A08"/>
    <w:rsid w:val="5AFA0D10"/>
    <w:rsid w:val="5B155AC7"/>
    <w:rsid w:val="5B2339B6"/>
    <w:rsid w:val="5B2E24DB"/>
    <w:rsid w:val="5B34012D"/>
    <w:rsid w:val="5B3C7B0B"/>
    <w:rsid w:val="5B57121F"/>
    <w:rsid w:val="5B666884"/>
    <w:rsid w:val="5B6741B7"/>
    <w:rsid w:val="5B7E543C"/>
    <w:rsid w:val="5BB455CE"/>
    <w:rsid w:val="5BE36171"/>
    <w:rsid w:val="5C1C0D68"/>
    <w:rsid w:val="5C216AB1"/>
    <w:rsid w:val="5C35568E"/>
    <w:rsid w:val="5C3C52D9"/>
    <w:rsid w:val="5C3E5082"/>
    <w:rsid w:val="5C542393"/>
    <w:rsid w:val="5C6D42AC"/>
    <w:rsid w:val="5C756B94"/>
    <w:rsid w:val="5C925A06"/>
    <w:rsid w:val="5CC0378C"/>
    <w:rsid w:val="5CC21641"/>
    <w:rsid w:val="5CD268D5"/>
    <w:rsid w:val="5CDB1CF1"/>
    <w:rsid w:val="5CEC60DD"/>
    <w:rsid w:val="5CFD34A0"/>
    <w:rsid w:val="5D0D645E"/>
    <w:rsid w:val="5D0F1FBD"/>
    <w:rsid w:val="5D432B9D"/>
    <w:rsid w:val="5D555E71"/>
    <w:rsid w:val="5D8250C1"/>
    <w:rsid w:val="5D8C35DC"/>
    <w:rsid w:val="5D8F530F"/>
    <w:rsid w:val="5D9D0A40"/>
    <w:rsid w:val="5DE65E75"/>
    <w:rsid w:val="5DED4785"/>
    <w:rsid w:val="5E0A5E3C"/>
    <w:rsid w:val="5E126E64"/>
    <w:rsid w:val="5E16521D"/>
    <w:rsid w:val="5E1F5076"/>
    <w:rsid w:val="5E425C24"/>
    <w:rsid w:val="5E5C14D6"/>
    <w:rsid w:val="5E5D3B1F"/>
    <w:rsid w:val="5E716BE3"/>
    <w:rsid w:val="5E7E0070"/>
    <w:rsid w:val="5E7F2D23"/>
    <w:rsid w:val="5E856373"/>
    <w:rsid w:val="5EA0641D"/>
    <w:rsid w:val="5ECA041C"/>
    <w:rsid w:val="5EDD6FC7"/>
    <w:rsid w:val="5F190E71"/>
    <w:rsid w:val="5F25121F"/>
    <w:rsid w:val="5F340502"/>
    <w:rsid w:val="5F345830"/>
    <w:rsid w:val="5F431E94"/>
    <w:rsid w:val="5F754B41"/>
    <w:rsid w:val="5F84396A"/>
    <w:rsid w:val="5F920B3C"/>
    <w:rsid w:val="5F9F508B"/>
    <w:rsid w:val="5FBA56E2"/>
    <w:rsid w:val="5FBC760F"/>
    <w:rsid w:val="5FEF24AC"/>
    <w:rsid w:val="60072626"/>
    <w:rsid w:val="600D3CBE"/>
    <w:rsid w:val="602F3C38"/>
    <w:rsid w:val="60312338"/>
    <w:rsid w:val="604629C2"/>
    <w:rsid w:val="606F3F40"/>
    <w:rsid w:val="60933A68"/>
    <w:rsid w:val="60B1780B"/>
    <w:rsid w:val="60B37B87"/>
    <w:rsid w:val="60B90967"/>
    <w:rsid w:val="60C070EC"/>
    <w:rsid w:val="60DC08EA"/>
    <w:rsid w:val="60E32B91"/>
    <w:rsid w:val="60F33A68"/>
    <w:rsid w:val="60F366D3"/>
    <w:rsid w:val="60FA3426"/>
    <w:rsid w:val="60FB1193"/>
    <w:rsid w:val="610B12CE"/>
    <w:rsid w:val="610C0686"/>
    <w:rsid w:val="6115783F"/>
    <w:rsid w:val="611C5222"/>
    <w:rsid w:val="612B495E"/>
    <w:rsid w:val="61442DE8"/>
    <w:rsid w:val="615A6A60"/>
    <w:rsid w:val="61720E73"/>
    <w:rsid w:val="6172518A"/>
    <w:rsid w:val="617556F4"/>
    <w:rsid w:val="617B112F"/>
    <w:rsid w:val="619D1FCA"/>
    <w:rsid w:val="61A747B9"/>
    <w:rsid w:val="61D340EB"/>
    <w:rsid w:val="61FE4523"/>
    <w:rsid w:val="620D0127"/>
    <w:rsid w:val="621150EB"/>
    <w:rsid w:val="62150495"/>
    <w:rsid w:val="621C14D3"/>
    <w:rsid w:val="624E53D8"/>
    <w:rsid w:val="62685D90"/>
    <w:rsid w:val="627C6A57"/>
    <w:rsid w:val="6282163B"/>
    <w:rsid w:val="62A560BA"/>
    <w:rsid w:val="62BB4A8A"/>
    <w:rsid w:val="62D961AF"/>
    <w:rsid w:val="62DC4E7F"/>
    <w:rsid w:val="62F53280"/>
    <w:rsid w:val="62FB2300"/>
    <w:rsid w:val="633171C4"/>
    <w:rsid w:val="634B7B8C"/>
    <w:rsid w:val="634E30C4"/>
    <w:rsid w:val="63794270"/>
    <w:rsid w:val="6379558A"/>
    <w:rsid w:val="63A82B64"/>
    <w:rsid w:val="63AA400F"/>
    <w:rsid w:val="63CD51F0"/>
    <w:rsid w:val="640F52B0"/>
    <w:rsid w:val="64352DFD"/>
    <w:rsid w:val="643F0D73"/>
    <w:rsid w:val="644B3B98"/>
    <w:rsid w:val="647F219E"/>
    <w:rsid w:val="64B16DC0"/>
    <w:rsid w:val="64B34FD9"/>
    <w:rsid w:val="650D3739"/>
    <w:rsid w:val="65486294"/>
    <w:rsid w:val="654A6B49"/>
    <w:rsid w:val="657F2F1D"/>
    <w:rsid w:val="659550EE"/>
    <w:rsid w:val="659B5FA0"/>
    <w:rsid w:val="65BE5F27"/>
    <w:rsid w:val="65C42009"/>
    <w:rsid w:val="65CC448B"/>
    <w:rsid w:val="660B02F6"/>
    <w:rsid w:val="660B4DDC"/>
    <w:rsid w:val="662357CC"/>
    <w:rsid w:val="662B539D"/>
    <w:rsid w:val="66303B82"/>
    <w:rsid w:val="66545146"/>
    <w:rsid w:val="6663761E"/>
    <w:rsid w:val="66857FC0"/>
    <w:rsid w:val="669175E1"/>
    <w:rsid w:val="66B10D86"/>
    <w:rsid w:val="66C63E6B"/>
    <w:rsid w:val="66D42EB4"/>
    <w:rsid w:val="66E1404C"/>
    <w:rsid w:val="67065F64"/>
    <w:rsid w:val="670E5B33"/>
    <w:rsid w:val="67121243"/>
    <w:rsid w:val="671C1AF2"/>
    <w:rsid w:val="672B1C98"/>
    <w:rsid w:val="674D0154"/>
    <w:rsid w:val="6758338F"/>
    <w:rsid w:val="675C2222"/>
    <w:rsid w:val="67736535"/>
    <w:rsid w:val="67967F62"/>
    <w:rsid w:val="67BE32A8"/>
    <w:rsid w:val="67BF0CFC"/>
    <w:rsid w:val="67C62527"/>
    <w:rsid w:val="67FD5E50"/>
    <w:rsid w:val="67FD6F7B"/>
    <w:rsid w:val="6800466E"/>
    <w:rsid w:val="68167B6C"/>
    <w:rsid w:val="68282AFD"/>
    <w:rsid w:val="682B444D"/>
    <w:rsid w:val="68310FB9"/>
    <w:rsid w:val="685C27C8"/>
    <w:rsid w:val="68602F24"/>
    <w:rsid w:val="687C5593"/>
    <w:rsid w:val="68840C5B"/>
    <w:rsid w:val="689B17F9"/>
    <w:rsid w:val="689D4409"/>
    <w:rsid w:val="68AC0A53"/>
    <w:rsid w:val="68CB4AE9"/>
    <w:rsid w:val="68EA5D9E"/>
    <w:rsid w:val="68EB4C1B"/>
    <w:rsid w:val="6905033C"/>
    <w:rsid w:val="69666A45"/>
    <w:rsid w:val="69750540"/>
    <w:rsid w:val="69776F4F"/>
    <w:rsid w:val="6979621A"/>
    <w:rsid w:val="69B630C3"/>
    <w:rsid w:val="69BC5A33"/>
    <w:rsid w:val="69E82D83"/>
    <w:rsid w:val="69FA4FBA"/>
    <w:rsid w:val="6A104C8E"/>
    <w:rsid w:val="6A1865E4"/>
    <w:rsid w:val="6A1C76EA"/>
    <w:rsid w:val="6A430D88"/>
    <w:rsid w:val="6A4C3825"/>
    <w:rsid w:val="6A6A1C84"/>
    <w:rsid w:val="6A8B7E5B"/>
    <w:rsid w:val="6A8F4287"/>
    <w:rsid w:val="6AA6423E"/>
    <w:rsid w:val="6AD20FA6"/>
    <w:rsid w:val="6AD246EE"/>
    <w:rsid w:val="6AD36A47"/>
    <w:rsid w:val="6AD466B8"/>
    <w:rsid w:val="6AEB7E61"/>
    <w:rsid w:val="6AF14C36"/>
    <w:rsid w:val="6B0060CB"/>
    <w:rsid w:val="6B0C74AF"/>
    <w:rsid w:val="6B0E7C9C"/>
    <w:rsid w:val="6B6C44A9"/>
    <w:rsid w:val="6B7A68B1"/>
    <w:rsid w:val="6B96385D"/>
    <w:rsid w:val="6BE05416"/>
    <w:rsid w:val="6BF674EE"/>
    <w:rsid w:val="6C00225D"/>
    <w:rsid w:val="6C0734B1"/>
    <w:rsid w:val="6C126437"/>
    <w:rsid w:val="6C2F29D1"/>
    <w:rsid w:val="6C4A44A4"/>
    <w:rsid w:val="6C666467"/>
    <w:rsid w:val="6C7757EE"/>
    <w:rsid w:val="6C8F3349"/>
    <w:rsid w:val="6CB66B46"/>
    <w:rsid w:val="6CC74983"/>
    <w:rsid w:val="6CCF5F02"/>
    <w:rsid w:val="6CF348FC"/>
    <w:rsid w:val="6CF77D6F"/>
    <w:rsid w:val="6D394241"/>
    <w:rsid w:val="6D5E78E4"/>
    <w:rsid w:val="6D673A8B"/>
    <w:rsid w:val="6D79502A"/>
    <w:rsid w:val="6D991CDC"/>
    <w:rsid w:val="6DC673C7"/>
    <w:rsid w:val="6DCE2536"/>
    <w:rsid w:val="6DFF6821"/>
    <w:rsid w:val="6E027C29"/>
    <w:rsid w:val="6E11312C"/>
    <w:rsid w:val="6E2A1440"/>
    <w:rsid w:val="6E2A74F4"/>
    <w:rsid w:val="6E2F5B15"/>
    <w:rsid w:val="6E5F4023"/>
    <w:rsid w:val="6E7004A6"/>
    <w:rsid w:val="6E892A4C"/>
    <w:rsid w:val="6E8F3321"/>
    <w:rsid w:val="6E981A87"/>
    <w:rsid w:val="6EAD3813"/>
    <w:rsid w:val="6EAF6475"/>
    <w:rsid w:val="6EB135F3"/>
    <w:rsid w:val="6EB5514D"/>
    <w:rsid w:val="6EDA19C8"/>
    <w:rsid w:val="6EF12FB0"/>
    <w:rsid w:val="6F185507"/>
    <w:rsid w:val="6F3B6E8A"/>
    <w:rsid w:val="6F415050"/>
    <w:rsid w:val="6F4337AA"/>
    <w:rsid w:val="6F462120"/>
    <w:rsid w:val="6F6124E5"/>
    <w:rsid w:val="6F62294C"/>
    <w:rsid w:val="6F773AB6"/>
    <w:rsid w:val="6F9D6C9E"/>
    <w:rsid w:val="6FDC02C7"/>
    <w:rsid w:val="6FE2091C"/>
    <w:rsid w:val="6FE239D0"/>
    <w:rsid w:val="6FE705E9"/>
    <w:rsid w:val="6FEF71CB"/>
    <w:rsid w:val="700233B3"/>
    <w:rsid w:val="703A3E70"/>
    <w:rsid w:val="708D21E6"/>
    <w:rsid w:val="70D42CC7"/>
    <w:rsid w:val="70E004F0"/>
    <w:rsid w:val="70E02DBE"/>
    <w:rsid w:val="70E31978"/>
    <w:rsid w:val="71134CC2"/>
    <w:rsid w:val="714F6012"/>
    <w:rsid w:val="719D6F5E"/>
    <w:rsid w:val="71A5590F"/>
    <w:rsid w:val="71AC0970"/>
    <w:rsid w:val="71C94EE6"/>
    <w:rsid w:val="71EB3D82"/>
    <w:rsid w:val="71FF1ED9"/>
    <w:rsid w:val="720750EC"/>
    <w:rsid w:val="720D20CB"/>
    <w:rsid w:val="723571EE"/>
    <w:rsid w:val="726D00C7"/>
    <w:rsid w:val="72726244"/>
    <w:rsid w:val="72734430"/>
    <w:rsid w:val="7274642D"/>
    <w:rsid w:val="72781D81"/>
    <w:rsid w:val="728553D1"/>
    <w:rsid w:val="72CE52BA"/>
    <w:rsid w:val="72D54A84"/>
    <w:rsid w:val="730262D3"/>
    <w:rsid w:val="73027196"/>
    <w:rsid w:val="73130968"/>
    <w:rsid w:val="73166D4F"/>
    <w:rsid w:val="73641A79"/>
    <w:rsid w:val="736616D6"/>
    <w:rsid w:val="736775EC"/>
    <w:rsid w:val="73765C48"/>
    <w:rsid w:val="737C1488"/>
    <w:rsid w:val="73836C45"/>
    <w:rsid w:val="738427E5"/>
    <w:rsid w:val="738A4134"/>
    <w:rsid w:val="738B040D"/>
    <w:rsid w:val="73A73D53"/>
    <w:rsid w:val="73FA0CF0"/>
    <w:rsid w:val="74054864"/>
    <w:rsid w:val="740F30AF"/>
    <w:rsid w:val="74296210"/>
    <w:rsid w:val="74B53AF5"/>
    <w:rsid w:val="74DAECBC"/>
    <w:rsid w:val="750F1866"/>
    <w:rsid w:val="750F30B3"/>
    <w:rsid w:val="751936E0"/>
    <w:rsid w:val="752E442D"/>
    <w:rsid w:val="755A3E67"/>
    <w:rsid w:val="755C6355"/>
    <w:rsid w:val="755E741F"/>
    <w:rsid w:val="75775186"/>
    <w:rsid w:val="7581126C"/>
    <w:rsid w:val="75884369"/>
    <w:rsid w:val="75BE6072"/>
    <w:rsid w:val="75C701DA"/>
    <w:rsid w:val="75CF4443"/>
    <w:rsid w:val="75E13654"/>
    <w:rsid w:val="76117CB8"/>
    <w:rsid w:val="761D2CD5"/>
    <w:rsid w:val="761F0019"/>
    <w:rsid w:val="76A20C43"/>
    <w:rsid w:val="76A82338"/>
    <w:rsid w:val="76CF5194"/>
    <w:rsid w:val="76DA690B"/>
    <w:rsid w:val="76DB4C85"/>
    <w:rsid w:val="76EC7413"/>
    <w:rsid w:val="77276F4C"/>
    <w:rsid w:val="77394E6F"/>
    <w:rsid w:val="774042F4"/>
    <w:rsid w:val="7752445D"/>
    <w:rsid w:val="77791CF8"/>
    <w:rsid w:val="77971897"/>
    <w:rsid w:val="77D61FD8"/>
    <w:rsid w:val="77E84519"/>
    <w:rsid w:val="77F00B20"/>
    <w:rsid w:val="77F52A8F"/>
    <w:rsid w:val="78101C28"/>
    <w:rsid w:val="781425A1"/>
    <w:rsid w:val="781543F2"/>
    <w:rsid w:val="78290961"/>
    <w:rsid w:val="782A1479"/>
    <w:rsid w:val="783915DA"/>
    <w:rsid w:val="786E0213"/>
    <w:rsid w:val="787355E5"/>
    <w:rsid w:val="787946F0"/>
    <w:rsid w:val="7882546F"/>
    <w:rsid w:val="78C577F7"/>
    <w:rsid w:val="78C77F38"/>
    <w:rsid w:val="78EA3B70"/>
    <w:rsid w:val="7927293A"/>
    <w:rsid w:val="795225D2"/>
    <w:rsid w:val="79601DC2"/>
    <w:rsid w:val="79646E59"/>
    <w:rsid w:val="799D013D"/>
    <w:rsid w:val="79A1530E"/>
    <w:rsid w:val="79A715EF"/>
    <w:rsid w:val="79B37197"/>
    <w:rsid w:val="79B835CF"/>
    <w:rsid w:val="79CB4A87"/>
    <w:rsid w:val="79D66006"/>
    <w:rsid w:val="79DA621C"/>
    <w:rsid w:val="79EB5B59"/>
    <w:rsid w:val="7A1E7C53"/>
    <w:rsid w:val="7A513882"/>
    <w:rsid w:val="7A6A528C"/>
    <w:rsid w:val="7A786C85"/>
    <w:rsid w:val="7A7B930D"/>
    <w:rsid w:val="7A807F8F"/>
    <w:rsid w:val="7A8D7ABD"/>
    <w:rsid w:val="7A9E51A5"/>
    <w:rsid w:val="7ABED9CD"/>
    <w:rsid w:val="7ACC592C"/>
    <w:rsid w:val="7AD4799A"/>
    <w:rsid w:val="7B191DB6"/>
    <w:rsid w:val="7B390C2A"/>
    <w:rsid w:val="7B3E5BFF"/>
    <w:rsid w:val="7B4331FD"/>
    <w:rsid w:val="7B5B2A77"/>
    <w:rsid w:val="7B6034C9"/>
    <w:rsid w:val="7B655ADF"/>
    <w:rsid w:val="7B750610"/>
    <w:rsid w:val="7B8A7E7A"/>
    <w:rsid w:val="7B8B6044"/>
    <w:rsid w:val="7B953DDF"/>
    <w:rsid w:val="7BA56C05"/>
    <w:rsid w:val="7BC12CFF"/>
    <w:rsid w:val="7BF7779C"/>
    <w:rsid w:val="7C1F16B1"/>
    <w:rsid w:val="7C4A057A"/>
    <w:rsid w:val="7C531587"/>
    <w:rsid w:val="7C986AE3"/>
    <w:rsid w:val="7C992388"/>
    <w:rsid w:val="7CCE101F"/>
    <w:rsid w:val="7CCF7D6D"/>
    <w:rsid w:val="7CDF626C"/>
    <w:rsid w:val="7D006062"/>
    <w:rsid w:val="7D3878EF"/>
    <w:rsid w:val="7D4A0E9A"/>
    <w:rsid w:val="7D5261D8"/>
    <w:rsid w:val="7D5326AB"/>
    <w:rsid w:val="7D6177FA"/>
    <w:rsid w:val="7D664DD6"/>
    <w:rsid w:val="7D722875"/>
    <w:rsid w:val="7D882B5F"/>
    <w:rsid w:val="7DA83736"/>
    <w:rsid w:val="7DCE5754"/>
    <w:rsid w:val="7DE002B8"/>
    <w:rsid w:val="7DF943C5"/>
    <w:rsid w:val="7E0856D3"/>
    <w:rsid w:val="7E4F1A2D"/>
    <w:rsid w:val="7EA151FE"/>
    <w:rsid w:val="7EB663A9"/>
    <w:rsid w:val="7EEDAAC5"/>
    <w:rsid w:val="7EF47CC3"/>
    <w:rsid w:val="7EFD790E"/>
    <w:rsid w:val="7F042FF7"/>
    <w:rsid w:val="7F0C3AEA"/>
    <w:rsid w:val="7F7B455F"/>
    <w:rsid w:val="7F7D45B6"/>
    <w:rsid w:val="7F7DA897"/>
    <w:rsid w:val="7F8A7F3D"/>
    <w:rsid w:val="7FA07A82"/>
    <w:rsid w:val="7FA92F90"/>
    <w:rsid w:val="7FBE348A"/>
    <w:rsid w:val="7FBF19CE"/>
    <w:rsid w:val="7FD74E94"/>
    <w:rsid w:val="7FF20C9A"/>
    <w:rsid w:val="7FF21C54"/>
    <w:rsid w:val="7FF30976"/>
    <w:rsid w:val="7FF76A8B"/>
    <w:rsid w:val="7FFD0F1C"/>
    <w:rsid w:val="7FFF06B0"/>
    <w:rsid w:val="99E9D32A"/>
    <w:rsid w:val="9F6B57A4"/>
    <w:rsid w:val="BDBB130A"/>
    <w:rsid w:val="BDFF2C47"/>
    <w:rsid w:val="C6FFF0CA"/>
    <w:rsid w:val="CFF53263"/>
    <w:rsid w:val="DFBF4B2E"/>
    <w:rsid w:val="EFE9D9DE"/>
    <w:rsid w:val="F6EBF8E7"/>
    <w:rsid w:val="F79B3AD6"/>
    <w:rsid w:val="FBD74D8F"/>
    <w:rsid w:val="FDA8A7B4"/>
    <w:rsid w:val="FFF5E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0" w:name="annotation reference"/>
    <w:lsdException w:qFormat="1" w:uiPriority="99" w:name="line number"/>
    <w:lsdException w:qFormat="1" w:unhideWhenUsed="0" w:uiPriority="0" w:semiHidden="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uiPriority="1" w:name="Default Paragraph Font"/>
    <w:lsdException w:qFormat="1" w:uiPriority="1" w:semiHidden="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semiHidden="0"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semiHidden="0" w:name="Body Text Indent 2"/>
    <w:lsdException w:qFormat="1" w:uiPriority="99" w:name="Body Text Indent 3"/>
    <w:lsdException w:qFormat="1"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name="Plain Text"/>
    <w:lsdException w:qFormat="1" w:uiPriority="99"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0" w:name="HTML Preformatted"/>
    <w:lsdException w:qFormat="1" w:unhideWhenUsed="0" w:uiPriority="99" w:semiHidden="0" w:name="HTML Sample"/>
    <w:lsdException w:qFormat="1" w:unhideWhenUsed="0" w:uiPriority="0" w:name="HTML Typewriter"/>
    <w:lsdException w:qFormat="1" w:unhideWhenUsed="0" w:uiPriority="0" w:name="HTML Variable"/>
    <w:lsdException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semiHidden="0" w:name="Balloon Text"/>
    <w:lsdException w:qFormat="1" w:unhideWhenUsed="0" w:uiPriority="0"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28"/>
    <w:qFormat/>
    <w:uiPriority w:val="0"/>
    <w:pPr>
      <w:keepNext/>
      <w:keepLines/>
      <w:spacing w:before="260" w:after="260" w:line="416" w:lineRule="auto"/>
      <w:outlineLvl w:val="2"/>
    </w:pPr>
    <w:rPr>
      <w:b/>
      <w:bCs/>
      <w:sz w:val="32"/>
      <w:szCs w:val="32"/>
    </w:rPr>
  </w:style>
  <w:style w:type="paragraph" w:styleId="6">
    <w:name w:val="heading 4"/>
    <w:basedOn w:val="1"/>
    <w:next w:val="1"/>
    <w:link w:val="53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357"/>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next w:val="1"/>
    <w:semiHidden/>
    <w:qFormat/>
    <w:uiPriority w:val="0"/>
    <w:pPr>
      <w:ind w:left="500" w:leftChars="500"/>
    </w:pPr>
  </w:style>
  <w:style w:type="paragraph" w:styleId="14">
    <w:name w:val="toc 6"/>
    <w:basedOn w:val="15"/>
    <w:next w:val="1"/>
    <w:semiHidden/>
    <w:qFormat/>
    <w:uiPriority w:val="0"/>
    <w:pPr>
      <w:ind w:left="400" w:leftChars="400"/>
    </w:pPr>
  </w:style>
  <w:style w:type="paragraph" w:styleId="15">
    <w:name w:val="toc 5"/>
    <w:basedOn w:val="16"/>
    <w:next w:val="1"/>
    <w:semiHidden/>
    <w:qFormat/>
    <w:uiPriority w:val="0"/>
    <w:pPr>
      <w:ind w:left="300" w:leftChars="300"/>
    </w:pPr>
  </w:style>
  <w:style w:type="paragraph" w:styleId="16">
    <w:name w:val="toc 4"/>
    <w:basedOn w:val="17"/>
    <w:next w:val="1"/>
    <w:semiHidden/>
    <w:qFormat/>
    <w:uiPriority w:val="0"/>
    <w:pPr>
      <w:ind w:left="200" w:leftChars="200"/>
    </w:pPr>
  </w:style>
  <w:style w:type="paragraph" w:styleId="17">
    <w:name w:val="toc 3"/>
    <w:basedOn w:val="18"/>
    <w:next w:val="1"/>
    <w:qFormat/>
    <w:uiPriority w:val="39"/>
    <w:pPr>
      <w:ind w:left="100" w:leftChars="100"/>
    </w:pPr>
  </w:style>
  <w:style w:type="paragraph" w:styleId="18">
    <w:name w:val="toc 2"/>
    <w:basedOn w:val="19"/>
    <w:next w:val="1"/>
    <w:qFormat/>
    <w:uiPriority w:val="39"/>
  </w:style>
  <w:style w:type="paragraph" w:styleId="19">
    <w:name w:val="toc 1"/>
    <w:basedOn w:val="1"/>
    <w:next w:val="1"/>
    <w:qFormat/>
    <w:uiPriority w:val="39"/>
    <w:pPr>
      <w:spacing w:before="25" w:beforeLines="25" w:after="25" w:afterLines="25"/>
    </w:pPr>
    <w:rPr>
      <w:rFonts w:ascii="宋体"/>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89"/>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5"/>
    <w:semiHidden/>
    <w:unhideWhenUsed/>
    <w:qFormat/>
    <w:uiPriority w:val="99"/>
  </w:style>
  <w:style w:type="paragraph" w:styleId="26">
    <w:name w:val="List Number"/>
    <w:basedOn w:val="1"/>
    <w:semiHidden/>
    <w:unhideWhenUsed/>
    <w:qFormat/>
    <w:uiPriority w:val="99"/>
    <w:pPr>
      <w:tabs>
        <w:tab w:val="left" w:pos="360"/>
      </w:tabs>
      <w:ind w:left="360" w:hanging="360" w:hangingChars="200"/>
      <w:contextualSpacing/>
    </w:pPr>
  </w:style>
  <w:style w:type="paragraph" w:styleId="27">
    <w:name w:val="Normal Indent"/>
    <w:basedOn w:val="1"/>
    <w:unhideWhenUsed/>
    <w:qFormat/>
    <w:uiPriority w:val="0"/>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3"/>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1"/>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5"/>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3"/>
    <w:semiHidden/>
    <w:unhideWhenUsed/>
    <w:qFormat/>
    <w:uiPriority w:val="99"/>
  </w:style>
  <w:style w:type="paragraph" w:styleId="37">
    <w:name w:val="Body Text 3"/>
    <w:basedOn w:val="1"/>
    <w:link w:val="486"/>
    <w:semiHidden/>
    <w:unhideWhenUsed/>
    <w:qFormat/>
    <w:uiPriority w:val="99"/>
    <w:pPr>
      <w:spacing w:after="120"/>
    </w:pPr>
    <w:rPr>
      <w:sz w:val="16"/>
      <w:szCs w:val="16"/>
    </w:rPr>
  </w:style>
  <w:style w:type="paragraph" w:styleId="38">
    <w:name w:val="Closing"/>
    <w:basedOn w:val="1"/>
    <w:link w:val="358"/>
    <w:semiHidden/>
    <w:unhideWhenUsed/>
    <w:qFormat/>
    <w:uiPriority w:val="99"/>
    <w:pPr>
      <w:ind w:left="100" w:leftChars="2100"/>
    </w:pPr>
  </w:style>
  <w:style w:type="paragraph" w:styleId="39">
    <w:name w:val="List Bullet 3"/>
    <w:basedOn w:val="1"/>
    <w:semiHidden/>
    <w:unhideWhenUsed/>
    <w:qFormat/>
    <w:uiPriority w:val="99"/>
    <w:pPr>
      <w:numPr>
        <w:ilvl w:val="0"/>
        <w:numId w:val="4"/>
      </w:numPr>
      <w:contextualSpacing/>
    </w:pPr>
  </w:style>
  <w:style w:type="paragraph" w:styleId="40">
    <w:name w:val="Body Text"/>
    <w:basedOn w:val="1"/>
    <w:link w:val="332"/>
    <w:unhideWhenUsed/>
    <w:qFormat/>
    <w:uiPriority w:val="1"/>
    <w:pPr>
      <w:spacing w:after="120"/>
    </w:pPr>
  </w:style>
  <w:style w:type="paragraph" w:styleId="41">
    <w:name w:val="Body Text Indent"/>
    <w:basedOn w:val="1"/>
    <w:link w:val="483"/>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5"/>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tabs>
        <w:tab w:val="left" w:pos="780"/>
      </w:tabs>
      <w:ind w:left="780" w:leftChars="200" w:hanging="360" w:hangingChars="200"/>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4"/>
    <w:semiHidden/>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6"/>
      </w:numPr>
      <w:contextualSpacing/>
    </w:pPr>
  </w:style>
  <w:style w:type="paragraph" w:styleId="51">
    <w:name w:val="List Number 4"/>
    <w:basedOn w:val="1"/>
    <w:semiHidden/>
    <w:unhideWhenUsed/>
    <w:qFormat/>
    <w:uiPriority w:val="99"/>
    <w:pPr>
      <w:numPr>
        <w:ilvl w:val="0"/>
        <w:numId w:val="7"/>
      </w:numPr>
      <w:contextualSpacing/>
    </w:pPr>
  </w:style>
  <w:style w:type="paragraph" w:styleId="52">
    <w:name w:val="toc 8"/>
    <w:basedOn w:val="13"/>
    <w:next w:val="1"/>
    <w:semiHidden/>
    <w:qFormat/>
    <w:uiPriority w:val="0"/>
  </w:style>
  <w:style w:type="paragraph" w:styleId="53">
    <w:name w:val="index 3"/>
    <w:basedOn w:val="1"/>
    <w:next w:val="1"/>
    <w:semiHidden/>
    <w:unhideWhenUsed/>
    <w:qFormat/>
    <w:uiPriority w:val="99"/>
    <w:pPr>
      <w:ind w:left="400" w:leftChars="400"/>
    </w:pPr>
  </w:style>
  <w:style w:type="paragraph" w:styleId="54">
    <w:name w:val="Date"/>
    <w:basedOn w:val="1"/>
    <w:next w:val="1"/>
    <w:link w:val="417"/>
    <w:unhideWhenUsed/>
    <w:qFormat/>
    <w:uiPriority w:val="99"/>
    <w:pPr>
      <w:ind w:left="100" w:leftChars="2500"/>
    </w:pPr>
  </w:style>
  <w:style w:type="paragraph" w:styleId="55">
    <w:name w:val="Body Text Indent 2"/>
    <w:basedOn w:val="1"/>
    <w:link w:val="487"/>
    <w:unhideWhenUsed/>
    <w:qFormat/>
    <w:uiPriority w:val="99"/>
    <w:pPr>
      <w:spacing w:after="120" w:line="480" w:lineRule="auto"/>
      <w:ind w:left="420" w:leftChars="200"/>
    </w:pPr>
  </w:style>
  <w:style w:type="paragraph" w:styleId="56">
    <w:name w:val="endnote text"/>
    <w:basedOn w:val="1"/>
    <w:link w:val="470"/>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4"/>
    <w:unhideWhenUsed/>
    <w:qFormat/>
    <w:uiPriority w:val="99"/>
    <w:rPr>
      <w:sz w:val="18"/>
      <w:szCs w:val="18"/>
    </w:rPr>
  </w:style>
  <w:style w:type="paragraph" w:styleId="59">
    <w:name w:val="footer"/>
    <w:basedOn w:val="1"/>
    <w:link w:val="540"/>
    <w:qFormat/>
    <w:uiPriority w:val="99"/>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link w:val="541"/>
    <w:qFormat/>
    <w:uiPriority w:val="99"/>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67"/>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
      <w:bCs/>
    </w:rPr>
  </w:style>
  <w:style w:type="paragraph" w:styleId="65">
    <w:name w:val="index 1"/>
    <w:basedOn w:val="1"/>
    <w:next w:val="1"/>
    <w:semiHidden/>
    <w:unhideWhenUsed/>
    <w:qFormat/>
    <w:uiPriority w:val="99"/>
    <w:rPr>
      <w:rFonts w:asciiTheme="minorEastAsia" w:hAnsiTheme="minorEastAsia"/>
    </w:rPr>
  </w:style>
  <w:style w:type="paragraph" w:styleId="66">
    <w:name w:val="Subtitle"/>
    <w:basedOn w:val="1"/>
    <w:next w:val="1"/>
    <w:link w:val="356"/>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8"/>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88"/>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next w:val="1"/>
    <w:semiHidden/>
    <w:qFormat/>
    <w:uiPriority w:val="0"/>
  </w:style>
  <w:style w:type="paragraph" w:styleId="76">
    <w:name w:val="Body Text 2"/>
    <w:basedOn w:val="1"/>
    <w:link w:val="485"/>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78"/>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6"/>
    <w:semiHidden/>
    <w:unhideWhenUsed/>
    <w:qFormat/>
    <w:uiPriority w:val="99"/>
    <w:rPr>
      <w:b/>
      <w:bCs/>
    </w:rPr>
  </w:style>
  <w:style w:type="paragraph" w:styleId="86">
    <w:name w:val="Body Text First Indent"/>
    <w:basedOn w:val="40"/>
    <w:link w:val="482"/>
    <w:semiHidden/>
    <w:unhideWhenUsed/>
    <w:qFormat/>
    <w:uiPriority w:val="99"/>
    <w:pPr>
      <w:ind w:firstLine="420" w:firstLineChars="100"/>
    </w:pPr>
  </w:style>
  <w:style w:type="paragraph" w:styleId="87">
    <w:name w:val="Body Text First Indent 2"/>
    <w:basedOn w:val="41"/>
    <w:link w:val="484"/>
    <w:semiHidden/>
    <w:unhideWhenUsed/>
    <w:qFormat/>
    <w:uiPriority w:val="99"/>
    <w:pPr>
      <w:ind w:firstLine="420" w:firstLineChars="20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bCs/>
    </w:rPr>
  </w:style>
  <w:style w:type="character" w:styleId="233">
    <w:name w:val="endnote reference"/>
    <w:basedOn w:val="231"/>
    <w:semiHidden/>
    <w:unhideWhenUsed/>
    <w:qFormat/>
    <w:uiPriority w:val="99"/>
    <w:rPr>
      <w:vertAlign w:val="superscript"/>
    </w:rPr>
  </w:style>
  <w:style w:type="character" w:styleId="234">
    <w:name w:val="page number"/>
    <w:basedOn w:val="231"/>
    <w:qFormat/>
    <w:uiPriority w:val="0"/>
    <w:rPr>
      <w:rFonts w:ascii="Times New Roman" w:hAnsi="Times New Roman" w:eastAsia="宋体"/>
      <w:sz w:val="18"/>
    </w:rPr>
  </w:style>
  <w:style w:type="character" w:styleId="235">
    <w:name w:val="FollowedHyperlink"/>
    <w:basedOn w:val="231"/>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0"/>
    <w:rPr>
      <w:i/>
      <w:iCs/>
    </w:rPr>
  </w:style>
  <w:style w:type="character" w:styleId="237">
    <w:name w:val="line number"/>
    <w:basedOn w:val="231"/>
    <w:semiHidden/>
    <w:unhideWhenUsed/>
    <w:qFormat/>
    <w:uiPriority w:val="99"/>
  </w:style>
  <w:style w:type="character" w:styleId="238">
    <w:name w:val="HTML Definition"/>
    <w:basedOn w:val="231"/>
    <w:qFormat/>
    <w:uiPriority w:val="99"/>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qFormat/>
    <w:uiPriority w:val="99"/>
    <w:rPr>
      <w:rFonts w:ascii="Courier New" w:hAnsi="Courier New"/>
      <w:sz w:val="20"/>
      <w:szCs w:val="20"/>
    </w:rPr>
  </w:style>
  <w:style w:type="character" w:styleId="244">
    <w:name w:val="annotation reference"/>
    <w:basedOn w:val="231"/>
    <w:semiHidden/>
    <w:unhideWhenUsed/>
    <w:qFormat/>
    <w:uiPriority w:val="0"/>
    <w:rPr>
      <w:sz w:val="21"/>
      <w:szCs w:val="21"/>
    </w:rPr>
  </w:style>
  <w:style w:type="character" w:styleId="245">
    <w:name w:val="HTML Cite"/>
    <w:basedOn w:val="231"/>
    <w:qFormat/>
    <w:uiPriority w:val="99"/>
    <w:rPr>
      <w:i/>
      <w:iCs/>
    </w:rPr>
  </w:style>
  <w:style w:type="character" w:styleId="246">
    <w:name w:val="footnote reference"/>
    <w:basedOn w:val="231"/>
    <w:semiHidden/>
    <w:qFormat/>
    <w:uiPriority w:val="0"/>
    <w:rPr>
      <w:vertAlign w:val="superscript"/>
    </w:rPr>
  </w:style>
  <w:style w:type="character" w:styleId="247">
    <w:name w:val="HTML Keyboard"/>
    <w:basedOn w:val="231"/>
    <w:qFormat/>
    <w:uiPriority w:val="99"/>
    <w:rPr>
      <w:rFonts w:ascii="Courier New" w:hAnsi="Courier New"/>
      <w:sz w:val="20"/>
      <w:szCs w:val="20"/>
    </w:rPr>
  </w:style>
  <w:style w:type="character" w:styleId="248">
    <w:name w:val="HTML Sample"/>
    <w:basedOn w:val="231"/>
    <w:qFormat/>
    <w:uiPriority w:val="99"/>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hint="eastAsia" w:ascii="宋体" w:hAnsi="宋体" w:eastAsia="宋体" w:cs="宋体"/>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9"/>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1"/>
    <w:qFormat/>
    <w:uiPriority w:val="0"/>
    <w:pPr>
      <w:numPr>
        <w:ilvl w:val="1"/>
        <w:numId w:val="9"/>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7"/>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hint="eastAsia" w:ascii="宋体" w:hAnsi="宋体" w:eastAsia="宋体" w:cs="宋体"/>
      <w:b/>
      <w:spacing w:val="30"/>
      <w:w w:val="95"/>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ascii="宋体" w:eastAsiaTheme="minorEastAsia"/>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400" w:line="400" w:lineRule="exact"/>
      <w:jc w:val="center"/>
    </w:pPr>
    <w:rPr>
      <w:rFonts w:ascii="宋体" w:hAnsi="Times New Roman" w:eastAsia="宋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256"/>
    <w:next w:val="1"/>
    <w:qFormat/>
    <w:uiPriority w:val="0"/>
    <w:pPr>
      <w:keepNext/>
      <w:numPr>
        <w:ilvl w:val="0"/>
        <w:numId w:val="10"/>
      </w:numPr>
      <w:tabs>
        <w:tab w:val="left" w:pos="6405"/>
      </w:tabs>
      <w:spacing w:after="280"/>
    </w:pPr>
  </w:style>
  <w:style w:type="paragraph" w:customStyle="1" w:styleId="275">
    <w:name w:val="附录表标题"/>
    <w:basedOn w:val="1"/>
    <w:next w:val="1"/>
    <w:qFormat/>
    <w:uiPriority w:val="0"/>
    <w:pPr>
      <w:numPr>
        <w:ilvl w:val="1"/>
        <w:numId w:val="11"/>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0"/>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7"/>
    </w:pPr>
  </w:style>
  <w:style w:type="paragraph" w:customStyle="1" w:styleId="278">
    <w:name w:val="附录二级条标题"/>
    <w:basedOn w:val="1"/>
    <w:next w:val="258"/>
    <w:qFormat/>
    <w:uiPriority w:val="0"/>
    <w:pPr>
      <w:widowControl/>
      <w:numPr>
        <w:ilvl w:val="3"/>
        <w:numId w:val="10"/>
      </w:numPr>
      <w:wordWrap w:val="0"/>
      <w:overflowPunct w:val="0"/>
      <w:autoSpaceDE w:val="0"/>
      <w:autoSpaceDN w:val="0"/>
      <w:spacing w:before="50" w:beforeLines="50" w:after="50" w:afterLines="50"/>
      <w:textAlignment w:val="baseline"/>
      <w:outlineLvl w:val="7"/>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258"/>
    <w:qFormat/>
    <w:uiPriority w:val="0"/>
    <w:pPr>
      <w:numPr>
        <w:ilvl w:val="1"/>
        <w:numId w:val="12"/>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3"/>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5"/>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69"/>
    <w:link w:val="331"/>
    <w:qFormat/>
    <w:uiPriority w:val="0"/>
    <w:pPr>
      <w:numPr>
        <w:ilvl w:val="0"/>
        <w:numId w:val="16"/>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7"/>
      </w:numPr>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18"/>
      </w:numPr>
    </w:pPr>
  </w:style>
  <w:style w:type="paragraph" w:customStyle="1" w:styleId="303">
    <w:name w:val="注："/>
    <w:next w:val="1"/>
    <w:qFormat/>
    <w:uiPriority w:val="0"/>
    <w:pPr>
      <w:widowControl w:val="0"/>
      <w:numPr>
        <w:ilvl w:val="0"/>
        <w:numId w:val="19"/>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0"/>
      </w:numPr>
      <w:autoSpaceDE w:val="0"/>
      <w:autoSpaceDN w:val="0"/>
      <w:jc w:val="both"/>
    </w:pPr>
    <w:rPr>
      <w:rFonts w:cs="Times New Roman" w:asciiTheme="minorHAnsi" w:hAnsiTheme="minorHAnsi" w:eastAsiaTheme="minorEastAsia"/>
      <w:sz w:val="18"/>
      <w:szCs w:val="18"/>
      <w:lang w:val="en-US" w:eastAsia="zh-CN" w:bidi="ar-SA"/>
    </w:rPr>
  </w:style>
  <w:style w:type="paragraph" w:customStyle="1" w:styleId="305">
    <w:name w:val="字母编号列项（一级）"/>
    <w:qFormat/>
    <w:uiPriority w:val="0"/>
    <w:pPr>
      <w:numPr>
        <w:ilvl w:val="0"/>
        <w:numId w:val="21"/>
      </w:numPr>
      <w:jc w:val="both"/>
    </w:pPr>
    <w:rPr>
      <w:rFonts w:ascii="宋体" w:hAnsi="Times New Roman" w:eastAsia="宋体" w:cs="Times New Roman"/>
      <w:sz w:val="21"/>
      <w:lang w:val="en-US" w:eastAsia="zh-CN" w:bidi="ar-SA"/>
    </w:rPr>
  </w:style>
  <w:style w:type="paragraph" w:customStyle="1" w:styleId="306">
    <w:name w:val="示例×："/>
    <w:basedOn w:val="1"/>
    <w:next w:val="293"/>
    <w:qFormat/>
    <w:uiPriority w:val="0"/>
    <w:pPr>
      <w:widowControl/>
      <w:numPr>
        <w:ilvl w:val="0"/>
        <w:numId w:val="22"/>
      </w:numPr>
    </w:pPr>
    <w:rPr>
      <w:rFonts w:ascii="宋体"/>
      <w:kern w:val="0"/>
      <w:sz w:val="18"/>
      <w:szCs w:val="18"/>
    </w:rPr>
  </w:style>
  <w:style w:type="paragraph" w:customStyle="1" w:styleId="307">
    <w:name w:val="工程建设章标题"/>
    <w:next w:val="258"/>
    <w:qFormat/>
    <w:uiPriority w:val="0"/>
    <w:pPr>
      <w:numPr>
        <w:ilvl w:val="1"/>
        <w:numId w:val="23"/>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8">
    <w:name w:val="工程建设节标题"/>
    <w:basedOn w:val="307"/>
    <w:next w:val="258"/>
    <w:qFormat/>
    <w:uiPriority w:val="0"/>
    <w:pPr>
      <w:numPr>
        <w:ilvl w:val="2"/>
      </w:numPr>
      <w:spacing w:before="400" w:after="400" w:line="240" w:lineRule="auto"/>
      <w:outlineLvl w:val="2"/>
    </w:pPr>
    <w:rPr>
      <w:sz w:val="21"/>
    </w:rPr>
  </w:style>
  <w:style w:type="paragraph" w:customStyle="1" w:styleId="309">
    <w:name w:val="工程建设条标题"/>
    <w:basedOn w:val="308"/>
    <w:next w:val="258"/>
    <w:qFormat/>
    <w:uiPriority w:val="0"/>
    <w:pPr>
      <w:numPr>
        <w:ilvl w:val="3"/>
      </w:numPr>
      <w:spacing w:before="0" w:after="0"/>
      <w:jc w:val="left"/>
      <w:outlineLvl w:val="3"/>
    </w:pPr>
    <w:rPr>
      <w:b w:val="0"/>
    </w:rPr>
  </w:style>
  <w:style w:type="paragraph" w:customStyle="1" w:styleId="310">
    <w:name w:val="工程建设表标题"/>
    <w:basedOn w:val="309"/>
    <w:qFormat/>
    <w:uiPriority w:val="0"/>
    <w:pPr>
      <w:numPr>
        <w:ilvl w:val="4"/>
      </w:numPr>
      <w:jc w:val="center"/>
      <w:outlineLvl w:val="4"/>
    </w:pPr>
  </w:style>
  <w:style w:type="paragraph" w:customStyle="1" w:styleId="311">
    <w:name w:val="工程建设图标题"/>
    <w:basedOn w:val="309"/>
    <w:qFormat/>
    <w:uiPriority w:val="0"/>
    <w:pPr>
      <w:numPr>
        <w:ilvl w:val="5"/>
      </w:numPr>
      <w:jc w:val="center"/>
      <w:outlineLvl w:val="5"/>
    </w:pPr>
  </w:style>
  <w:style w:type="paragraph" w:customStyle="1" w:styleId="312">
    <w:name w:val="工程建设公式标题"/>
    <w:basedOn w:val="309"/>
    <w:qFormat/>
    <w:uiPriority w:val="0"/>
    <w:pPr>
      <w:numPr>
        <w:ilvl w:val="6"/>
      </w:numPr>
      <w:jc w:val="center"/>
      <w:outlineLvl w:val="6"/>
    </w:pPr>
  </w:style>
  <w:style w:type="paragraph" w:customStyle="1" w:styleId="313">
    <w:name w:val="工程建设无节条标题"/>
    <w:basedOn w:val="1"/>
    <w:next w:val="258"/>
    <w:qFormat/>
    <w:uiPriority w:val="0"/>
    <w:pPr>
      <w:numPr>
        <w:ilvl w:val="8"/>
        <w:numId w:val="23"/>
      </w:numPr>
      <w:tabs>
        <w:tab w:val="clear" w:pos="720"/>
      </w:tabs>
      <w:outlineLvl w:val="3"/>
    </w:pPr>
  </w:style>
  <w:style w:type="paragraph" w:customStyle="1" w:styleId="314">
    <w:name w:val="工程建设款标题"/>
    <w:basedOn w:val="309"/>
    <w:qFormat/>
    <w:uiPriority w:val="0"/>
    <w:pPr>
      <w:numPr>
        <w:ilvl w:val="7"/>
      </w:numPr>
      <w:outlineLvl w:val="9"/>
    </w:pPr>
  </w:style>
  <w:style w:type="paragraph" w:customStyle="1" w:styleId="315">
    <w:name w:val="名称"/>
    <w:basedOn w:val="256"/>
    <w:next w:val="258"/>
    <w:qFormat/>
    <w:uiPriority w:val="0"/>
    <w:pPr>
      <w:spacing w:line="460" w:lineRule="exact"/>
      <w:outlineLvl w:val="9"/>
    </w:pPr>
  </w:style>
  <w:style w:type="paragraph" w:customStyle="1" w:styleId="316">
    <w:name w:val="正文表标题续表"/>
    <w:basedOn w:val="301"/>
    <w:next w:val="258"/>
    <w:qFormat/>
    <w:uiPriority w:val="0"/>
    <w:pPr>
      <w:numPr>
        <w:ilvl w:val="2"/>
      </w:numPr>
    </w:pPr>
  </w:style>
  <w:style w:type="paragraph" w:customStyle="1" w:styleId="317">
    <w:name w:val="附录表标题续表"/>
    <w:basedOn w:val="275"/>
    <w:next w:val="258"/>
    <w:qFormat/>
    <w:uiPriority w:val="0"/>
    <w:pPr>
      <w:numPr>
        <w:ilvl w:val="2"/>
      </w:numPr>
    </w:pPr>
  </w:style>
  <w:style w:type="paragraph" w:customStyle="1" w:styleId="318">
    <w:name w:val="术语定义二级条标题"/>
    <w:basedOn w:val="261"/>
    <w:next w:val="258"/>
    <w:qFormat/>
    <w:uiPriority w:val="0"/>
    <w:pPr>
      <w:spacing w:before="0" w:beforeLines="0" w:after="0" w:afterLines="0"/>
      <w:outlineLvl w:val="9"/>
    </w:pPr>
  </w:style>
  <w:style w:type="paragraph" w:customStyle="1" w:styleId="319">
    <w:name w:val="术语定义三级条标题"/>
    <w:basedOn w:val="290"/>
    <w:next w:val="258"/>
    <w:qFormat/>
    <w:uiPriority w:val="0"/>
    <w:pPr>
      <w:spacing w:before="0" w:beforeLines="0" w:after="0" w:afterLines="0"/>
      <w:outlineLvl w:val="9"/>
    </w:pPr>
  </w:style>
  <w:style w:type="paragraph" w:customStyle="1" w:styleId="320">
    <w:name w:val="式中"/>
    <w:qFormat/>
    <w:uiPriority w:val="0"/>
    <w:pPr>
      <w:ind w:left="200" w:leftChars="200"/>
    </w:pPr>
    <w:rPr>
      <w:rFonts w:ascii="宋体" w:hAnsi="Times New Roman" w:eastAsia="宋体" w:cs="Times New Roman"/>
      <w:sz w:val="21"/>
      <w:lang w:val="en-US" w:eastAsia="zh-CN" w:bidi="ar-SA"/>
    </w:rPr>
  </w:style>
  <w:style w:type="paragraph" w:customStyle="1" w:styleId="321">
    <w:name w:val="术语定义四级条标题"/>
    <w:basedOn w:val="295"/>
    <w:next w:val="258"/>
    <w:qFormat/>
    <w:uiPriority w:val="0"/>
    <w:pPr>
      <w:spacing w:before="0" w:beforeLines="0" w:after="0" w:afterLines="0"/>
      <w:outlineLvl w:val="9"/>
    </w:pPr>
  </w:style>
  <w:style w:type="paragraph" w:customStyle="1" w:styleId="322">
    <w:name w:val="术语定义五级条标题"/>
    <w:basedOn w:val="300"/>
    <w:next w:val="258"/>
    <w:qFormat/>
    <w:uiPriority w:val="0"/>
    <w:pPr>
      <w:spacing w:before="0" w:beforeLines="0" w:after="0" w:afterLines="0"/>
      <w:outlineLvl w:val="9"/>
    </w:pPr>
  </w:style>
  <w:style w:type="paragraph" w:customStyle="1" w:styleId="323">
    <w:name w:val="术语定义一级条标题"/>
    <w:basedOn w:val="260"/>
    <w:next w:val="258"/>
    <w:qFormat/>
    <w:uiPriority w:val="0"/>
    <w:pPr>
      <w:spacing w:before="0" w:beforeLines="0" w:after="0" w:afterLines="0"/>
      <w:outlineLvl w:val="9"/>
    </w:pPr>
  </w:style>
  <w:style w:type="paragraph" w:customStyle="1" w:styleId="324">
    <w:name w:val="条文说明"/>
    <w:basedOn w:val="315"/>
    <w:qFormat/>
    <w:uiPriority w:val="0"/>
  </w:style>
  <w:style w:type="paragraph" w:customStyle="1" w:styleId="325">
    <w:name w:val="列项·"/>
    <w:qFormat/>
    <w:uiPriority w:val="0"/>
    <w:pPr>
      <w:numPr>
        <w:ilvl w:val="0"/>
        <w:numId w:val="24"/>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6">
    <w:name w:val="二级无标题条"/>
    <w:basedOn w:val="261"/>
    <w:qFormat/>
    <w:uiPriority w:val="0"/>
    <w:pPr>
      <w:spacing w:before="0" w:beforeLines="0" w:after="0" w:afterLines="0"/>
      <w:outlineLvl w:val="9"/>
    </w:pPr>
    <w:rPr>
      <w:rFonts w:asciiTheme="majorEastAsia" w:eastAsiaTheme="majorEastAsia"/>
    </w:rPr>
  </w:style>
  <w:style w:type="paragraph" w:customStyle="1" w:styleId="327">
    <w:name w:val="三级无标题条"/>
    <w:basedOn w:val="290"/>
    <w:qFormat/>
    <w:uiPriority w:val="0"/>
    <w:pPr>
      <w:spacing w:before="0" w:beforeLines="0" w:after="0" w:afterLines="0"/>
      <w:outlineLvl w:val="9"/>
    </w:pPr>
    <w:rPr>
      <w:rFonts w:asciiTheme="majorEastAsia" w:eastAsiaTheme="majorEastAsia"/>
    </w:rPr>
  </w:style>
  <w:style w:type="paragraph" w:customStyle="1" w:styleId="328">
    <w:name w:val="四级无标题条"/>
    <w:basedOn w:val="295"/>
    <w:link w:val="534"/>
    <w:qFormat/>
    <w:uiPriority w:val="0"/>
    <w:pPr>
      <w:spacing w:before="0" w:beforeLines="0" w:after="0" w:afterLines="0"/>
      <w:outlineLvl w:val="9"/>
    </w:pPr>
    <w:rPr>
      <w:rFonts w:asciiTheme="majorEastAsia" w:eastAsiaTheme="majorEastAsia"/>
    </w:rPr>
  </w:style>
  <w:style w:type="paragraph" w:customStyle="1" w:styleId="329">
    <w:name w:val="五级无标题条"/>
    <w:basedOn w:val="300"/>
    <w:link w:val="533"/>
    <w:qFormat/>
    <w:uiPriority w:val="0"/>
    <w:pPr>
      <w:spacing w:before="0" w:beforeLines="0" w:after="0" w:afterLines="0"/>
      <w:outlineLvl w:val="9"/>
    </w:pPr>
    <w:rPr>
      <w:rFonts w:asciiTheme="majorEastAsia" w:eastAsiaTheme="majorEastAsia"/>
    </w:rPr>
  </w:style>
  <w:style w:type="paragraph" w:customStyle="1" w:styleId="330">
    <w:name w:val="一级无标题条"/>
    <w:basedOn w:val="260"/>
    <w:qFormat/>
    <w:uiPriority w:val="0"/>
    <w:pPr>
      <w:spacing w:before="0" w:beforeLines="0" w:after="0" w:afterLines="0"/>
      <w:outlineLvl w:val="9"/>
    </w:pPr>
    <w:rPr>
      <w:rFonts w:asciiTheme="majorEastAsia" w:eastAsiaTheme="majorEastAsia"/>
    </w:rPr>
  </w:style>
  <w:style w:type="character" w:customStyle="1" w:styleId="331">
    <w:name w:val="条文脚注 Char"/>
    <w:basedOn w:val="332"/>
    <w:link w:val="296"/>
    <w:qFormat/>
    <w:uiPriority w:val="0"/>
    <w:rPr>
      <w:rFonts w:ascii="宋体"/>
      <w:kern w:val="2"/>
      <w:sz w:val="18"/>
      <w:szCs w:val="18"/>
    </w:rPr>
  </w:style>
  <w:style w:type="character" w:customStyle="1" w:styleId="332">
    <w:name w:val="正文文本 字符"/>
    <w:basedOn w:val="231"/>
    <w:link w:val="40"/>
    <w:semiHidden/>
    <w:qFormat/>
    <w:uiPriority w:val="99"/>
    <w:rPr>
      <w:kern w:val="2"/>
      <w:sz w:val="21"/>
      <w:szCs w:val="24"/>
    </w:rPr>
  </w:style>
  <w:style w:type="paragraph" w:customStyle="1" w:styleId="333">
    <w:name w:val="ICS"/>
    <w:basedOn w:val="273"/>
    <w:qFormat/>
    <w:uiPriority w:val="0"/>
    <w:pPr>
      <w:jc w:val="left"/>
    </w:pPr>
    <w:rPr>
      <w:rFonts w:ascii="黑体" w:eastAsia="黑体"/>
      <w:sz w:val="21"/>
    </w:rPr>
  </w:style>
  <w:style w:type="paragraph" w:customStyle="1" w:styleId="334">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5">
    <w:name w:val="发布GB"/>
    <w:basedOn w:val="40"/>
    <w:qFormat/>
    <w:uiPriority w:val="0"/>
    <w:pPr>
      <w:spacing w:after="0" w:line="280" w:lineRule="exact"/>
      <w:ind w:left="284"/>
    </w:pPr>
    <w:rPr>
      <w:rFonts w:ascii="黑体" w:eastAsia="黑体"/>
      <w:kern w:val="3"/>
      <w:sz w:val="28"/>
    </w:rPr>
  </w:style>
  <w:style w:type="paragraph" w:customStyle="1" w:styleId="336">
    <w:name w:val="标准称谓DB"/>
    <w:next w:val="1"/>
    <w:link w:val="337"/>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7">
    <w:name w:val="标准称谓DB Char"/>
    <w:basedOn w:val="231"/>
    <w:link w:val="336"/>
    <w:qFormat/>
    <w:uiPriority w:val="0"/>
    <w:rPr>
      <w:rFonts w:ascii="Britannic Bold" w:hAnsi="Britannic Bold" w:eastAsia="黑体"/>
      <w:bCs/>
      <w:w w:val="135"/>
      <w:sz w:val="44"/>
    </w:rPr>
  </w:style>
  <w:style w:type="paragraph" w:customStyle="1" w:styleId="338">
    <w:name w:val="标准称谓QB"/>
    <w:next w:val="1"/>
    <w:link w:val="339"/>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39">
    <w:name w:val="标准称谓QB Char"/>
    <w:basedOn w:val="231"/>
    <w:link w:val="338"/>
    <w:qFormat/>
    <w:uiPriority w:val="0"/>
    <w:rPr>
      <w:rFonts w:ascii="Arial Black" w:hAnsi="Arial Black" w:eastAsia="黑体"/>
      <w:bCs/>
      <w:w w:val="135"/>
      <w:sz w:val="44"/>
    </w:rPr>
  </w:style>
  <w:style w:type="paragraph" w:customStyle="1" w:styleId="340">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1">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3">
    <w:name w:val="标准标志DB"/>
    <w:next w:val="1"/>
    <w:qFormat/>
    <w:uiPriority w:val="0"/>
    <w:pPr>
      <w:shd w:val="solid" w:color="FFFFFF" w:fill="FFFFFF"/>
      <w:spacing w:line="0" w:lineRule="atLeast"/>
      <w:jc w:val="right"/>
    </w:pPr>
    <w:rPr>
      <w:rFonts w:ascii="Britannic Bold" w:hAnsi="Britannic Bold" w:eastAsia="Times New Roman" w:cs="Times New Roman"/>
      <w:b/>
      <w:w w:val="110"/>
      <w:kern w:val="2"/>
      <w:sz w:val="96"/>
      <w:lang w:val="en-US" w:eastAsia="zh-CN" w:bidi="ar-SA"/>
    </w:rPr>
  </w:style>
  <w:style w:type="paragraph" w:customStyle="1" w:styleId="344">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5">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6">
    <w:name w:val="示例X"/>
    <w:basedOn w:val="258"/>
    <w:next w:val="293"/>
    <w:qFormat/>
    <w:uiPriority w:val="0"/>
    <w:rPr>
      <w:sz w:val="18"/>
    </w:rPr>
  </w:style>
  <w:style w:type="paragraph" w:customStyle="1" w:styleId="347">
    <w:name w:val="附录表标号"/>
    <w:basedOn w:val="1"/>
    <w:next w:val="258"/>
    <w:qFormat/>
    <w:uiPriority w:val="0"/>
    <w:pPr>
      <w:numPr>
        <w:ilvl w:val="0"/>
        <w:numId w:val="11"/>
      </w:numPr>
      <w:snapToGrid w:val="0"/>
      <w:spacing w:line="14" w:lineRule="exact"/>
      <w:jc w:val="center"/>
    </w:pPr>
    <w:rPr>
      <w:color w:val="FFFFFF"/>
    </w:rPr>
  </w:style>
  <w:style w:type="paragraph" w:customStyle="1" w:styleId="348">
    <w:name w:val="附录图标号"/>
    <w:basedOn w:val="1"/>
    <w:next w:val="258"/>
    <w:qFormat/>
    <w:uiPriority w:val="0"/>
    <w:pPr>
      <w:numPr>
        <w:ilvl w:val="0"/>
        <w:numId w:val="12"/>
      </w:numPr>
      <w:snapToGrid w:val="0"/>
      <w:spacing w:line="14" w:lineRule="exact"/>
      <w:jc w:val="center"/>
    </w:pPr>
    <w:rPr>
      <w:color w:val="FFFFFF"/>
    </w:rPr>
  </w:style>
  <w:style w:type="paragraph" w:customStyle="1" w:styleId="349">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0">
    <w:name w:val="TOC 标题1"/>
    <w:basedOn w:val="3"/>
    <w:next w:val="1"/>
    <w:semiHidden/>
    <w:unhideWhenUsed/>
    <w:qFormat/>
    <w:uiPriority w:val="39"/>
    <w:pPr>
      <w:outlineLvl w:val="9"/>
    </w:pPr>
  </w:style>
  <w:style w:type="character" w:customStyle="1" w:styleId="351">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2">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3">
    <w:name w:val="称呼 字符"/>
    <w:basedOn w:val="231"/>
    <w:link w:val="36"/>
    <w:semiHidden/>
    <w:qFormat/>
    <w:uiPriority w:val="99"/>
    <w:rPr>
      <w:kern w:val="2"/>
      <w:sz w:val="21"/>
      <w:szCs w:val="24"/>
    </w:rPr>
  </w:style>
  <w:style w:type="character" w:customStyle="1" w:styleId="354">
    <w:name w:val="纯文本 字符"/>
    <w:basedOn w:val="231"/>
    <w:link w:val="49"/>
    <w:semiHidden/>
    <w:qFormat/>
    <w:uiPriority w:val="99"/>
    <w:rPr>
      <w:rFonts w:ascii="宋体" w:hAnsi="Courier New" w:cs="Courier New"/>
      <w:kern w:val="2"/>
      <w:sz w:val="21"/>
      <w:szCs w:val="21"/>
    </w:rPr>
  </w:style>
  <w:style w:type="character" w:customStyle="1" w:styleId="355">
    <w:name w:val="电子邮件签名 字符"/>
    <w:basedOn w:val="231"/>
    <w:link w:val="25"/>
    <w:semiHidden/>
    <w:qFormat/>
    <w:uiPriority w:val="99"/>
    <w:rPr>
      <w:kern w:val="2"/>
      <w:sz w:val="21"/>
      <w:szCs w:val="24"/>
    </w:rPr>
  </w:style>
  <w:style w:type="character" w:customStyle="1" w:styleId="356">
    <w:name w:val="副标题 字符"/>
    <w:basedOn w:val="231"/>
    <w:link w:val="66"/>
    <w:qFormat/>
    <w:uiPriority w:val="11"/>
    <w:rPr>
      <w:rFonts w:asciiTheme="majorHAnsi" w:hAnsiTheme="majorHAnsi" w:cstheme="majorBidi"/>
      <w:b/>
      <w:bCs/>
      <w:kern w:val="28"/>
      <w:sz w:val="32"/>
      <w:szCs w:val="32"/>
    </w:rPr>
  </w:style>
  <w:style w:type="character" w:customStyle="1" w:styleId="357">
    <w:name w:val="宏文本 字符"/>
    <w:basedOn w:val="231"/>
    <w:link w:val="2"/>
    <w:semiHidden/>
    <w:qFormat/>
    <w:uiPriority w:val="99"/>
    <w:rPr>
      <w:rFonts w:ascii="Courier New" w:hAnsi="Courier New" w:cs="Courier New"/>
      <w:kern w:val="2"/>
      <w:sz w:val="24"/>
      <w:szCs w:val="24"/>
    </w:rPr>
  </w:style>
  <w:style w:type="character" w:customStyle="1" w:styleId="358">
    <w:name w:val="结束语 字符"/>
    <w:basedOn w:val="231"/>
    <w:link w:val="38"/>
    <w:semiHidden/>
    <w:qFormat/>
    <w:uiPriority w:val="99"/>
    <w:rPr>
      <w:kern w:val="2"/>
      <w:sz w:val="21"/>
      <w:szCs w:val="24"/>
    </w:rPr>
  </w:style>
  <w:style w:type="paragraph" w:styleId="359">
    <w:name w:val="List Paragraph"/>
    <w:basedOn w:val="1"/>
    <w:qFormat/>
    <w:uiPriority w:val="34"/>
    <w:pPr>
      <w:ind w:firstLine="420" w:firstLineChars="200"/>
    </w:pPr>
  </w:style>
  <w:style w:type="character" w:customStyle="1" w:styleId="360">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1">
    <w:name w:val="明显强调1"/>
    <w:basedOn w:val="231"/>
    <w:qFormat/>
    <w:uiPriority w:val="21"/>
    <w:rPr>
      <w:i/>
      <w:iCs/>
      <w:color w:val="5B9BD5" w:themeColor="accent1"/>
      <w14:textFill>
        <w14:solidFill>
          <w14:schemeClr w14:val="accent1"/>
        </w14:solidFill>
      </w14:textFill>
    </w:rPr>
  </w:style>
  <w:style w:type="paragraph" w:styleId="362">
    <w:name w:val="Intense Quote"/>
    <w:basedOn w:val="1"/>
    <w:next w:val="1"/>
    <w:link w:val="363"/>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3">
    <w:name w:val="明显引用 字符"/>
    <w:basedOn w:val="231"/>
    <w:link w:val="362"/>
    <w:qFormat/>
    <w:uiPriority w:val="30"/>
    <w:rPr>
      <w:i/>
      <w:iCs/>
      <w:color w:val="5B9BD5" w:themeColor="accent1"/>
      <w:kern w:val="2"/>
      <w:sz w:val="21"/>
      <w:szCs w:val="24"/>
      <w14:textFill>
        <w14:solidFill>
          <w14:schemeClr w14:val="accent1"/>
        </w14:solidFill>
      </w14:textFill>
    </w:rPr>
  </w:style>
  <w:style w:type="character" w:customStyle="1" w:styleId="364">
    <w:name w:val="批注框文本 字符"/>
    <w:basedOn w:val="231"/>
    <w:link w:val="58"/>
    <w:semiHidden/>
    <w:qFormat/>
    <w:uiPriority w:val="99"/>
    <w:rPr>
      <w:kern w:val="2"/>
      <w:sz w:val="18"/>
      <w:szCs w:val="18"/>
    </w:rPr>
  </w:style>
  <w:style w:type="character" w:customStyle="1" w:styleId="365">
    <w:name w:val="批注文字 字符"/>
    <w:basedOn w:val="231"/>
    <w:link w:val="34"/>
    <w:qFormat/>
    <w:uiPriority w:val="99"/>
    <w:rPr>
      <w:kern w:val="2"/>
      <w:sz w:val="21"/>
      <w:szCs w:val="24"/>
    </w:rPr>
  </w:style>
  <w:style w:type="character" w:customStyle="1" w:styleId="366">
    <w:name w:val="批注主题 字符"/>
    <w:basedOn w:val="365"/>
    <w:link w:val="85"/>
    <w:semiHidden/>
    <w:qFormat/>
    <w:uiPriority w:val="99"/>
    <w:rPr>
      <w:b/>
      <w:bCs/>
      <w:kern w:val="2"/>
      <w:sz w:val="21"/>
      <w:szCs w:val="24"/>
    </w:rPr>
  </w:style>
  <w:style w:type="character" w:customStyle="1" w:styleId="367">
    <w:name w:val="签名 字符"/>
    <w:basedOn w:val="231"/>
    <w:link w:val="62"/>
    <w:semiHidden/>
    <w:qFormat/>
    <w:uiPriority w:val="99"/>
    <w:rPr>
      <w:kern w:val="2"/>
      <w:sz w:val="21"/>
      <w:szCs w:val="24"/>
    </w:rPr>
  </w:style>
  <w:style w:type="table" w:customStyle="1" w:styleId="368">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9">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0">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1">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2">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3">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4">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5">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6">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7">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8">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9">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0">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1">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2">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3">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4">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5">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6">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7">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8">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89">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0">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1">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2">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3">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4">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5">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6">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7">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4">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5">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6">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7">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8">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09">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0">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1">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7">
    <w:name w:val="日期 字符"/>
    <w:basedOn w:val="231"/>
    <w:link w:val="54"/>
    <w:semiHidden/>
    <w:qFormat/>
    <w:uiPriority w:val="99"/>
    <w:rPr>
      <w:kern w:val="2"/>
      <w:sz w:val="21"/>
      <w:szCs w:val="24"/>
    </w:rPr>
  </w:style>
  <w:style w:type="character" w:customStyle="1" w:styleId="418">
    <w:name w:val="书籍标题1"/>
    <w:basedOn w:val="231"/>
    <w:qFormat/>
    <w:uiPriority w:val="33"/>
    <w:rPr>
      <w:b/>
      <w:bCs/>
      <w:i/>
      <w:iCs/>
      <w:spacing w:val="5"/>
    </w:rPr>
  </w:style>
  <w:style w:type="paragraph" w:customStyle="1" w:styleId="419">
    <w:name w:val="书目1"/>
    <w:basedOn w:val="1"/>
    <w:next w:val="1"/>
    <w:semiHidden/>
    <w:unhideWhenUsed/>
    <w:qFormat/>
    <w:uiPriority w:val="37"/>
  </w:style>
  <w:style w:type="table" w:customStyle="1" w:styleId="420">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1">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2">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3">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4">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5">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6">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7">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8">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29">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0">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1">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2">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3">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4">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5">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6">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7">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8">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39">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0">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1">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2">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3">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4">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5">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6">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7">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8">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49">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0">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1">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2">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3">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4">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5">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6">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7">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8">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59">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0">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1">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2">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3">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4">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5">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6">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7">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8">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69">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0">
    <w:name w:val="尾注文本 字符"/>
    <w:basedOn w:val="231"/>
    <w:link w:val="56"/>
    <w:semiHidden/>
    <w:qFormat/>
    <w:uiPriority w:val="99"/>
    <w:rPr>
      <w:kern w:val="2"/>
      <w:sz w:val="21"/>
      <w:szCs w:val="24"/>
    </w:rPr>
  </w:style>
  <w:style w:type="character" w:customStyle="1" w:styleId="471">
    <w:name w:val="文档结构图 字符"/>
    <w:basedOn w:val="231"/>
    <w:link w:val="32"/>
    <w:semiHidden/>
    <w:qFormat/>
    <w:uiPriority w:val="99"/>
    <w:rPr>
      <w:rFonts w:ascii="Microsoft YaHei UI" w:eastAsia="Microsoft YaHei UI"/>
      <w:kern w:val="2"/>
      <w:sz w:val="18"/>
      <w:szCs w:val="18"/>
    </w:rPr>
  </w:style>
  <w:style w:type="table" w:customStyle="1" w:styleId="472">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3">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4">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5">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8">
    <w:name w:val="信息标题 字符"/>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79">
    <w:name w:val="Quote"/>
    <w:basedOn w:val="1"/>
    <w:next w:val="1"/>
    <w:link w:val="480"/>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0">
    <w:name w:val="引用 字符"/>
    <w:basedOn w:val="231"/>
    <w:link w:val="479"/>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1">
    <w:name w:val="Placeholder Text"/>
    <w:basedOn w:val="231"/>
    <w:semiHidden/>
    <w:qFormat/>
    <w:uiPriority w:val="99"/>
    <w:rPr>
      <w:color w:val="808080"/>
    </w:rPr>
  </w:style>
  <w:style w:type="character" w:customStyle="1" w:styleId="482">
    <w:name w:val="正文文本首行缩进 字符"/>
    <w:basedOn w:val="332"/>
    <w:link w:val="86"/>
    <w:semiHidden/>
    <w:qFormat/>
    <w:uiPriority w:val="99"/>
    <w:rPr>
      <w:kern w:val="2"/>
      <w:sz w:val="21"/>
      <w:szCs w:val="24"/>
    </w:rPr>
  </w:style>
  <w:style w:type="character" w:customStyle="1" w:styleId="483">
    <w:name w:val="正文文本缩进 字符"/>
    <w:basedOn w:val="231"/>
    <w:link w:val="41"/>
    <w:semiHidden/>
    <w:qFormat/>
    <w:uiPriority w:val="99"/>
    <w:rPr>
      <w:kern w:val="2"/>
      <w:sz w:val="21"/>
      <w:szCs w:val="24"/>
    </w:rPr>
  </w:style>
  <w:style w:type="character" w:customStyle="1" w:styleId="484">
    <w:name w:val="正文文本首行缩进 2 字符"/>
    <w:basedOn w:val="483"/>
    <w:link w:val="87"/>
    <w:semiHidden/>
    <w:qFormat/>
    <w:uiPriority w:val="99"/>
    <w:rPr>
      <w:kern w:val="2"/>
      <w:sz w:val="21"/>
      <w:szCs w:val="24"/>
    </w:rPr>
  </w:style>
  <w:style w:type="character" w:customStyle="1" w:styleId="485">
    <w:name w:val="正文文本 2 字符"/>
    <w:basedOn w:val="231"/>
    <w:link w:val="76"/>
    <w:semiHidden/>
    <w:qFormat/>
    <w:uiPriority w:val="99"/>
    <w:rPr>
      <w:kern w:val="2"/>
      <w:sz w:val="21"/>
      <w:szCs w:val="24"/>
    </w:rPr>
  </w:style>
  <w:style w:type="character" w:customStyle="1" w:styleId="486">
    <w:name w:val="正文文本 3 字符"/>
    <w:basedOn w:val="231"/>
    <w:link w:val="37"/>
    <w:semiHidden/>
    <w:qFormat/>
    <w:uiPriority w:val="99"/>
    <w:rPr>
      <w:kern w:val="2"/>
      <w:sz w:val="16"/>
      <w:szCs w:val="16"/>
    </w:rPr>
  </w:style>
  <w:style w:type="character" w:customStyle="1" w:styleId="487">
    <w:name w:val="正文文本缩进 2 字符"/>
    <w:basedOn w:val="231"/>
    <w:link w:val="55"/>
    <w:semiHidden/>
    <w:qFormat/>
    <w:uiPriority w:val="99"/>
    <w:rPr>
      <w:kern w:val="2"/>
      <w:sz w:val="21"/>
      <w:szCs w:val="24"/>
    </w:rPr>
  </w:style>
  <w:style w:type="character" w:customStyle="1" w:styleId="488">
    <w:name w:val="正文文本缩进 3 字符"/>
    <w:basedOn w:val="231"/>
    <w:link w:val="71"/>
    <w:semiHidden/>
    <w:qFormat/>
    <w:uiPriority w:val="99"/>
    <w:rPr>
      <w:kern w:val="2"/>
      <w:sz w:val="16"/>
      <w:szCs w:val="16"/>
    </w:rPr>
  </w:style>
  <w:style w:type="character" w:customStyle="1" w:styleId="489">
    <w:name w:val="注释标题 字符"/>
    <w:basedOn w:val="231"/>
    <w:link w:val="22"/>
    <w:semiHidden/>
    <w:qFormat/>
    <w:uiPriority w:val="99"/>
    <w:rPr>
      <w:kern w:val="2"/>
      <w:sz w:val="21"/>
      <w:szCs w:val="24"/>
    </w:rPr>
  </w:style>
  <w:style w:type="paragraph" w:customStyle="1" w:styleId="490">
    <w:name w:val="附录无标题章"/>
    <w:basedOn w:val="276"/>
    <w:next w:val="276"/>
    <w:qFormat/>
    <w:uiPriority w:val="0"/>
    <w:pPr>
      <w:spacing w:before="0" w:beforeLines="0" w:after="0" w:afterLines="0"/>
      <w:outlineLvl w:val="9"/>
    </w:pPr>
    <w:rPr>
      <w:rFonts w:ascii="宋体" w:eastAsiaTheme="majorEastAsia"/>
    </w:rPr>
  </w:style>
  <w:style w:type="paragraph" w:customStyle="1" w:styleId="491">
    <w:name w:val="附录一级无标题条"/>
    <w:basedOn w:val="277"/>
    <w:qFormat/>
    <w:uiPriority w:val="0"/>
    <w:pPr>
      <w:spacing w:before="0" w:beforeLines="0" w:after="0" w:afterLines="0"/>
      <w:outlineLvl w:val="9"/>
    </w:pPr>
    <w:rPr>
      <w:rFonts w:asciiTheme="majorEastAsia" w:eastAsiaTheme="majorEastAsia"/>
    </w:rPr>
  </w:style>
  <w:style w:type="paragraph" w:customStyle="1" w:styleId="492">
    <w:name w:val="附录二级无标题条"/>
    <w:basedOn w:val="278"/>
    <w:qFormat/>
    <w:uiPriority w:val="0"/>
    <w:pPr>
      <w:spacing w:before="0" w:beforeLines="0" w:after="0" w:afterLines="0"/>
      <w:outlineLvl w:val="9"/>
    </w:pPr>
    <w:rPr>
      <w:rFonts w:asciiTheme="majorEastAsia" w:eastAsiaTheme="majorEastAsia"/>
    </w:rPr>
  </w:style>
  <w:style w:type="paragraph" w:customStyle="1" w:styleId="493">
    <w:name w:val="附录三级无标题条"/>
    <w:basedOn w:val="279"/>
    <w:qFormat/>
    <w:uiPriority w:val="0"/>
    <w:pPr>
      <w:spacing w:before="0" w:beforeLines="0" w:after="0" w:afterLines="0"/>
      <w:outlineLvl w:val="9"/>
    </w:pPr>
    <w:rPr>
      <w:rFonts w:asciiTheme="majorEastAsia" w:eastAsiaTheme="majorEastAsia"/>
    </w:rPr>
  </w:style>
  <w:style w:type="paragraph" w:customStyle="1" w:styleId="494">
    <w:name w:val="附录四级无标题条"/>
    <w:basedOn w:val="280"/>
    <w:qFormat/>
    <w:uiPriority w:val="0"/>
    <w:pPr>
      <w:spacing w:before="0" w:beforeLines="0" w:after="0" w:afterLines="0"/>
      <w:outlineLvl w:val="9"/>
    </w:pPr>
    <w:rPr>
      <w:rFonts w:asciiTheme="majorEastAsia" w:eastAsiaTheme="majorEastAsia"/>
    </w:rPr>
  </w:style>
  <w:style w:type="paragraph" w:customStyle="1" w:styleId="495">
    <w:name w:val="发布DB"/>
    <w:basedOn w:val="335"/>
    <w:qFormat/>
    <w:uiPriority w:val="0"/>
    <w:pPr>
      <w:ind w:left="567"/>
    </w:pPr>
  </w:style>
  <w:style w:type="paragraph" w:customStyle="1" w:styleId="496">
    <w:name w:val="发布HB"/>
    <w:basedOn w:val="335"/>
    <w:qFormat/>
    <w:uiPriority w:val="0"/>
    <w:pPr>
      <w:ind w:left="567"/>
    </w:pPr>
  </w:style>
  <w:style w:type="paragraph" w:customStyle="1" w:styleId="497">
    <w:name w:val="发布QB"/>
    <w:basedOn w:val="335"/>
    <w:qFormat/>
    <w:uiPriority w:val="0"/>
    <w:pPr>
      <w:ind w:left="567"/>
    </w:pPr>
  </w:style>
  <w:style w:type="paragraph" w:customStyle="1" w:styleId="498">
    <w:name w:val="标准标志TB"/>
    <w:basedOn w:val="344"/>
    <w:qFormat/>
    <w:uiPriority w:val="0"/>
  </w:style>
  <w:style w:type="paragraph" w:customStyle="1" w:styleId="499">
    <w:name w:val="标准称谓TB"/>
    <w:basedOn w:val="338"/>
    <w:qFormat/>
    <w:uiPriority w:val="0"/>
    <w:pPr>
      <w:jc w:val="center"/>
    </w:pPr>
  </w:style>
  <w:style w:type="paragraph" w:customStyle="1" w:styleId="500">
    <w:name w:val="发布TB"/>
    <w:basedOn w:val="335"/>
    <w:qFormat/>
    <w:uiPriority w:val="0"/>
    <w:pPr>
      <w:ind w:left="567"/>
    </w:pPr>
  </w:style>
  <w:style w:type="paragraph" w:customStyle="1" w:styleId="501">
    <w:name w:val="发布部门TB"/>
    <w:basedOn w:val="342"/>
    <w:qFormat/>
    <w:uiPriority w:val="0"/>
  </w:style>
  <w:style w:type="paragraph" w:customStyle="1" w:styleId="502">
    <w:name w:val="标准标志CEC"/>
    <w:basedOn w:val="1"/>
    <w:qFormat/>
    <w:uiPriority w:val="0"/>
    <w:pPr>
      <w:jc w:val="right"/>
    </w:pPr>
    <w:rPr>
      <w:rFonts w:eastAsia="Times New Roman"/>
      <w:b/>
      <w:sz w:val="96"/>
    </w:rPr>
  </w:style>
  <w:style w:type="paragraph" w:customStyle="1" w:styleId="503">
    <w:name w:val="标准称谓CEC"/>
    <w:basedOn w:val="1"/>
    <w:qFormat/>
    <w:uiPriority w:val="0"/>
    <w:pPr>
      <w:jc w:val="center"/>
    </w:pPr>
    <w:rPr>
      <w:rFonts w:eastAsia="黑体"/>
      <w:b/>
      <w:w w:val="132"/>
      <w:kern w:val="0"/>
      <w:sz w:val="52"/>
    </w:rPr>
  </w:style>
  <w:style w:type="paragraph" w:customStyle="1" w:styleId="504">
    <w:name w:val="发布CEC"/>
    <w:basedOn w:val="335"/>
    <w:qFormat/>
    <w:uiPriority w:val="0"/>
  </w:style>
  <w:style w:type="paragraph" w:customStyle="1" w:styleId="505">
    <w:name w:val="发布部门CEC"/>
    <w:basedOn w:val="1"/>
    <w:qFormat/>
    <w:uiPriority w:val="0"/>
    <w:pPr>
      <w:snapToGrid w:val="0"/>
    </w:pPr>
    <w:rPr>
      <w:b/>
      <w:w w:val="135"/>
      <w:kern w:val="0"/>
      <w:sz w:val="36"/>
    </w:rPr>
  </w:style>
  <w:style w:type="paragraph" w:customStyle="1" w:styleId="506">
    <w:name w:val="引言二级条标题"/>
    <w:basedOn w:val="1"/>
    <w:next w:val="258"/>
    <w:qFormat/>
    <w:uiPriority w:val="0"/>
    <w:pPr>
      <w:widowControl/>
      <w:numPr>
        <w:ilvl w:val="2"/>
        <w:numId w:val="25"/>
      </w:numPr>
      <w:autoSpaceDE w:val="0"/>
      <w:autoSpaceDN w:val="0"/>
      <w:spacing w:before="50" w:beforeLines="50" w:after="50" w:afterLines="50"/>
    </w:pPr>
    <w:rPr>
      <w:rFonts w:ascii="黑体" w:eastAsia="黑体"/>
      <w:kern w:val="0"/>
      <w:szCs w:val="20"/>
    </w:rPr>
  </w:style>
  <w:style w:type="paragraph" w:customStyle="1" w:styleId="507">
    <w:name w:val="引言二级无标题条"/>
    <w:basedOn w:val="506"/>
    <w:next w:val="258"/>
    <w:qFormat/>
    <w:uiPriority w:val="0"/>
    <w:pPr>
      <w:spacing w:before="0" w:beforeLines="0" w:after="0" w:afterLines="0" w:line="276" w:lineRule="auto"/>
    </w:pPr>
    <w:rPr>
      <w:rFonts w:ascii="宋体" w:eastAsia="宋体"/>
    </w:rPr>
  </w:style>
  <w:style w:type="paragraph" w:customStyle="1" w:styleId="508">
    <w:name w:val="引言三级条标题"/>
    <w:basedOn w:val="1"/>
    <w:next w:val="258"/>
    <w:qFormat/>
    <w:uiPriority w:val="0"/>
    <w:pPr>
      <w:widowControl/>
      <w:numPr>
        <w:ilvl w:val="3"/>
        <w:numId w:val="25"/>
      </w:numPr>
      <w:autoSpaceDE w:val="0"/>
      <w:autoSpaceDN w:val="0"/>
      <w:spacing w:before="50" w:beforeLines="50" w:after="50" w:afterLines="50"/>
    </w:pPr>
    <w:rPr>
      <w:rFonts w:ascii="黑体" w:eastAsia="黑体"/>
      <w:kern w:val="0"/>
      <w:szCs w:val="20"/>
    </w:rPr>
  </w:style>
  <w:style w:type="paragraph" w:customStyle="1" w:styleId="509">
    <w:name w:val="引言三级无标题条"/>
    <w:basedOn w:val="508"/>
    <w:next w:val="258"/>
    <w:qFormat/>
    <w:uiPriority w:val="0"/>
    <w:pPr>
      <w:spacing w:before="0" w:beforeLines="0" w:after="0" w:afterLines="0" w:line="276" w:lineRule="auto"/>
    </w:pPr>
    <w:rPr>
      <w:rFonts w:ascii="宋体" w:eastAsia="宋体"/>
    </w:rPr>
  </w:style>
  <w:style w:type="paragraph" w:customStyle="1" w:styleId="510">
    <w:name w:val="引言四级条标题"/>
    <w:basedOn w:val="1"/>
    <w:next w:val="258"/>
    <w:qFormat/>
    <w:uiPriority w:val="0"/>
    <w:pPr>
      <w:widowControl/>
      <w:numPr>
        <w:ilvl w:val="4"/>
        <w:numId w:val="25"/>
      </w:numPr>
      <w:autoSpaceDE w:val="0"/>
      <w:autoSpaceDN w:val="0"/>
      <w:spacing w:before="50" w:beforeLines="50" w:after="50" w:afterLines="50"/>
    </w:pPr>
    <w:rPr>
      <w:rFonts w:ascii="黑体" w:eastAsia="黑体"/>
      <w:kern w:val="0"/>
      <w:szCs w:val="20"/>
    </w:rPr>
  </w:style>
  <w:style w:type="paragraph" w:customStyle="1" w:styleId="511">
    <w:name w:val="引言四级无标题条"/>
    <w:basedOn w:val="510"/>
    <w:next w:val="258"/>
    <w:qFormat/>
    <w:uiPriority w:val="0"/>
    <w:pPr>
      <w:spacing w:before="0" w:beforeLines="0" w:after="0" w:afterLines="0" w:line="276" w:lineRule="auto"/>
    </w:pPr>
    <w:rPr>
      <w:rFonts w:ascii="宋体" w:eastAsia="宋体"/>
    </w:rPr>
  </w:style>
  <w:style w:type="paragraph" w:customStyle="1" w:styleId="512">
    <w:name w:val="引言五级条标题"/>
    <w:basedOn w:val="1"/>
    <w:next w:val="258"/>
    <w:qFormat/>
    <w:uiPriority w:val="0"/>
    <w:pPr>
      <w:widowControl/>
      <w:numPr>
        <w:ilvl w:val="5"/>
        <w:numId w:val="25"/>
      </w:numPr>
      <w:autoSpaceDE w:val="0"/>
      <w:autoSpaceDN w:val="0"/>
      <w:spacing w:before="50" w:beforeLines="50" w:after="50" w:afterLines="50"/>
    </w:pPr>
    <w:rPr>
      <w:rFonts w:ascii="黑体" w:eastAsia="黑体"/>
      <w:kern w:val="0"/>
      <w:szCs w:val="20"/>
    </w:rPr>
  </w:style>
  <w:style w:type="paragraph" w:customStyle="1" w:styleId="513">
    <w:name w:val="引言五级无标题条"/>
    <w:basedOn w:val="512"/>
    <w:next w:val="258"/>
    <w:qFormat/>
    <w:uiPriority w:val="0"/>
    <w:pPr>
      <w:spacing w:before="0" w:beforeLines="0" w:after="0" w:afterLines="0" w:line="276" w:lineRule="auto"/>
    </w:pPr>
    <w:rPr>
      <w:rFonts w:ascii="宋体" w:eastAsia="宋体"/>
    </w:rPr>
  </w:style>
  <w:style w:type="paragraph" w:customStyle="1" w:styleId="514">
    <w:name w:val="引言一级条标题"/>
    <w:basedOn w:val="1"/>
    <w:next w:val="258"/>
    <w:qFormat/>
    <w:uiPriority w:val="0"/>
    <w:pPr>
      <w:widowControl/>
      <w:numPr>
        <w:ilvl w:val="1"/>
        <w:numId w:val="25"/>
      </w:numPr>
      <w:autoSpaceDE w:val="0"/>
      <w:autoSpaceDN w:val="0"/>
      <w:spacing w:before="50" w:beforeLines="50" w:after="50" w:afterLines="50"/>
    </w:pPr>
    <w:rPr>
      <w:rFonts w:ascii="黑体" w:eastAsia="黑体"/>
      <w:kern w:val="0"/>
      <w:szCs w:val="20"/>
    </w:rPr>
  </w:style>
  <w:style w:type="paragraph" w:customStyle="1" w:styleId="515">
    <w:name w:val="引言一级无标题条"/>
    <w:basedOn w:val="514"/>
    <w:next w:val="258"/>
    <w:qFormat/>
    <w:uiPriority w:val="0"/>
    <w:pPr>
      <w:spacing w:before="0" w:beforeLines="0" w:after="0" w:afterLines="0" w:line="276" w:lineRule="auto"/>
    </w:pPr>
    <w:rPr>
      <w:rFonts w:ascii="宋体" w:eastAsia="宋体"/>
    </w:rPr>
  </w:style>
  <w:style w:type="paragraph" w:customStyle="1" w:styleId="516">
    <w:name w:val="表格段"/>
    <w:basedOn w:val="258"/>
    <w:qFormat/>
    <w:uiPriority w:val="0"/>
    <w:pPr>
      <w:ind w:firstLine="420"/>
    </w:pPr>
    <w:rPr>
      <w:sz w:val="18"/>
    </w:rPr>
  </w:style>
  <w:style w:type="paragraph" w:customStyle="1" w:styleId="517">
    <w:name w:val="表格正文"/>
    <w:basedOn w:val="1"/>
    <w:qFormat/>
    <w:uiPriority w:val="0"/>
    <w:rPr>
      <w:sz w:val="18"/>
    </w:rPr>
  </w:style>
  <w:style w:type="character" w:customStyle="1" w:styleId="518">
    <w:name w:val="fontstyle01"/>
    <w:basedOn w:val="231"/>
    <w:qFormat/>
    <w:uiPriority w:val="0"/>
    <w:rPr>
      <w:rFonts w:ascii="TimesNewRomanPSMT" w:hAnsi="TimesNewRomanPSMT" w:eastAsia="TimesNewRomanPSMT" w:cs="TimesNewRomanPSMT"/>
      <w:color w:val="000000"/>
      <w:sz w:val="22"/>
      <w:szCs w:val="22"/>
    </w:rPr>
  </w:style>
  <w:style w:type="character" w:customStyle="1" w:styleId="519">
    <w:name w:val="fontstyle21"/>
    <w:basedOn w:val="231"/>
    <w:qFormat/>
    <w:uiPriority w:val="0"/>
    <w:rPr>
      <w:rFonts w:ascii="宋体" w:hAnsi="宋体" w:eastAsia="宋体" w:cs="宋体"/>
      <w:color w:val="000000"/>
      <w:sz w:val="22"/>
      <w:szCs w:val="22"/>
    </w:rPr>
  </w:style>
  <w:style w:type="character" w:customStyle="1" w:styleId="520">
    <w:name w:val="fontstyle11"/>
    <w:basedOn w:val="231"/>
    <w:qFormat/>
    <w:uiPriority w:val="0"/>
    <w:rPr>
      <w:rFonts w:ascii="TimesNewRomanPSMT" w:hAnsi="TimesNewRomanPSMT" w:eastAsia="TimesNewRomanPSMT" w:cs="TimesNewRomanPSMT"/>
      <w:color w:val="000000"/>
      <w:sz w:val="22"/>
      <w:szCs w:val="22"/>
    </w:rPr>
  </w:style>
  <w:style w:type="paragraph" w:customStyle="1" w:styleId="5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23">
    <w:name w:val="标准文件_二级无标题"/>
    <w:basedOn w:val="524"/>
    <w:qFormat/>
    <w:uiPriority w:val="0"/>
    <w:pPr>
      <w:spacing w:before="0" w:beforeLines="0" w:after="0" w:afterLines="0"/>
      <w:outlineLvl w:val="9"/>
    </w:pPr>
    <w:rPr>
      <w:rFonts w:ascii="宋体" w:eastAsia="宋体"/>
    </w:rPr>
  </w:style>
  <w:style w:type="paragraph" w:customStyle="1" w:styleId="524">
    <w:name w:val="标准文件_二级条标题"/>
    <w:next w:val="521"/>
    <w:qFormat/>
    <w:uiPriority w:val="0"/>
    <w:pPr>
      <w:widowControl w:val="0"/>
      <w:numPr>
        <w:ilvl w:val="3"/>
        <w:numId w:val="26"/>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525">
    <w:name w:val="标准文件_字母编号列项（一级）"/>
    <w:qFormat/>
    <w:uiPriority w:val="0"/>
    <w:pPr>
      <w:numPr>
        <w:ilvl w:val="0"/>
        <w:numId w:val="15"/>
      </w:numPr>
      <w:jc w:val="both"/>
    </w:pPr>
    <w:rPr>
      <w:rFonts w:ascii="宋体" w:hAnsi="Times New Roman" w:eastAsia="宋体" w:cs="Times New Roman"/>
      <w:sz w:val="21"/>
      <w:lang w:val="en-US" w:eastAsia="zh-CN" w:bidi="ar-SA"/>
    </w:rPr>
  </w:style>
  <w:style w:type="paragraph" w:customStyle="1" w:styleId="526">
    <w:name w:val="标准文件_一级条标题"/>
    <w:basedOn w:val="527"/>
    <w:next w:val="521"/>
    <w:qFormat/>
    <w:uiPriority w:val="0"/>
    <w:pPr>
      <w:numPr>
        <w:ilvl w:val="2"/>
      </w:numPr>
      <w:spacing w:before="50" w:beforeLines="50" w:after="50" w:afterLines="50"/>
      <w:outlineLvl w:val="1"/>
    </w:pPr>
  </w:style>
  <w:style w:type="paragraph" w:customStyle="1" w:styleId="527">
    <w:name w:val="标准文件_章标题"/>
    <w:next w:val="521"/>
    <w:qFormat/>
    <w:uiPriority w:val="0"/>
    <w:pPr>
      <w:numPr>
        <w:ilvl w:val="1"/>
        <w:numId w:val="26"/>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528">
    <w:name w:val="标题 3 字符"/>
    <w:basedOn w:val="231"/>
    <w:link w:val="5"/>
    <w:qFormat/>
    <w:uiPriority w:val="0"/>
    <w:rPr>
      <w:b/>
      <w:bCs/>
      <w:sz w:val="32"/>
      <w:szCs w:val="32"/>
    </w:rPr>
  </w:style>
  <w:style w:type="paragraph" w:customStyle="1" w:styleId="529">
    <w:name w:val="样式 正文文本 + 段前: 6 磅 行距: 多倍行距 1.4 字行"/>
    <w:qFormat/>
    <w:uiPriority w:val="0"/>
    <w:pPr>
      <w:widowControl w:val="0"/>
      <w:tabs>
        <w:tab w:val="left" w:pos="1040"/>
      </w:tabs>
      <w:adjustRightInd w:val="0"/>
      <w:snapToGrid w:val="0"/>
      <w:spacing w:beforeLines="10" w:after="120" w:afterLines="10"/>
      <w:ind w:left="964"/>
      <w:jc w:val="both"/>
    </w:pPr>
    <w:rPr>
      <w:rFonts w:ascii="Univers" w:hAnsi="Univers" w:eastAsia="Arial" w:cs="宋体"/>
      <w:sz w:val="22"/>
      <w:lang w:val="en-US" w:eastAsia="zh-CN" w:bidi="ar-SA"/>
    </w:rPr>
  </w:style>
  <w:style w:type="paragraph" w:customStyle="1" w:styleId="530">
    <w:name w:val="标准文件_目录标题"/>
    <w:basedOn w:val="1"/>
    <w:qFormat/>
    <w:uiPriority w:val="0"/>
    <w:pPr>
      <w:spacing w:after="150" w:afterLines="150"/>
      <w:jc w:val="center"/>
    </w:pPr>
    <w:rPr>
      <w:rFonts w:ascii="黑体" w:eastAsia="黑体"/>
      <w:sz w:val="32"/>
    </w:rPr>
  </w:style>
  <w:style w:type="paragraph" w:customStyle="1" w:styleId="531">
    <w:name w:val="WPSOffice手动目录 1"/>
    <w:basedOn w:val="1"/>
    <w:qFormat/>
    <w:uiPriority w:val="0"/>
    <w:pPr>
      <w:widowControl/>
      <w:jc w:val="left"/>
    </w:pPr>
    <w:rPr>
      <w:kern w:val="0"/>
      <w:sz w:val="24"/>
    </w:rPr>
  </w:style>
  <w:style w:type="paragraph" w:customStyle="1" w:styleId="532">
    <w:name w:val="三级无"/>
    <w:basedOn w:val="290"/>
    <w:qFormat/>
    <w:uiPriority w:val="0"/>
    <w:pPr>
      <w:spacing w:before="0" w:beforeLines="0" w:after="0" w:afterLines="0"/>
    </w:pPr>
    <w:rPr>
      <w:rFonts w:ascii="宋体" w:eastAsia="宋体"/>
    </w:rPr>
  </w:style>
  <w:style w:type="character" w:customStyle="1" w:styleId="533">
    <w:name w:val="五级无标题条 Char"/>
    <w:link w:val="329"/>
    <w:qFormat/>
    <w:uiPriority w:val="0"/>
    <w:rPr>
      <w:rFonts w:asciiTheme="majorEastAsia" w:eastAsiaTheme="majorEastAsia"/>
      <w:sz w:val="21"/>
      <w:szCs w:val="21"/>
    </w:rPr>
  </w:style>
  <w:style w:type="character" w:customStyle="1" w:styleId="534">
    <w:name w:val="四级无标题条 Char"/>
    <w:link w:val="328"/>
    <w:qFormat/>
    <w:uiPriority w:val="0"/>
    <w:rPr>
      <w:rFonts w:asciiTheme="majorEastAsia" w:eastAsiaTheme="majorEastAsia"/>
      <w:sz w:val="21"/>
      <w:szCs w:val="21"/>
    </w:rPr>
  </w:style>
  <w:style w:type="paragraph" w:customStyle="1" w:styleId="535">
    <w:name w:val="发布部门"/>
    <w:next w:val="25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3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character" w:customStyle="1" w:styleId="537">
    <w:name w:val="标题 1 字符"/>
    <w:link w:val="3"/>
    <w:qFormat/>
    <w:uiPriority w:val="0"/>
    <w:rPr>
      <w:b/>
      <w:bCs/>
      <w:kern w:val="44"/>
      <w:sz w:val="44"/>
      <w:szCs w:val="44"/>
    </w:rPr>
  </w:style>
  <w:style w:type="character" w:customStyle="1" w:styleId="538">
    <w:name w:val="标题 2 字符"/>
    <w:link w:val="4"/>
    <w:qFormat/>
    <w:uiPriority w:val="0"/>
    <w:rPr>
      <w:rFonts w:ascii="Arial" w:hAnsi="Arial" w:eastAsia="黑体"/>
      <w:b/>
      <w:bCs/>
      <w:kern w:val="2"/>
      <w:sz w:val="32"/>
      <w:szCs w:val="32"/>
    </w:rPr>
  </w:style>
  <w:style w:type="character" w:customStyle="1" w:styleId="539">
    <w:name w:val="标题 4 字符"/>
    <w:link w:val="6"/>
    <w:qFormat/>
    <w:uiPriority w:val="0"/>
    <w:rPr>
      <w:rFonts w:ascii="Arial" w:hAnsi="Arial" w:eastAsia="黑体"/>
      <w:b/>
      <w:bCs/>
      <w:kern w:val="2"/>
      <w:sz w:val="28"/>
      <w:szCs w:val="28"/>
    </w:rPr>
  </w:style>
  <w:style w:type="character" w:customStyle="1" w:styleId="540">
    <w:name w:val="页脚 字符"/>
    <w:link w:val="59"/>
    <w:qFormat/>
    <w:locked/>
    <w:uiPriority w:val="99"/>
    <w:rPr>
      <w:kern w:val="2"/>
      <w:sz w:val="18"/>
      <w:szCs w:val="18"/>
    </w:rPr>
  </w:style>
  <w:style w:type="character" w:customStyle="1" w:styleId="541">
    <w:name w:val="页眉 字符"/>
    <w:link w:val="61"/>
    <w:qFormat/>
    <w:locked/>
    <w:uiPriority w:val="99"/>
    <w:rPr>
      <w:kern w:val="2"/>
      <w:sz w:val="18"/>
      <w:szCs w:val="18"/>
    </w:rPr>
  </w:style>
  <w:style w:type="character" w:customStyle="1" w:styleId="542">
    <w:name w:val="项文 Char"/>
    <w:link w:val="543"/>
    <w:qFormat/>
    <w:locked/>
    <w:uiPriority w:val="99"/>
    <w:rPr>
      <w:sz w:val="21"/>
      <w:szCs w:val="21"/>
    </w:rPr>
  </w:style>
  <w:style w:type="paragraph" w:customStyle="1" w:styleId="543">
    <w:name w:val="项文"/>
    <w:basedOn w:val="1"/>
    <w:link w:val="542"/>
    <w:qFormat/>
    <w:uiPriority w:val="99"/>
    <w:pPr>
      <w:spacing w:line="360" w:lineRule="auto"/>
      <w:ind w:firstLine="300" w:firstLineChars="300"/>
    </w:pPr>
    <w:rPr>
      <w:kern w:val="0"/>
      <w:szCs w:val="21"/>
    </w:rPr>
  </w:style>
  <w:style w:type="character" w:customStyle="1" w:styleId="544">
    <w:name w:val="条文{858D7CFB-ED40-4347-BF05-701D383B685F}"/>
    <w:link w:val="545"/>
    <w:qFormat/>
    <w:uiPriority w:val="0"/>
    <w:rPr>
      <w:kern w:val="2"/>
      <w:sz w:val="21"/>
      <w:szCs w:val="24"/>
    </w:rPr>
  </w:style>
  <w:style w:type="paragraph" w:customStyle="1" w:styleId="545">
    <w:name w:val="条文"/>
    <w:basedOn w:val="1"/>
    <w:link w:val="544"/>
    <w:qFormat/>
    <w:uiPriority w:val="0"/>
    <w:pPr>
      <w:spacing w:line="360" w:lineRule="auto"/>
    </w:pPr>
  </w:style>
  <w:style w:type="character" w:customStyle="1" w:styleId="546">
    <w:name w:val="款文 Char"/>
    <w:link w:val="547"/>
    <w:qFormat/>
    <w:locked/>
    <w:uiPriority w:val="99"/>
    <w:rPr>
      <w:sz w:val="18"/>
      <w:szCs w:val="18"/>
    </w:rPr>
  </w:style>
  <w:style w:type="paragraph" w:customStyle="1" w:styleId="547">
    <w:name w:val="款文"/>
    <w:basedOn w:val="1"/>
    <w:link w:val="546"/>
    <w:qFormat/>
    <w:uiPriority w:val="99"/>
    <w:pPr>
      <w:spacing w:line="360" w:lineRule="auto"/>
      <w:ind w:firstLine="420" w:firstLineChars="200"/>
    </w:pPr>
    <w:rPr>
      <w:kern w:val="0"/>
      <w:sz w:val="18"/>
      <w:szCs w:val="18"/>
    </w:rPr>
  </w:style>
  <w:style w:type="paragraph" w:customStyle="1" w:styleId="54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49">
    <w:name w:val="0609 条款首行(带编号)"/>
    <w:basedOn w:val="1"/>
    <w:qFormat/>
    <w:uiPriority w:val="0"/>
  </w:style>
  <w:style w:type="paragraph" w:customStyle="1" w:styleId="550">
    <w:name w:val="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55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52">
    <w:name w:val="0609 正文-0"/>
    <w:basedOn w:val="1"/>
    <w:qFormat/>
    <w:uiPriority w:val="0"/>
    <w:pPr>
      <w:ind w:firstLine="420"/>
    </w:pPr>
  </w:style>
  <w:style w:type="paragraph" w:customStyle="1" w:styleId="553">
    <w:name w:val="TOC 标题2"/>
    <w:basedOn w:val="3"/>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554">
    <w:name w:val="二级无"/>
    <w:basedOn w:val="261"/>
    <w:qFormat/>
    <w:uiPriority w:val="0"/>
    <w:pPr>
      <w:numPr>
        <w:ilvl w:val="3"/>
        <w:numId w:val="27"/>
      </w:numPr>
      <w:tabs>
        <w:tab w:val="left" w:pos="360"/>
      </w:tabs>
      <w:spacing w:before="0" w:beforeLines="0" w:after="0" w:afterLines="0"/>
      <w:jc w:val="both"/>
      <w:outlineLvl w:val="3"/>
    </w:pPr>
    <w:rPr>
      <w:szCs w:val="22"/>
    </w:rPr>
  </w:style>
  <w:style w:type="paragraph" w:customStyle="1" w:styleId="555">
    <w:name w:val="标准文件_三级无标题"/>
    <w:basedOn w:val="1"/>
    <w:qFormat/>
    <w:uiPriority w:val="0"/>
    <w:pPr>
      <w:widowControl/>
    </w:pPr>
    <w:rPr>
      <w:rFonts w:ascii="宋体"/>
      <w:kern w:val="0"/>
      <w:szCs w:val="20"/>
    </w:rPr>
  </w:style>
  <w:style w:type="paragraph" w:customStyle="1" w:styleId="556">
    <w:name w:val="标准文件_四级无标题"/>
    <w:basedOn w:val="1"/>
    <w:qFormat/>
    <w:uiPriority w:val="0"/>
    <w:pPr>
      <w:tabs>
        <w:tab w:val="left" w:pos="2520"/>
      </w:tabs>
      <w:ind w:left="1986" w:hanging="420"/>
    </w:pPr>
    <w:rPr>
      <w:rFonts w:ascii="宋体" w:hAnsi="黑体"/>
      <w:kern w:val="0"/>
      <w:szCs w:val="52"/>
    </w:rPr>
  </w:style>
  <w:style w:type="paragraph" w:customStyle="1" w:styleId="557">
    <w:name w:val="25号令-正文."/>
    <w:basedOn w:val="1"/>
    <w:qFormat/>
    <w:uiPriority w:val="0"/>
    <w:pPr>
      <w:widowControl/>
      <w:ind w:firstLine="420" w:firstLineChars="200"/>
    </w:pPr>
    <w:rPr>
      <w:rFonts w:ascii="宋体" w:hAnsi="宋体"/>
      <w:kern w:val="0"/>
      <w:szCs w:val="21"/>
    </w:rPr>
  </w:style>
  <w:style w:type="paragraph" w:customStyle="1" w:styleId="55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559">
    <w:name w:val="xspcurrentitem10"/>
    <w:qFormat/>
    <w:uiPriority w:val="0"/>
    <w:rPr>
      <w:color w:val="848484"/>
    </w:rPr>
  </w:style>
  <w:style w:type="character" w:customStyle="1" w:styleId="560">
    <w:name w:val="dijitarrowbuttoninner16"/>
    <w:qFormat/>
    <w:uiPriority w:val="0"/>
    <w:rPr>
      <w:vanish/>
    </w:rPr>
  </w:style>
  <w:style w:type="character" w:customStyle="1" w:styleId="561">
    <w:name w:val="button"/>
    <w:qFormat/>
    <w:uiPriority w:val="0"/>
  </w:style>
  <w:style w:type="character" w:customStyle="1" w:styleId="562">
    <w:name w:val="tmpztreemove_arrow"/>
    <w:qFormat/>
    <w:uiPriority w:val="0"/>
  </w:style>
  <w:style w:type="character" w:customStyle="1" w:styleId="563">
    <w:name w:val="xspcurrentitem6"/>
    <w:qFormat/>
    <w:uiPriority w:val="0"/>
    <w:rPr>
      <w:color w:val="848484"/>
    </w:rPr>
  </w:style>
  <w:style w:type="paragraph" w:customStyle="1" w:styleId="564">
    <w:name w:val="标准文件_一级项"/>
    <w:qFormat/>
    <w:uiPriority w:val="0"/>
    <w:pPr>
      <w:numPr>
        <w:ilvl w:val="0"/>
        <w:numId w:val="28"/>
      </w:numPr>
      <w:tabs>
        <w:tab w:val="left" w:pos="851"/>
      </w:tabs>
    </w:pPr>
    <w:rPr>
      <w:rFonts w:ascii="宋体" w:hAnsi="Times New Roman" w:eastAsia="宋体" w:cs="Times New Roman"/>
      <w:sz w:val="21"/>
      <w:lang w:val="en-US" w:eastAsia="zh-CN" w:bidi="ar-SA"/>
    </w:rPr>
  </w:style>
  <w:style w:type="paragraph" w:customStyle="1" w:styleId="565">
    <w:name w:val="shuzikuohao"/>
    <w:basedOn w:val="1"/>
    <w:qFormat/>
    <w:uiPriority w:val="12"/>
    <w:pPr>
      <w:numPr>
        <w:ilvl w:val="0"/>
        <w:numId w:val="29"/>
      </w:numPr>
      <w:tabs>
        <w:tab w:val="left" w:pos="993"/>
      </w:tabs>
      <w:spacing w:line="360" w:lineRule="auto"/>
      <w:ind w:right="-1"/>
    </w:pPr>
    <w:rPr>
      <w:sz w:val="24"/>
    </w:rPr>
  </w:style>
  <w:style w:type="paragraph" w:customStyle="1" w:styleId="566">
    <w:name w:val="Special"/>
    <w:basedOn w:val="1"/>
    <w:next w:val="1"/>
    <w:qFormat/>
    <w:uiPriority w:val="0"/>
    <w:pPr>
      <w:widowControl/>
      <w:spacing w:after="240" w:line="230" w:lineRule="atLeast"/>
    </w:pPr>
    <w:rPr>
      <w:rFonts w:ascii="Arial" w:hAnsi="Arial"/>
      <w:kern w:val="0"/>
      <w:sz w:val="20"/>
      <w:szCs w:val="20"/>
      <w:lang w:val="en-GB" w:eastAsia="en-US"/>
    </w:rPr>
  </w:style>
  <w:style w:type="character" w:customStyle="1" w:styleId="567">
    <w:name w:val="页脚 字符1"/>
    <w:qFormat/>
    <w:locked/>
    <w:uiPriority w:val="0"/>
    <w:rPr>
      <w:kern w:val="2"/>
      <w:sz w:val="18"/>
      <w:szCs w:val="24"/>
    </w:rPr>
  </w:style>
  <w:style w:type="paragraph" w:customStyle="1" w:styleId="568">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6" Type="http://schemas.openxmlformats.org/officeDocument/2006/relationships/glossaryDocument" Target="glossary/document.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6.wmf"/><Relationship Id="rId30" Type="http://schemas.openxmlformats.org/officeDocument/2006/relationships/oleObject" Target="embeddings/oleObject5.bin"/><Relationship Id="rId3" Type="http://schemas.openxmlformats.org/officeDocument/2006/relationships/footer" Target="footer1.xml"/><Relationship Id="rId29" Type="http://schemas.openxmlformats.org/officeDocument/2006/relationships/image" Target="media/image5.wmf"/><Relationship Id="rId28" Type="http://schemas.openxmlformats.org/officeDocument/2006/relationships/oleObject" Target="embeddings/oleObject4.bin"/><Relationship Id="rId27" Type="http://schemas.openxmlformats.org/officeDocument/2006/relationships/image" Target="media/image4.wmf"/><Relationship Id="rId26" Type="http://schemas.openxmlformats.org/officeDocument/2006/relationships/oleObject" Target="embeddings/oleObject3.bin"/><Relationship Id="rId25" Type="http://schemas.openxmlformats.org/officeDocument/2006/relationships/image" Target="media/image3.wmf"/><Relationship Id="rId24" Type="http://schemas.openxmlformats.org/officeDocument/2006/relationships/oleObject" Target="embeddings/oleObject2.bin"/><Relationship Id="rId23" Type="http://schemas.openxmlformats.org/officeDocument/2006/relationships/image" Target="media/image2.wmf"/><Relationship Id="rId22" Type="http://schemas.openxmlformats.org/officeDocument/2006/relationships/oleObject" Target="embeddings/oleObject1.bin"/><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9BE852335354B25A9A1502BD6B4F871"/>
        <w:style w:val=""/>
        <w:category>
          <w:name w:val="常规"/>
          <w:gallery w:val="placeholder"/>
        </w:category>
        <w:types>
          <w:type w:val="bbPlcHdr"/>
        </w:types>
        <w:behaviors>
          <w:behavior w:val="content"/>
        </w:behaviors>
        <w:description w:val=""/>
        <w:guid w:val="{217E8AD6-D0C5-4280-9F7C-798E10C55AAF}"/>
      </w:docPartPr>
      <w:docPartBody>
        <w:p w14:paraId="4254B072">
          <w:pPr>
            <w:pStyle w:val="5"/>
          </w:pPr>
          <w:r>
            <w:rPr>
              <w:rStyle w:val="4"/>
              <w:rFonts w:hint="eastAsia"/>
            </w:rPr>
            <w:t>选择一项。</w:t>
          </w:r>
        </w:p>
      </w:docPartBody>
    </w:docPart>
    <w:docPart>
      <w:docPartPr>
        <w:name w:val="F15AA0937B0E4072B2014D8F39C268A5"/>
        <w:style w:val=""/>
        <w:category>
          <w:name w:val="常规"/>
          <w:gallery w:val="placeholder"/>
        </w:category>
        <w:types>
          <w:type w:val="bbPlcHdr"/>
        </w:types>
        <w:behaviors>
          <w:behavior w:val="content"/>
        </w:behaviors>
        <w:description w:val=""/>
        <w:guid w:val="{A2B14580-3EBB-43F2-A275-C429E093176D}"/>
      </w:docPartPr>
      <w:docPartBody>
        <w:p w14:paraId="7E7B3591">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DB"/>
    <w:rsid w:val="00030B03"/>
    <w:rsid w:val="00032445"/>
    <w:rsid w:val="00032CD5"/>
    <w:rsid w:val="00041393"/>
    <w:rsid w:val="00073CAF"/>
    <w:rsid w:val="00095DBF"/>
    <w:rsid w:val="000E1C75"/>
    <w:rsid w:val="001840EB"/>
    <w:rsid w:val="0019793D"/>
    <w:rsid w:val="0022495B"/>
    <w:rsid w:val="00246365"/>
    <w:rsid w:val="002B1F71"/>
    <w:rsid w:val="002B428D"/>
    <w:rsid w:val="0034464D"/>
    <w:rsid w:val="00403F9D"/>
    <w:rsid w:val="00407EA1"/>
    <w:rsid w:val="005478E4"/>
    <w:rsid w:val="00573E4F"/>
    <w:rsid w:val="005841D1"/>
    <w:rsid w:val="00591112"/>
    <w:rsid w:val="00592E19"/>
    <w:rsid w:val="005E6BB4"/>
    <w:rsid w:val="00607519"/>
    <w:rsid w:val="00610A7D"/>
    <w:rsid w:val="00647714"/>
    <w:rsid w:val="006F6720"/>
    <w:rsid w:val="007F73E1"/>
    <w:rsid w:val="00855BD5"/>
    <w:rsid w:val="00884AB8"/>
    <w:rsid w:val="00886798"/>
    <w:rsid w:val="008871B5"/>
    <w:rsid w:val="008D2ADB"/>
    <w:rsid w:val="00904DA6"/>
    <w:rsid w:val="00917F7D"/>
    <w:rsid w:val="009506DE"/>
    <w:rsid w:val="009E21BD"/>
    <w:rsid w:val="009F3D01"/>
    <w:rsid w:val="00A006AA"/>
    <w:rsid w:val="00A47B51"/>
    <w:rsid w:val="00A57751"/>
    <w:rsid w:val="00A71028"/>
    <w:rsid w:val="00AA5CBE"/>
    <w:rsid w:val="00B045CF"/>
    <w:rsid w:val="00B12C9B"/>
    <w:rsid w:val="00B54A52"/>
    <w:rsid w:val="00B55016"/>
    <w:rsid w:val="00BA1796"/>
    <w:rsid w:val="00BB647C"/>
    <w:rsid w:val="00C44731"/>
    <w:rsid w:val="00C452AA"/>
    <w:rsid w:val="00C568A3"/>
    <w:rsid w:val="00D76C46"/>
    <w:rsid w:val="00DC12E5"/>
    <w:rsid w:val="00DD0CB2"/>
    <w:rsid w:val="00E07B02"/>
    <w:rsid w:val="00E75E12"/>
    <w:rsid w:val="00F9129B"/>
    <w:rsid w:val="00FD40A6"/>
    <w:rsid w:val="00FD6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9BE852335354B25A9A1502BD6B4F87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15AA0937B0E4072B2014D8F39C268A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6D8976-C05A-4992-9E25-8381982D37B0}">
  <ds:schemaRefs/>
</ds:datastoreItem>
</file>

<file path=docProps/app.xml><?xml version="1.0" encoding="utf-8"?>
<Properties xmlns="http://schemas.openxmlformats.org/officeDocument/2006/extended-properties" xmlns:vt="http://schemas.openxmlformats.org/officeDocument/2006/docPropsVTypes">
  <Template>Normal</Template>
  <Pages>30</Pages>
  <Words>7360</Words>
  <Characters>8064</Characters>
  <Lines>152</Lines>
  <Paragraphs>43</Paragraphs>
  <TotalTime>1758</TotalTime>
  <ScaleCrop>false</ScaleCrop>
  <LinksUpToDate>false</LinksUpToDate>
  <CharactersWithSpaces>8289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2025-04-01T11:06:00Z</dcterms:created>
  <dc:creator>haojm</dc:creator>
  <cp:lastModifiedBy>一开心月</cp:lastModifiedBy>
  <cp:lastPrinted>2025-04-27T14:17:00Z</cp:lastPrinted>
  <dcterms:modified xsi:type="dcterms:W3CDTF">2025-04-28T00:33:21Z</dcterms:modified>
  <cp:revision>2249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32571E5BBEE44446863AE6F021AE014B_13</vt:lpwstr>
  </property>
  <property fmtid="{D5CDD505-2E9C-101B-9397-08002B2CF9AE}" pid="4" name="条文说明标记" linkTarget="条文说明标记">
    <vt:lpwstr>无</vt:lpwstr>
  </property>
  <property fmtid="{D5CDD505-2E9C-101B-9397-08002B2CF9AE}" pid="5" name="文件标记" linkTarget="文件标记">
    <vt:lpwstr>蓝元软件</vt:lpwstr>
  </property>
  <property fmtid="{D5CDD505-2E9C-101B-9397-08002B2CF9AE}" pid="6" name="标准版本" linkTarget="标准版本">
    <vt:lpwstr>2020</vt:lpwstr>
  </property>
  <property fmtid="{D5CDD505-2E9C-101B-9397-08002B2CF9AE}" pid="7" name="ICS" linkTarget="ICS">
    <vt:lpwstr>ICS13.100</vt:lpwstr>
  </property>
  <property fmtid="{D5CDD505-2E9C-101B-9397-08002B2CF9AE}" pid="8" name="CCS" linkTarget="CCS">
    <vt:lpwstr>CCSE09</vt:lpwstr>
  </property>
  <property fmtid="{D5CDD505-2E9C-101B-9397-08002B2CF9AE}" pid="9" name="BAH" linkTarget="BAH">
    <vt:lpwstr>备案号：</vt:lpwstr>
  </property>
  <property fmtid="{D5CDD505-2E9C-101B-9397-08002B2CF9AE}" pid="10" name="BT" linkTarget="BT">
    <vt:lpwstr>中华人民共和国国家标准</vt:lpwstr>
  </property>
  <property fmtid="{D5CDD505-2E9C-101B-9397-08002B2CF9AE}" pid="11" name="BZBH" linkTarget="BZBH">
    <vt:lpwstr>GB</vt:lpwstr>
  </property>
  <property fmtid="{D5CDD505-2E9C-101B-9397-08002B2CF9AE}" pid="12" name="TDBH" linkTarget="TDBH">
    <vt:lpwstr/>
  </property>
  <property fmtid="{D5CDD505-2E9C-101B-9397-08002B2CF9AE}" pid="13" name="BZMC" linkTarget="BZMC">
    <vt:lpwstr>海洋石油固定平台安全规范</vt:lpwstr>
  </property>
  <property fmtid="{D5CDD505-2E9C-101B-9397-08002B2CF9AE}" pid="14" name="YWMC" linkTarget="YWMC">
    <vt:lpwstr>Safety specification for offshore fixed platforms</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GB</vt:lpwstr>
  </property>
  <property fmtid="{D5CDD505-2E9C-101B-9397-08002B2CF9AE}" pid="20" name="标准类型" linkTarget="标准类型">
    <vt:lpwstr>GB</vt:lpwstr>
  </property>
  <property fmtid="{D5CDD505-2E9C-101B-9397-08002B2CF9AE}" pid="21" name="FBDW" linkTarget="FBDW">
    <vt:lpwstr>国家市场监督管理总局###ENTER###国家标准化管理委员会</vt:lpwstr>
  </property>
  <property fmtid="{D5CDD505-2E9C-101B-9397-08002B2CF9AE}" pid="22" name="IMAGE" linkTarget="IMAGE">
    <vt:lpwstr>GB.bmp</vt:lpwstr>
  </property>
  <property fmtid="{D5CDD505-2E9C-101B-9397-08002B2CF9AE}" pid="23" name="KSOTemplateDocerSaveRecord">
    <vt:lpwstr>eyJoZGlkIjoiMjQ4NDg2MmY5ZTMwMzJiYTFmODk5NDNiMWJkNzIyNzkiLCJ1c2VySWQiOiIxMDYyMjU4NjU1In0=</vt:lpwstr>
  </property>
</Properties>
</file>