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framePr w:w="9639" w:h="624" w:hRule="exact" w:hSpace="181" w:vSpace="181" w:wrap="around" w:vAnchor="text" w:hAnchor="page" w:x="1490" w:y="1308"/>
        <w:rPr>
          <w:rFonts w:hint="eastAsia" w:ascii="黑体" w:hAnsi="黑体" w:eastAsia="黑体"/>
          <w:b w:val="0"/>
          <w:bCs w:val="0"/>
          <w:w w:val="100"/>
          <w:sz w:val="48"/>
          <w:szCs w:val="48"/>
        </w:rPr>
      </w:pPr>
      <w:bookmarkStart w:id="0" w:name="_Hlk26473981"/>
      <w:r>
        <w:rPr>
          <w:rFonts w:hint="eastAsia" w:ascii="黑体" w:hAnsi="黑体" w:eastAsia="黑体"/>
          <w:b w:val="0"/>
          <w:bCs w:val="0"/>
          <w:w w:val="100"/>
          <w:sz w:val="48"/>
          <w:szCs w:val="48"/>
        </w:rPr>
        <w:t>中华人民共和国</w:t>
      </w:r>
      <w:r>
        <w:rPr>
          <w:rFonts w:hint="eastAsia" w:ascii="黑体" w:hAnsi="黑体" w:eastAsia="黑体"/>
          <w:b w:val="0"/>
          <w:bCs w:val="0"/>
          <w:w w:val="100"/>
          <w:sz w:val="48"/>
          <w:szCs w:val="48"/>
          <w:lang w:eastAsia="zh-CN"/>
        </w:rPr>
        <w:t>应急管理</w:t>
      </w:r>
      <w:r>
        <w:rPr>
          <w:rFonts w:hint="eastAsia" w:ascii="黑体" w:hAnsi="黑体" w:eastAsia="黑体"/>
          <w:b w:val="0"/>
          <w:bCs w:val="0"/>
          <w:w w:val="100"/>
          <w:sz w:val="48"/>
          <w:szCs w:val="48"/>
        </w:rPr>
        <w:t>行业标准</w:t>
      </w:r>
    </w:p>
    <w:bookmarkEnd w:id="0"/>
    <w:p>
      <w:pPr>
        <w:rPr>
          <w:rFonts w:hint="eastAsia" w:ascii="黑体" w:hAnsi="黑体" w:eastAsia="黑体"/>
          <w:kern w:val="0"/>
          <w:sz w:val="10"/>
          <w:szCs w:val="10"/>
          <w:lang w:val="fr-FR"/>
        </w:rPr>
      </w:pPr>
      <w:r>
        <w:rPr>
          <w:sz w:val="10"/>
        </w:rPr>
        <mc:AlternateContent>
          <mc:Choice Requires="wps">
            <w:drawing>
              <wp:anchor distT="0" distB="0" distL="114300" distR="114300" simplePos="0" relativeHeight="251663360" behindDoc="0" locked="0" layoutInCell="1" allowOverlap="1">
                <wp:simplePos x="0" y="0"/>
                <wp:positionH relativeFrom="column">
                  <wp:posOffset>-7620</wp:posOffset>
                </wp:positionH>
                <wp:positionV relativeFrom="paragraph">
                  <wp:posOffset>-459740</wp:posOffset>
                </wp:positionV>
                <wp:extent cx="1909445" cy="914400"/>
                <wp:effectExtent l="0" t="0" r="0" b="0"/>
                <wp:wrapNone/>
                <wp:docPr id="10" name="文本框 10"/>
                <wp:cNvGraphicFramePr/>
                <a:graphic xmlns:a="http://schemas.openxmlformats.org/drawingml/2006/main">
                  <a:graphicData uri="http://schemas.microsoft.com/office/word/2010/wordprocessingShape">
                    <wps:wsp>
                      <wps:cNvSpPr txBox="1"/>
                      <wps:spPr>
                        <a:xfrm>
                          <a:off x="1129665" y="556895"/>
                          <a:ext cx="1909445" cy="914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numPr>
                                <w:ilvl w:val="0"/>
                                <w:numId w:val="0"/>
                              </w:numPr>
                              <w:kinsoku/>
                              <w:wordWrap/>
                              <w:overflowPunct/>
                              <w:topLinePunct w:val="0"/>
                              <w:autoSpaceDE/>
                              <w:autoSpaceDN/>
                              <w:bidi w:val="0"/>
                              <w:adjustRightInd/>
                              <w:snapToGrid/>
                              <w:spacing w:line="560" w:lineRule="exact"/>
                              <w:jc w:val="both"/>
                              <w:textAlignment w:val="auto"/>
                              <w:rPr>
                                <w:rFonts w:hint="eastAsia" w:ascii="Times New Roman" w:hAnsi="Times New Roman" w:eastAsia="黑体" w:cs="Times New Roman"/>
                                <w:kern w:val="2"/>
                                <w:sz w:val="21"/>
                                <w:szCs w:val="21"/>
                                <w:bdr w:val="single" w:color="FFFFFF" w:themeColor="background1" w:sz="2" w:space="0"/>
                                <w:lang w:val="en-US" w:eastAsia="zh-CN" w:bidi="ar-SA"/>
                              </w:rPr>
                            </w:pPr>
                            <w:r>
                              <w:rPr>
                                <w:rFonts w:hint="eastAsia" w:ascii="宋体" w:hAnsi="宋体" w:eastAsia="方正公文黑体" w:cs="方正公文黑体"/>
                                <w:sz w:val="32"/>
                                <w:szCs w:val="32"/>
                                <w:lang w:val="en-US" w:eastAsia="zh-CN"/>
                              </w:rPr>
                              <w:t>附件1</w:t>
                            </w:r>
                          </w:p>
                          <w:p>
                            <w:pPr>
                              <w:rPr>
                                <w:rFonts w:hint="eastAsia" w:ascii="Times New Roman" w:hAnsi="Times New Roman" w:eastAsia="黑体" w:cs="Times New Roman"/>
                                <w:kern w:val="2"/>
                                <w:sz w:val="21"/>
                                <w:szCs w:val="21"/>
                                <w:bdr w:val="single" w:color="FFFFFF" w:themeColor="background1" w:sz="2" w:space="0"/>
                                <w:lang w:val="en-US" w:eastAsia="zh-CN" w:bidi="ar-SA"/>
                              </w:rPr>
                            </w:pPr>
                          </w:p>
                          <w:p>
                            <w:pPr>
                              <w:rPr>
                                <w:rFonts w:hint="eastAsia" w:ascii="Times New Roman" w:hAnsi="Times New Roman" w:eastAsia="黑体" w:cs="Times New Roman"/>
                                <w:kern w:val="2"/>
                                <w:sz w:val="21"/>
                                <w:szCs w:val="21"/>
                                <w:bdr w:val="single" w:color="FFFFFF" w:themeColor="background1" w:sz="2" w:space="0"/>
                                <w:lang w:val="en-US" w:eastAsia="zh-CN" w:bidi="ar-SA"/>
                              </w:rPr>
                            </w:pPr>
                            <w:r>
                              <w:rPr>
                                <w:rFonts w:hint="eastAsia" w:ascii="Times New Roman" w:hAnsi="Times New Roman" w:eastAsia="黑体" w:cs="Times New Roman"/>
                                <w:kern w:val="2"/>
                                <w:sz w:val="21"/>
                                <w:szCs w:val="21"/>
                                <w:bdr w:val="single" w:color="FFFFFF" w:themeColor="background1" w:sz="2" w:space="0"/>
                                <w:lang w:val="en-US" w:eastAsia="zh-CN" w:bidi="ar-SA"/>
                              </w:rPr>
                              <w:t>ICS   13.2</w:t>
                            </w:r>
                          </w:p>
                          <w:p>
                            <w:pPr>
                              <w:rPr>
                                <w:rFonts w:hint="default" w:ascii="Times New Roman" w:hAnsi="Times New Roman" w:eastAsia="黑体" w:cs="Times New Roman"/>
                                <w:kern w:val="2"/>
                                <w:sz w:val="21"/>
                                <w:szCs w:val="21"/>
                                <w:bdr w:val="single" w:color="FFFFFF" w:themeColor="background1" w:sz="2" w:space="0"/>
                                <w:lang w:val="en-US" w:eastAsia="zh-CN" w:bidi="ar-SA"/>
                              </w:rPr>
                            </w:pPr>
                            <w:r>
                              <w:rPr>
                                <w:rFonts w:hint="eastAsia" w:ascii="Times New Roman" w:hAnsi="Times New Roman" w:eastAsia="黑体" w:cs="Times New Roman"/>
                                <w:kern w:val="2"/>
                                <w:sz w:val="21"/>
                                <w:szCs w:val="21"/>
                                <w:bdr w:val="single" w:color="FFFFFF" w:themeColor="background1" w:sz="2" w:space="0"/>
                                <w:lang w:val="en-US" w:eastAsia="zh-CN" w:bidi="ar-SA"/>
                              </w:rPr>
                              <w:t>CCS  A90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6pt;margin-top:-36.2pt;height:72pt;width:150.35pt;z-index:251663360;mso-width-relative:page;mso-height-relative:page;" filled="f" stroked="f" coordsize="21600,21600" o:gfxdata="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8umKitsAAAAJAQAADwAAAAAAAAAB&#10;ACAAAAAiAAAAZHJzL2Rvd25yZXYueG1sUEsBAhQAFAAAAAgAh07iQJCQSkFGAgAAcwQAAA4AAAAA&#10;AAAAAQAgAAAAKgEAAGRycy9lMm9Eb2MueG1sUEsFBgAAAAAGAAYAWQEAAOIFAAAAAA==&#10;">
                <v:fill on="f" focussize="0,0"/>
                <v:stroke on="f" weight="0.5pt"/>
                <v:imagedata o:title=""/>
                <o:lock v:ext="edit" aspectratio="f"/>
                <v:textbox>
                  <w:txbxContent>
                    <w:p>
                      <w:pPr>
                        <w:keepNext w:val="0"/>
                        <w:keepLines w:val="0"/>
                        <w:pageBreakBefore w:val="0"/>
                        <w:widowControl/>
                        <w:numPr>
                          <w:ilvl w:val="0"/>
                          <w:numId w:val="0"/>
                        </w:numPr>
                        <w:kinsoku/>
                        <w:wordWrap/>
                        <w:overflowPunct/>
                        <w:topLinePunct w:val="0"/>
                        <w:autoSpaceDE/>
                        <w:autoSpaceDN/>
                        <w:bidi w:val="0"/>
                        <w:adjustRightInd/>
                        <w:snapToGrid/>
                        <w:spacing w:line="560" w:lineRule="exact"/>
                        <w:jc w:val="both"/>
                        <w:textAlignment w:val="auto"/>
                        <w:rPr>
                          <w:rFonts w:hint="eastAsia" w:ascii="Times New Roman" w:hAnsi="Times New Roman" w:eastAsia="黑体" w:cs="Times New Roman"/>
                          <w:kern w:val="2"/>
                          <w:sz w:val="21"/>
                          <w:szCs w:val="21"/>
                          <w:bdr w:val="single" w:color="FFFFFF" w:themeColor="background1" w:sz="2" w:space="0"/>
                          <w:lang w:val="en-US" w:eastAsia="zh-CN" w:bidi="ar-SA"/>
                        </w:rPr>
                      </w:pPr>
                      <w:r>
                        <w:rPr>
                          <w:rFonts w:hint="eastAsia" w:ascii="宋体" w:hAnsi="宋体" w:eastAsia="方正公文黑体" w:cs="方正公文黑体"/>
                          <w:sz w:val="32"/>
                          <w:szCs w:val="32"/>
                          <w:lang w:val="en-US" w:eastAsia="zh-CN"/>
                        </w:rPr>
                        <w:t>附件1</w:t>
                      </w:r>
                    </w:p>
                    <w:p>
                      <w:pPr>
                        <w:rPr>
                          <w:rFonts w:hint="eastAsia" w:ascii="Times New Roman" w:hAnsi="Times New Roman" w:eastAsia="黑体" w:cs="Times New Roman"/>
                          <w:kern w:val="2"/>
                          <w:sz w:val="21"/>
                          <w:szCs w:val="21"/>
                          <w:bdr w:val="single" w:color="FFFFFF" w:themeColor="background1" w:sz="2" w:space="0"/>
                          <w:lang w:val="en-US" w:eastAsia="zh-CN" w:bidi="ar-SA"/>
                        </w:rPr>
                      </w:pPr>
                    </w:p>
                    <w:p>
                      <w:pPr>
                        <w:rPr>
                          <w:rFonts w:hint="eastAsia" w:ascii="Times New Roman" w:hAnsi="Times New Roman" w:eastAsia="黑体" w:cs="Times New Roman"/>
                          <w:kern w:val="2"/>
                          <w:sz w:val="21"/>
                          <w:szCs w:val="21"/>
                          <w:bdr w:val="single" w:color="FFFFFF" w:themeColor="background1" w:sz="2" w:space="0"/>
                          <w:lang w:val="en-US" w:eastAsia="zh-CN" w:bidi="ar-SA"/>
                        </w:rPr>
                      </w:pPr>
                      <w:r>
                        <w:rPr>
                          <w:rFonts w:hint="eastAsia" w:ascii="Times New Roman" w:hAnsi="Times New Roman" w:eastAsia="黑体" w:cs="Times New Roman"/>
                          <w:kern w:val="2"/>
                          <w:sz w:val="21"/>
                          <w:szCs w:val="21"/>
                          <w:bdr w:val="single" w:color="FFFFFF" w:themeColor="background1" w:sz="2" w:space="0"/>
                          <w:lang w:val="en-US" w:eastAsia="zh-CN" w:bidi="ar-SA"/>
                        </w:rPr>
                        <w:t>ICS   13.2</w:t>
                      </w:r>
                    </w:p>
                    <w:p>
                      <w:pPr>
                        <w:rPr>
                          <w:rFonts w:hint="default" w:ascii="Times New Roman" w:hAnsi="Times New Roman" w:eastAsia="黑体" w:cs="Times New Roman"/>
                          <w:kern w:val="2"/>
                          <w:sz w:val="21"/>
                          <w:szCs w:val="21"/>
                          <w:bdr w:val="single" w:color="FFFFFF" w:themeColor="background1" w:sz="2" w:space="0"/>
                          <w:lang w:val="en-US" w:eastAsia="zh-CN" w:bidi="ar-SA"/>
                        </w:rPr>
                      </w:pPr>
                      <w:r>
                        <w:rPr>
                          <w:rFonts w:hint="eastAsia" w:ascii="Times New Roman" w:hAnsi="Times New Roman" w:eastAsia="黑体" w:cs="Times New Roman"/>
                          <w:kern w:val="2"/>
                          <w:sz w:val="21"/>
                          <w:szCs w:val="21"/>
                          <w:bdr w:val="single" w:color="FFFFFF" w:themeColor="background1" w:sz="2" w:space="0"/>
                          <w:lang w:val="en-US" w:eastAsia="zh-CN" w:bidi="ar-SA"/>
                        </w:rPr>
                        <w:t>CCS  A90</w:t>
                      </w:r>
                    </w:p>
                  </w:txbxContent>
                </v:textbox>
              </v:shape>
            </w:pict>
          </mc:Fallback>
        </mc:AlternateContent>
      </w:r>
      <w:r>
        <w:rPr>
          <w:sz w:val="10"/>
        </w:rPr>
        <mc:AlternateContent>
          <mc:Choice Requires="wps">
            <w:drawing>
              <wp:anchor distT="0" distB="0" distL="114300" distR="114300" simplePos="0" relativeHeight="251662336" behindDoc="0" locked="0" layoutInCell="1" allowOverlap="1">
                <wp:simplePos x="0" y="0"/>
                <wp:positionH relativeFrom="column">
                  <wp:posOffset>4522470</wp:posOffset>
                </wp:positionH>
                <wp:positionV relativeFrom="paragraph">
                  <wp:posOffset>7620</wp:posOffset>
                </wp:positionV>
                <wp:extent cx="1314450" cy="685800"/>
                <wp:effectExtent l="0" t="0" r="0" b="0"/>
                <wp:wrapNone/>
                <wp:docPr id="2" name="文本框 107"/>
                <wp:cNvGraphicFramePr/>
                <a:graphic xmlns:a="http://schemas.openxmlformats.org/drawingml/2006/main">
                  <a:graphicData uri="http://schemas.microsoft.com/office/word/2010/wordprocessingShape">
                    <wps:wsp>
                      <wps:cNvSpPr txBox="1"/>
                      <wps:spPr>
                        <a:xfrm>
                          <a:off x="0" y="0"/>
                          <a:ext cx="1314450" cy="685800"/>
                        </a:xfrm>
                        <a:prstGeom prst="rect">
                          <a:avLst/>
                        </a:prstGeom>
                        <a:noFill/>
                        <a:ln>
                          <a:noFill/>
                        </a:ln>
                      </wps:spPr>
                      <wps:txbx>
                        <w:txbxContent>
                          <w:p>
                            <w:pPr>
                              <w:jc w:val="center"/>
                              <w:rPr>
                                <w:rFonts w:hint="default" w:ascii="Times New Roman" w:hAnsi="Times New Roman" w:eastAsia="宋体"/>
                                <w:sz w:val="96"/>
                                <w:szCs w:val="96"/>
                                <w:lang w:val="en-US" w:eastAsia="zh-CN"/>
                              </w:rPr>
                            </w:pPr>
                            <w:r>
                              <w:rPr>
                                <w:rFonts w:hint="default" w:ascii="Times New Roman" w:hAnsi="Times New Roman"/>
                                <w:b/>
                                <w:bCs/>
                                <w:sz w:val="96"/>
                                <w:szCs w:val="96"/>
                                <w:lang w:val="en-US" w:eastAsia="zh-CN"/>
                              </w:rPr>
                              <w:t>YJ</w:t>
                            </w:r>
                          </w:p>
                        </w:txbxContent>
                      </wps:txbx>
                      <wps:bodyPr vert="horz" wrap="square" anchor="t" anchorCtr="0" upright="1"/>
                    </wps:wsp>
                  </a:graphicData>
                </a:graphic>
              </wp:anchor>
            </w:drawing>
          </mc:Choice>
          <mc:Fallback>
            <w:pict>
              <v:shape id="文本框 107" o:spid="_x0000_s1026" o:spt="202" type="#_x0000_t202" style="position:absolute;left:0pt;margin-left:356.1pt;margin-top:0.6pt;height:54pt;width:103.5pt;z-index:251662336;mso-width-relative:page;mso-height-relative:page;" filled="f" stroked="f" coordsize="21600,21600" o:gfxdata="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SAh0TTAAAACQEAAA8AAAAAAAAAAQAgAAAAIgAAAGRycy9k&#10;b3ducmV2LnhtbFBLAQIUABQAAAAIAIdO4kD0y8xJzgEAAIMDAAAOAAAAAAAAAAEAIAAAACIBAABk&#10;cnMvZTJvRG9jLnhtbFBLBQYAAAAABgAGAFkBAABiBQAAAAA=&#10;">
                <v:fill on="f" focussize="0,0"/>
                <v:stroke on="f"/>
                <v:imagedata o:title=""/>
                <o:lock v:ext="edit" aspectratio="f"/>
                <v:textbox>
                  <w:txbxContent>
                    <w:p>
                      <w:pPr>
                        <w:jc w:val="center"/>
                        <w:rPr>
                          <w:rFonts w:hint="default" w:ascii="Times New Roman" w:hAnsi="Times New Roman" w:eastAsia="宋体"/>
                          <w:sz w:val="96"/>
                          <w:szCs w:val="96"/>
                          <w:lang w:val="en-US" w:eastAsia="zh-CN"/>
                        </w:rPr>
                      </w:pPr>
                      <w:r>
                        <w:rPr>
                          <w:rFonts w:hint="default" w:ascii="Times New Roman" w:hAnsi="Times New Roman"/>
                          <w:b/>
                          <w:bCs/>
                          <w:sz w:val="96"/>
                          <w:szCs w:val="96"/>
                          <w:lang w:val="en-US" w:eastAsia="zh-CN"/>
                        </w:rPr>
                        <w:t>YJ</w:t>
                      </w:r>
                    </w:p>
                  </w:txbxContent>
                </v:textbox>
              </v:shape>
            </w:pict>
          </mc:Fallback>
        </mc:AlternateContent>
      </w:r>
    </w:p>
    <w:p>
      <w:pPr>
        <w:pStyle w:val="27"/>
        <w:framePr w:w="9639" w:h="6976" w:hRule="exact" w:hSpace="0" w:vSpace="0" w:wrap="around" w:vAnchor="text" w:hAnchor="page" w:y="6408"/>
        <w:jc w:val="center"/>
        <w:rPr>
          <w:rFonts w:hint="eastAsia" w:ascii="黑体" w:hAnsi="黑体" w:eastAsia="黑体"/>
          <w:b w:val="0"/>
          <w:bCs w:val="0"/>
          <w:w w:val="100"/>
          <w:lang w:val="fr-FR"/>
        </w:rPr>
      </w:pPr>
    </w:p>
    <w:p>
      <w:pPr>
        <w:pStyle w:val="31"/>
        <w:framePr w:h="6974" w:hRule="exact" w:wrap="around" w:x="1419" w:anchorLock="1"/>
        <w:rPr>
          <w:rFonts w:hint="eastAsia"/>
          <w:lang w:val="fr-FR"/>
        </w:rPr>
      </w:pPr>
      <w:r>
        <w:rPr>
          <w:rFonts w:hint="eastAsia"/>
          <w:lang w:eastAsia="zh-CN"/>
        </w:rPr>
        <w:t>地震应急演练评估指南</w:t>
      </w:r>
    </w:p>
    <w:p>
      <w:pPr>
        <w:framePr w:w="9639" w:h="6974" w:hRule="exact" w:wrap="around" w:vAnchor="page" w:hAnchor="page" w:x="1419" w:y="6408" w:anchorLock="1"/>
        <w:ind w:left="-1418"/>
        <w:rPr>
          <w:lang w:val="fr-FR"/>
        </w:rPr>
      </w:pPr>
    </w:p>
    <w:p>
      <w:pPr>
        <w:pStyle w:val="32"/>
        <w:framePr w:w="9639" w:h="6974" w:hRule="exact" w:wrap="around" w:vAnchor="page" w:hAnchor="page" w:x="1419" w:y="6408" w:anchorLock="1"/>
        <w:textAlignment w:val="bottom"/>
        <w:rPr>
          <w:lang w:val="fr-FR"/>
        </w:rPr>
      </w:pPr>
      <w:r>
        <w:rPr>
          <w:rFonts w:eastAsia="黑体"/>
          <w:szCs w:val="28"/>
        </w:rPr>
        <w:fldChar w:fldCharType="begin">
          <w:ffData>
            <w:name w:val="ESTD_NAME"/>
            <w:enabled/>
            <w:calcOnExit w:val="0"/>
            <w:textInput>
              <w:default w:val="点击此处添加标准名称的英文译名"/>
            </w:textInput>
          </w:ffData>
        </w:fldChar>
      </w:r>
      <w:bookmarkStart w:id="1" w:name="ESTD_NAME"/>
      <w:r>
        <w:rPr>
          <w:lang w:val="fr-FR"/>
        </w:rPr>
        <w:instrText xml:space="preserve"> FORMTEXT </w:instrText>
      </w:r>
      <w:r>
        <w:rPr>
          <w:rFonts w:eastAsia="黑体"/>
          <w:szCs w:val="28"/>
        </w:rPr>
        <w:fldChar w:fldCharType="separate"/>
      </w:r>
      <w:r>
        <w:rPr>
          <w:lang w:val="fr-FR"/>
        </w:rPr>
        <w:t>Guide for earthquake emergency exercise evaluation</w:t>
      </w:r>
      <w:r>
        <w:rPr>
          <w:rFonts w:eastAsia="黑体"/>
          <w:szCs w:val="28"/>
        </w:rPr>
        <w:fldChar w:fldCharType="end"/>
      </w:r>
      <w:bookmarkEnd w:id="1"/>
    </w:p>
    <w:p>
      <w:pPr>
        <w:framePr w:w="9639" w:h="6974" w:hRule="exact" w:wrap="around" w:vAnchor="page" w:hAnchor="page" w:x="1419" w:y="6408" w:anchorLock="1"/>
        <w:spacing w:line="760" w:lineRule="exact"/>
        <w:ind w:left="-1418"/>
        <w:rPr>
          <w:lang w:val="fr-FR"/>
        </w:rPr>
      </w:pPr>
    </w:p>
    <w:p>
      <w:pPr>
        <w:pStyle w:val="32"/>
        <w:framePr w:w="9639" w:h="6974" w:hRule="exact" w:wrap="around" w:vAnchor="page" w:hAnchor="page" w:x="1419" w:y="6408" w:anchorLock="1"/>
        <w:textAlignment w:val="bottom"/>
        <w:rPr>
          <w:rFonts w:hint="eastAsia" w:ascii="Times New Roman" w:hAnsi="Times New Roman" w:eastAsia="黑体" w:cs="Times New Roman"/>
          <w:sz w:val="28"/>
          <w:szCs w:val="28"/>
          <w:lang w:val="fr-FR" w:eastAsia="zh-CN" w:bidi="ar-SA"/>
        </w:rPr>
      </w:pPr>
      <w:bookmarkStart w:id="2" w:name="IN_STD_CODE"/>
    </w:p>
    <w:bookmarkEnd w:id="2"/>
    <w:p>
      <w:pPr>
        <w:pStyle w:val="32"/>
        <w:framePr w:w="9639" w:h="6974" w:hRule="exact" w:wrap="around" w:vAnchor="page" w:hAnchor="page" w:x="1419" w:y="6408" w:anchorLock="1"/>
        <w:spacing w:before="440" w:after="160"/>
        <w:textAlignment w:val="bottom"/>
        <w:rPr>
          <w:sz w:val="24"/>
          <w:szCs w:val="28"/>
        </w:rPr>
      </w:pPr>
      <w:r>
        <w:rPr>
          <w:rFonts w:hint="eastAsia"/>
          <w:sz w:val="24"/>
          <w:szCs w:val="28"/>
          <w:lang w:eastAsia="zh-CN"/>
        </w:rPr>
        <w:t>（征求意见稿）</w:t>
      </w:r>
    </w:p>
    <w:p>
      <w:pPr>
        <w:pStyle w:val="32"/>
        <w:framePr w:w="9639" w:h="6974" w:hRule="exact" w:wrap="around" w:vAnchor="page" w:hAnchor="page" w:x="1419" w:y="6408" w:anchorLock="1"/>
        <w:spacing w:before="180" w:line="240" w:lineRule="atLeast"/>
        <w:textAlignment w:val="bottom"/>
        <w:rPr>
          <w:sz w:val="21"/>
          <w:szCs w:val="28"/>
        </w:rPr>
      </w:pPr>
    </w:p>
    <w:p>
      <w:pPr>
        <w:pStyle w:val="32"/>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3" w:name="下拉2"/>
      <w:r>
        <w:rPr>
          <w:b/>
          <w:sz w:val="21"/>
          <w:szCs w:val="28"/>
        </w:rPr>
        <w:instrText xml:space="preserve"> FORMDROPDOWN </w:instrText>
      </w:r>
      <w:r>
        <w:rPr>
          <w:b/>
          <w:sz w:val="21"/>
          <w:szCs w:val="28"/>
        </w:rPr>
        <w:fldChar w:fldCharType="separate"/>
      </w:r>
      <w:r>
        <w:rPr>
          <w:b/>
          <w:sz w:val="21"/>
          <w:szCs w:val="28"/>
        </w:rPr>
        <w:fldChar w:fldCharType="end"/>
      </w:r>
      <w:bookmarkEnd w:id="3"/>
    </w:p>
    <w:p>
      <w:pPr>
        <w:pStyle w:val="33"/>
        <w:framePr w:wrap="around" w:y="14176"/>
      </w:pPr>
      <w:r>
        <w:rPr>
          <w:rFonts w:ascii="黑体"/>
        </w:rPr>
        <w:fldChar w:fldCharType="begin">
          <w:ffData>
            <w:name w:val="PLSH_DATE_Y"/>
            <w:enabled/>
            <w:calcOnExit w:val="0"/>
            <w:textInput>
              <w:default w:val="XXXX"/>
              <w:maxLength w:val="4"/>
            </w:textInput>
          </w:ffData>
        </w:fldChar>
      </w:r>
      <w:bookmarkStart w:id="4"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4"/>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5"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5"/>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6"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6"/>
      <w:r>
        <w:rPr>
          <w:rFonts w:hint="eastAsia"/>
        </w:rPr>
        <w:t>发布</w:t>
      </w:r>
    </w:p>
    <w:p>
      <w:pPr>
        <w:pStyle w:val="35"/>
        <w:framePr w:wrap="around" w:y="14176"/>
      </w:pPr>
      <w:r>
        <w:rPr>
          <w:rFonts w:ascii="黑体"/>
        </w:rPr>
        <w:fldChar w:fldCharType="begin">
          <w:ffData>
            <w:name w:val="CROT_DATE_Y"/>
            <w:enabled/>
            <w:calcOnExit w:val="0"/>
            <w:textInput>
              <w:default w:val="XXXX"/>
              <w:maxLength w:val="4"/>
            </w:textInput>
          </w:ffData>
        </w:fldChar>
      </w:r>
      <w:bookmarkStart w:id="7"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7"/>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8"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9"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9"/>
      <w:r>
        <w:rPr>
          <w:rFonts w:hint="eastAsia"/>
        </w:rPr>
        <w:t>实施</w:t>
      </w:r>
    </w:p>
    <w:p>
      <w:pPr>
        <w:pStyle w:val="37"/>
        <w:framePr w:h="584" w:hRule="exact" w:hSpace="181" w:vSpace="181" w:wrap="around" w:y="14800"/>
        <w:rPr>
          <w:rFonts w:hint="eastAsia" w:hAnsi="黑体"/>
        </w:rPr>
      </w:pPr>
      <w:r>
        <w:rPr>
          <w:rFonts w:hAnsi="黑体"/>
          <w:w w:val="100"/>
          <w:sz w:val="28"/>
        </w:rPr>
        <w:fldChar w:fldCharType="begin">
          <w:ffData>
            <w:name w:val="fm"/>
            <w:enabled/>
            <w:calcOnExit w:val="0"/>
            <w:textInput/>
          </w:ffData>
        </w:fldChar>
      </w:r>
      <w:bookmarkStart w:id="10" w:name="fm"/>
      <w:r>
        <w:rPr>
          <w:rFonts w:hAnsi="黑体"/>
          <w:w w:val="100"/>
          <w:sz w:val="28"/>
        </w:rPr>
        <w:instrText xml:space="preserve"> FORMTEXT </w:instrText>
      </w:r>
      <w:r>
        <w:rPr>
          <w:rFonts w:hAnsi="黑体"/>
          <w:w w:val="100"/>
          <w:sz w:val="28"/>
        </w:rPr>
        <w:fldChar w:fldCharType="separate"/>
      </w:r>
      <w:r>
        <w:rPr>
          <w:rFonts w:hint="eastAsia" w:hAnsi="黑体"/>
          <w:w w:val="100"/>
          <w:sz w:val="28"/>
        </w:rPr>
        <w:t>中华人民共和国应急管理部</w:t>
      </w:r>
      <w:r>
        <w:rPr>
          <w:rFonts w:hAnsi="黑体"/>
          <w:w w:val="100"/>
          <w:sz w:val="28"/>
        </w:rPr>
        <w:fldChar w:fldCharType="end"/>
      </w:r>
      <w:bookmarkEnd w:id="10"/>
      <w:r>
        <w:rPr>
          <w:rFonts w:ascii="Times New Roman"/>
          <w:w w:val="100"/>
          <w:sz w:val="28"/>
          <w:szCs w:val="28"/>
        </w:rPr>
        <w:t>  </w:t>
      </w:r>
      <w:r>
        <w:rPr>
          <w:rStyle w:val="39"/>
          <w:rFonts w:hint="eastAsia" w:hAnsi="黑体"/>
        </w:rPr>
        <w:t>发布</w:t>
      </w:r>
    </w:p>
    <w:p>
      <w:pPr>
        <w:pStyle w:val="28"/>
        <w:framePr w:x="1617" w:y="3787"/>
        <w:rPr>
          <w:lang w:val="fr-FR"/>
        </w:rPr>
      </w:pPr>
      <w:r>
        <w:fldChar w:fldCharType="begin">
          <w:ffData>
            <w:name w:val="文字1"/>
            <w:enabled/>
            <w:calcOnExit w:val="0"/>
            <w:textInput>
              <w:default w:val="XX/T"/>
            </w:textInput>
          </w:ffData>
        </w:fldChar>
      </w:r>
      <w:r>
        <w:rPr>
          <w:lang w:val="fr-FR"/>
        </w:rPr>
        <w:instrText xml:space="preserve"> FORMTEXT </w:instrText>
      </w:r>
      <w:r>
        <w:fldChar w:fldCharType="separate"/>
      </w:r>
      <w:r>
        <w:rPr>
          <w:rFonts w:hint="eastAsia"/>
        </w:rPr>
        <w:t>YJ</w:t>
      </w:r>
      <w:r>
        <w:rPr>
          <w:lang w:val="fr-FR"/>
        </w:rPr>
        <w:t>/T</w:t>
      </w:r>
      <w:r>
        <w:fldChar w:fldCharType="end"/>
      </w:r>
      <w:r>
        <w:rPr>
          <w:lang w:val="fr-FR"/>
        </w:rPr>
        <w:t xml:space="preserve"> </w:t>
      </w:r>
      <w:r>
        <w:fldChar w:fldCharType="begin">
          <w:ffData>
            <w:name w:val="NSTD_CODE_F"/>
            <w:enabled/>
            <w:calcOnExit w:val="0"/>
            <w:textInput>
              <w:default w:val="XXXXX"/>
            </w:textInput>
          </w:ffData>
        </w:fldChar>
      </w:r>
      <w:r>
        <w:rPr>
          <w:lang w:val="fr-FR"/>
        </w:rPr>
        <w:instrText xml:space="preserve"> FORMTEXT </w:instrText>
      </w:r>
      <w:r>
        <w:fldChar w:fldCharType="separate"/>
      </w:r>
      <w:r>
        <w:t>XXXXX</w:t>
      </w:r>
      <w:r>
        <w:fldChar w:fldCharType="end"/>
      </w:r>
      <w:r>
        <w:rPr>
          <w:rFonts w:hAnsi="黑体"/>
          <w:lang w:val="fr-FR"/>
        </w:rPr>
        <w:t>—</w:t>
      </w:r>
      <w:r>
        <w:fldChar w:fldCharType="begin">
          <w:ffData>
            <w:name w:val="NSTD_CODE_B"/>
            <w:enabled/>
            <w:calcOnExit w:val="0"/>
            <w:textInput>
              <w:default w:val="XXXX"/>
            </w:textInput>
          </w:ffData>
        </w:fldChar>
      </w:r>
      <w:r>
        <w:rPr>
          <w:lang w:val="fr-FR"/>
        </w:rPr>
        <w:instrText xml:space="preserve"> FORMTEXT </w:instrText>
      </w:r>
      <w:r>
        <w:fldChar w:fldCharType="separate"/>
      </w:r>
      <w:r>
        <w:rPr>
          <w:lang w:val="fr-FR"/>
        </w:rPr>
        <w:t>XXXX</w:t>
      </w:r>
      <w:r>
        <w:fldChar w:fldCharType="end"/>
      </w:r>
    </w:p>
    <w:p>
      <w:pPr>
        <w:pStyle w:val="30"/>
        <w:framePr w:x="1617" w:y="3787"/>
        <w:rPr>
          <w:rFonts w:hint="eastAsia" w:hAnsi="黑体"/>
          <w:lang w:val="fr-FR"/>
        </w:rPr>
      </w:pPr>
    </w:p>
    <w:p>
      <w:pPr>
        <w:rPr>
          <w:rFonts w:hint="eastAsia" w:ascii="宋体" w:hAnsi="宋体"/>
          <w:sz w:val="28"/>
          <w:szCs w:val="28"/>
        </w:rPr>
        <w:sectPr>
          <w:headerReference r:id="rId4" w:type="first"/>
          <w:footerReference r:id="rId7" w:type="first"/>
          <w:headerReference r:id="rId3" w:type="default"/>
          <w:footerReference r:id="rId5" w:type="default"/>
          <w:footerReference r:id="rId6" w:type="even"/>
          <w:pgSz w:w="11906" w:h="16838"/>
          <w:pgMar w:top="567" w:right="1134" w:bottom="1021" w:left="1134" w:header="1418" w:footer="850" w:gutter="284"/>
          <w:pgBorders>
            <w:top w:val="none" w:sz="0" w:space="0"/>
            <w:left w:val="none" w:sz="0" w:space="0"/>
            <w:bottom w:val="none" w:sz="0" w:space="0"/>
            <w:right w:val="none" w:sz="0" w:space="0"/>
          </w:pgBorders>
          <w:cols w:space="720" w:num="1"/>
          <w:titlePg/>
          <w:docGrid w:linePitch="312" w:charSpace="0"/>
        </w:sectPr>
      </w:pPr>
      <w:bookmarkStart w:id="241" w:name="_GoBack"/>
      <w:bookmarkEnd w:id="241"/>
      <w:r>
        <w:rPr>
          <w:rFonts w:ascii="黑体" w:hAnsi="黑体" w:eastAsia="黑体"/>
          <w:kern w:val="0"/>
          <w:sz w:val="10"/>
          <w:szCs w:val="10"/>
        </w:rPr>
        <mc:AlternateContent>
          <mc:Choice Requires="wps">
            <w:drawing>
              <wp:anchor distT="0" distB="0" distL="114300" distR="114300" simplePos="0" relativeHeight="251660288" behindDoc="0" locked="0" layoutInCell="1" allowOverlap="0">
                <wp:simplePos x="0" y="0"/>
                <wp:positionH relativeFrom="page">
                  <wp:posOffset>882015</wp:posOffset>
                </wp:positionH>
                <wp:positionV relativeFrom="page">
                  <wp:posOffset>3163570</wp:posOffset>
                </wp:positionV>
                <wp:extent cx="6120130" cy="0"/>
                <wp:effectExtent l="0" t="4445" r="0" b="508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69.45pt;margin-top:249.1pt;height:0pt;width:481.9pt;mso-position-horizontal-relative:page;mso-position-vertical-relative:page;z-index:251660288;mso-width-relative:page;mso-height-relative:page;" filled="f" stroked="t" coordsize="21600,21600" o:allowoverlap="f" o:gfxdata="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FaE&#10;2UnYAAAADAEAAA8AAAAAAAAAAQAgAAAAIgAAAGRycy9kb3ducmV2LnhtbFBLAQIUABQAAAAIAIdO&#10;4kDurh1R6gEAALoDAAAOAAAAAAAAAAEAIAAAACcBAABkcnMvZTJvRG9jLnhtbFBLBQYAAAAABgAG&#10;AFkBAACDBQAAAAA=&#10;">
                <v:fill on="f" focussize="0,0"/>
                <v:stroke color="#000000" joinstyle="round"/>
                <v:imagedata o:title=""/>
                <o:lock v:ext="edit" aspectratio="f"/>
              </v:line>
            </w:pict>
          </mc:Fallback>
        </mc:AlternateContent>
      </w:r>
      <w:r>
        <w:rPr>
          <w:rFonts w:hint="eastAsia" w:ascii="宋体" w:hAnsi="宋体"/>
          <w:sz w:val="28"/>
          <w:szCs w:val="28"/>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4445" r="0" b="508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p>
    <w:p>
      <w:pPr>
        <w:pStyle w:val="40"/>
        <w:spacing w:after="360"/>
      </w:pPr>
      <w:bookmarkStart w:id="11" w:name="BookMark1"/>
      <w:bookmarkStart w:id="12" w:name="_Toc192779102"/>
      <w:bookmarkStart w:id="13" w:name="_Toc192779319"/>
      <w:bookmarkStart w:id="14" w:name="_Toc18431"/>
      <w:bookmarkStart w:id="15" w:name="_Toc192779588"/>
      <w:bookmarkStart w:id="16" w:name="_Toc193294353"/>
      <w:r>
        <w:rPr>
          <w:rFonts w:hint="eastAsia"/>
          <w:spacing w:val="320"/>
        </w:rPr>
        <w:t>目</w:t>
      </w:r>
      <w:r>
        <w:rPr>
          <w:rFonts w:hint="eastAsia"/>
        </w:rPr>
        <w:t>次</w:t>
      </w:r>
    </w:p>
    <w:p>
      <w:pPr>
        <w:pStyle w:val="7"/>
        <w:tabs>
          <w:tab w:val="right" w:leader="dot" w:pos="9344"/>
        </w:tabs>
        <w:rPr>
          <w:rFonts w:ascii="Calibri" w:hAnsi="Calibri" w:eastAsia="宋体" w:cs="Times New Roman"/>
          <w:sz w:val="22"/>
          <w:szCs w:val="24"/>
        </w:rPr>
      </w:pPr>
      <w:r>
        <w:fldChar w:fldCharType="begin"/>
      </w:r>
      <w:r>
        <w:instrText xml:space="preserve"> TOC \o "1-1" \h \t "标准文件_一级条标题,2,标准文件_附录一级条标题,2," </w:instrText>
      </w:r>
      <w:r>
        <w:fldChar w:fldCharType="separate"/>
      </w:r>
      <w:r>
        <w:fldChar w:fldCharType="begin"/>
      </w:r>
      <w:r>
        <w:instrText xml:space="preserve"> HYPERLINK \l "_Toc196661607" </w:instrText>
      </w:r>
      <w:r>
        <w:fldChar w:fldCharType="separate"/>
      </w:r>
      <w:r>
        <w:rPr>
          <w:rStyle w:val="13"/>
          <w:rFonts w:hint="eastAsia"/>
        </w:rPr>
        <w:t>前言</w:t>
      </w:r>
      <w:r>
        <w:rPr>
          <w:rFonts w:hint="eastAsia"/>
        </w:rPr>
        <w:tab/>
      </w:r>
      <w:r>
        <w:rPr>
          <w:rFonts w:hint="eastAsia"/>
        </w:rPr>
        <w:fldChar w:fldCharType="begin"/>
      </w:r>
      <w:r>
        <w:rPr>
          <w:rFonts w:hint="eastAsia"/>
        </w:rPr>
        <w:instrText xml:space="preserve"> </w:instrText>
      </w:r>
      <w:r>
        <w:instrText xml:space="preserve">PAGEREF _Toc196661607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pPr>
        <w:pStyle w:val="7"/>
        <w:tabs>
          <w:tab w:val="right" w:leader="dot" w:pos="9344"/>
        </w:tabs>
        <w:rPr>
          <w:rFonts w:ascii="Calibri" w:hAnsi="Calibri" w:eastAsia="宋体" w:cs="Times New Roman"/>
          <w:sz w:val="22"/>
          <w:szCs w:val="24"/>
        </w:rPr>
      </w:pPr>
      <w:r>
        <w:fldChar w:fldCharType="begin"/>
      </w:r>
      <w:r>
        <w:instrText xml:space="preserve"> HYPERLINK \l "_Toc196661608" </w:instrText>
      </w:r>
      <w:r>
        <w:fldChar w:fldCharType="separate"/>
      </w:r>
      <w:r>
        <w:rPr>
          <w:rStyle w:val="13"/>
          <w:rFonts w:hint="eastAsia"/>
        </w:rPr>
        <w:t>引言</w:t>
      </w:r>
      <w:r>
        <w:rPr>
          <w:rFonts w:hint="eastAsia"/>
        </w:rPr>
        <w:tab/>
      </w:r>
      <w:r>
        <w:rPr>
          <w:rFonts w:hint="eastAsia"/>
        </w:rPr>
        <w:fldChar w:fldCharType="begin"/>
      </w:r>
      <w:r>
        <w:rPr>
          <w:rFonts w:hint="eastAsia"/>
        </w:rPr>
        <w:instrText xml:space="preserve"> </w:instrText>
      </w:r>
      <w:r>
        <w:instrText xml:space="preserve">PAGEREF _Toc196661608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pPr>
        <w:pStyle w:val="7"/>
        <w:tabs>
          <w:tab w:val="right" w:leader="dot" w:pos="9344"/>
        </w:tabs>
        <w:rPr>
          <w:rFonts w:ascii="Calibri" w:hAnsi="Calibri" w:eastAsia="宋体" w:cs="Times New Roman"/>
          <w:sz w:val="22"/>
          <w:szCs w:val="24"/>
        </w:rPr>
      </w:pPr>
      <w:r>
        <w:fldChar w:fldCharType="begin"/>
      </w:r>
      <w:r>
        <w:instrText xml:space="preserve"> HYPERLINK \l "_Toc196661609" </w:instrText>
      </w:r>
      <w:r>
        <w:fldChar w:fldCharType="separate"/>
      </w:r>
      <w:r>
        <w:rPr>
          <w:rStyle w:val="13"/>
          <w:rFonts w:hint="eastAsia"/>
        </w:rPr>
        <w:t>1</w:t>
      </w:r>
      <w:r>
        <w:rPr>
          <w:rStyle w:val="13"/>
        </w:rPr>
        <w:t xml:space="preserve"> </w:t>
      </w:r>
      <w:r>
        <w:rPr>
          <w:rStyle w:val="13"/>
          <w:rFonts w:hint="eastAsia"/>
        </w:rPr>
        <w:t xml:space="preserve"> 范围</w:t>
      </w:r>
      <w:r>
        <w:rPr>
          <w:rFonts w:hint="eastAsia"/>
        </w:rPr>
        <w:tab/>
      </w:r>
      <w:r>
        <w:rPr>
          <w:rFonts w:hint="eastAsia"/>
        </w:rPr>
        <w:fldChar w:fldCharType="begin"/>
      </w:r>
      <w:r>
        <w:rPr>
          <w:rFonts w:hint="eastAsia"/>
        </w:rPr>
        <w:instrText xml:space="preserve"> </w:instrText>
      </w:r>
      <w:r>
        <w:instrText xml:space="preserve">PAGEREF _Toc196661609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pPr>
        <w:pStyle w:val="7"/>
        <w:tabs>
          <w:tab w:val="right" w:leader="dot" w:pos="9344"/>
        </w:tabs>
        <w:rPr>
          <w:rFonts w:ascii="Calibri" w:hAnsi="Calibri" w:eastAsia="宋体" w:cs="Times New Roman"/>
          <w:sz w:val="22"/>
          <w:szCs w:val="24"/>
        </w:rPr>
      </w:pPr>
      <w:r>
        <w:fldChar w:fldCharType="begin"/>
      </w:r>
      <w:r>
        <w:instrText xml:space="preserve"> HYPERLINK \l "_Toc196661610" </w:instrText>
      </w:r>
      <w:r>
        <w:fldChar w:fldCharType="separate"/>
      </w:r>
      <w:r>
        <w:rPr>
          <w:rStyle w:val="13"/>
          <w:rFonts w:hint="eastAsia"/>
        </w:rPr>
        <w:t>2</w:t>
      </w:r>
      <w:r>
        <w:rPr>
          <w:rStyle w:val="13"/>
        </w:rPr>
        <w:t xml:space="preserve"> </w:t>
      </w:r>
      <w:r>
        <w:rPr>
          <w:rStyle w:val="13"/>
          <w:rFonts w:hint="eastAsia"/>
        </w:rPr>
        <w:t xml:space="preserve"> 规范性引用文件</w:t>
      </w:r>
      <w:r>
        <w:rPr>
          <w:rFonts w:hint="eastAsia"/>
        </w:rPr>
        <w:tab/>
      </w:r>
      <w:r>
        <w:rPr>
          <w:rFonts w:hint="eastAsia"/>
        </w:rPr>
        <w:fldChar w:fldCharType="begin"/>
      </w:r>
      <w:r>
        <w:rPr>
          <w:rFonts w:hint="eastAsia"/>
        </w:rPr>
        <w:instrText xml:space="preserve"> </w:instrText>
      </w:r>
      <w:r>
        <w:instrText xml:space="preserve">PAGEREF _Toc196661610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pPr>
        <w:pStyle w:val="7"/>
        <w:tabs>
          <w:tab w:val="right" w:leader="dot" w:pos="9344"/>
        </w:tabs>
        <w:rPr>
          <w:rFonts w:ascii="Calibri" w:hAnsi="Calibri" w:eastAsia="宋体" w:cs="Times New Roman"/>
          <w:sz w:val="22"/>
          <w:szCs w:val="24"/>
        </w:rPr>
      </w:pPr>
      <w:r>
        <w:fldChar w:fldCharType="begin"/>
      </w:r>
      <w:r>
        <w:instrText xml:space="preserve"> HYPERLINK \l "_Toc196661611" </w:instrText>
      </w:r>
      <w:r>
        <w:fldChar w:fldCharType="separate"/>
      </w:r>
      <w:r>
        <w:rPr>
          <w:rStyle w:val="13"/>
          <w:rFonts w:hint="eastAsia"/>
        </w:rPr>
        <w:t>3</w:t>
      </w:r>
      <w:r>
        <w:rPr>
          <w:rStyle w:val="13"/>
        </w:rPr>
        <w:t xml:space="preserve"> </w:t>
      </w:r>
      <w:r>
        <w:rPr>
          <w:rStyle w:val="13"/>
          <w:rFonts w:hint="eastAsia"/>
        </w:rPr>
        <w:t xml:space="preserve"> 术语和定义</w:t>
      </w:r>
      <w:r>
        <w:rPr>
          <w:rFonts w:hint="eastAsia"/>
        </w:rPr>
        <w:tab/>
      </w:r>
      <w:r>
        <w:rPr>
          <w:rFonts w:hint="eastAsia"/>
        </w:rPr>
        <w:fldChar w:fldCharType="begin"/>
      </w:r>
      <w:r>
        <w:rPr>
          <w:rFonts w:hint="eastAsia"/>
        </w:rPr>
        <w:instrText xml:space="preserve"> </w:instrText>
      </w:r>
      <w:r>
        <w:instrText xml:space="preserve">PAGEREF _Toc196661611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pPr>
        <w:pStyle w:val="7"/>
        <w:tabs>
          <w:tab w:val="right" w:leader="dot" w:pos="9344"/>
        </w:tabs>
        <w:rPr>
          <w:rFonts w:ascii="Calibri" w:hAnsi="Calibri" w:eastAsia="宋体" w:cs="Times New Roman"/>
          <w:sz w:val="22"/>
          <w:szCs w:val="24"/>
        </w:rPr>
      </w:pPr>
      <w:r>
        <w:fldChar w:fldCharType="begin"/>
      </w:r>
      <w:r>
        <w:instrText xml:space="preserve"> HYPERLINK \l "_Toc196661612" </w:instrText>
      </w:r>
      <w:r>
        <w:fldChar w:fldCharType="separate"/>
      </w:r>
      <w:r>
        <w:rPr>
          <w:rStyle w:val="13"/>
          <w:rFonts w:hint="eastAsia"/>
        </w:rPr>
        <w:t>4</w:t>
      </w:r>
      <w:r>
        <w:rPr>
          <w:rStyle w:val="13"/>
        </w:rPr>
        <w:t xml:space="preserve"> </w:t>
      </w:r>
      <w:r>
        <w:rPr>
          <w:rStyle w:val="13"/>
          <w:rFonts w:hint="eastAsia"/>
        </w:rPr>
        <w:t xml:space="preserve"> 总体原则</w:t>
      </w:r>
      <w:r>
        <w:rPr>
          <w:rFonts w:hint="eastAsia"/>
        </w:rPr>
        <w:tab/>
      </w:r>
      <w:r>
        <w:rPr>
          <w:rFonts w:hint="eastAsia"/>
        </w:rPr>
        <w:fldChar w:fldCharType="begin"/>
      </w:r>
      <w:r>
        <w:rPr>
          <w:rFonts w:hint="eastAsia"/>
        </w:rPr>
        <w:instrText xml:space="preserve"> </w:instrText>
      </w:r>
      <w:r>
        <w:instrText xml:space="preserve">PAGEREF _Toc196661612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pPr>
        <w:pStyle w:val="7"/>
        <w:tabs>
          <w:tab w:val="right" w:leader="dot" w:pos="9344"/>
        </w:tabs>
        <w:rPr>
          <w:rFonts w:ascii="Calibri" w:hAnsi="Calibri" w:eastAsia="宋体" w:cs="Times New Roman"/>
          <w:sz w:val="22"/>
          <w:szCs w:val="24"/>
        </w:rPr>
      </w:pPr>
      <w:r>
        <w:fldChar w:fldCharType="begin"/>
      </w:r>
      <w:r>
        <w:instrText xml:space="preserve"> HYPERLINK \l "_Toc196661613" </w:instrText>
      </w:r>
      <w:r>
        <w:fldChar w:fldCharType="separate"/>
      </w:r>
      <w:r>
        <w:rPr>
          <w:rStyle w:val="13"/>
          <w:rFonts w:hint="eastAsia"/>
        </w:rPr>
        <w:t>5</w:t>
      </w:r>
      <w:r>
        <w:rPr>
          <w:rStyle w:val="13"/>
        </w:rPr>
        <w:t xml:space="preserve"> </w:t>
      </w:r>
      <w:r>
        <w:rPr>
          <w:rStyle w:val="13"/>
          <w:rFonts w:hint="eastAsia"/>
        </w:rPr>
        <w:t xml:space="preserve"> 演练评估准备</w:t>
      </w:r>
      <w:r>
        <w:rPr>
          <w:rFonts w:hint="eastAsia"/>
        </w:rPr>
        <w:tab/>
      </w:r>
      <w:r>
        <w:rPr>
          <w:rFonts w:hint="eastAsia"/>
        </w:rPr>
        <w:fldChar w:fldCharType="begin"/>
      </w:r>
      <w:r>
        <w:rPr>
          <w:rFonts w:hint="eastAsia"/>
        </w:rPr>
        <w:instrText xml:space="preserve"> </w:instrText>
      </w:r>
      <w:r>
        <w:instrText xml:space="preserve">PAGEREF _Toc196661613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pPr>
        <w:pStyle w:val="8"/>
        <w:rPr>
          <w:rFonts w:ascii="Calibri" w:hAnsi="Calibri" w:eastAsia="宋体" w:cs="Times New Roman"/>
          <w:sz w:val="22"/>
          <w:szCs w:val="24"/>
        </w:rPr>
      </w:pPr>
      <w:r>
        <w:fldChar w:fldCharType="begin"/>
      </w:r>
      <w:r>
        <w:instrText xml:space="preserve"> HYPERLINK \l "_Toc196661614" </w:instrText>
      </w:r>
      <w:r>
        <w:fldChar w:fldCharType="separate"/>
      </w:r>
      <w:r>
        <w:rPr>
          <w:rStyle w:val="13"/>
          <w:rFonts w:hint="eastAsia"/>
        </w:rPr>
        <w:t>5.1</w:t>
      </w:r>
      <w:r>
        <w:rPr>
          <w:rStyle w:val="13"/>
        </w:rPr>
        <w:t xml:space="preserve"> </w:t>
      </w:r>
      <w:r>
        <w:rPr>
          <w:rStyle w:val="13"/>
          <w:rFonts w:hint="eastAsia"/>
        </w:rPr>
        <w:t xml:space="preserve"> 组建评估工作组</w:t>
      </w:r>
      <w:r>
        <w:rPr>
          <w:rFonts w:hint="eastAsia"/>
        </w:rPr>
        <w:tab/>
      </w:r>
      <w:r>
        <w:rPr>
          <w:rFonts w:hint="eastAsia"/>
        </w:rPr>
        <w:fldChar w:fldCharType="begin"/>
      </w:r>
      <w:r>
        <w:rPr>
          <w:rFonts w:hint="eastAsia"/>
        </w:rPr>
        <w:instrText xml:space="preserve"> </w:instrText>
      </w:r>
      <w:r>
        <w:instrText xml:space="preserve">PAGEREF _Toc196661614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pPr>
        <w:pStyle w:val="8"/>
        <w:rPr>
          <w:rFonts w:ascii="Calibri" w:hAnsi="Calibri" w:eastAsia="宋体" w:cs="Times New Roman"/>
          <w:sz w:val="22"/>
          <w:szCs w:val="24"/>
        </w:rPr>
      </w:pPr>
      <w:r>
        <w:fldChar w:fldCharType="begin"/>
      </w:r>
      <w:r>
        <w:instrText xml:space="preserve"> HYPERLINK \l "_Toc196661615" </w:instrText>
      </w:r>
      <w:r>
        <w:fldChar w:fldCharType="separate"/>
      </w:r>
      <w:r>
        <w:rPr>
          <w:rStyle w:val="13"/>
          <w:rFonts w:hint="eastAsia"/>
        </w:rPr>
        <w:t>5.2</w:t>
      </w:r>
      <w:r>
        <w:rPr>
          <w:rStyle w:val="13"/>
        </w:rPr>
        <w:t xml:space="preserve"> </w:t>
      </w:r>
      <w:r>
        <w:rPr>
          <w:rStyle w:val="13"/>
          <w:rFonts w:hint="eastAsia"/>
        </w:rPr>
        <w:t xml:space="preserve"> 确定评估目的</w:t>
      </w:r>
      <w:r>
        <w:rPr>
          <w:rFonts w:hint="eastAsia"/>
        </w:rPr>
        <w:tab/>
      </w:r>
      <w:r>
        <w:rPr>
          <w:rFonts w:hint="eastAsia"/>
        </w:rPr>
        <w:fldChar w:fldCharType="begin"/>
      </w:r>
      <w:r>
        <w:rPr>
          <w:rFonts w:hint="eastAsia"/>
        </w:rPr>
        <w:instrText xml:space="preserve"> </w:instrText>
      </w:r>
      <w:r>
        <w:instrText xml:space="preserve">PAGEREF _Toc196661615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pPr>
        <w:pStyle w:val="8"/>
        <w:rPr>
          <w:rFonts w:ascii="Calibri" w:hAnsi="Calibri" w:eastAsia="宋体" w:cs="Times New Roman"/>
          <w:sz w:val="22"/>
          <w:szCs w:val="24"/>
        </w:rPr>
      </w:pPr>
      <w:r>
        <w:fldChar w:fldCharType="begin"/>
      </w:r>
      <w:r>
        <w:instrText xml:space="preserve"> HYPERLINK \l "_Toc196661616" </w:instrText>
      </w:r>
      <w:r>
        <w:fldChar w:fldCharType="separate"/>
      </w:r>
      <w:r>
        <w:rPr>
          <w:rStyle w:val="13"/>
          <w:rFonts w:hint="eastAsia"/>
        </w:rPr>
        <w:t>5.3</w:t>
      </w:r>
      <w:r>
        <w:rPr>
          <w:rStyle w:val="13"/>
        </w:rPr>
        <w:t xml:space="preserve"> </w:t>
      </w:r>
      <w:r>
        <w:rPr>
          <w:rStyle w:val="13"/>
          <w:rFonts w:hint="eastAsia"/>
        </w:rPr>
        <w:t xml:space="preserve"> 确定评估内容</w:t>
      </w:r>
      <w:r>
        <w:rPr>
          <w:rFonts w:hint="eastAsia"/>
        </w:rPr>
        <w:tab/>
      </w:r>
      <w:r>
        <w:rPr>
          <w:rFonts w:hint="eastAsia"/>
        </w:rPr>
        <w:fldChar w:fldCharType="begin"/>
      </w:r>
      <w:r>
        <w:rPr>
          <w:rFonts w:hint="eastAsia"/>
        </w:rPr>
        <w:instrText xml:space="preserve"> </w:instrText>
      </w:r>
      <w:r>
        <w:instrText xml:space="preserve">PAGEREF _Toc196661616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pPr>
        <w:pStyle w:val="8"/>
        <w:rPr>
          <w:rFonts w:ascii="Calibri" w:hAnsi="Calibri" w:eastAsia="宋体" w:cs="Times New Roman"/>
          <w:sz w:val="22"/>
          <w:szCs w:val="24"/>
        </w:rPr>
      </w:pPr>
      <w:r>
        <w:fldChar w:fldCharType="begin"/>
      </w:r>
      <w:r>
        <w:instrText xml:space="preserve"> HYPERLINK \l "_Toc196661617" </w:instrText>
      </w:r>
      <w:r>
        <w:fldChar w:fldCharType="separate"/>
      </w:r>
      <w:r>
        <w:rPr>
          <w:rStyle w:val="13"/>
          <w:rFonts w:hint="eastAsia"/>
        </w:rPr>
        <w:t>5.4</w:t>
      </w:r>
      <w:r>
        <w:rPr>
          <w:rStyle w:val="13"/>
        </w:rPr>
        <w:t xml:space="preserve"> </w:t>
      </w:r>
      <w:r>
        <w:rPr>
          <w:rStyle w:val="13"/>
          <w:rFonts w:hint="eastAsia"/>
        </w:rPr>
        <w:t xml:space="preserve"> 确定评估方法</w:t>
      </w:r>
      <w:r>
        <w:rPr>
          <w:rFonts w:hint="eastAsia"/>
        </w:rPr>
        <w:tab/>
      </w:r>
      <w:r>
        <w:rPr>
          <w:rFonts w:hint="eastAsia"/>
        </w:rPr>
        <w:fldChar w:fldCharType="begin"/>
      </w:r>
      <w:r>
        <w:rPr>
          <w:rFonts w:hint="eastAsia"/>
        </w:rPr>
        <w:instrText xml:space="preserve"> </w:instrText>
      </w:r>
      <w:r>
        <w:instrText xml:space="preserve">PAGEREF _Toc196661617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pPr>
        <w:pStyle w:val="8"/>
        <w:rPr>
          <w:rFonts w:ascii="Calibri" w:hAnsi="Calibri" w:eastAsia="宋体" w:cs="Times New Roman"/>
          <w:sz w:val="22"/>
          <w:szCs w:val="24"/>
        </w:rPr>
      </w:pPr>
      <w:r>
        <w:fldChar w:fldCharType="begin"/>
      </w:r>
      <w:r>
        <w:instrText xml:space="preserve"> HYPERLINK \l "_Toc196661618" </w:instrText>
      </w:r>
      <w:r>
        <w:fldChar w:fldCharType="separate"/>
      </w:r>
      <w:r>
        <w:rPr>
          <w:rStyle w:val="13"/>
          <w:rFonts w:hint="eastAsia"/>
        </w:rPr>
        <w:t>5.5</w:t>
      </w:r>
      <w:r>
        <w:rPr>
          <w:rStyle w:val="13"/>
        </w:rPr>
        <w:t xml:space="preserve"> </w:t>
      </w:r>
      <w:r>
        <w:rPr>
          <w:rStyle w:val="13"/>
          <w:rFonts w:hint="eastAsia"/>
        </w:rPr>
        <w:t xml:space="preserve"> 收集相关资料</w:t>
      </w:r>
      <w:r>
        <w:rPr>
          <w:rFonts w:hint="eastAsia"/>
        </w:rPr>
        <w:tab/>
      </w:r>
      <w:r>
        <w:rPr>
          <w:rFonts w:hint="eastAsia"/>
        </w:rPr>
        <w:fldChar w:fldCharType="begin"/>
      </w:r>
      <w:r>
        <w:rPr>
          <w:rFonts w:hint="eastAsia"/>
        </w:rPr>
        <w:instrText xml:space="preserve"> </w:instrText>
      </w:r>
      <w:r>
        <w:instrText xml:space="preserve">PAGEREF _Toc196661618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pPr>
        <w:pStyle w:val="8"/>
        <w:rPr>
          <w:rFonts w:ascii="Calibri" w:hAnsi="Calibri" w:eastAsia="宋体" w:cs="Times New Roman"/>
          <w:sz w:val="22"/>
          <w:szCs w:val="24"/>
        </w:rPr>
      </w:pPr>
      <w:r>
        <w:fldChar w:fldCharType="begin"/>
      </w:r>
      <w:r>
        <w:instrText xml:space="preserve"> HYPERLINK \l "_Toc196661619" </w:instrText>
      </w:r>
      <w:r>
        <w:fldChar w:fldCharType="separate"/>
      </w:r>
      <w:r>
        <w:rPr>
          <w:rStyle w:val="13"/>
          <w:rFonts w:hint="eastAsia"/>
        </w:rPr>
        <w:t>5.6</w:t>
      </w:r>
      <w:r>
        <w:rPr>
          <w:rStyle w:val="13"/>
        </w:rPr>
        <w:t xml:space="preserve"> </w:t>
      </w:r>
      <w:r>
        <w:rPr>
          <w:rStyle w:val="13"/>
          <w:rFonts w:hint="eastAsia"/>
        </w:rPr>
        <w:t xml:space="preserve"> 编写演练评估方案</w:t>
      </w:r>
      <w:r>
        <w:rPr>
          <w:rFonts w:hint="eastAsia"/>
        </w:rPr>
        <w:tab/>
      </w:r>
      <w:r>
        <w:rPr>
          <w:rFonts w:hint="eastAsia"/>
        </w:rPr>
        <w:fldChar w:fldCharType="begin"/>
      </w:r>
      <w:r>
        <w:rPr>
          <w:rFonts w:hint="eastAsia"/>
        </w:rPr>
        <w:instrText xml:space="preserve"> </w:instrText>
      </w:r>
      <w:r>
        <w:instrText xml:space="preserve">PAGEREF _Toc196661619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pPr>
        <w:pStyle w:val="8"/>
        <w:rPr>
          <w:rFonts w:ascii="Calibri" w:hAnsi="Calibri" w:eastAsia="宋体" w:cs="Times New Roman"/>
          <w:sz w:val="22"/>
          <w:szCs w:val="24"/>
        </w:rPr>
      </w:pPr>
      <w:r>
        <w:fldChar w:fldCharType="begin"/>
      </w:r>
      <w:r>
        <w:instrText xml:space="preserve"> HYPERLINK \l "_Toc196661620" </w:instrText>
      </w:r>
      <w:r>
        <w:fldChar w:fldCharType="separate"/>
      </w:r>
      <w:r>
        <w:rPr>
          <w:rStyle w:val="13"/>
          <w:rFonts w:hint="eastAsia"/>
        </w:rPr>
        <w:t>5.7</w:t>
      </w:r>
      <w:r>
        <w:rPr>
          <w:rStyle w:val="13"/>
        </w:rPr>
        <w:t xml:space="preserve"> </w:t>
      </w:r>
      <w:r>
        <w:rPr>
          <w:rStyle w:val="13"/>
          <w:rFonts w:hint="eastAsia"/>
        </w:rPr>
        <w:t xml:space="preserve"> 培训演练评估人员</w:t>
      </w:r>
      <w:r>
        <w:rPr>
          <w:rFonts w:hint="eastAsia"/>
        </w:rPr>
        <w:tab/>
      </w:r>
      <w:r>
        <w:rPr>
          <w:rFonts w:hint="eastAsia"/>
        </w:rPr>
        <w:fldChar w:fldCharType="begin"/>
      </w:r>
      <w:r>
        <w:rPr>
          <w:rFonts w:hint="eastAsia"/>
        </w:rPr>
        <w:instrText xml:space="preserve"> </w:instrText>
      </w:r>
      <w:r>
        <w:instrText xml:space="preserve">PAGEREF _Toc196661620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pPr>
        <w:pStyle w:val="8"/>
        <w:rPr>
          <w:rFonts w:ascii="Calibri" w:hAnsi="Calibri" w:eastAsia="宋体" w:cs="Times New Roman"/>
          <w:sz w:val="22"/>
          <w:szCs w:val="24"/>
        </w:rPr>
      </w:pPr>
      <w:r>
        <w:fldChar w:fldCharType="begin"/>
      </w:r>
      <w:r>
        <w:instrText xml:space="preserve"> HYPERLINK \l "_Toc196661621" </w:instrText>
      </w:r>
      <w:r>
        <w:fldChar w:fldCharType="separate"/>
      </w:r>
      <w:r>
        <w:rPr>
          <w:rStyle w:val="13"/>
          <w:rFonts w:hint="eastAsia"/>
        </w:rPr>
        <w:t>5.8</w:t>
      </w:r>
      <w:r>
        <w:rPr>
          <w:rStyle w:val="13"/>
        </w:rPr>
        <w:t xml:space="preserve"> </w:t>
      </w:r>
      <w:r>
        <w:rPr>
          <w:rStyle w:val="13"/>
          <w:rFonts w:hint="eastAsia"/>
        </w:rPr>
        <w:t xml:space="preserve"> 准备评估材料、器材</w:t>
      </w:r>
      <w:r>
        <w:rPr>
          <w:rFonts w:hint="eastAsia"/>
        </w:rPr>
        <w:tab/>
      </w:r>
      <w:r>
        <w:rPr>
          <w:rFonts w:hint="eastAsia"/>
        </w:rPr>
        <w:fldChar w:fldCharType="begin"/>
      </w:r>
      <w:r>
        <w:rPr>
          <w:rFonts w:hint="eastAsia"/>
        </w:rPr>
        <w:instrText xml:space="preserve"> </w:instrText>
      </w:r>
      <w:r>
        <w:instrText xml:space="preserve">PAGEREF _Toc196661621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pPr>
        <w:pStyle w:val="7"/>
        <w:tabs>
          <w:tab w:val="right" w:leader="dot" w:pos="9344"/>
        </w:tabs>
        <w:rPr>
          <w:rFonts w:ascii="Calibri" w:hAnsi="Calibri" w:eastAsia="宋体" w:cs="Times New Roman"/>
          <w:sz w:val="22"/>
          <w:szCs w:val="24"/>
        </w:rPr>
      </w:pPr>
      <w:r>
        <w:fldChar w:fldCharType="begin"/>
      </w:r>
      <w:r>
        <w:instrText xml:space="preserve"> HYPERLINK \l "_Toc196661622" </w:instrText>
      </w:r>
      <w:r>
        <w:fldChar w:fldCharType="separate"/>
      </w:r>
      <w:r>
        <w:rPr>
          <w:rStyle w:val="13"/>
          <w:rFonts w:hint="eastAsia"/>
        </w:rPr>
        <w:t>6</w:t>
      </w:r>
      <w:r>
        <w:rPr>
          <w:rStyle w:val="13"/>
        </w:rPr>
        <w:t xml:space="preserve"> </w:t>
      </w:r>
      <w:r>
        <w:rPr>
          <w:rStyle w:val="13"/>
          <w:rFonts w:hint="eastAsia"/>
        </w:rPr>
        <w:t xml:space="preserve"> 演练评估实施</w:t>
      </w:r>
      <w:r>
        <w:rPr>
          <w:rFonts w:hint="eastAsia"/>
        </w:rPr>
        <w:tab/>
      </w:r>
      <w:r>
        <w:rPr>
          <w:rFonts w:hint="eastAsia"/>
        </w:rPr>
        <w:fldChar w:fldCharType="begin"/>
      </w:r>
      <w:r>
        <w:rPr>
          <w:rFonts w:hint="eastAsia"/>
        </w:rPr>
        <w:instrText xml:space="preserve"> </w:instrText>
      </w:r>
      <w:r>
        <w:instrText xml:space="preserve">PAGEREF _Toc196661622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pPr>
        <w:pStyle w:val="8"/>
        <w:rPr>
          <w:rFonts w:ascii="Calibri" w:hAnsi="Calibri" w:eastAsia="宋体" w:cs="Times New Roman"/>
          <w:sz w:val="22"/>
          <w:szCs w:val="24"/>
        </w:rPr>
      </w:pPr>
      <w:r>
        <w:fldChar w:fldCharType="begin"/>
      </w:r>
      <w:r>
        <w:instrText xml:space="preserve"> HYPERLINK \l "_Toc196661623" </w:instrText>
      </w:r>
      <w:r>
        <w:fldChar w:fldCharType="separate"/>
      </w:r>
      <w:r>
        <w:rPr>
          <w:rStyle w:val="13"/>
          <w:rFonts w:hint="eastAsia"/>
        </w:rPr>
        <w:t>6.1</w:t>
      </w:r>
      <w:r>
        <w:rPr>
          <w:rStyle w:val="13"/>
        </w:rPr>
        <w:t xml:space="preserve"> </w:t>
      </w:r>
      <w:r>
        <w:rPr>
          <w:rStyle w:val="13"/>
          <w:rFonts w:hint="eastAsia"/>
        </w:rPr>
        <w:t xml:space="preserve"> 评估资源就位</w:t>
      </w:r>
      <w:r>
        <w:rPr>
          <w:rFonts w:hint="eastAsia"/>
        </w:rPr>
        <w:tab/>
      </w:r>
      <w:r>
        <w:rPr>
          <w:rFonts w:hint="eastAsia"/>
        </w:rPr>
        <w:fldChar w:fldCharType="begin"/>
      </w:r>
      <w:r>
        <w:rPr>
          <w:rFonts w:hint="eastAsia"/>
        </w:rPr>
        <w:instrText xml:space="preserve"> </w:instrText>
      </w:r>
      <w:r>
        <w:instrText xml:space="preserve">PAGEREF _Toc196661623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pPr>
        <w:pStyle w:val="8"/>
        <w:rPr>
          <w:rFonts w:ascii="Calibri" w:hAnsi="Calibri" w:eastAsia="宋体" w:cs="Times New Roman"/>
          <w:sz w:val="22"/>
          <w:szCs w:val="24"/>
        </w:rPr>
      </w:pPr>
      <w:r>
        <w:fldChar w:fldCharType="begin"/>
      </w:r>
      <w:r>
        <w:instrText xml:space="preserve"> HYPERLINK \l "_Toc196661624" </w:instrText>
      </w:r>
      <w:r>
        <w:fldChar w:fldCharType="separate"/>
      </w:r>
      <w:r>
        <w:rPr>
          <w:rStyle w:val="13"/>
          <w:rFonts w:hint="eastAsia"/>
        </w:rPr>
        <w:t>6.2</w:t>
      </w:r>
      <w:r>
        <w:rPr>
          <w:rStyle w:val="13"/>
        </w:rPr>
        <w:t xml:space="preserve"> </w:t>
      </w:r>
      <w:r>
        <w:rPr>
          <w:rStyle w:val="13"/>
          <w:rFonts w:hint="eastAsia"/>
        </w:rPr>
        <w:t xml:space="preserve"> 座谈考察与资料抽查</w:t>
      </w:r>
      <w:r>
        <w:rPr>
          <w:rFonts w:hint="eastAsia"/>
        </w:rPr>
        <w:tab/>
      </w:r>
      <w:r>
        <w:rPr>
          <w:rFonts w:hint="eastAsia"/>
        </w:rPr>
        <w:fldChar w:fldCharType="begin"/>
      </w:r>
      <w:r>
        <w:rPr>
          <w:rFonts w:hint="eastAsia"/>
        </w:rPr>
        <w:instrText xml:space="preserve"> </w:instrText>
      </w:r>
      <w:r>
        <w:instrText xml:space="preserve">PAGEREF _Toc196661624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pPr>
        <w:pStyle w:val="8"/>
        <w:rPr>
          <w:rFonts w:ascii="Calibri" w:hAnsi="Calibri" w:eastAsia="宋体" w:cs="Times New Roman"/>
          <w:sz w:val="22"/>
          <w:szCs w:val="24"/>
        </w:rPr>
      </w:pPr>
      <w:r>
        <w:fldChar w:fldCharType="begin"/>
      </w:r>
      <w:r>
        <w:instrText xml:space="preserve"> HYPERLINK \l "_Toc196661625" </w:instrText>
      </w:r>
      <w:r>
        <w:fldChar w:fldCharType="separate"/>
      </w:r>
      <w:r>
        <w:rPr>
          <w:rStyle w:val="13"/>
          <w:rFonts w:hint="eastAsia"/>
        </w:rPr>
        <w:t>6.3</w:t>
      </w:r>
      <w:r>
        <w:rPr>
          <w:rStyle w:val="13"/>
        </w:rPr>
        <w:t xml:space="preserve"> </w:t>
      </w:r>
      <w:r>
        <w:rPr>
          <w:rStyle w:val="13"/>
          <w:rFonts w:hint="eastAsia"/>
        </w:rPr>
        <w:t xml:space="preserve"> 观察记录和数据、信息和资料收集</w:t>
      </w:r>
      <w:r>
        <w:rPr>
          <w:rFonts w:hint="eastAsia"/>
        </w:rPr>
        <w:tab/>
      </w:r>
      <w:r>
        <w:rPr>
          <w:rFonts w:hint="eastAsia"/>
        </w:rPr>
        <w:fldChar w:fldCharType="begin"/>
      </w:r>
      <w:r>
        <w:rPr>
          <w:rFonts w:hint="eastAsia"/>
        </w:rPr>
        <w:instrText xml:space="preserve"> </w:instrText>
      </w:r>
      <w:r>
        <w:instrText xml:space="preserve">PAGEREF _Toc196661625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pPr>
        <w:pStyle w:val="8"/>
        <w:rPr>
          <w:rFonts w:ascii="Calibri" w:hAnsi="Calibri" w:eastAsia="宋体" w:cs="Times New Roman"/>
          <w:sz w:val="22"/>
          <w:szCs w:val="24"/>
        </w:rPr>
      </w:pPr>
      <w:r>
        <w:fldChar w:fldCharType="begin"/>
      </w:r>
      <w:r>
        <w:instrText xml:space="preserve"> HYPERLINK \l "_Toc196661626" </w:instrText>
      </w:r>
      <w:r>
        <w:fldChar w:fldCharType="separate"/>
      </w:r>
      <w:r>
        <w:rPr>
          <w:rStyle w:val="13"/>
          <w:rFonts w:hint="eastAsia"/>
        </w:rPr>
        <w:t>6.4</w:t>
      </w:r>
      <w:r>
        <w:rPr>
          <w:rStyle w:val="13"/>
        </w:rPr>
        <w:t xml:space="preserve"> </w:t>
      </w:r>
      <w:r>
        <w:rPr>
          <w:rStyle w:val="13"/>
          <w:rFonts w:hint="eastAsia"/>
        </w:rPr>
        <w:t xml:space="preserve"> 分析和评估</w:t>
      </w:r>
      <w:r>
        <w:rPr>
          <w:rFonts w:hint="eastAsia"/>
        </w:rPr>
        <w:tab/>
      </w:r>
      <w:r>
        <w:rPr>
          <w:rFonts w:hint="eastAsia"/>
        </w:rPr>
        <w:fldChar w:fldCharType="begin"/>
      </w:r>
      <w:r>
        <w:rPr>
          <w:rFonts w:hint="eastAsia"/>
        </w:rPr>
        <w:instrText xml:space="preserve"> </w:instrText>
      </w:r>
      <w:r>
        <w:instrText xml:space="preserve">PAGEREF _Toc196661626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pPr>
        <w:pStyle w:val="7"/>
        <w:tabs>
          <w:tab w:val="right" w:leader="dot" w:pos="9344"/>
        </w:tabs>
        <w:rPr>
          <w:rFonts w:ascii="Calibri" w:hAnsi="Calibri" w:eastAsia="宋体" w:cs="Times New Roman"/>
          <w:sz w:val="22"/>
          <w:szCs w:val="24"/>
        </w:rPr>
      </w:pPr>
      <w:r>
        <w:fldChar w:fldCharType="begin"/>
      </w:r>
      <w:r>
        <w:instrText xml:space="preserve"> HYPERLINK \l "_Toc196661627" </w:instrText>
      </w:r>
      <w:r>
        <w:fldChar w:fldCharType="separate"/>
      </w:r>
      <w:r>
        <w:rPr>
          <w:rStyle w:val="13"/>
          <w:rFonts w:hint="eastAsia"/>
        </w:rPr>
        <w:t>7</w:t>
      </w:r>
      <w:r>
        <w:rPr>
          <w:rStyle w:val="13"/>
        </w:rPr>
        <w:t xml:space="preserve"> </w:t>
      </w:r>
      <w:r>
        <w:rPr>
          <w:rStyle w:val="13"/>
          <w:rFonts w:hint="eastAsia"/>
        </w:rPr>
        <w:t xml:space="preserve"> 演练评估总结</w:t>
      </w:r>
      <w:r>
        <w:rPr>
          <w:rFonts w:hint="eastAsia"/>
        </w:rPr>
        <w:tab/>
      </w:r>
      <w:r>
        <w:rPr>
          <w:rFonts w:hint="eastAsia"/>
        </w:rPr>
        <w:fldChar w:fldCharType="begin"/>
      </w:r>
      <w:r>
        <w:rPr>
          <w:rFonts w:hint="eastAsia"/>
        </w:rPr>
        <w:instrText xml:space="preserve"> </w:instrText>
      </w:r>
      <w:r>
        <w:instrText xml:space="preserve">PAGEREF _Toc196661627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pPr>
        <w:pStyle w:val="8"/>
        <w:rPr>
          <w:rFonts w:ascii="Calibri" w:hAnsi="Calibri" w:eastAsia="宋体" w:cs="Times New Roman"/>
          <w:sz w:val="22"/>
          <w:szCs w:val="24"/>
        </w:rPr>
      </w:pPr>
      <w:r>
        <w:fldChar w:fldCharType="begin"/>
      </w:r>
      <w:r>
        <w:instrText xml:space="preserve"> HYPERLINK \l "_Toc196661628" </w:instrText>
      </w:r>
      <w:r>
        <w:fldChar w:fldCharType="separate"/>
      </w:r>
      <w:r>
        <w:rPr>
          <w:rStyle w:val="13"/>
          <w:rFonts w:hint="eastAsia"/>
        </w:rPr>
        <w:t>7.1</w:t>
      </w:r>
      <w:r>
        <w:rPr>
          <w:rStyle w:val="13"/>
        </w:rPr>
        <w:t xml:space="preserve"> </w:t>
      </w:r>
      <w:r>
        <w:rPr>
          <w:rStyle w:val="13"/>
          <w:rFonts w:hint="eastAsia"/>
        </w:rPr>
        <w:t xml:space="preserve"> 演练点评</w:t>
      </w:r>
      <w:r>
        <w:rPr>
          <w:rFonts w:hint="eastAsia"/>
        </w:rPr>
        <w:tab/>
      </w:r>
      <w:r>
        <w:rPr>
          <w:rFonts w:hint="eastAsia"/>
        </w:rPr>
        <w:fldChar w:fldCharType="begin"/>
      </w:r>
      <w:r>
        <w:rPr>
          <w:rFonts w:hint="eastAsia"/>
        </w:rPr>
        <w:instrText xml:space="preserve"> </w:instrText>
      </w:r>
      <w:r>
        <w:instrText xml:space="preserve">PAGEREF _Toc196661628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pPr>
        <w:pStyle w:val="8"/>
        <w:rPr>
          <w:rFonts w:ascii="Calibri" w:hAnsi="Calibri" w:eastAsia="宋体" w:cs="Times New Roman"/>
          <w:sz w:val="22"/>
          <w:szCs w:val="24"/>
        </w:rPr>
      </w:pPr>
      <w:r>
        <w:fldChar w:fldCharType="begin"/>
      </w:r>
      <w:r>
        <w:instrText xml:space="preserve"> HYPERLINK \l "_Toc196661629" </w:instrText>
      </w:r>
      <w:r>
        <w:fldChar w:fldCharType="separate"/>
      </w:r>
      <w:r>
        <w:rPr>
          <w:rStyle w:val="13"/>
          <w:rFonts w:hint="eastAsia"/>
        </w:rPr>
        <w:t>7.2</w:t>
      </w:r>
      <w:r>
        <w:rPr>
          <w:rStyle w:val="13"/>
        </w:rPr>
        <w:t xml:space="preserve"> </w:t>
      </w:r>
      <w:r>
        <w:rPr>
          <w:rStyle w:val="13"/>
          <w:rFonts w:hint="eastAsia"/>
        </w:rPr>
        <w:t xml:space="preserve"> 参演人员自评</w:t>
      </w:r>
      <w:r>
        <w:rPr>
          <w:rFonts w:hint="eastAsia"/>
        </w:rPr>
        <w:tab/>
      </w:r>
      <w:r>
        <w:rPr>
          <w:rFonts w:hint="eastAsia"/>
        </w:rPr>
        <w:fldChar w:fldCharType="begin"/>
      </w:r>
      <w:r>
        <w:rPr>
          <w:rFonts w:hint="eastAsia"/>
        </w:rPr>
        <w:instrText xml:space="preserve"> </w:instrText>
      </w:r>
      <w:r>
        <w:instrText xml:space="preserve">PAGEREF _Toc196661629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pPr>
        <w:pStyle w:val="8"/>
        <w:rPr>
          <w:rFonts w:ascii="Calibri" w:hAnsi="Calibri" w:eastAsia="宋体" w:cs="Times New Roman"/>
          <w:sz w:val="22"/>
          <w:szCs w:val="24"/>
        </w:rPr>
      </w:pPr>
      <w:r>
        <w:fldChar w:fldCharType="begin"/>
      </w:r>
      <w:r>
        <w:instrText xml:space="preserve"> HYPERLINK \l "_Toc196661630" </w:instrText>
      </w:r>
      <w:r>
        <w:fldChar w:fldCharType="separate"/>
      </w:r>
      <w:r>
        <w:rPr>
          <w:rStyle w:val="13"/>
          <w:rFonts w:hint="eastAsia"/>
        </w:rPr>
        <w:t>7.3</w:t>
      </w:r>
      <w:r>
        <w:rPr>
          <w:rStyle w:val="13"/>
        </w:rPr>
        <w:t xml:space="preserve"> </w:t>
      </w:r>
      <w:r>
        <w:rPr>
          <w:rStyle w:val="13"/>
          <w:rFonts w:hint="eastAsia"/>
        </w:rPr>
        <w:t xml:space="preserve"> 汇总演练评估意见</w:t>
      </w:r>
      <w:r>
        <w:rPr>
          <w:rFonts w:hint="eastAsia"/>
        </w:rPr>
        <w:tab/>
      </w:r>
      <w:r>
        <w:rPr>
          <w:rFonts w:hint="eastAsia"/>
        </w:rPr>
        <w:fldChar w:fldCharType="begin"/>
      </w:r>
      <w:r>
        <w:rPr>
          <w:rFonts w:hint="eastAsia"/>
        </w:rPr>
        <w:instrText xml:space="preserve"> </w:instrText>
      </w:r>
      <w:r>
        <w:instrText xml:space="preserve">PAGEREF _Toc196661630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pPr>
        <w:pStyle w:val="8"/>
        <w:rPr>
          <w:rFonts w:ascii="Calibri" w:hAnsi="Calibri" w:eastAsia="宋体" w:cs="Times New Roman"/>
          <w:sz w:val="22"/>
          <w:szCs w:val="24"/>
        </w:rPr>
      </w:pPr>
      <w:r>
        <w:fldChar w:fldCharType="begin"/>
      </w:r>
      <w:r>
        <w:instrText xml:space="preserve"> HYPERLINK \l "_Toc196661631" </w:instrText>
      </w:r>
      <w:r>
        <w:fldChar w:fldCharType="separate"/>
      </w:r>
      <w:r>
        <w:rPr>
          <w:rStyle w:val="13"/>
          <w:rFonts w:hint="eastAsia"/>
        </w:rPr>
        <w:t>7.4</w:t>
      </w:r>
      <w:r>
        <w:rPr>
          <w:rStyle w:val="13"/>
        </w:rPr>
        <w:t xml:space="preserve"> </w:t>
      </w:r>
      <w:r>
        <w:rPr>
          <w:rStyle w:val="13"/>
          <w:rFonts w:hint="eastAsia"/>
        </w:rPr>
        <w:t xml:space="preserve"> 编制演练评估报告</w:t>
      </w:r>
      <w:r>
        <w:rPr>
          <w:rFonts w:hint="eastAsia"/>
        </w:rPr>
        <w:tab/>
      </w:r>
      <w:r>
        <w:rPr>
          <w:rFonts w:hint="eastAsia"/>
        </w:rPr>
        <w:fldChar w:fldCharType="begin"/>
      </w:r>
      <w:r>
        <w:rPr>
          <w:rFonts w:hint="eastAsia"/>
        </w:rPr>
        <w:instrText xml:space="preserve"> </w:instrText>
      </w:r>
      <w:r>
        <w:instrText xml:space="preserve">PAGEREF _Toc196661631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pPr>
        <w:pStyle w:val="7"/>
        <w:tabs>
          <w:tab w:val="right" w:leader="dot" w:pos="9344"/>
        </w:tabs>
        <w:rPr>
          <w:rFonts w:ascii="Calibri" w:hAnsi="Calibri" w:eastAsia="宋体" w:cs="Times New Roman"/>
          <w:sz w:val="22"/>
          <w:szCs w:val="24"/>
        </w:rPr>
      </w:pPr>
      <w:r>
        <w:fldChar w:fldCharType="begin"/>
      </w:r>
      <w:r>
        <w:instrText xml:space="preserve"> HYPERLINK \l "_Toc196661632" </w:instrText>
      </w:r>
      <w:r>
        <w:fldChar w:fldCharType="separate"/>
      </w:r>
      <w:r>
        <w:rPr>
          <w:rStyle w:val="13"/>
          <w:rFonts w:hint="eastAsia"/>
        </w:rPr>
        <w:t>8</w:t>
      </w:r>
      <w:r>
        <w:rPr>
          <w:rStyle w:val="13"/>
        </w:rPr>
        <w:t xml:space="preserve"> </w:t>
      </w:r>
      <w:r>
        <w:rPr>
          <w:rStyle w:val="13"/>
          <w:rFonts w:hint="eastAsia"/>
        </w:rPr>
        <w:t xml:space="preserve"> 工作改进与资料归档</w:t>
      </w:r>
      <w:r>
        <w:rPr>
          <w:rFonts w:hint="eastAsia"/>
        </w:rPr>
        <w:tab/>
      </w:r>
      <w:r>
        <w:rPr>
          <w:rFonts w:hint="eastAsia"/>
        </w:rPr>
        <w:fldChar w:fldCharType="begin"/>
      </w:r>
      <w:r>
        <w:rPr>
          <w:rFonts w:hint="eastAsia"/>
        </w:rPr>
        <w:instrText xml:space="preserve"> </w:instrText>
      </w:r>
      <w:r>
        <w:instrText xml:space="preserve">PAGEREF _Toc196661632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pPr>
        <w:pStyle w:val="7"/>
        <w:tabs>
          <w:tab w:val="right" w:leader="dot" w:pos="9344"/>
        </w:tabs>
        <w:rPr>
          <w:rFonts w:ascii="Calibri" w:hAnsi="Calibri" w:eastAsia="宋体" w:cs="Times New Roman"/>
          <w:sz w:val="22"/>
          <w:szCs w:val="24"/>
        </w:rPr>
      </w:pPr>
      <w:r>
        <w:fldChar w:fldCharType="begin"/>
      </w:r>
      <w:r>
        <w:instrText xml:space="preserve"> HYPERLINK \l "_Toc196661633" </w:instrText>
      </w:r>
      <w:r>
        <w:fldChar w:fldCharType="separate"/>
      </w:r>
      <w:r>
        <w:rPr>
          <w:rStyle w:val="13"/>
          <w:rFonts w:hint="eastAsia"/>
        </w:rPr>
        <w:t>附录A（资料性）</w:t>
      </w:r>
      <w:r>
        <w:rPr>
          <w:rStyle w:val="13"/>
        </w:rPr>
        <w:t xml:space="preserve"> </w:t>
      </w:r>
      <w:r>
        <w:rPr>
          <w:rStyle w:val="13"/>
          <w:rFonts w:hint="eastAsia"/>
        </w:rPr>
        <w:t xml:space="preserve"> 地震应急实战演练评估要点</w:t>
      </w:r>
      <w:r>
        <w:rPr>
          <w:rFonts w:hint="eastAsia"/>
        </w:rPr>
        <w:tab/>
      </w:r>
      <w:r>
        <w:rPr>
          <w:rFonts w:hint="eastAsia"/>
        </w:rPr>
        <w:fldChar w:fldCharType="begin"/>
      </w:r>
      <w:r>
        <w:rPr>
          <w:rFonts w:hint="eastAsia"/>
        </w:rPr>
        <w:instrText xml:space="preserve"> </w:instrText>
      </w:r>
      <w:r>
        <w:instrText xml:space="preserve">PAGEREF _Toc196661633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pPr>
        <w:pStyle w:val="7"/>
        <w:tabs>
          <w:tab w:val="right" w:leader="dot" w:pos="9344"/>
        </w:tabs>
        <w:rPr>
          <w:rFonts w:ascii="Calibri" w:hAnsi="Calibri" w:eastAsia="宋体" w:cs="Times New Roman"/>
          <w:sz w:val="22"/>
          <w:szCs w:val="24"/>
        </w:rPr>
      </w:pPr>
      <w:r>
        <w:fldChar w:fldCharType="begin"/>
      </w:r>
      <w:r>
        <w:instrText xml:space="preserve"> HYPERLINK \l "_Toc196661634" </w:instrText>
      </w:r>
      <w:r>
        <w:fldChar w:fldCharType="separate"/>
      </w:r>
      <w:r>
        <w:rPr>
          <w:rStyle w:val="13"/>
          <w:rFonts w:hint="eastAsia"/>
        </w:rPr>
        <w:t>附录B（资料性）</w:t>
      </w:r>
      <w:r>
        <w:rPr>
          <w:rStyle w:val="13"/>
        </w:rPr>
        <w:t xml:space="preserve"> </w:t>
      </w:r>
      <w:r>
        <w:rPr>
          <w:rStyle w:val="13"/>
          <w:rFonts w:hint="eastAsia"/>
        </w:rPr>
        <w:t xml:space="preserve"> 地震应急桌面演练评估要点</w:t>
      </w:r>
      <w:r>
        <w:rPr>
          <w:rFonts w:hint="eastAsia"/>
        </w:rPr>
        <w:tab/>
      </w:r>
      <w:r>
        <w:rPr>
          <w:rFonts w:hint="eastAsia"/>
        </w:rPr>
        <w:fldChar w:fldCharType="begin"/>
      </w:r>
      <w:r>
        <w:rPr>
          <w:rFonts w:hint="eastAsia"/>
        </w:rPr>
        <w:instrText xml:space="preserve"> </w:instrText>
      </w:r>
      <w:r>
        <w:instrText xml:space="preserve">PAGEREF _Toc196661634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pPr>
        <w:pStyle w:val="7"/>
        <w:tabs>
          <w:tab w:val="right" w:leader="dot" w:pos="9344"/>
        </w:tabs>
        <w:rPr>
          <w:rFonts w:ascii="Calibri" w:hAnsi="Calibri" w:eastAsia="宋体" w:cs="Times New Roman"/>
          <w:sz w:val="22"/>
          <w:szCs w:val="24"/>
        </w:rPr>
      </w:pPr>
      <w:r>
        <w:fldChar w:fldCharType="begin"/>
      </w:r>
      <w:r>
        <w:instrText xml:space="preserve"> HYPERLINK \l "_Toc196661635" </w:instrText>
      </w:r>
      <w:r>
        <w:fldChar w:fldCharType="separate"/>
      </w:r>
      <w:r>
        <w:rPr>
          <w:rStyle w:val="13"/>
          <w:rFonts w:hint="eastAsia"/>
        </w:rPr>
        <w:t>附录C（资料性）</w:t>
      </w:r>
      <w:r>
        <w:rPr>
          <w:rStyle w:val="13"/>
        </w:rPr>
        <w:t xml:space="preserve"> </w:t>
      </w:r>
      <w:r>
        <w:rPr>
          <w:rStyle w:val="13"/>
          <w:rFonts w:hint="eastAsia"/>
        </w:rPr>
        <w:t xml:space="preserve"> 地震应急演练评估记录</w:t>
      </w:r>
      <w:r>
        <w:rPr>
          <w:rFonts w:hint="eastAsia"/>
        </w:rPr>
        <w:tab/>
      </w:r>
      <w:r>
        <w:rPr>
          <w:rFonts w:hint="eastAsia"/>
        </w:rPr>
        <w:fldChar w:fldCharType="begin"/>
      </w:r>
      <w:r>
        <w:rPr>
          <w:rFonts w:hint="eastAsia"/>
        </w:rPr>
        <w:instrText xml:space="preserve"> </w:instrText>
      </w:r>
      <w:r>
        <w:instrText xml:space="preserve">PAGEREF _Toc196661635 \h</w:instrText>
      </w:r>
      <w:r>
        <w:rPr>
          <w:rFonts w:hint="eastAsia"/>
        </w:rPr>
        <w:instrText xml:space="preserve"> </w:instrText>
      </w:r>
      <w:r>
        <w:rPr>
          <w:rFonts w:hint="eastAsia"/>
        </w:rPr>
        <w:fldChar w:fldCharType="separate"/>
      </w:r>
      <w:r>
        <w:t>18</w:t>
      </w:r>
      <w:r>
        <w:rPr>
          <w:rFonts w:hint="eastAsia"/>
        </w:rPr>
        <w:fldChar w:fldCharType="end"/>
      </w:r>
      <w:r>
        <w:rPr>
          <w:rFonts w:hint="eastAsia"/>
        </w:rPr>
        <w:fldChar w:fldCharType="end"/>
      </w:r>
    </w:p>
    <w:p>
      <w:pPr>
        <w:pStyle w:val="7"/>
        <w:tabs>
          <w:tab w:val="right" w:leader="dot" w:pos="9344"/>
        </w:tabs>
        <w:rPr>
          <w:rFonts w:ascii="Calibri" w:hAnsi="Calibri" w:eastAsia="宋体" w:cs="Times New Roman"/>
          <w:sz w:val="22"/>
          <w:szCs w:val="24"/>
        </w:rPr>
      </w:pPr>
      <w:r>
        <w:fldChar w:fldCharType="begin"/>
      </w:r>
      <w:r>
        <w:instrText xml:space="preserve"> HYPERLINK \l "_Toc196661636" </w:instrText>
      </w:r>
      <w:r>
        <w:fldChar w:fldCharType="separate"/>
      </w:r>
      <w:r>
        <w:rPr>
          <w:rStyle w:val="13"/>
          <w:rFonts w:hint="eastAsia"/>
        </w:rPr>
        <w:t>附录D（规范性）</w:t>
      </w:r>
      <w:r>
        <w:rPr>
          <w:rStyle w:val="13"/>
        </w:rPr>
        <w:t xml:space="preserve"> </w:t>
      </w:r>
      <w:r>
        <w:rPr>
          <w:rStyle w:val="13"/>
          <w:rFonts w:hint="eastAsia"/>
        </w:rPr>
        <w:t xml:space="preserve"> 地震应急演练评估报告格式</w:t>
      </w:r>
      <w:r>
        <w:rPr>
          <w:rFonts w:hint="eastAsia"/>
        </w:rPr>
        <w:tab/>
      </w:r>
      <w:r>
        <w:rPr>
          <w:rFonts w:hint="eastAsia"/>
        </w:rPr>
        <w:fldChar w:fldCharType="begin"/>
      </w:r>
      <w:r>
        <w:rPr>
          <w:rFonts w:hint="eastAsia"/>
        </w:rPr>
        <w:instrText xml:space="preserve"> </w:instrText>
      </w:r>
      <w:r>
        <w:instrText xml:space="preserve">PAGEREF _Toc196661636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pPr>
        <w:pStyle w:val="7"/>
        <w:tabs>
          <w:tab w:val="right" w:leader="dot" w:pos="9344"/>
        </w:tabs>
        <w:rPr>
          <w:rFonts w:ascii="Calibri" w:hAnsi="Calibri" w:eastAsia="宋体" w:cs="Times New Roman"/>
          <w:sz w:val="22"/>
          <w:szCs w:val="24"/>
        </w:rPr>
      </w:pPr>
      <w:r>
        <w:fldChar w:fldCharType="begin"/>
      </w:r>
      <w:r>
        <w:instrText xml:space="preserve"> HYPERLINK \l "_Toc196661644" </w:instrText>
      </w:r>
      <w:r>
        <w:fldChar w:fldCharType="separate"/>
      </w:r>
      <w:r>
        <w:rPr>
          <w:rStyle w:val="13"/>
          <w:rFonts w:hint="eastAsia"/>
        </w:rPr>
        <w:t>附录E（规范性）</w:t>
      </w:r>
      <w:r>
        <w:rPr>
          <w:rStyle w:val="13"/>
        </w:rPr>
        <w:t xml:space="preserve"> </w:t>
      </w:r>
      <w:r>
        <w:rPr>
          <w:rStyle w:val="13"/>
          <w:rFonts w:hint="eastAsia"/>
        </w:rPr>
        <w:t xml:space="preserve"> 地震应急演练评估意见</w:t>
      </w:r>
      <w:r>
        <w:rPr>
          <w:rFonts w:hint="eastAsia"/>
        </w:rPr>
        <w:tab/>
      </w:r>
      <w:r>
        <w:rPr>
          <w:rFonts w:hint="eastAsia"/>
        </w:rPr>
        <w:fldChar w:fldCharType="begin"/>
      </w:r>
      <w:r>
        <w:rPr>
          <w:rFonts w:hint="eastAsia"/>
        </w:rPr>
        <w:instrText xml:space="preserve"> </w:instrText>
      </w:r>
      <w:r>
        <w:instrText xml:space="preserve">PAGEREF _Toc196661644 \h</w:instrText>
      </w:r>
      <w:r>
        <w:rPr>
          <w:rFonts w:hint="eastAsia"/>
        </w:rPr>
        <w:instrText xml:space="preserve"> </w:instrText>
      </w:r>
      <w:r>
        <w:rPr>
          <w:rFonts w:hint="eastAsia"/>
        </w:rPr>
        <w:fldChar w:fldCharType="separate"/>
      </w:r>
      <w:r>
        <w:t>20</w:t>
      </w:r>
      <w:r>
        <w:rPr>
          <w:rFonts w:hint="eastAsia"/>
        </w:rPr>
        <w:fldChar w:fldCharType="end"/>
      </w:r>
      <w:r>
        <w:rPr>
          <w:rFonts w:hint="eastAsia"/>
        </w:rPr>
        <w:fldChar w:fldCharType="end"/>
      </w:r>
    </w:p>
    <w:p>
      <w:pPr>
        <w:pStyle w:val="7"/>
        <w:tabs>
          <w:tab w:val="right" w:leader="dot" w:pos="9344"/>
        </w:tabs>
        <w:rPr>
          <w:rFonts w:ascii="Calibri" w:hAnsi="Calibri" w:eastAsia="宋体" w:cs="Times New Roman"/>
          <w:sz w:val="22"/>
          <w:szCs w:val="24"/>
        </w:rPr>
      </w:pPr>
      <w:r>
        <w:fldChar w:fldCharType="begin"/>
      </w:r>
      <w:r>
        <w:instrText xml:space="preserve"> HYPERLINK \l "_Toc196661645" </w:instrText>
      </w:r>
      <w:r>
        <w:fldChar w:fldCharType="separate"/>
      </w:r>
      <w:r>
        <w:rPr>
          <w:rStyle w:val="13"/>
          <w:rFonts w:hint="eastAsia"/>
        </w:rPr>
        <w:t>参考文献</w:t>
      </w:r>
      <w:r>
        <w:rPr>
          <w:rFonts w:hint="eastAsia"/>
        </w:rPr>
        <w:tab/>
      </w:r>
      <w:r>
        <w:rPr>
          <w:rFonts w:hint="eastAsia"/>
        </w:rPr>
        <w:fldChar w:fldCharType="begin"/>
      </w:r>
      <w:r>
        <w:rPr>
          <w:rFonts w:hint="eastAsia"/>
        </w:rPr>
        <w:instrText xml:space="preserve"> </w:instrText>
      </w:r>
      <w:r>
        <w:instrText xml:space="preserve">PAGEREF _Toc196661645 \h</w:instrText>
      </w:r>
      <w:r>
        <w:rPr>
          <w:rFonts w:hint="eastAsia"/>
        </w:rPr>
        <w:instrText xml:space="preserve"> </w:instrText>
      </w:r>
      <w:r>
        <w:rPr>
          <w:rFonts w:hint="eastAsia"/>
        </w:rPr>
        <w:fldChar w:fldCharType="separate"/>
      </w:r>
      <w:r>
        <w:t>22</w:t>
      </w:r>
      <w:r>
        <w:rPr>
          <w:rFonts w:hint="eastAsia"/>
        </w:rPr>
        <w:fldChar w:fldCharType="end"/>
      </w:r>
      <w:r>
        <w:rPr>
          <w:rFonts w:hint="eastAsia"/>
        </w:rPr>
        <w:fldChar w:fldCharType="end"/>
      </w:r>
    </w:p>
    <w:p>
      <w:pPr>
        <w:pStyle w:val="40"/>
        <w:spacing w:after="360"/>
        <w:sectPr>
          <w:headerReference r:id="rId8" w:type="default"/>
          <w:footerReference r:id="rId10" w:type="default"/>
          <w:headerReference r:id="rId9" w:type="even"/>
          <w:pgSz w:w="11906" w:h="16838"/>
          <w:pgMar w:top="1928" w:right="1134" w:bottom="1134" w:left="1134" w:header="1418" w:footer="850" w:gutter="284"/>
          <w:pgBorders>
            <w:top w:val="none" w:sz="0" w:space="0"/>
            <w:left w:val="none" w:sz="0" w:space="0"/>
            <w:bottom w:val="none" w:sz="0" w:space="0"/>
            <w:right w:val="none" w:sz="0" w:space="0"/>
          </w:pgBorders>
          <w:cols w:space="720" w:num="1"/>
          <w:formProt w:val="0"/>
          <w:docGrid w:linePitch="312" w:charSpace="0"/>
        </w:sectPr>
      </w:pPr>
      <w:r>
        <w:fldChar w:fldCharType="end"/>
      </w:r>
    </w:p>
    <w:bookmarkEnd w:id="11"/>
    <w:bookmarkEnd w:id="12"/>
    <w:bookmarkEnd w:id="13"/>
    <w:bookmarkEnd w:id="14"/>
    <w:bookmarkEnd w:id="15"/>
    <w:bookmarkEnd w:id="16"/>
    <w:p>
      <w:pPr>
        <w:pStyle w:val="29"/>
        <w:rPr>
          <w:rFonts w:hint="eastAsia" w:eastAsia="黑体"/>
          <w:spacing w:val="320"/>
          <w:sz w:val="32"/>
          <w:lang w:eastAsia="zh-CN"/>
        </w:rPr>
      </w:pPr>
      <w:bookmarkStart w:id="17" w:name="BookMark2"/>
    </w:p>
    <w:p>
      <w:pPr>
        <w:pStyle w:val="29"/>
        <w:ind w:firstLine="3840" w:firstLineChars="400"/>
        <w:rPr>
          <w:rFonts w:hint="eastAsia" w:eastAsia="黑体"/>
          <w:sz w:val="32"/>
        </w:rPr>
      </w:pPr>
      <w:r>
        <w:rPr>
          <w:rFonts w:hint="eastAsia" w:eastAsia="黑体"/>
          <w:spacing w:val="320"/>
          <w:sz w:val="32"/>
          <w:lang w:eastAsia="zh-CN"/>
        </w:rPr>
        <w:t>前</w:t>
      </w:r>
      <w:r>
        <w:rPr>
          <w:rFonts w:hint="eastAsia" w:eastAsia="黑体"/>
          <w:sz w:val="32"/>
        </w:rPr>
        <w:t>言</w:t>
      </w:r>
    </w:p>
    <w:p>
      <w:pPr>
        <w:pStyle w:val="29"/>
        <w:ind w:left="0" w:leftChars="0" w:firstLine="0" w:firstLineChars="0"/>
        <w:rPr>
          <w:rFonts w:hint="eastAsia" w:eastAsia="黑体"/>
          <w:sz w:val="32"/>
        </w:rPr>
      </w:pPr>
    </w:p>
    <w:p>
      <w:pPr>
        <w:pStyle w:val="29"/>
        <w:ind w:firstLine="420"/>
      </w:pPr>
      <w:r>
        <w:rPr>
          <w:rFonts w:hint="eastAsia"/>
        </w:rPr>
        <w:t>本文件按照GB/T 1.1—2020《标准化工作导则  第1部分：标准化文件的结构和起草规则》的规定起草。</w:t>
      </w:r>
    </w:p>
    <w:p>
      <w:pPr>
        <w:pStyle w:val="29"/>
        <w:ind w:firstLine="420"/>
      </w:pPr>
      <w:r>
        <w:rPr>
          <w:rFonts w:hint="eastAsia"/>
        </w:rPr>
        <w:t>请注意本文件的某些内容可能涉及专利。本文件的发布机构不承担识别专利的责任。</w:t>
      </w:r>
    </w:p>
    <w:p>
      <w:pPr>
        <w:pStyle w:val="29"/>
        <w:ind w:firstLine="420"/>
      </w:pPr>
      <w:r>
        <w:rPr>
          <w:rFonts w:hint="eastAsia"/>
        </w:rPr>
        <w:t>本文件由中华人民共和国应急管理部提出，救援协调和预案管理局业务管理，政策法规司统筹管理。</w:t>
      </w:r>
    </w:p>
    <w:p>
      <w:pPr>
        <w:pStyle w:val="29"/>
        <w:ind w:firstLine="420"/>
      </w:pPr>
      <w:r>
        <w:rPr>
          <w:rFonts w:hint="eastAsia"/>
        </w:rPr>
        <w:t>本文件由全国应急管理与减灾救灾标准化技术委员会（TC307）归口。</w:t>
      </w:r>
    </w:p>
    <w:p>
      <w:pPr>
        <w:pStyle w:val="29"/>
        <w:ind w:firstLine="420"/>
      </w:pPr>
      <w:r>
        <w:rPr>
          <w:rFonts w:hint="eastAsia"/>
        </w:rPr>
        <w:t>本文件起草单位：</w:t>
      </w:r>
    </w:p>
    <w:p>
      <w:pPr>
        <w:pStyle w:val="29"/>
        <w:ind w:firstLine="420"/>
      </w:pPr>
      <w:r>
        <w:rPr>
          <w:rFonts w:hint="eastAsia"/>
        </w:rPr>
        <w:t>本文件主要起草人：</w:t>
      </w:r>
    </w:p>
    <w:p>
      <w:pPr>
        <w:pStyle w:val="29"/>
        <w:ind w:firstLine="420"/>
      </w:pPr>
      <w:r>
        <w:rPr>
          <w:rFonts w:hint="eastAsia"/>
        </w:rPr>
        <w:t>本文件为首次发布。</w:t>
      </w:r>
    </w:p>
    <w:p>
      <w:pPr>
        <w:pStyle w:val="29"/>
        <w:ind w:firstLine="420"/>
        <w:sectPr>
          <w:pgSz w:w="11906" w:h="16838"/>
          <w:pgMar w:top="1928" w:right="1134" w:bottom="1134" w:left="1134" w:header="1418" w:footer="850" w:gutter="284"/>
          <w:pgBorders>
            <w:top w:val="none" w:sz="0" w:space="0"/>
            <w:left w:val="none" w:sz="0" w:space="0"/>
            <w:bottom w:val="none" w:sz="0" w:space="0"/>
            <w:right w:val="none" w:sz="0" w:space="0"/>
          </w:pgBorders>
          <w:cols w:space="720" w:num="1"/>
          <w:formProt w:val="0"/>
          <w:docGrid w:linePitch="312" w:charSpace="0"/>
        </w:sectPr>
      </w:pPr>
    </w:p>
    <w:bookmarkEnd w:id="17"/>
    <w:p>
      <w:pPr>
        <w:pStyle w:val="29"/>
        <w:ind w:left="0" w:leftChars="0" w:firstLine="0" w:firstLineChars="0"/>
        <w:rPr>
          <w:rFonts w:hint="eastAsia" w:eastAsia="黑体"/>
          <w:spacing w:val="320"/>
          <w:sz w:val="32"/>
        </w:rPr>
      </w:pPr>
      <w:bookmarkStart w:id="18" w:name="_Toc196661608"/>
      <w:bookmarkStart w:id="19" w:name="_Toc192779103"/>
      <w:bookmarkStart w:id="20" w:name="_Toc192779320"/>
      <w:bookmarkStart w:id="21" w:name="_Toc193294354"/>
      <w:bookmarkStart w:id="22" w:name="_Toc192779589"/>
      <w:bookmarkStart w:id="23" w:name="_Toc13874"/>
    </w:p>
    <w:p>
      <w:pPr>
        <w:pStyle w:val="29"/>
        <w:ind w:left="0" w:leftChars="0" w:firstLine="3840" w:firstLineChars="400"/>
        <w:rPr>
          <w:rFonts w:hint="eastAsia" w:eastAsia="黑体"/>
          <w:sz w:val="32"/>
        </w:rPr>
      </w:pPr>
      <w:r>
        <w:rPr>
          <w:rFonts w:hint="eastAsia" w:eastAsia="黑体"/>
          <w:spacing w:val="320"/>
          <w:sz w:val="32"/>
        </w:rPr>
        <w:t>引</w:t>
      </w:r>
      <w:r>
        <w:rPr>
          <w:rFonts w:hint="eastAsia" w:eastAsia="黑体"/>
          <w:sz w:val="32"/>
        </w:rPr>
        <w:t>言</w:t>
      </w:r>
      <w:bookmarkEnd w:id="18"/>
      <w:bookmarkEnd w:id="19"/>
      <w:bookmarkEnd w:id="20"/>
      <w:bookmarkEnd w:id="21"/>
      <w:bookmarkEnd w:id="22"/>
      <w:bookmarkEnd w:id="23"/>
    </w:p>
    <w:p>
      <w:pPr>
        <w:pStyle w:val="29"/>
        <w:ind w:left="0" w:leftChars="0" w:firstLine="0" w:firstLineChars="0"/>
        <w:rPr>
          <w:rFonts w:hint="eastAsia" w:eastAsia="黑体"/>
          <w:sz w:val="32"/>
        </w:rPr>
      </w:pPr>
    </w:p>
    <w:p>
      <w:pPr>
        <w:pStyle w:val="29"/>
        <w:ind w:firstLine="420"/>
      </w:pPr>
      <w:r>
        <w:rPr>
          <w:rFonts w:hint="eastAsia"/>
        </w:rPr>
        <w:t>地震灾害突发性强、破坏性大，严重威胁人民群众生命财产安全和经济社会发展。开展科学、规范的地震应急演练，是客观检验演练成效，系统检视国家和地方政府应对重大地震灾害</w:t>
      </w:r>
      <w:r>
        <w:rPr>
          <w:rFonts w:hint="eastAsia"/>
          <w:lang w:val="en-US" w:eastAsia="zh-CN"/>
        </w:rPr>
        <w:t>应急</w:t>
      </w:r>
      <w:r>
        <w:rPr>
          <w:rFonts w:hint="eastAsia"/>
        </w:rPr>
        <w:t>能力，全面检验地震应急力量抢险救援水平，破解大震巨灾处置行动中“断、乱、慢”等问题的重要方法。对地震应急演练活动进行系统、客观地评估，</w:t>
      </w:r>
      <w:r>
        <w:rPr>
          <w:rFonts w:hint="eastAsia"/>
          <w:lang w:eastAsia="zh-CN"/>
        </w:rPr>
        <w:t>提高演练质效，对于实际地震应急处置能力提升</w:t>
      </w:r>
      <w:r>
        <w:rPr>
          <w:rFonts w:hint="eastAsia"/>
        </w:rPr>
        <w:t>具有</w:t>
      </w:r>
      <w:r>
        <w:rPr>
          <w:rFonts w:hint="eastAsia"/>
          <w:lang w:eastAsia="zh-CN"/>
        </w:rPr>
        <w:t>重要</w:t>
      </w:r>
      <w:r>
        <w:rPr>
          <w:rFonts w:hint="eastAsia"/>
        </w:rPr>
        <w:t>意义。</w:t>
      </w:r>
    </w:p>
    <w:p>
      <w:pPr>
        <w:pStyle w:val="29"/>
        <w:ind w:firstLine="420"/>
      </w:pPr>
      <w:r>
        <w:rPr>
          <w:rFonts w:hint="eastAsia"/>
        </w:rPr>
        <w:t>近年来，国家</w:t>
      </w:r>
      <w:r>
        <w:rPr>
          <w:rFonts w:hint="eastAsia"/>
          <w:lang w:eastAsia="zh-CN"/>
        </w:rPr>
        <w:t>修订</w:t>
      </w:r>
      <w:r>
        <w:rPr>
          <w:rFonts w:hint="eastAsia"/>
        </w:rPr>
        <w:t>出台了《国家突发事件总体应急预案》和《突发事件应急预案管理办法》，《国家地震应急预案》</w:t>
      </w:r>
      <w:r>
        <w:rPr>
          <w:rFonts w:hint="eastAsia"/>
          <w:lang w:eastAsia="zh-CN"/>
        </w:rPr>
        <w:t>也正在</w:t>
      </w:r>
      <w:r>
        <w:rPr>
          <w:rFonts w:hint="eastAsia"/>
        </w:rPr>
        <w:t>修订</w:t>
      </w:r>
      <w:r>
        <w:rPr>
          <w:rFonts w:hint="eastAsia"/>
          <w:lang w:eastAsia="zh-CN"/>
        </w:rPr>
        <w:t>中</w:t>
      </w:r>
      <w:r>
        <w:rPr>
          <w:rFonts w:hint="eastAsia"/>
        </w:rPr>
        <w:t>，对</w:t>
      </w:r>
      <w:r>
        <w:rPr>
          <w:rFonts w:hint="eastAsia"/>
          <w:lang w:eastAsia="zh-CN"/>
        </w:rPr>
        <w:t>应急</w:t>
      </w:r>
      <w:r>
        <w:rPr>
          <w:rFonts w:hint="eastAsia"/>
        </w:rPr>
        <w:t>演练评估工作</w:t>
      </w:r>
      <w:r>
        <w:rPr>
          <w:rFonts w:hint="eastAsia"/>
          <w:lang w:eastAsia="zh-CN"/>
        </w:rPr>
        <w:t>提出了</w:t>
      </w:r>
      <w:r>
        <w:rPr>
          <w:rFonts w:hint="eastAsia"/>
        </w:rPr>
        <w:t>明确要求。国家与地方持续开展多层级、多类型的地震应急演练活动，通过总结演练评估方法和经验，为本文件编制奠定了重要实践基础。</w:t>
      </w:r>
    </w:p>
    <w:p>
      <w:pPr>
        <w:pStyle w:val="29"/>
        <w:ind w:firstLine="420"/>
        <w:sectPr>
          <w:pgSz w:w="11906" w:h="16838"/>
          <w:pgMar w:top="1928" w:right="1134" w:bottom="1134" w:left="1134" w:header="1418" w:footer="850" w:gutter="284"/>
          <w:pgBorders>
            <w:top w:val="none" w:sz="0" w:space="0"/>
            <w:left w:val="none" w:sz="0" w:space="0"/>
            <w:bottom w:val="none" w:sz="0" w:space="0"/>
            <w:right w:val="none" w:sz="0" w:space="0"/>
          </w:pgBorders>
          <w:cols w:space="720" w:num="1"/>
          <w:formProt w:val="0"/>
          <w:docGrid w:linePitch="312" w:charSpace="0"/>
        </w:sectPr>
      </w:pPr>
      <w:r>
        <w:rPr>
          <w:rFonts w:hint="eastAsia"/>
        </w:rPr>
        <w:t>制定本文件，旨在强化地震应急演练评估标准化建设，对地震应急演练评估准备、评估实施、评估总结与资料归档等环节提供指导，有助于</w:t>
      </w:r>
      <w:r>
        <w:rPr>
          <w:rFonts w:hint="eastAsia"/>
          <w:lang w:eastAsia="zh-CN"/>
        </w:rPr>
        <w:t>规范</w:t>
      </w:r>
      <w:r>
        <w:rPr>
          <w:rFonts w:hint="eastAsia"/>
        </w:rPr>
        <w:t>演练评估</w:t>
      </w:r>
      <w:r>
        <w:rPr>
          <w:rFonts w:hint="eastAsia"/>
          <w:lang w:eastAsia="zh-CN"/>
        </w:rPr>
        <w:t>工作</w:t>
      </w:r>
      <w:r>
        <w:rPr>
          <w:rFonts w:hint="eastAsia"/>
        </w:rPr>
        <w:t>，</w:t>
      </w:r>
      <w:r>
        <w:rPr>
          <w:rFonts w:hint="eastAsia"/>
          <w:lang w:eastAsia="zh-CN"/>
        </w:rPr>
        <w:t>强化</w:t>
      </w:r>
      <w:r>
        <w:rPr>
          <w:rFonts w:hint="eastAsia"/>
        </w:rPr>
        <w:t>评估结果的专业性和权威性，为持续改进应急预案、优化应急机制、强化人员培训、完善资源配置提供客观、可靠的依据，</w:t>
      </w:r>
      <w:r>
        <w:rPr>
          <w:rFonts w:hint="eastAsia"/>
          <w:lang w:eastAsia="zh-CN"/>
        </w:rPr>
        <w:t>有利于</w:t>
      </w:r>
      <w:r>
        <w:rPr>
          <w:rFonts w:hint="eastAsia"/>
        </w:rPr>
        <w:t>提升地震应急准备和实战</w:t>
      </w:r>
      <w:r>
        <w:rPr>
          <w:rFonts w:hint="eastAsia"/>
          <w:lang w:eastAsia="zh-CN"/>
        </w:rPr>
        <w:t>能力</w:t>
      </w:r>
      <w:r>
        <w:rPr>
          <w:rFonts w:hint="eastAsia"/>
        </w:rPr>
        <w:t>，减</w:t>
      </w:r>
      <w:r>
        <w:rPr>
          <w:rFonts w:hint="eastAsia"/>
          <w:lang w:eastAsia="zh-CN"/>
        </w:rPr>
        <w:t>少</w:t>
      </w:r>
      <w:r>
        <w:rPr>
          <w:rFonts w:hint="eastAsia"/>
        </w:rPr>
        <w:t>地震灾害损失，保障人民生命财产安全和社会秩序稳定。</w:t>
      </w:r>
    </w:p>
    <w:p>
      <w:pPr>
        <w:pStyle w:val="29"/>
        <w:ind w:firstLine="420"/>
      </w:pPr>
    </w:p>
    <w:p>
      <w:pPr>
        <w:spacing w:line="20" w:lineRule="exact"/>
        <w:jc w:val="center"/>
        <w:rPr>
          <w:rFonts w:hint="eastAsia" w:ascii="黑体" w:hAnsi="黑体" w:eastAsia="黑体"/>
          <w:sz w:val="32"/>
          <w:szCs w:val="32"/>
        </w:rPr>
      </w:pPr>
    </w:p>
    <w:p>
      <w:pPr>
        <w:spacing w:line="20" w:lineRule="exact"/>
        <w:jc w:val="center"/>
        <w:rPr>
          <w:rFonts w:hint="eastAsia" w:ascii="黑体" w:hAnsi="黑体" w:eastAsia="黑体"/>
          <w:sz w:val="32"/>
          <w:szCs w:val="32"/>
        </w:rPr>
      </w:pPr>
    </w:p>
    <w:p>
      <w:pPr>
        <w:pStyle w:val="42"/>
        <w:spacing w:before="2" w:beforeLines="1" w:after="528" w:afterLines="220"/>
        <w:rPr>
          <w:rFonts w:hint="eastAsia"/>
        </w:rPr>
      </w:pPr>
      <w:r>
        <w:rPr>
          <w:rFonts w:hint="eastAsia"/>
        </w:rPr>
        <w:t>地震应急演练评估指南</w:t>
      </w:r>
    </w:p>
    <w:p>
      <w:pPr>
        <w:pStyle w:val="43"/>
        <w:numPr>
          <w:ilvl w:val="1"/>
          <w:numId w:val="2"/>
        </w:numPr>
        <w:spacing w:before="240" w:after="240"/>
      </w:pPr>
      <w:bookmarkStart w:id="24" w:name="_Toc192515496"/>
      <w:bookmarkStart w:id="25" w:name="_Toc24884211"/>
      <w:bookmarkStart w:id="26" w:name="_Toc26986530"/>
      <w:bookmarkStart w:id="27" w:name="_Toc24884218"/>
      <w:bookmarkStart w:id="28" w:name="_Toc17233325"/>
      <w:bookmarkStart w:id="29" w:name="_Toc17233333"/>
      <w:bookmarkStart w:id="30" w:name="_Toc31192"/>
      <w:bookmarkStart w:id="31" w:name="_Toc26718930"/>
      <w:bookmarkStart w:id="32" w:name="_Toc26648465"/>
      <w:bookmarkStart w:id="33" w:name="_Toc26986771"/>
      <w:bookmarkStart w:id="34" w:name="_Toc192779590"/>
      <w:bookmarkStart w:id="35" w:name="_Toc196661609"/>
      <w:bookmarkStart w:id="36" w:name="_Toc192779104"/>
      <w:bookmarkStart w:id="37" w:name="_Toc193294355"/>
      <w:bookmarkStart w:id="38" w:name="_Toc97195091"/>
      <w:bookmarkStart w:id="39" w:name="_Toc192779321"/>
      <w:r>
        <w:rPr>
          <w:rFonts w:hint="eastAsia"/>
        </w:rPr>
        <w:t>范围</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pPr>
        <w:pStyle w:val="44"/>
        <w:widowControl w:val="0"/>
        <w:ind w:firstLine="420"/>
        <w:rPr>
          <w:rFonts w:ascii="Times New Roman"/>
        </w:rPr>
      </w:pPr>
      <w:bookmarkStart w:id="40" w:name="_Toc24884219"/>
      <w:bookmarkStart w:id="41" w:name="_Toc17233334"/>
      <w:bookmarkStart w:id="42" w:name="_Toc26648466"/>
      <w:bookmarkStart w:id="43" w:name="_Toc17233326"/>
      <w:bookmarkStart w:id="44" w:name="_Toc24884212"/>
      <w:r>
        <w:rPr>
          <w:rFonts w:ascii="Times New Roman"/>
        </w:rPr>
        <w:t>本</w:t>
      </w:r>
      <w:r>
        <w:rPr>
          <w:rFonts w:hint="eastAsia" w:ascii="Times New Roman"/>
        </w:rPr>
        <w:t>文件提供</w:t>
      </w:r>
      <w:r>
        <w:rPr>
          <w:rFonts w:ascii="Times New Roman"/>
        </w:rPr>
        <w:t>了</w:t>
      </w:r>
      <w:r>
        <w:rPr>
          <w:rFonts w:hint="eastAsia" w:ascii="Times New Roman"/>
        </w:rPr>
        <w:t>开展地震应急演练</w:t>
      </w:r>
      <w:r>
        <w:rPr>
          <w:rFonts w:ascii="Times New Roman"/>
        </w:rPr>
        <w:t>评估</w:t>
      </w:r>
      <w:r>
        <w:rPr>
          <w:rFonts w:hint="eastAsia" w:ascii="Times New Roman"/>
        </w:rPr>
        <w:t>相关做法的建议，包括评估准备、评估实施、总结、工作改进与归档</w:t>
      </w:r>
      <w:r>
        <w:rPr>
          <w:rFonts w:ascii="Times New Roman"/>
        </w:rPr>
        <w:t>。</w:t>
      </w:r>
    </w:p>
    <w:p>
      <w:pPr>
        <w:pStyle w:val="29"/>
        <w:ind w:firstLine="420"/>
      </w:pPr>
      <w:r>
        <w:rPr>
          <w:rFonts w:hint="eastAsia"/>
        </w:rPr>
        <w:t>本文件适用于地震应急演练的评估工作。演练评估工作的组织及实施可根据</w:t>
      </w:r>
      <w:r>
        <w:rPr>
          <w:rFonts w:hint="eastAsia" w:ascii="Times New Roman"/>
        </w:rPr>
        <w:t>演练目的及目标、</w:t>
      </w:r>
      <w:r>
        <w:rPr>
          <w:rFonts w:hint="eastAsia"/>
        </w:rPr>
        <w:t>演练科目、演练形式、演练规模和复杂程度参照本文件开展。</w:t>
      </w:r>
    </w:p>
    <w:p>
      <w:pPr>
        <w:pStyle w:val="43"/>
        <w:numPr>
          <w:ilvl w:val="1"/>
          <w:numId w:val="2"/>
        </w:numPr>
        <w:spacing w:before="240" w:after="240"/>
      </w:pPr>
      <w:bookmarkStart w:id="45" w:name="_Toc192779591"/>
      <w:bookmarkStart w:id="46" w:name="_Toc192515497"/>
      <w:bookmarkStart w:id="47" w:name="_Toc26718931"/>
      <w:bookmarkStart w:id="48" w:name="_Toc193294356"/>
      <w:bookmarkStart w:id="49" w:name="_Toc26986772"/>
      <w:bookmarkStart w:id="50" w:name="_Toc26986531"/>
      <w:bookmarkStart w:id="51" w:name="_Toc192779105"/>
      <w:bookmarkStart w:id="52" w:name="_Toc192779322"/>
      <w:bookmarkStart w:id="53" w:name="_Toc3736"/>
      <w:bookmarkStart w:id="54" w:name="_Toc196661610"/>
      <w:bookmarkStart w:id="55" w:name="_Toc97195092"/>
      <w:r>
        <w:rPr>
          <w:rFonts w:hint="eastAsia"/>
        </w:rPr>
        <w:t>规范性引用文件</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pPr>
        <w:pStyle w:val="29"/>
        <w:ind w:firstLine="420"/>
      </w:pPr>
      <w:r>
        <w:rPr>
          <w:rFonts w:hint="eastAsia"/>
        </w:rPr>
        <w:t>下列文件中的内容</w:t>
      </w:r>
      <w:r>
        <w:rPr>
          <w:rFonts w:hint="eastAsia"/>
          <w:lang w:eastAsia="zh-CN"/>
        </w:rPr>
        <w:t>，</w:t>
      </w:r>
      <w:r>
        <w:rPr>
          <w:rFonts w:hint="eastAsia"/>
        </w:rPr>
        <w:t>通过文中的规范性引用而构成本文件必不可少的条款。其中，</w:t>
      </w:r>
      <w:r>
        <w:rPr>
          <w:rFonts w:hint="eastAsia"/>
          <w:lang w:eastAsia="zh-CN"/>
        </w:rPr>
        <w:t>标</w:t>
      </w:r>
      <w:r>
        <w:rPr>
          <w:rFonts w:hint="eastAsia"/>
        </w:rPr>
        <w:t>注日期的引用文件，仅该日期对应的版本适用于本文件；不注日期的引用文件，其最新版本（包括所有的修改单）适用于本文件。</w:t>
      </w:r>
    </w:p>
    <w:p>
      <w:pPr>
        <w:pStyle w:val="29"/>
        <w:ind w:firstLine="420"/>
      </w:pPr>
      <w:r>
        <w:rPr>
          <w:rFonts w:hint="eastAsia"/>
        </w:rPr>
        <w:t>GB/T XXXX—XXXX 突发事件应急演练评估指南</w:t>
      </w:r>
    </w:p>
    <w:p>
      <w:pPr>
        <w:pStyle w:val="29"/>
        <w:ind w:firstLine="420"/>
      </w:pPr>
      <w:r>
        <w:rPr>
          <w:rFonts w:hint="eastAsia"/>
        </w:rPr>
        <w:t>YJ/T XXXX—XXXX 地震应急演练指南</w:t>
      </w:r>
    </w:p>
    <w:p>
      <w:pPr>
        <w:pStyle w:val="43"/>
        <w:numPr>
          <w:ilvl w:val="1"/>
          <w:numId w:val="2"/>
        </w:numPr>
        <w:spacing w:before="240" w:after="240"/>
      </w:pPr>
      <w:bookmarkStart w:id="56" w:name="_Toc193294357"/>
      <w:bookmarkStart w:id="57" w:name="_Toc192779106"/>
      <w:bookmarkStart w:id="58" w:name="_Toc192779592"/>
      <w:bookmarkStart w:id="59" w:name="_Toc192779323"/>
      <w:bookmarkStart w:id="60" w:name="_Toc97195093"/>
      <w:bookmarkStart w:id="61" w:name="_Toc196661611"/>
      <w:bookmarkStart w:id="62" w:name="_Toc20982"/>
      <w:bookmarkStart w:id="63" w:name="_Toc192515498"/>
      <w:r>
        <w:rPr>
          <w:rFonts w:hint="eastAsia"/>
          <w:szCs w:val="21"/>
        </w:rPr>
        <w:t>术语和定义</w:t>
      </w:r>
      <w:bookmarkEnd w:id="56"/>
      <w:bookmarkEnd w:id="57"/>
      <w:bookmarkEnd w:id="58"/>
      <w:bookmarkEnd w:id="59"/>
      <w:bookmarkEnd w:id="60"/>
      <w:bookmarkEnd w:id="61"/>
      <w:bookmarkEnd w:id="62"/>
      <w:bookmarkEnd w:id="63"/>
    </w:p>
    <w:p>
      <w:pPr>
        <w:pStyle w:val="29"/>
        <w:ind w:firstLine="420"/>
      </w:pPr>
      <w:r>
        <w:t>下列术语和定义适用于本文件。</w:t>
      </w:r>
    </w:p>
    <w:p>
      <w:pPr>
        <w:pStyle w:val="45"/>
        <w:numPr>
          <w:ilvl w:val="2"/>
          <w:numId w:val="2"/>
        </w:numPr>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地震应急  earthquake emergency response</w:t>
      </w:r>
    </w:p>
    <w:p>
      <w:pPr>
        <w:pStyle w:val="29"/>
        <w:ind w:firstLine="420"/>
      </w:pPr>
      <w:r>
        <w:rPr>
          <w:rFonts w:hint="eastAsia"/>
        </w:rPr>
        <w:t>地震发生前所做的各种应急准备以及地震发生后采取的应急处置和紧急抢险救灾行动。</w:t>
      </w:r>
    </w:p>
    <w:p>
      <w:pPr>
        <w:pStyle w:val="29"/>
        <w:ind w:firstLine="420"/>
      </w:pPr>
      <w:r>
        <w:rPr>
          <w:rFonts w:hint="eastAsia"/>
        </w:rPr>
        <w:t>[来源：GB/T 18207.1－2008， 6.1，有修改]</w:t>
      </w:r>
    </w:p>
    <w:p>
      <w:pPr>
        <w:pStyle w:val="45"/>
        <w:numPr>
          <w:ilvl w:val="2"/>
          <w:numId w:val="2"/>
        </w:numPr>
        <w:ind w:left="420" w:hanging="420" w:hangingChars="200"/>
        <w:rPr>
          <w:rFonts w:hint="eastAsia" w:ascii="黑体" w:hAnsi="黑体" w:eastAsia="黑体"/>
        </w:rPr>
      </w:pPr>
      <w:r>
        <w:rPr>
          <w:rFonts w:ascii="黑体" w:hAnsi="黑体" w:eastAsia="黑体"/>
        </w:rPr>
        <w:br w:type="textWrapping"/>
      </w:r>
      <w:bookmarkStart w:id="64" w:name="OLE_LINK1"/>
      <w:bookmarkStart w:id="65" w:name="OLE_LINK2"/>
      <w:r>
        <w:rPr>
          <w:rFonts w:hint="eastAsia" w:ascii="黑体" w:hAnsi="黑体" w:eastAsia="黑体"/>
          <w:szCs w:val="21"/>
        </w:rPr>
        <w:t>地震灾害演练情景</w:t>
      </w:r>
      <w:bookmarkEnd w:id="64"/>
      <w:bookmarkEnd w:id="65"/>
      <w:r>
        <w:rPr>
          <w:rFonts w:hint="eastAsia" w:ascii="黑体" w:hAnsi="黑体" w:eastAsia="黑体"/>
        </w:rPr>
        <w:t xml:space="preserve">  </w:t>
      </w:r>
      <w:r>
        <w:rPr>
          <w:rFonts w:ascii="黑体" w:hAnsi="黑体" w:eastAsia="黑体"/>
          <w:szCs w:val="21"/>
        </w:rPr>
        <w:t xml:space="preserve">earthquake disaster </w:t>
      </w:r>
      <w:r>
        <w:rPr>
          <w:rFonts w:hint="eastAsia" w:ascii="黑体" w:hAnsi="黑体" w:eastAsia="黑体"/>
        </w:rPr>
        <w:t xml:space="preserve">drill </w:t>
      </w:r>
      <w:r>
        <w:rPr>
          <w:rFonts w:ascii="黑体" w:hAnsi="黑体" w:eastAsia="黑体"/>
          <w:szCs w:val="21"/>
        </w:rPr>
        <w:t xml:space="preserve">scenario </w:t>
      </w:r>
    </w:p>
    <w:p>
      <w:pPr>
        <w:pStyle w:val="29"/>
        <w:ind w:firstLine="420"/>
      </w:pPr>
      <w:r>
        <w:rPr>
          <w:rFonts w:hint="eastAsia"/>
        </w:rPr>
        <w:t>针对特定区域，按照突发地震事件发展演变的规律，为应急演练而事先预设时间、地点、震级、震源深度等要素及与之相应的人工建造和自然环境破坏、人员伤亡、影响范围、后果严重性等场景，包括计算机模拟情景、布景和实景。</w:t>
      </w:r>
    </w:p>
    <w:p>
      <w:pPr>
        <w:pStyle w:val="45"/>
        <w:numPr>
          <w:ilvl w:val="2"/>
          <w:numId w:val="2"/>
        </w:numPr>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地震应急演练  earthquake emergency exercise </w:t>
      </w:r>
    </w:p>
    <w:p>
      <w:pPr>
        <w:pStyle w:val="29"/>
        <w:ind w:firstLine="420"/>
      </w:pPr>
      <w:r>
        <w:rPr>
          <w:rFonts w:hint="eastAsia"/>
        </w:rPr>
        <w:t>针对可能发生的突发地震及次生、衍生灾害事件情景，依据地震应急预案模拟开展的地震应急训练，包括桌面演练和实战演练。</w:t>
      </w:r>
    </w:p>
    <w:p>
      <w:pPr>
        <w:pStyle w:val="48"/>
      </w:pPr>
      <w:r>
        <w:rPr>
          <w:rFonts w:hint="eastAsia"/>
        </w:rPr>
        <w:t>本文件简称“演练”。</w:t>
      </w:r>
    </w:p>
    <w:p>
      <w:pPr>
        <w:pStyle w:val="45"/>
        <w:numPr>
          <w:ilvl w:val="2"/>
          <w:numId w:val="2"/>
        </w:numPr>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地震应急演练科目  earthquake emergency exercise subject  </w:t>
      </w:r>
    </w:p>
    <w:p>
      <w:pPr>
        <w:pStyle w:val="29"/>
        <w:ind w:firstLine="420"/>
      </w:pPr>
      <w:r>
        <w:rPr>
          <w:rFonts w:hint="eastAsia"/>
        </w:rPr>
        <w:t>地震应急演练进程中特定地震应急响应功能或现场应急处置的具体活动，是一系列应急响应或现场处置的一个环节，是全过程地震应急演练的组成单元。</w:t>
      </w:r>
    </w:p>
    <w:p>
      <w:pPr>
        <w:pStyle w:val="45"/>
        <w:numPr>
          <w:ilvl w:val="2"/>
          <w:numId w:val="2"/>
        </w:numPr>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地震应急演练评估  emergency exercise evaluation</w:t>
      </w:r>
    </w:p>
    <w:p>
      <w:pPr>
        <w:pStyle w:val="29"/>
        <w:ind w:firstLine="420"/>
      </w:pPr>
      <w:r>
        <w:rPr>
          <w:rFonts w:hint="eastAsia"/>
        </w:rPr>
        <w:t>根据地震应急演练目标和要求，对演练活动策划与准备、演练组织实施过程、参演单位和人员表现、演练成效作出客观评价的过程。</w:t>
      </w:r>
    </w:p>
    <w:p>
      <w:pPr>
        <w:pStyle w:val="48"/>
      </w:pPr>
      <w:r>
        <w:rPr>
          <w:rFonts w:hint="eastAsia"/>
        </w:rPr>
        <w:t>本文件简称“演练评估”。</w:t>
      </w:r>
    </w:p>
    <w:p>
      <w:pPr>
        <w:pStyle w:val="45"/>
        <w:numPr>
          <w:ilvl w:val="2"/>
          <w:numId w:val="2"/>
        </w:numPr>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相关方 interested  party</w:t>
      </w:r>
    </w:p>
    <w:p>
      <w:pPr>
        <w:pStyle w:val="29"/>
        <w:ind w:firstLine="420"/>
      </w:pPr>
      <w:r>
        <w:rPr>
          <w:rFonts w:hint="eastAsia"/>
        </w:rPr>
        <w:t>能够影响或会受到应急演练影响的人员或组织。</w:t>
      </w:r>
    </w:p>
    <w:p>
      <w:pPr>
        <w:pStyle w:val="29"/>
        <w:ind w:firstLine="420"/>
      </w:pPr>
      <w:bookmarkStart w:id="66" w:name="_Toc192779107"/>
      <w:bookmarkStart w:id="67" w:name="_Toc193294358"/>
      <w:bookmarkStart w:id="68" w:name="_Toc24814"/>
      <w:bookmarkStart w:id="69" w:name="_Toc196661612"/>
      <w:bookmarkStart w:id="70" w:name="_Toc192779593"/>
      <w:bookmarkStart w:id="71" w:name="_Toc192779324"/>
      <w:r>
        <w:rPr>
          <w:rFonts w:hint="eastAsia"/>
        </w:rPr>
        <w:t>[来源：GB/T38209-2019，3.11，有修改]</w:t>
      </w:r>
    </w:p>
    <w:p>
      <w:pPr>
        <w:pStyle w:val="43"/>
        <w:numPr>
          <w:ilvl w:val="1"/>
          <w:numId w:val="2"/>
        </w:numPr>
        <w:spacing w:before="240" w:after="240"/>
      </w:pPr>
      <w:r>
        <w:rPr>
          <w:rFonts w:hint="eastAsia"/>
        </w:rPr>
        <w:t>总体</w:t>
      </w:r>
      <w:bookmarkEnd w:id="66"/>
      <w:bookmarkEnd w:id="67"/>
      <w:bookmarkEnd w:id="68"/>
      <w:bookmarkEnd w:id="69"/>
      <w:bookmarkEnd w:id="70"/>
      <w:bookmarkEnd w:id="71"/>
      <w:r>
        <w:rPr>
          <w:rFonts w:hint="eastAsia"/>
        </w:rPr>
        <w:t>原则</w:t>
      </w:r>
    </w:p>
    <w:p>
      <w:pPr>
        <w:pStyle w:val="46"/>
        <w:numPr>
          <w:ilvl w:val="2"/>
          <w:numId w:val="2"/>
        </w:numPr>
      </w:pPr>
      <w:bookmarkStart w:id="72" w:name="_Toc192779594"/>
      <w:bookmarkStart w:id="73" w:name="_Toc196661613"/>
      <w:bookmarkStart w:id="74" w:name="_Toc192779108"/>
      <w:bookmarkStart w:id="75" w:name="_Toc20220"/>
      <w:bookmarkStart w:id="76" w:name="_Toc192779325"/>
      <w:bookmarkStart w:id="77" w:name="_Toc193294359"/>
      <w:r>
        <w:rPr>
          <w:rFonts w:hint="eastAsia"/>
        </w:rPr>
        <w:t>演练评估遵循“实事求是、科学评估、依法依规、以评促改”的原则。</w:t>
      </w:r>
    </w:p>
    <w:p>
      <w:pPr>
        <w:pStyle w:val="46"/>
        <w:numPr>
          <w:ilvl w:val="2"/>
          <w:numId w:val="2"/>
        </w:numPr>
      </w:pPr>
      <w:r>
        <w:rPr>
          <w:rFonts w:hint="eastAsia"/>
        </w:rPr>
        <w:t>演练评估的目的主要是通过演练的策划实施全过程发现地震应急各个阶段存在的问题和差距，并有针对性地提出改进意见或建议。</w:t>
      </w:r>
    </w:p>
    <w:p>
      <w:pPr>
        <w:pStyle w:val="46"/>
        <w:numPr>
          <w:ilvl w:val="2"/>
          <w:numId w:val="2"/>
        </w:numPr>
      </w:pPr>
      <w:r>
        <w:rPr>
          <w:rFonts w:hint="eastAsia"/>
        </w:rPr>
        <w:t>演练评估方式包括自评估和第三方评估的方式，国家、省级综合实战演练宜由第三方评估</w:t>
      </w:r>
      <w:r>
        <w:rPr>
          <w:rFonts w:hint="eastAsia" w:ascii="Times New Roman"/>
        </w:rPr>
        <w:t>。</w:t>
      </w:r>
    </w:p>
    <w:p>
      <w:pPr>
        <w:pStyle w:val="46"/>
        <w:numPr>
          <w:ilvl w:val="2"/>
          <w:numId w:val="2"/>
        </w:numPr>
      </w:pPr>
      <w:r>
        <w:rPr>
          <w:rFonts w:hint="eastAsia"/>
        </w:rPr>
        <w:t>演练评估应对演练全过程或对全科目进行评估。当评估目的明确，可根据实际需要选择其中某个环节或部分科目进行评估。</w:t>
      </w:r>
    </w:p>
    <w:p>
      <w:pPr>
        <w:pStyle w:val="46"/>
        <w:numPr>
          <w:ilvl w:val="2"/>
          <w:numId w:val="2"/>
        </w:numPr>
      </w:pPr>
      <w:r>
        <w:rPr>
          <w:rFonts w:hint="eastAsia"/>
        </w:rPr>
        <w:t>基层应急预案演练</w:t>
      </w:r>
      <w:r>
        <w:rPr>
          <w:rFonts w:hint="eastAsia" w:ascii="Times New Roman"/>
        </w:rPr>
        <w:t>及其他规模较小的演练</w:t>
      </w:r>
      <w:r>
        <w:rPr>
          <w:rFonts w:hint="eastAsia"/>
        </w:rPr>
        <w:t>可简化评估程序。</w:t>
      </w:r>
    </w:p>
    <w:p>
      <w:pPr>
        <w:pStyle w:val="43"/>
        <w:numPr>
          <w:ilvl w:val="1"/>
          <w:numId w:val="2"/>
        </w:numPr>
        <w:spacing w:before="240" w:after="240"/>
      </w:pPr>
      <w:r>
        <w:rPr>
          <w:rFonts w:hint="eastAsia"/>
        </w:rPr>
        <w:t>演练评估准备</w:t>
      </w:r>
      <w:bookmarkEnd w:id="72"/>
      <w:bookmarkEnd w:id="73"/>
      <w:bookmarkEnd w:id="74"/>
      <w:bookmarkEnd w:id="75"/>
      <w:bookmarkEnd w:id="76"/>
      <w:bookmarkEnd w:id="77"/>
    </w:p>
    <w:p>
      <w:pPr>
        <w:pStyle w:val="47"/>
        <w:numPr>
          <w:ilvl w:val="2"/>
          <w:numId w:val="2"/>
        </w:numPr>
        <w:spacing w:before="120" w:after="120"/>
      </w:pPr>
      <w:bookmarkStart w:id="78" w:name="_Toc192779326"/>
      <w:bookmarkStart w:id="79" w:name="_Toc356"/>
      <w:bookmarkStart w:id="80" w:name="_Toc196661614"/>
      <w:bookmarkStart w:id="81" w:name="_Toc192779595"/>
      <w:bookmarkStart w:id="82" w:name="_Toc192779109"/>
      <w:bookmarkStart w:id="83" w:name="_Toc193294360"/>
      <w:r>
        <w:rPr>
          <w:rFonts w:hint="eastAsia"/>
        </w:rPr>
        <w:t>组建评估工作组</w:t>
      </w:r>
      <w:bookmarkEnd w:id="78"/>
      <w:bookmarkEnd w:id="79"/>
      <w:bookmarkEnd w:id="80"/>
      <w:bookmarkEnd w:id="81"/>
      <w:bookmarkEnd w:id="82"/>
      <w:bookmarkEnd w:id="83"/>
    </w:p>
    <w:p>
      <w:pPr>
        <w:pStyle w:val="49"/>
        <w:numPr>
          <w:ilvl w:val="3"/>
          <w:numId w:val="2"/>
        </w:numPr>
      </w:pPr>
      <w:r>
        <w:rPr>
          <w:rFonts w:hint="eastAsia"/>
        </w:rPr>
        <w:t>评估工作组宜由熟练掌握地震应急预案编制、地震应急救援、地震应急演练评估等理论和知识的人员组成。采用自评估方式时，可由演练组织单位、参与单位及相关方选择</w:t>
      </w:r>
      <w:r>
        <w:rPr>
          <w:rFonts w:ascii="Times New Roman"/>
        </w:rPr>
        <w:t>具有长期</w:t>
      </w:r>
      <w:r>
        <w:rPr>
          <w:rFonts w:hint="eastAsia"/>
        </w:rPr>
        <w:t>从事相关工作经历</w:t>
      </w:r>
      <w:r>
        <w:rPr>
          <w:rFonts w:hint="eastAsia" w:ascii="Times New Roman"/>
        </w:rPr>
        <w:t>的</w:t>
      </w:r>
      <w:r>
        <w:rPr>
          <w:rFonts w:hint="eastAsia"/>
        </w:rPr>
        <w:t>管理人员、</w:t>
      </w:r>
      <w:r>
        <w:rPr>
          <w:rFonts w:ascii="Times New Roman"/>
        </w:rPr>
        <w:t>专业技术人员</w:t>
      </w:r>
      <w:r>
        <w:rPr>
          <w:rFonts w:hint="eastAsia" w:ascii="Times New Roman"/>
        </w:rPr>
        <w:t>等</w:t>
      </w:r>
      <w:r>
        <w:rPr>
          <w:rFonts w:hint="eastAsia"/>
        </w:rPr>
        <w:t>组成；采用第三方评估方式时，宜由第三方专业机构人员、行业专家、行业主管部门人员等组成。</w:t>
      </w:r>
    </w:p>
    <w:p>
      <w:pPr>
        <w:pStyle w:val="49"/>
        <w:numPr>
          <w:ilvl w:val="3"/>
          <w:numId w:val="2"/>
        </w:numPr>
      </w:pPr>
      <w:r>
        <w:rPr>
          <w:rFonts w:hint="eastAsia"/>
        </w:rPr>
        <w:t>若演练规模较大、演练情景和参演人员较多或实施程序复杂的演练，评估工作组可设多级评估和若干专项评估小组，并确定总体负责人、层级负责人及各小组（科目）负责人。</w:t>
      </w:r>
    </w:p>
    <w:p>
      <w:pPr>
        <w:pStyle w:val="49"/>
        <w:numPr>
          <w:ilvl w:val="3"/>
          <w:numId w:val="2"/>
        </w:numPr>
      </w:pPr>
      <w:r>
        <w:rPr>
          <w:rFonts w:hint="eastAsia"/>
        </w:rPr>
        <w:t>评估人员宜有明显标识，与参演、观摩人员区分。</w:t>
      </w:r>
    </w:p>
    <w:p>
      <w:pPr>
        <w:pStyle w:val="49"/>
        <w:numPr>
          <w:ilvl w:val="3"/>
          <w:numId w:val="2"/>
        </w:numPr>
      </w:pPr>
      <w:r>
        <w:rPr>
          <w:rFonts w:ascii="Times New Roman"/>
        </w:rPr>
        <w:t>评估工作组</w:t>
      </w:r>
      <w:r>
        <w:rPr>
          <w:rFonts w:hint="eastAsia"/>
        </w:rPr>
        <w:t>宜在演练策划阶段组建，与演练策划及实施工作同步开展。</w:t>
      </w:r>
    </w:p>
    <w:p>
      <w:pPr>
        <w:pStyle w:val="49"/>
        <w:numPr>
          <w:ilvl w:val="3"/>
          <w:numId w:val="2"/>
        </w:numPr>
      </w:pPr>
      <w:r>
        <w:rPr>
          <w:rFonts w:hint="eastAsia"/>
        </w:rPr>
        <w:t>评估工作组负责对演练准备、组织与实施、总结与效果等进行全过程、全方位地跟踪评估，工作职责一般包括：</w:t>
      </w:r>
    </w:p>
    <w:p>
      <w:pPr>
        <w:pStyle w:val="51"/>
        <w:numPr>
          <w:ilvl w:val="0"/>
          <w:numId w:val="3"/>
        </w:numPr>
      </w:pPr>
      <w:r>
        <w:rPr>
          <w:rFonts w:hint="eastAsia"/>
        </w:rPr>
        <w:t>收集演练评估所需要的相关资料和文件；</w:t>
      </w:r>
    </w:p>
    <w:p>
      <w:pPr>
        <w:pStyle w:val="51"/>
        <w:numPr>
          <w:ilvl w:val="0"/>
          <w:numId w:val="3"/>
        </w:numPr>
      </w:pPr>
      <w:r>
        <w:rPr>
          <w:rFonts w:hint="eastAsia"/>
        </w:rPr>
        <w:t>拟定演练评估方案，编制测评表；</w:t>
      </w:r>
    </w:p>
    <w:p>
      <w:pPr>
        <w:pStyle w:val="51"/>
        <w:numPr>
          <w:ilvl w:val="0"/>
          <w:numId w:val="3"/>
        </w:numPr>
      </w:pPr>
      <w:r>
        <w:rPr>
          <w:rFonts w:hint="eastAsia"/>
        </w:rPr>
        <w:t>组织实施演练评估，记录演练评估过程；</w:t>
      </w:r>
    </w:p>
    <w:p>
      <w:pPr>
        <w:pStyle w:val="51"/>
        <w:numPr>
          <w:ilvl w:val="0"/>
          <w:numId w:val="3"/>
        </w:numPr>
      </w:pPr>
      <w:r>
        <w:rPr>
          <w:rFonts w:hint="eastAsia"/>
        </w:rPr>
        <w:t>对演练活动全过程进行分析和客观评价，编制演练评估报告；</w:t>
      </w:r>
    </w:p>
    <w:p>
      <w:pPr>
        <w:pStyle w:val="51"/>
        <w:numPr>
          <w:ilvl w:val="0"/>
          <w:numId w:val="3"/>
        </w:numPr>
      </w:pPr>
      <w:r>
        <w:rPr>
          <w:rFonts w:hint="eastAsia"/>
        </w:rPr>
        <w:t>向</w:t>
      </w:r>
      <w:r>
        <w:rPr>
          <w:rFonts w:hint="eastAsia" w:ascii="Times New Roman"/>
        </w:rPr>
        <w:t>评估工作组织单位、</w:t>
      </w:r>
      <w:r>
        <w:rPr>
          <w:rFonts w:hint="eastAsia"/>
        </w:rPr>
        <w:t>演练组织单位及参与单位提出评估意见建议。</w:t>
      </w:r>
    </w:p>
    <w:p>
      <w:pPr>
        <w:pStyle w:val="51"/>
      </w:pPr>
      <w:r>
        <w:rPr>
          <w:rFonts w:hint="eastAsia"/>
        </w:rPr>
        <w:t>注：评估工作组织单位是负责启动、组织和推动评估活动并提供资金、人力及技术支持的机构，一般为演练主办单位或其上级主管单位。</w:t>
      </w:r>
    </w:p>
    <w:p>
      <w:pPr>
        <w:pStyle w:val="47"/>
        <w:numPr>
          <w:ilvl w:val="2"/>
          <w:numId w:val="2"/>
        </w:numPr>
        <w:spacing w:before="120" w:after="120"/>
      </w:pPr>
      <w:bookmarkStart w:id="84" w:name="_Toc193294361"/>
      <w:bookmarkStart w:id="85" w:name="_Toc192779596"/>
      <w:bookmarkStart w:id="86" w:name="_Toc196661615"/>
      <w:bookmarkStart w:id="87" w:name="_Toc19491"/>
      <w:bookmarkStart w:id="88" w:name="_Toc192779110"/>
      <w:bookmarkStart w:id="89" w:name="_Toc192779327"/>
      <w:r>
        <w:rPr>
          <w:rFonts w:hint="eastAsia"/>
        </w:rPr>
        <w:t>确定评估目的</w:t>
      </w:r>
      <w:bookmarkEnd w:id="84"/>
      <w:bookmarkEnd w:id="85"/>
      <w:bookmarkEnd w:id="86"/>
      <w:bookmarkEnd w:id="87"/>
      <w:bookmarkEnd w:id="88"/>
      <w:bookmarkEnd w:id="89"/>
    </w:p>
    <w:p>
      <w:pPr>
        <w:pStyle w:val="29"/>
        <w:ind w:firstLine="420"/>
      </w:pPr>
      <w:r>
        <w:rPr>
          <w:rFonts w:hint="eastAsia"/>
        </w:rPr>
        <w:t>通过演练评估发现地震应急预案、应急组织、应急人员、应急装备、应急机制、处置措施、应急保障等方面存在的问题或不足，提出改进意见或建议，并总结演练中好的做法和经验，不断完善地震应急准备，提升突发地震事件的应急处置能力和水平。</w:t>
      </w:r>
    </w:p>
    <w:p>
      <w:pPr>
        <w:pStyle w:val="47"/>
        <w:numPr>
          <w:ilvl w:val="2"/>
          <w:numId w:val="2"/>
        </w:numPr>
        <w:spacing w:before="120" w:after="120"/>
      </w:pPr>
      <w:bookmarkStart w:id="90" w:name="_Toc32490"/>
      <w:bookmarkStart w:id="91" w:name="_Toc192779328"/>
      <w:bookmarkStart w:id="92" w:name="_Toc192779111"/>
      <w:bookmarkStart w:id="93" w:name="_Toc192779597"/>
      <w:bookmarkStart w:id="94" w:name="_Toc196661616"/>
      <w:bookmarkStart w:id="95" w:name="_Toc193294362"/>
      <w:r>
        <w:rPr>
          <w:rFonts w:hint="eastAsia"/>
        </w:rPr>
        <w:t>确定评估内容</w:t>
      </w:r>
      <w:bookmarkEnd w:id="90"/>
      <w:bookmarkEnd w:id="91"/>
      <w:bookmarkEnd w:id="92"/>
      <w:bookmarkEnd w:id="93"/>
      <w:bookmarkEnd w:id="94"/>
      <w:bookmarkEnd w:id="95"/>
    </w:p>
    <w:p>
      <w:pPr>
        <w:pStyle w:val="49"/>
        <w:numPr>
          <w:ilvl w:val="3"/>
          <w:numId w:val="2"/>
        </w:numPr>
      </w:pPr>
      <w:r>
        <w:rPr>
          <w:rFonts w:hint="eastAsia"/>
        </w:rPr>
        <w:t>评估内容包括演练策划实施过程和演练成效两方面。</w:t>
      </w:r>
    </w:p>
    <w:p>
      <w:pPr>
        <w:pStyle w:val="49"/>
        <w:numPr>
          <w:ilvl w:val="3"/>
          <w:numId w:val="2"/>
        </w:numPr>
      </w:pPr>
      <w:r>
        <w:rPr>
          <w:rFonts w:hint="eastAsia"/>
        </w:rPr>
        <w:t>实战演练和桌面演练的评估内容可分别参照本标准附录A、附录B，结合演练的层级、类型、规模等进行细化、增删、调整。</w:t>
      </w:r>
    </w:p>
    <w:p>
      <w:pPr>
        <w:pStyle w:val="49"/>
        <w:numPr>
          <w:ilvl w:val="3"/>
          <w:numId w:val="2"/>
        </w:numPr>
      </w:pPr>
      <w:r>
        <w:rPr>
          <w:rFonts w:hint="eastAsia"/>
        </w:rPr>
        <w:t>根据演练总体目标和各参演机构的目标，以及具体演练情景事件、演练流程和保障方案，明确演练评估内容及要求，可事先制定好演练评估表格，包括演练目标、评估方法、评估标准和相关记录项等。不同类型演练重点评估内容如下：</w:t>
      </w:r>
    </w:p>
    <w:p>
      <w:pPr>
        <w:pStyle w:val="51"/>
        <w:numPr>
          <w:ilvl w:val="0"/>
          <w:numId w:val="4"/>
        </w:numPr>
      </w:pPr>
      <w:r>
        <w:rPr>
          <w:rFonts w:hint="eastAsia"/>
        </w:rPr>
        <w:t>实战演练评估内容和标准可结合演练的层级、类型、规模等进行细化、增删、调整。非全过程评估时，宜重点关注指挥协调、力量协同、人员搜救、抢通保通、信息共享等内容。</w:t>
      </w:r>
    </w:p>
    <w:p>
      <w:pPr>
        <w:pStyle w:val="51"/>
        <w:numPr>
          <w:ilvl w:val="0"/>
          <w:numId w:val="3"/>
        </w:numPr>
      </w:pPr>
      <w:r>
        <w:rPr>
          <w:rFonts w:hint="eastAsia"/>
        </w:rPr>
        <w:t>桌面演练评估内容和标准可结合演练的层级、类型、规模等进行细化、增删、调整。非全过程评估时，宜重点关注启动响应、信息报送、指挥部运行、指挥部各</w:t>
      </w:r>
      <w:r>
        <w:rPr>
          <w:rFonts w:hint="eastAsia"/>
          <w:lang w:eastAsia="zh-CN"/>
        </w:rPr>
        <w:t>项</w:t>
      </w:r>
      <w:r>
        <w:rPr>
          <w:rFonts w:hint="eastAsia"/>
        </w:rPr>
        <w:t>工作和各部门职能职责等环节。</w:t>
      </w:r>
    </w:p>
    <w:p>
      <w:pPr>
        <w:pStyle w:val="47"/>
        <w:numPr>
          <w:ilvl w:val="2"/>
          <w:numId w:val="2"/>
        </w:numPr>
        <w:spacing w:before="120" w:after="120"/>
      </w:pPr>
      <w:bookmarkStart w:id="96" w:name="_Toc192779598"/>
      <w:bookmarkStart w:id="97" w:name="_Toc192779329"/>
      <w:bookmarkStart w:id="98" w:name="_Toc17083"/>
      <w:bookmarkStart w:id="99" w:name="_Toc193294363"/>
      <w:bookmarkStart w:id="100" w:name="_Toc192779112"/>
      <w:bookmarkStart w:id="101" w:name="_Toc196661617"/>
      <w:r>
        <w:rPr>
          <w:rFonts w:hint="eastAsia"/>
        </w:rPr>
        <w:t>确定评估方法</w:t>
      </w:r>
      <w:bookmarkEnd w:id="96"/>
      <w:bookmarkEnd w:id="97"/>
      <w:bookmarkEnd w:id="98"/>
      <w:bookmarkEnd w:id="99"/>
      <w:bookmarkEnd w:id="100"/>
      <w:bookmarkEnd w:id="101"/>
    </w:p>
    <w:p>
      <w:pPr>
        <w:pStyle w:val="49"/>
        <w:numPr>
          <w:ilvl w:val="3"/>
          <w:numId w:val="2"/>
        </w:numPr>
      </w:pPr>
      <w:r>
        <w:rPr>
          <w:rFonts w:hint="eastAsia"/>
        </w:rPr>
        <w:t>演练评估可通过观察、提问、物联网设备实测、语音与视频分析等方式获取真实有效的数据信息。</w:t>
      </w:r>
    </w:p>
    <w:p>
      <w:pPr>
        <w:pStyle w:val="49"/>
        <w:numPr>
          <w:ilvl w:val="3"/>
          <w:numId w:val="2"/>
        </w:numPr>
      </w:pPr>
      <w:r>
        <w:rPr>
          <w:rFonts w:hint="eastAsia"/>
        </w:rPr>
        <w:t>演练评估以演练目标为基础，演练评估指标宜考虑以下方面：</w:t>
      </w:r>
    </w:p>
    <w:p>
      <w:pPr>
        <w:pStyle w:val="51"/>
        <w:numPr>
          <w:ilvl w:val="0"/>
          <w:numId w:val="5"/>
        </w:numPr>
      </w:pPr>
      <w:r>
        <w:rPr>
          <w:rFonts w:hint="eastAsia"/>
        </w:rPr>
        <w:t>演练策划依据的充分性；</w:t>
      </w:r>
    </w:p>
    <w:p>
      <w:pPr>
        <w:pStyle w:val="51"/>
        <w:numPr>
          <w:ilvl w:val="0"/>
          <w:numId w:val="5"/>
        </w:numPr>
      </w:pPr>
      <w:r>
        <w:rPr>
          <w:rFonts w:hint="eastAsia"/>
        </w:rPr>
        <w:t>演练组织架构的完整性；</w:t>
      </w:r>
    </w:p>
    <w:p>
      <w:pPr>
        <w:pStyle w:val="51"/>
        <w:numPr>
          <w:ilvl w:val="0"/>
          <w:numId w:val="5"/>
        </w:numPr>
      </w:pPr>
      <w:r>
        <w:rPr>
          <w:rFonts w:hint="eastAsia"/>
        </w:rPr>
        <w:t>演练实施的顺畅性；</w:t>
      </w:r>
    </w:p>
    <w:p>
      <w:pPr>
        <w:pStyle w:val="51"/>
        <w:numPr>
          <w:ilvl w:val="0"/>
          <w:numId w:val="5"/>
        </w:numPr>
      </w:pPr>
      <w:r>
        <w:rPr>
          <w:rFonts w:hint="eastAsia"/>
        </w:rPr>
        <w:t>演练效果的可观性；</w:t>
      </w:r>
    </w:p>
    <w:p>
      <w:pPr>
        <w:pStyle w:val="51"/>
        <w:numPr>
          <w:ilvl w:val="0"/>
          <w:numId w:val="5"/>
        </w:numPr>
      </w:pPr>
      <w:r>
        <w:rPr>
          <w:rFonts w:hint="eastAsia"/>
        </w:rPr>
        <w:t>演练目标设定的针对性；</w:t>
      </w:r>
    </w:p>
    <w:p>
      <w:pPr>
        <w:pStyle w:val="51"/>
        <w:numPr>
          <w:ilvl w:val="0"/>
          <w:numId w:val="5"/>
        </w:numPr>
      </w:pPr>
      <w:r>
        <w:rPr>
          <w:rFonts w:hint="eastAsia"/>
        </w:rPr>
        <w:t>演练情景设计的合理性；</w:t>
      </w:r>
    </w:p>
    <w:p>
      <w:pPr>
        <w:pStyle w:val="51"/>
        <w:numPr>
          <w:ilvl w:val="0"/>
          <w:numId w:val="5"/>
        </w:numPr>
      </w:pPr>
      <w:r>
        <w:rPr>
          <w:rFonts w:hint="eastAsia"/>
        </w:rPr>
        <w:t>参演单位与人员选择的科学性；</w:t>
      </w:r>
    </w:p>
    <w:p>
      <w:pPr>
        <w:pStyle w:val="51"/>
        <w:numPr>
          <w:ilvl w:val="0"/>
          <w:numId w:val="5"/>
        </w:numPr>
      </w:pPr>
      <w:r>
        <w:rPr>
          <w:rFonts w:hint="eastAsia"/>
        </w:rPr>
        <w:t>演练科目的实战性；</w:t>
      </w:r>
    </w:p>
    <w:p>
      <w:pPr>
        <w:pStyle w:val="51"/>
        <w:numPr>
          <w:ilvl w:val="0"/>
          <w:numId w:val="5"/>
        </w:numPr>
      </w:pPr>
      <w:r>
        <w:rPr>
          <w:rFonts w:hint="eastAsia"/>
        </w:rPr>
        <w:t>演练成果的有效性。</w:t>
      </w:r>
    </w:p>
    <w:p>
      <w:pPr>
        <w:pStyle w:val="49"/>
        <w:numPr>
          <w:ilvl w:val="3"/>
          <w:numId w:val="2"/>
        </w:numPr>
      </w:pPr>
      <w:r>
        <w:rPr>
          <w:rFonts w:hint="eastAsia"/>
        </w:rPr>
        <w:t>综合演练目的以及获取的数据信息，基于附录A和附录B中的评估要点，形成评估指标体系，并在考虑不同项目间的可比性的前提下，结合演练类型及评估重点对权重设置进行调整完善。可选取下列一种或多种方法进行评估。</w:t>
      </w:r>
    </w:p>
    <w:p>
      <w:pPr>
        <w:pStyle w:val="51"/>
        <w:numPr>
          <w:ilvl w:val="0"/>
          <w:numId w:val="6"/>
        </w:numPr>
      </w:pPr>
      <w:r>
        <w:rPr>
          <w:rFonts w:hint="eastAsia"/>
        </w:rPr>
        <w:t>选择项法：例如，对每项评估指标用“是/否”或用“完全符合/部分符合/完全不符合”等选择项进行主观定性评价，结合权重累计最终结果；</w:t>
      </w:r>
    </w:p>
    <w:p>
      <w:pPr>
        <w:pStyle w:val="51"/>
        <w:numPr>
          <w:ilvl w:val="0"/>
          <w:numId w:val="6"/>
        </w:numPr>
      </w:pPr>
      <w:r>
        <w:rPr>
          <w:rFonts w:hint="eastAsia"/>
        </w:rPr>
        <w:t>主观评分法，例如，对每项评估指标进行分档打分，用“0－缺项、1—差、2—较差、3—一般、4—良好、5—优秀”，结合权重累计最终得分；</w:t>
      </w:r>
    </w:p>
    <w:p>
      <w:pPr>
        <w:pStyle w:val="51"/>
        <w:numPr>
          <w:ilvl w:val="0"/>
          <w:numId w:val="6"/>
        </w:numPr>
      </w:pPr>
      <w:r>
        <w:rPr>
          <w:rFonts w:hint="eastAsia"/>
        </w:rPr>
        <w:t>定量分析法，例如，根据评估内容确定需要满足的定量标准，并与演练时的实际值进行对比，如信息上报时间、队伍到达现场时间、系统恢复运行时间等，形成定量分析的评估结论；</w:t>
      </w:r>
    </w:p>
    <w:p>
      <w:pPr>
        <w:pStyle w:val="51"/>
        <w:numPr>
          <w:ilvl w:val="0"/>
          <w:numId w:val="6"/>
        </w:numPr>
      </w:pPr>
      <w:r>
        <w:rPr>
          <w:rFonts w:hint="eastAsia"/>
        </w:rPr>
        <w:t>模拟仿真法，例如，利用计算机建模或虚拟环境模拟演练场景，评估系统或人员的应对能力；</w:t>
      </w:r>
    </w:p>
    <w:p>
      <w:pPr>
        <w:pStyle w:val="51"/>
        <w:numPr>
          <w:ilvl w:val="0"/>
          <w:numId w:val="6"/>
        </w:numPr>
      </w:pPr>
      <w:r>
        <w:rPr>
          <w:rFonts w:hint="eastAsia"/>
        </w:rPr>
        <w:t>标杆分析法，例如，选定内外部标杆对象，收集演练与标杆数据并标准化处理，识别差距及原因。</w:t>
      </w:r>
    </w:p>
    <w:p>
      <w:pPr>
        <w:pStyle w:val="47"/>
        <w:numPr>
          <w:ilvl w:val="2"/>
          <w:numId w:val="2"/>
        </w:numPr>
        <w:spacing w:before="120" w:after="120"/>
      </w:pPr>
      <w:bookmarkStart w:id="102" w:name="_Toc25416"/>
      <w:bookmarkStart w:id="103" w:name="_Toc196661618"/>
      <w:bookmarkStart w:id="104" w:name="_Toc192779330"/>
      <w:bookmarkStart w:id="105" w:name="_Toc193294364"/>
      <w:bookmarkStart w:id="106" w:name="_Toc192779599"/>
      <w:bookmarkStart w:id="107" w:name="_Toc192779113"/>
      <w:r>
        <w:rPr>
          <w:rFonts w:hint="eastAsia"/>
        </w:rPr>
        <w:t>收集相关资料</w:t>
      </w:r>
      <w:bookmarkEnd w:id="102"/>
      <w:bookmarkEnd w:id="103"/>
      <w:bookmarkEnd w:id="104"/>
      <w:bookmarkEnd w:id="105"/>
      <w:bookmarkEnd w:id="106"/>
      <w:bookmarkEnd w:id="107"/>
    </w:p>
    <w:p>
      <w:pPr>
        <w:pStyle w:val="49"/>
        <w:numPr>
          <w:ilvl w:val="3"/>
          <w:numId w:val="2"/>
        </w:numPr>
      </w:pPr>
      <w:r>
        <w:rPr>
          <w:rFonts w:hint="eastAsia"/>
        </w:rPr>
        <w:t>评估工作组收集演练评估主要依据资料，可包括以下内容：</w:t>
      </w:r>
    </w:p>
    <w:p>
      <w:pPr>
        <w:pStyle w:val="51"/>
        <w:numPr>
          <w:ilvl w:val="0"/>
          <w:numId w:val="7"/>
        </w:numPr>
      </w:pPr>
      <w:r>
        <w:rPr>
          <w:rFonts w:hint="eastAsia"/>
        </w:rPr>
        <w:t>法律、法规、标准、规范、指南等文件；</w:t>
      </w:r>
    </w:p>
    <w:p>
      <w:pPr>
        <w:pStyle w:val="51"/>
        <w:numPr>
          <w:ilvl w:val="0"/>
          <w:numId w:val="7"/>
        </w:numPr>
      </w:pPr>
      <w:r>
        <w:rPr>
          <w:rFonts w:hint="eastAsia"/>
        </w:rPr>
        <w:t>国家、部门、行业地震应急预案、地震应急工作流程；</w:t>
      </w:r>
    </w:p>
    <w:p>
      <w:pPr>
        <w:pStyle w:val="51"/>
        <w:numPr>
          <w:ilvl w:val="0"/>
          <w:numId w:val="7"/>
        </w:numPr>
      </w:pPr>
      <w:r>
        <w:rPr>
          <w:rFonts w:hint="eastAsia"/>
        </w:rPr>
        <w:t>国家、地方各级对地震应急演练的要求和部署文件；</w:t>
      </w:r>
    </w:p>
    <w:p>
      <w:pPr>
        <w:pStyle w:val="51"/>
        <w:numPr>
          <w:ilvl w:val="0"/>
          <w:numId w:val="7"/>
        </w:numPr>
      </w:pPr>
      <w:r>
        <w:rPr>
          <w:rFonts w:hint="eastAsia"/>
        </w:rPr>
        <w:t>地震应急演练相关文件，包括方案（含风险评估报告、预案）、脚本、手册等；</w:t>
      </w:r>
    </w:p>
    <w:p>
      <w:pPr>
        <w:pStyle w:val="51"/>
        <w:numPr>
          <w:ilvl w:val="0"/>
          <w:numId w:val="7"/>
        </w:numPr>
      </w:pPr>
      <w:r>
        <w:rPr>
          <w:rFonts w:hint="eastAsia"/>
        </w:rPr>
        <w:t>演练科目相关技术标准、操作规程或管理制度；</w:t>
      </w:r>
    </w:p>
    <w:p>
      <w:pPr>
        <w:pStyle w:val="51"/>
        <w:numPr>
          <w:ilvl w:val="0"/>
          <w:numId w:val="7"/>
        </w:numPr>
      </w:pPr>
      <w:r>
        <w:rPr>
          <w:rFonts w:hint="eastAsia"/>
        </w:rPr>
        <w:t>相关破坏性地震应急处置和紧急救援典型案例资料；</w:t>
      </w:r>
    </w:p>
    <w:p>
      <w:pPr>
        <w:pStyle w:val="51"/>
        <w:numPr>
          <w:ilvl w:val="0"/>
          <w:numId w:val="7"/>
        </w:numPr>
      </w:pPr>
      <w:r>
        <w:rPr>
          <w:rFonts w:hint="eastAsia"/>
        </w:rPr>
        <w:t>其他相关材料。</w:t>
      </w:r>
    </w:p>
    <w:p>
      <w:pPr>
        <w:pStyle w:val="49"/>
        <w:numPr>
          <w:ilvl w:val="3"/>
          <w:numId w:val="2"/>
        </w:numPr>
      </w:pPr>
      <w:r>
        <w:rPr>
          <w:rFonts w:hint="eastAsia"/>
        </w:rPr>
        <w:t>根据演练评估的具体情况，可组织评估人员提前踏勘演练现场，了解演练场地布置、周围环境等。必要时，可对具体演练科目的合理性、规范性和安全性进行干预。</w:t>
      </w:r>
    </w:p>
    <w:p>
      <w:pPr>
        <w:pStyle w:val="47"/>
        <w:numPr>
          <w:ilvl w:val="2"/>
          <w:numId w:val="2"/>
        </w:numPr>
        <w:spacing w:before="120" w:after="120"/>
      </w:pPr>
      <w:bookmarkStart w:id="108" w:name="_Toc192779331"/>
      <w:bookmarkStart w:id="109" w:name="_Toc192779600"/>
      <w:bookmarkStart w:id="110" w:name="_Toc193294365"/>
      <w:bookmarkStart w:id="111" w:name="_Toc196661619"/>
      <w:bookmarkStart w:id="112" w:name="_Toc192779114"/>
      <w:bookmarkStart w:id="113" w:name="_Toc31827"/>
      <w:r>
        <w:rPr>
          <w:rFonts w:hint="eastAsia"/>
        </w:rPr>
        <w:t>编写演练评估方案</w:t>
      </w:r>
      <w:bookmarkEnd w:id="108"/>
      <w:bookmarkEnd w:id="109"/>
      <w:bookmarkEnd w:id="110"/>
      <w:bookmarkEnd w:id="111"/>
      <w:bookmarkEnd w:id="112"/>
      <w:bookmarkEnd w:id="113"/>
    </w:p>
    <w:p>
      <w:pPr>
        <w:pStyle w:val="49"/>
        <w:numPr>
          <w:ilvl w:val="3"/>
          <w:numId w:val="2"/>
        </w:numPr>
      </w:pPr>
      <w:r>
        <w:rPr>
          <w:rFonts w:hint="eastAsia"/>
        </w:rPr>
        <w:t>评估方案内容主要包括：</w:t>
      </w:r>
    </w:p>
    <w:p>
      <w:pPr>
        <w:pStyle w:val="51"/>
        <w:numPr>
          <w:ilvl w:val="0"/>
          <w:numId w:val="8"/>
        </w:numPr>
      </w:pPr>
      <w:r>
        <w:rPr>
          <w:rFonts w:hint="eastAsia"/>
        </w:rPr>
        <w:t>概述：演练模拟的地震名称、发生的时间和地点、灾害过程的情景描述、主要应急行动等；</w:t>
      </w:r>
    </w:p>
    <w:p>
      <w:pPr>
        <w:pStyle w:val="51"/>
        <w:numPr>
          <w:ilvl w:val="0"/>
          <w:numId w:val="8"/>
        </w:numPr>
      </w:pPr>
      <w:r>
        <w:rPr>
          <w:rFonts w:hint="eastAsia"/>
        </w:rPr>
        <w:t>目的和依据：阐述演练评估的主要目的和评估依据；</w:t>
      </w:r>
    </w:p>
    <w:p>
      <w:pPr>
        <w:pStyle w:val="51"/>
        <w:numPr>
          <w:ilvl w:val="0"/>
          <w:numId w:val="8"/>
        </w:numPr>
      </w:pPr>
      <w:r>
        <w:rPr>
          <w:rFonts w:hint="eastAsia"/>
        </w:rPr>
        <w:t>组织分工：介绍演练评估的人员组成和任务分工；</w:t>
      </w:r>
    </w:p>
    <w:p>
      <w:pPr>
        <w:pStyle w:val="51"/>
        <w:numPr>
          <w:ilvl w:val="0"/>
          <w:numId w:val="8"/>
        </w:numPr>
      </w:pPr>
      <w:r>
        <w:rPr>
          <w:rFonts w:hint="eastAsia"/>
        </w:rPr>
        <w:t>内容和方法：演练准备和实施情况的评估内容和评估方法；</w:t>
      </w:r>
    </w:p>
    <w:p>
      <w:pPr>
        <w:pStyle w:val="51"/>
        <w:numPr>
          <w:ilvl w:val="0"/>
          <w:numId w:val="8"/>
        </w:numPr>
      </w:pPr>
      <w:r>
        <w:rPr>
          <w:rFonts w:hint="eastAsia"/>
        </w:rPr>
        <w:t>评估实施：演练评估工作的组织实施过程和具体工作安排；</w:t>
      </w:r>
    </w:p>
    <w:p>
      <w:pPr>
        <w:pStyle w:val="51"/>
        <w:numPr>
          <w:ilvl w:val="0"/>
          <w:numId w:val="8"/>
        </w:numPr>
      </w:pPr>
      <w:r>
        <w:rPr>
          <w:rFonts w:hint="eastAsia"/>
        </w:rPr>
        <w:t>工作要求：演练评估工作的组织实施的相关要求；</w:t>
      </w:r>
    </w:p>
    <w:p>
      <w:pPr>
        <w:pStyle w:val="51"/>
        <w:numPr>
          <w:ilvl w:val="0"/>
          <w:numId w:val="8"/>
        </w:numPr>
      </w:pPr>
      <w:r>
        <w:rPr>
          <w:rFonts w:hint="eastAsia"/>
        </w:rPr>
        <w:t>附件：演练评估所需相关表格、评估用的关键资料等。</w:t>
      </w:r>
    </w:p>
    <w:p>
      <w:pPr>
        <w:pStyle w:val="49"/>
        <w:numPr>
          <w:ilvl w:val="3"/>
          <w:numId w:val="2"/>
        </w:numPr>
      </w:pPr>
      <w:r>
        <w:rPr>
          <w:rFonts w:hint="eastAsia"/>
        </w:rPr>
        <w:t>评估方案在评估工作组内部达成一致，并征得评估工作组织单位的确认。</w:t>
      </w:r>
    </w:p>
    <w:p>
      <w:pPr>
        <w:pStyle w:val="47"/>
        <w:numPr>
          <w:ilvl w:val="2"/>
          <w:numId w:val="2"/>
        </w:numPr>
        <w:spacing w:before="120" w:after="120"/>
      </w:pPr>
      <w:bookmarkStart w:id="114" w:name="_Toc17679"/>
      <w:bookmarkStart w:id="115" w:name="_Toc196661620"/>
      <w:bookmarkStart w:id="116" w:name="_Toc192779601"/>
      <w:bookmarkStart w:id="117" w:name="_Toc192779115"/>
      <w:bookmarkStart w:id="118" w:name="_Toc192779332"/>
      <w:bookmarkStart w:id="119" w:name="_Toc193294366"/>
      <w:r>
        <w:rPr>
          <w:rFonts w:hint="eastAsia"/>
        </w:rPr>
        <w:t>培训演练评估人员</w:t>
      </w:r>
      <w:bookmarkEnd w:id="114"/>
      <w:bookmarkEnd w:id="115"/>
      <w:bookmarkEnd w:id="116"/>
      <w:bookmarkEnd w:id="117"/>
      <w:bookmarkEnd w:id="118"/>
      <w:bookmarkEnd w:id="119"/>
    </w:p>
    <w:p>
      <w:pPr>
        <w:pStyle w:val="49"/>
        <w:numPr>
          <w:ilvl w:val="3"/>
          <w:numId w:val="2"/>
        </w:numPr>
      </w:pPr>
      <w:r>
        <w:rPr>
          <w:rFonts w:hint="eastAsia"/>
        </w:rPr>
        <w:t>组织评估人员听取演练组织、导调组人员介绍演练方案以及组织和实施流程，明晰演练流程和内容。必要时，可进行交互式讨论。</w:t>
      </w:r>
    </w:p>
    <w:p>
      <w:pPr>
        <w:pStyle w:val="49"/>
        <w:numPr>
          <w:ilvl w:val="3"/>
          <w:numId w:val="2"/>
        </w:numPr>
      </w:pPr>
      <w:r>
        <w:rPr>
          <w:rFonts w:hint="eastAsia"/>
        </w:rPr>
        <w:t>专题培训围绕以下内容开展：</w:t>
      </w:r>
    </w:p>
    <w:p>
      <w:pPr>
        <w:pStyle w:val="51"/>
        <w:numPr>
          <w:ilvl w:val="0"/>
          <w:numId w:val="9"/>
        </w:numPr>
      </w:pPr>
      <w:r>
        <w:rPr>
          <w:rFonts w:hint="eastAsia"/>
        </w:rPr>
        <w:t>演练组织和实施的相关法律法规、技术标准、政策文件；</w:t>
      </w:r>
    </w:p>
    <w:p>
      <w:pPr>
        <w:pStyle w:val="51"/>
        <w:numPr>
          <w:ilvl w:val="0"/>
          <w:numId w:val="8"/>
        </w:numPr>
      </w:pPr>
      <w:r>
        <w:rPr>
          <w:rFonts w:hint="eastAsia"/>
        </w:rPr>
        <w:t>演练评估方案（含评估内容、评估方法等）；</w:t>
      </w:r>
    </w:p>
    <w:p>
      <w:pPr>
        <w:pStyle w:val="51"/>
        <w:numPr>
          <w:ilvl w:val="0"/>
          <w:numId w:val="8"/>
        </w:numPr>
      </w:pPr>
      <w:r>
        <w:rPr>
          <w:rFonts w:hint="eastAsia"/>
        </w:rPr>
        <w:t>演练参与单位及相关方的地震应急预案和相关管理文件；</w:t>
      </w:r>
    </w:p>
    <w:p>
      <w:pPr>
        <w:pStyle w:val="51"/>
        <w:numPr>
          <w:ilvl w:val="0"/>
          <w:numId w:val="8"/>
        </w:numPr>
      </w:pPr>
      <w:r>
        <w:rPr>
          <w:rFonts w:hint="eastAsia" w:ascii="Times New Roman"/>
        </w:rPr>
        <w:t>演练</w:t>
      </w:r>
      <w:r>
        <w:rPr>
          <w:rFonts w:hint="eastAsia"/>
        </w:rPr>
        <w:t>参与单位及相关方</w:t>
      </w:r>
      <w:r>
        <w:rPr>
          <w:rFonts w:hint="eastAsia" w:ascii="Times New Roman"/>
        </w:rPr>
        <w:t>和人员</w:t>
      </w:r>
      <w:r>
        <w:rPr>
          <w:rFonts w:hint="eastAsia"/>
        </w:rPr>
        <w:t>的基本情况；</w:t>
      </w:r>
    </w:p>
    <w:p>
      <w:pPr>
        <w:pStyle w:val="51"/>
        <w:numPr>
          <w:ilvl w:val="0"/>
          <w:numId w:val="8"/>
        </w:numPr>
      </w:pPr>
      <w:r>
        <w:rPr>
          <w:rFonts w:hint="eastAsia" w:ascii="Times New Roman"/>
        </w:rPr>
        <w:t>演练组织实施的整体情况；</w:t>
      </w:r>
    </w:p>
    <w:p>
      <w:pPr>
        <w:pStyle w:val="51"/>
        <w:numPr>
          <w:ilvl w:val="0"/>
          <w:numId w:val="8"/>
        </w:numPr>
      </w:pPr>
      <w:r>
        <w:rPr>
          <w:rFonts w:hint="eastAsia"/>
        </w:rPr>
        <w:t>相关演练设施，掌握相关技术处置标准和方法；</w:t>
      </w:r>
    </w:p>
    <w:p>
      <w:pPr>
        <w:pStyle w:val="51"/>
        <w:numPr>
          <w:ilvl w:val="0"/>
          <w:numId w:val="8"/>
        </w:numPr>
      </w:pPr>
      <w:r>
        <w:rPr>
          <w:rFonts w:hint="eastAsia" w:ascii="Times New Roman"/>
        </w:rPr>
        <w:t>演练评估涉及的器材使用、观察记录技巧、数据分析方法等；</w:t>
      </w:r>
    </w:p>
    <w:p>
      <w:pPr>
        <w:pStyle w:val="51"/>
        <w:numPr>
          <w:ilvl w:val="0"/>
          <w:numId w:val="8"/>
        </w:numPr>
      </w:pPr>
      <w:r>
        <w:rPr>
          <w:rFonts w:hint="eastAsia"/>
        </w:rPr>
        <w:t>其他有关内容。</w:t>
      </w:r>
    </w:p>
    <w:p>
      <w:pPr>
        <w:pStyle w:val="47"/>
        <w:numPr>
          <w:ilvl w:val="2"/>
          <w:numId w:val="2"/>
        </w:numPr>
        <w:spacing w:before="120" w:after="120"/>
      </w:pPr>
      <w:bookmarkStart w:id="120" w:name="_Toc192779116"/>
      <w:bookmarkStart w:id="121" w:name="_Toc25455"/>
      <w:bookmarkStart w:id="122" w:name="_Toc193294367"/>
      <w:bookmarkStart w:id="123" w:name="_Toc192779602"/>
      <w:bookmarkStart w:id="124" w:name="_Toc192779333"/>
      <w:bookmarkStart w:id="125" w:name="_Toc196661621"/>
      <w:r>
        <w:rPr>
          <w:rFonts w:hint="eastAsia"/>
        </w:rPr>
        <w:t>准备评估材料、器材</w:t>
      </w:r>
      <w:bookmarkEnd w:id="120"/>
      <w:bookmarkEnd w:id="121"/>
      <w:bookmarkEnd w:id="122"/>
      <w:bookmarkEnd w:id="123"/>
      <w:bookmarkEnd w:id="124"/>
      <w:bookmarkEnd w:id="125"/>
    </w:p>
    <w:p>
      <w:pPr>
        <w:pStyle w:val="29"/>
        <w:ind w:firstLine="420"/>
      </w:pPr>
      <w:r>
        <w:rPr>
          <w:rFonts w:hint="eastAsia"/>
        </w:rPr>
        <w:t>根据演练需要，准备评估工作所需的相关材料、器材，主要包括演练评估方案文本、评估表格、记录表、文具、通信设备、计时设备、摄像或录音设备、计算机或相关评估软件等。</w:t>
      </w:r>
    </w:p>
    <w:p>
      <w:pPr>
        <w:pStyle w:val="43"/>
        <w:numPr>
          <w:ilvl w:val="1"/>
          <w:numId w:val="2"/>
        </w:numPr>
        <w:spacing w:before="240" w:after="240"/>
      </w:pPr>
      <w:bookmarkStart w:id="126" w:name="_Toc192779603"/>
      <w:bookmarkStart w:id="127" w:name="_Toc196661622"/>
      <w:bookmarkStart w:id="128" w:name="_Toc193294368"/>
      <w:bookmarkStart w:id="129" w:name="_Toc192779334"/>
      <w:bookmarkStart w:id="130" w:name="_Toc16905"/>
      <w:bookmarkStart w:id="131" w:name="_Toc192779117"/>
      <w:r>
        <w:rPr>
          <w:rFonts w:hint="eastAsia"/>
        </w:rPr>
        <w:t>演练评估实施</w:t>
      </w:r>
      <w:bookmarkEnd w:id="126"/>
      <w:bookmarkEnd w:id="127"/>
      <w:bookmarkEnd w:id="128"/>
      <w:bookmarkEnd w:id="129"/>
      <w:bookmarkEnd w:id="130"/>
      <w:bookmarkEnd w:id="131"/>
    </w:p>
    <w:p>
      <w:pPr>
        <w:pStyle w:val="47"/>
        <w:numPr>
          <w:ilvl w:val="2"/>
          <w:numId w:val="2"/>
        </w:numPr>
        <w:spacing w:before="120" w:after="120"/>
      </w:pPr>
      <w:bookmarkStart w:id="132" w:name="_Toc192779118"/>
      <w:bookmarkStart w:id="133" w:name="_Toc20158"/>
      <w:bookmarkStart w:id="134" w:name="_Toc192779335"/>
      <w:bookmarkStart w:id="135" w:name="_Toc192779604"/>
      <w:bookmarkStart w:id="136" w:name="_Toc193294369"/>
      <w:bookmarkStart w:id="137" w:name="_Toc196661623"/>
      <w:r>
        <w:rPr>
          <w:rFonts w:hint="eastAsia"/>
        </w:rPr>
        <w:t>评估资源就位</w:t>
      </w:r>
      <w:bookmarkEnd w:id="132"/>
      <w:bookmarkEnd w:id="133"/>
      <w:bookmarkEnd w:id="134"/>
      <w:bookmarkEnd w:id="135"/>
      <w:bookmarkEnd w:id="136"/>
      <w:bookmarkEnd w:id="137"/>
    </w:p>
    <w:p>
      <w:pPr>
        <w:pStyle w:val="49"/>
        <w:numPr>
          <w:ilvl w:val="3"/>
          <w:numId w:val="2"/>
        </w:numPr>
      </w:pPr>
      <w:r>
        <w:rPr>
          <w:rFonts w:hint="eastAsia"/>
        </w:rPr>
        <w:t>宜与参演相关方同步就位，</w:t>
      </w:r>
      <w:r>
        <w:rPr>
          <w:rFonts w:hint="eastAsia" w:ascii="Times New Roman"/>
        </w:rPr>
        <w:t>评估材料、器材等就绪</w:t>
      </w:r>
      <w:r>
        <w:rPr>
          <w:rFonts w:hint="eastAsia"/>
        </w:rPr>
        <w:t>。</w:t>
      </w:r>
    </w:p>
    <w:p>
      <w:pPr>
        <w:pStyle w:val="49"/>
        <w:numPr>
          <w:ilvl w:val="3"/>
          <w:numId w:val="2"/>
        </w:numPr>
      </w:pPr>
      <w:r>
        <w:rPr>
          <w:rFonts w:hint="eastAsia"/>
        </w:rPr>
        <w:t>可从演练阶段介入，并结合演练规模、层级在演练开始前，按照职责分工，按照演练科目分小组在各点就位。</w:t>
      </w:r>
    </w:p>
    <w:p>
      <w:pPr>
        <w:pStyle w:val="47"/>
        <w:numPr>
          <w:ilvl w:val="2"/>
          <w:numId w:val="2"/>
        </w:numPr>
        <w:spacing w:before="120" w:after="120"/>
      </w:pPr>
      <w:bookmarkStart w:id="138" w:name="_Toc192779119"/>
      <w:bookmarkStart w:id="139" w:name="_Toc192779336"/>
      <w:bookmarkStart w:id="140" w:name="_Toc193294370"/>
      <w:bookmarkStart w:id="141" w:name="_Toc28165"/>
      <w:bookmarkStart w:id="142" w:name="_Toc192779605"/>
      <w:bookmarkStart w:id="143" w:name="_Toc196661624"/>
      <w:r>
        <w:rPr>
          <w:rFonts w:hint="eastAsia"/>
        </w:rPr>
        <w:t>座谈考察与资料抽查</w:t>
      </w:r>
      <w:bookmarkEnd w:id="138"/>
      <w:bookmarkEnd w:id="139"/>
      <w:bookmarkEnd w:id="140"/>
      <w:bookmarkEnd w:id="141"/>
      <w:bookmarkEnd w:id="142"/>
      <w:bookmarkEnd w:id="143"/>
    </w:p>
    <w:p>
      <w:pPr>
        <w:pStyle w:val="49"/>
        <w:numPr>
          <w:ilvl w:val="3"/>
          <w:numId w:val="2"/>
        </w:numPr>
      </w:pPr>
      <w:r>
        <w:rPr>
          <w:rFonts w:hint="eastAsia"/>
        </w:rPr>
        <w:t>评估人员可根据实际需求与被评估方进行座谈交流、听取汇报，检查核实日常应急准备情况及相关资料抽查等工作。</w:t>
      </w:r>
    </w:p>
    <w:p>
      <w:pPr>
        <w:pStyle w:val="49"/>
        <w:numPr>
          <w:ilvl w:val="3"/>
          <w:numId w:val="2"/>
        </w:numPr>
      </w:pPr>
      <w:r>
        <w:rPr>
          <w:rFonts w:hint="eastAsia"/>
        </w:rPr>
        <w:t>座谈考察与资料抽查可根据实际需求在演练评估后进行，根据需要可开展多次。</w:t>
      </w:r>
    </w:p>
    <w:p>
      <w:pPr>
        <w:pStyle w:val="47"/>
        <w:numPr>
          <w:ilvl w:val="2"/>
          <w:numId w:val="2"/>
        </w:numPr>
        <w:spacing w:before="120" w:after="120"/>
      </w:pPr>
      <w:bookmarkStart w:id="144" w:name="_Toc193294371"/>
      <w:bookmarkStart w:id="145" w:name="_Toc192779337"/>
      <w:bookmarkStart w:id="146" w:name="_Toc192779120"/>
      <w:bookmarkStart w:id="147" w:name="_Toc192779606"/>
      <w:bookmarkStart w:id="148" w:name="_Toc196661625"/>
      <w:bookmarkStart w:id="149" w:name="_Toc17194"/>
      <w:r>
        <w:rPr>
          <w:rFonts w:hint="eastAsia"/>
        </w:rPr>
        <w:t>观察记录和数据、信息和资料</w:t>
      </w:r>
      <w:bookmarkEnd w:id="144"/>
      <w:bookmarkEnd w:id="145"/>
      <w:bookmarkEnd w:id="146"/>
      <w:bookmarkEnd w:id="147"/>
      <w:r>
        <w:rPr>
          <w:rFonts w:hint="eastAsia"/>
        </w:rPr>
        <w:t>收集</w:t>
      </w:r>
      <w:bookmarkEnd w:id="148"/>
      <w:bookmarkEnd w:id="149"/>
    </w:p>
    <w:p>
      <w:pPr>
        <w:pStyle w:val="49"/>
        <w:numPr>
          <w:ilvl w:val="3"/>
          <w:numId w:val="2"/>
        </w:numPr>
      </w:pPr>
      <w:r>
        <w:rPr>
          <w:rFonts w:hint="eastAsia"/>
        </w:rPr>
        <w:t>在演练准备、单科目设置、预演和正式演练各个阶段，演练评估人员通过观察、记录和收集演练相关数据、信息和资料，观察演练实施及进展、参演人员表现等情况，及时记录演练过程中出现的问题。</w:t>
      </w:r>
    </w:p>
    <w:p>
      <w:pPr>
        <w:pStyle w:val="49"/>
        <w:numPr>
          <w:ilvl w:val="3"/>
          <w:numId w:val="2"/>
        </w:numPr>
      </w:pPr>
      <w:r>
        <w:rPr>
          <w:rFonts w:hint="eastAsia"/>
        </w:rPr>
        <w:t>在不影响演练进程的情况下，评估人员可进行现场提问并做好记录。评估记录表可参考附录C设计。</w:t>
      </w:r>
    </w:p>
    <w:p>
      <w:pPr>
        <w:pStyle w:val="47"/>
        <w:numPr>
          <w:ilvl w:val="2"/>
          <w:numId w:val="2"/>
        </w:numPr>
        <w:spacing w:before="120" w:after="120"/>
      </w:pPr>
      <w:bookmarkStart w:id="150" w:name="_Toc192779607"/>
      <w:bookmarkStart w:id="151" w:name="_Toc193294372"/>
      <w:bookmarkStart w:id="152" w:name="_Toc192779121"/>
      <w:bookmarkStart w:id="153" w:name="_Toc196661626"/>
      <w:bookmarkStart w:id="154" w:name="_Toc192779338"/>
      <w:bookmarkStart w:id="155" w:name="_Toc24891"/>
      <w:r>
        <w:rPr>
          <w:rFonts w:hint="eastAsia"/>
        </w:rPr>
        <w:t>分析和评估</w:t>
      </w:r>
      <w:bookmarkEnd w:id="150"/>
      <w:bookmarkEnd w:id="151"/>
      <w:bookmarkEnd w:id="152"/>
      <w:bookmarkEnd w:id="153"/>
      <w:bookmarkEnd w:id="154"/>
      <w:bookmarkEnd w:id="155"/>
    </w:p>
    <w:p>
      <w:pPr>
        <w:pStyle w:val="29"/>
        <w:ind w:firstLine="420"/>
      </w:pPr>
      <w:r>
        <w:rPr>
          <w:rFonts w:hint="eastAsia"/>
        </w:rPr>
        <w:t>评估人员根据演练现场观察、提问和记录，依据预先制定的评估表，逐项对演练实施情况进行评估，及时记录评估结果。对不符合标准要求或予以扣分的科目，根据法律、法规、标准、规范、指南、演练文件等，给出依据和说明。</w:t>
      </w:r>
    </w:p>
    <w:p>
      <w:pPr>
        <w:pStyle w:val="43"/>
        <w:numPr>
          <w:ilvl w:val="1"/>
          <w:numId w:val="2"/>
        </w:numPr>
        <w:spacing w:before="240" w:after="240"/>
      </w:pPr>
      <w:bookmarkStart w:id="156" w:name="_Toc192779608"/>
      <w:bookmarkStart w:id="157" w:name="_Toc192779122"/>
      <w:bookmarkStart w:id="158" w:name="_Toc192779339"/>
      <w:bookmarkStart w:id="159" w:name="_Toc193294373"/>
      <w:bookmarkStart w:id="160" w:name="_Toc19257"/>
      <w:bookmarkStart w:id="161" w:name="_Toc196661627"/>
      <w:r>
        <w:rPr>
          <w:rFonts w:hint="eastAsia"/>
        </w:rPr>
        <w:t>演练评估总结</w:t>
      </w:r>
      <w:bookmarkEnd w:id="156"/>
      <w:bookmarkEnd w:id="157"/>
      <w:bookmarkEnd w:id="158"/>
      <w:bookmarkEnd w:id="159"/>
      <w:bookmarkEnd w:id="160"/>
      <w:bookmarkEnd w:id="161"/>
    </w:p>
    <w:p>
      <w:pPr>
        <w:pStyle w:val="47"/>
        <w:numPr>
          <w:ilvl w:val="2"/>
          <w:numId w:val="2"/>
        </w:numPr>
        <w:spacing w:before="120" w:after="120"/>
      </w:pPr>
      <w:bookmarkStart w:id="162" w:name="_Toc196661628"/>
      <w:bookmarkStart w:id="163" w:name="_Toc192779340"/>
      <w:bookmarkStart w:id="164" w:name="_Toc192779609"/>
      <w:bookmarkStart w:id="165" w:name="_Toc193294374"/>
      <w:bookmarkStart w:id="166" w:name="_Toc10908"/>
      <w:bookmarkStart w:id="167" w:name="_Toc192779123"/>
      <w:r>
        <w:rPr>
          <w:rFonts w:hint="eastAsia"/>
        </w:rPr>
        <w:t>演练点评</w:t>
      </w:r>
      <w:bookmarkEnd w:id="162"/>
      <w:bookmarkEnd w:id="163"/>
      <w:bookmarkEnd w:id="164"/>
      <w:bookmarkEnd w:id="165"/>
      <w:bookmarkEnd w:id="166"/>
      <w:bookmarkEnd w:id="167"/>
    </w:p>
    <w:p>
      <w:pPr>
        <w:pStyle w:val="29"/>
        <w:ind w:firstLine="420"/>
      </w:pPr>
      <w:r>
        <w:rPr>
          <w:rFonts w:hint="eastAsia"/>
        </w:rPr>
        <w:t>演练结束后，演练组织方可选派有关演练组织人员、参演人员、评估人员或相关方人员代表，对演练中发现的问题及取得的成效进行现场点评。</w:t>
      </w:r>
    </w:p>
    <w:p>
      <w:pPr>
        <w:pStyle w:val="47"/>
        <w:numPr>
          <w:ilvl w:val="2"/>
          <w:numId w:val="2"/>
        </w:numPr>
        <w:spacing w:before="120" w:after="120"/>
      </w:pPr>
      <w:bookmarkStart w:id="168" w:name="_Toc196661629"/>
      <w:bookmarkStart w:id="169" w:name="_Toc13969"/>
      <w:bookmarkStart w:id="170" w:name="_Toc193294375"/>
      <w:bookmarkStart w:id="171" w:name="_Toc192779124"/>
      <w:bookmarkStart w:id="172" w:name="_Toc192779341"/>
      <w:bookmarkStart w:id="173" w:name="_Toc192779610"/>
      <w:r>
        <w:rPr>
          <w:rFonts w:hint="eastAsia"/>
        </w:rPr>
        <w:t>参演人员自评</w:t>
      </w:r>
      <w:bookmarkEnd w:id="168"/>
      <w:bookmarkEnd w:id="169"/>
      <w:bookmarkEnd w:id="170"/>
      <w:bookmarkEnd w:id="171"/>
      <w:bookmarkEnd w:id="172"/>
      <w:bookmarkEnd w:id="173"/>
    </w:p>
    <w:p>
      <w:pPr>
        <w:pStyle w:val="29"/>
        <w:ind w:firstLine="420"/>
      </w:pPr>
      <w:r>
        <w:rPr>
          <w:rFonts w:hint="eastAsia"/>
        </w:rPr>
        <w:t>演练结束后，演练单位宜组织各参演小组或参演人员进行自评，总结演练中的优点和不足，介绍演练收获及体会。演练评估人员参加参演人员自评会并做好记录。</w:t>
      </w:r>
    </w:p>
    <w:p>
      <w:pPr>
        <w:pStyle w:val="47"/>
        <w:numPr>
          <w:ilvl w:val="2"/>
          <w:numId w:val="2"/>
        </w:numPr>
        <w:spacing w:before="120" w:after="120"/>
      </w:pPr>
      <w:bookmarkStart w:id="174" w:name="_Toc192779125"/>
      <w:bookmarkStart w:id="175" w:name="_Toc193294376"/>
      <w:bookmarkStart w:id="176" w:name="_Toc196661630"/>
      <w:bookmarkStart w:id="177" w:name="_Toc19907"/>
      <w:bookmarkStart w:id="178" w:name="_Toc192779342"/>
      <w:bookmarkStart w:id="179" w:name="_Toc192779611"/>
      <w:r>
        <w:rPr>
          <w:rFonts w:hint="eastAsia"/>
        </w:rPr>
        <w:t>汇总演练评估意见</w:t>
      </w:r>
      <w:bookmarkEnd w:id="174"/>
      <w:bookmarkEnd w:id="175"/>
      <w:bookmarkEnd w:id="176"/>
      <w:bookmarkEnd w:id="177"/>
      <w:bookmarkEnd w:id="178"/>
      <w:bookmarkEnd w:id="179"/>
    </w:p>
    <w:p>
      <w:pPr>
        <w:pStyle w:val="49"/>
        <w:numPr>
          <w:ilvl w:val="3"/>
          <w:numId w:val="2"/>
        </w:numPr>
      </w:pPr>
      <w:r>
        <w:rPr>
          <w:rFonts w:hint="eastAsia"/>
        </w:rPr>
        <w:t>评估工作组组织演练评估会议，综合评估意见，提出演练中存在的问题和不足，给出意见建议等，演练总结评估表见附录D.7。</w:t>
      </w:r>
    </w:p>
    <w:p>
      <w:pPr>
        <w:pStyle w:val="49"/>
        <w:numPr>
          <w:ilvl w:val="3"/>
          <w:numId w:val="2"/>
        </w:numPr>
      </w:pPr>
      <w:r>
        <w:rPr>
          <w:rFonts w:hint="eastAsia"/>
        </w:rPr>
        <w:t>根据演练评估目的不同，评估结论可以提供以下几种方式：</w:t>
      </w:r>
    </w:p>
    <w:p>
      <w:pPr>
        <w:pStyle w:val="51"/>
        <w:numPr>
          <w:ilvl w:val="0"/>
          <w:numId w:val="10"/>
        </w:numPr>
      </w:pPr>
      <w:r>
        <w:rPr>
          <w:rFonts w:hint="eastAsia"/>
        </w:rPr>
        <w:t>汇总各指标结果，直接给出总结果（</w:t>
      </w:r>
      <w:r>
        <w:rPr>
          <w:rFonts w:hint="eastAsia" w:ascii="Times New Roman"/>
        </w:rPr>
        <w:t>得分或评估选择项占比</w:t>
      </w:r>
      <w:r>
        <w:rPr>
          <w:rFonts w:hint="eastAsia"/>
        </w:rPr>
        <w:t>）；</w:t>
      </w:r>
    </w:p>
    <w:p>
      <w:pPr>
        <w:pStyle w:val="51"/>
        <w:numPr>
          <w:ilvl w:val="0"/>
          <w:numId w:val="8"/>
        </w:numPr>
      </w:pPr>
      <w:r>
        <w:rPr>
          <w:rFonts w:hint="eastAsia"/>
        </w:rPr>
        <w:t>根据总结果所属区间，给出对应的评估结论，如：</w:t>
      </w:r>
    </w:p>
    <w:p>
      <w:pPr>
        <w:pStyle w:val="51"/>
        <w:numPr>
          <w:ilvl w:val="0"/>
          <w:numId w:val="11"/>
        </w:numPr>
        <w:tabs>
          <w:tab w:val="left" w:pos="845"/>
          <w:tab w:val="clear" w:pos="851"/>
        </w:tabs>
      </w:pPr>
      <w:r>
        <w:rPr>
          <w:rFonts w:hint="eastAsia"/>
        </w:rPr>
        <w:t>优秀（得分≥90分/满足项占比≥</w:t>
      </w:r>
      <w:r>
        <w:t>90%</w:t>
      </w:r>
      <w:r>
        <w:rPr>
          <w:rFonts w:hint="eastAsia"/>
        </w:rPr>
        <w:t>，无差错或少差错地完成了所有应急演练内容）；</w:t>
      </w:r>
    </w:p>
    <w:p>
      <w:pPr>
        <w:pStyle w:val="51"/>
        <w:numPr>
          <w:ilvl w:val="0"/>
          <w:numId w:val="11"/>
        </w:numPr>
        <w:tabs>
          <w:tab w:val="left" w:pos="845"/>
          <w:tab w:val="clear" w:pos="851"/>
        </w:tabs>
      </w:pPr>
      <w:r>
        <w:rPr>
          <w:rFonts w:hint="eastAsia"/>
        </w:rPr>
        <w:t>良好（8</w:t>
      </w:r>
      <w:r>
        <w:t>0</w:t>
      </w:r>
      <w:r>
        <w:rPr>
          <w:rFonts w:hint="eastAsia"/>
        </w:rPr>
        <w:t>分≤得分＜9</w:t>
      </w:r>
      <w:r>
        <w:t>0</w:t>
      </w:r>
      <w:r>
        <w:rPr>
          <w:rFonts w:hint="eastAsia"/>
        </w:rPr>
        <w:t>分/</w:t>
      </w:r>
      <w:r>
        <w:t>80%</w:t>
      </w:r>
      <w:r>
        <w:rPr>
          <w:rFonts w:hint="eastAsia"/>
        </w:rPr>
        <w:t>≤满足项占比＜9</w:t>
      </w:r>
      <w:r>
        <w:t>0%</w:t>
      </w:r>
      <w:r>
        <w:rPr>
          <w:rFonts w:hint="eastAsia"/>
        </w:rPr>
        <w:t>，达到了预期的演练目标，差错较少）；</w:t>
      </w:r>
    </w:p>
    <w:p>
      <w:pPr>
        <w:pStyle w:val="51"/>
        <w:numPr>
          <w:ilvl w:val="0"/>
          <w:numId w:val="11"/>
        </w:numPr>
        <w:tabs>
          <w:tab w:val="left" w:pos="845"/>
          <w:tab w:val="clear" w:pos="851"/>
        </w:tabs>
      </w:pPr>
      <w:r>
        <w:rPr>
          <w:rFonts w:hint="eastAsia"/>
        </w:rPr>
        <w:t>一般（</w:t>
      </w:r>
      <w:r>
        <w:t>60</w:t>
      </w:r>
      <w:r>
        <w:rPr>
          <w:rFonts w:hint="eastAsia"/>
        </w:rPr>
        <w:t>分≤得分＜</w:t>
      </w:r>
      <w:r>
        <w:t>80</w:t>
      </w:r>
      <w:r>
        <w:rPr>
          <w:rFonts w:hint="eastAsia"/>
        </w:rPr>
        <w:t>分/</w:t>
      </w:r>
      <w:r>
        <w:t>60%</w:t>
      </w:r>
      <w:r>
        <w:rPr>
          <w:rFonts w:hint="eastAsia"/>
        </w:rPr>
        <w:t>≤满足项占比＜</w:t>
      </w:r>
      <w:r>
        <w:t>80%</w:t>
      </w:r>
      <w:r>
        <w:rPr>
          <w:rFonts w:hint="eastAsia"/>
        </w:rPr>
        <w:t>，存在部分缺陷，但没有影响实现预期的演练目标）；</w:t>
      </w:r>
    </w:p>
    <w:p>
      <w:pPr>
        <w:pStyle w:val="51"/>
        <w:numPr>
          <w:ilvl w:val="0"/>
          <w:numId w:val="11"/>
        </w:numPr>
        <w:tabs>
          <w:tab w:val="left" w:pos="845"/>
          <w:tab w:val="clear" w:pos="851"/>
        </w:tabs>
      </w:pPr>
      <w:r>
        <w:rPr>
          <w:rFonts w:hint="eastAsia"/>
        </w:rPr>
        <w:t>差（得分＜6</w:t>
      </w:r>
      <w:r>
        <w:t>0</w:t>
      </w:r>
      <w:r>
        <w:rPr>
          <w:rFonts w:hint="eastAsia"/>
        </w:rPr>
        <w:t>分/满足项占比＜6</w:t>
      </w:r>
      <w:r>
        <w:t>0%</w:t>
      </w:r>
      <w:r>
        <w:rPr>
          <w:rFonts w:hint="eastAsia"/>
        </w:rPr>
        <w:t>，出现了重大错误，演练预期目标受到严重影响，演练被迫终止，造成应急行动延误或资源浪费等）；</w:t>
      </w:r>
    </w:p>
    <w:p>
      <w:pPr>
        <w:pStyle w:val="51"/>
        <w:numPr>
          <w:ilvl w:val="0"/>
          <w:numId w:val="8"/>
        </w:numPr>
      </w:pPr>
      <w:r>
        <w:rPr>
          <w:rFonts w:hint="eastAsia"/>
        </w:rPr>
        <w:t>综合总结果及实际情况，对各参演人员分别给出评估结论，如优秀、良好、一般、差。</w:t>
      </w:r>
    </w:p>
    <w:p>
      <w:pPr>
        <w:pStyle w:val="47"/>
        <w:numPr>
          <w:ilvl w:val="2"/>
          <w:numId w:val="2"/>
        </w:numPr>
        <w:spacing w:before="120" w:after="120"/>
      </w:pPr>
      <w:bookmarkStart w:id="180" w:name="_Toc196661631"/>
      <w:bookmarkStart w:id="181" w:name="_Toc192779343"/>
      <w:bookmarkStart w:id="182" w:name="_Toc192779612"/>
      <w:bookmarkStart w:id="183" w:name="_Toc192779126"/>
      <w:bookmarkStart w:id="184" w:name="_Toc193294377"/>
      <w:bookmarkStart w:id="185" w:name="_Toc27308"/>
      <w:r>
        <w:rPr>
          <w:rFonts w:hint="eastAsia"/>
        </w:rPr>
        <w:t>编制演练评估报告</w:t>
      </w:r>
      <w:bookmarkEnd w:id="180"/>
      <w:bookmarkEnd w:id="181"/>
      <w:bookmarkEnd w:id="182"/>
      <w:bookmarkEnd w:id="183"/>
      <w:bookmarkEnd w:id="184"/>
      <w:bookmarkEnd w:id="185"/>
    </w:p>
    <w:p>
      <w:pPr>
        <w:pStyle w:val="49"/>
        <w:numPr>
          <w:ilvl w:val="3"/>
          <w:numId w:val="2"/>
        </w:numPr>
      </w:pPr>
      <w:r>
        <w:rPr>
          <w:rFonts w:hint="eastAsia"/>
        </w:rPr>
        <w:t>演练现场评估工作结束后，评估组针对收集的各种信息资料，依据评估标准和相关文件资料对演练活动全过程进行科学分析和客观评价，并撰写演练评估报告，演练评估报告格式见附录D。</w:t>
      </w:r>
    </w:p>
    <w:p>
      <w:pPr>
        <w:pStyle w:val="49"/>
        <w:numPr>
          <w:ilvl w:val="3"/>
          <w:numId w:val="2"/>
        </w:numPr>
      </w:pPr>
      <w:r>
        <w:rPr>
          <w:rFonts w:hint="eastAsia"/>
        </w:rPr>
        <w:t>报告主要内容一般包括：</w:t>
      </w:r>
    </w:p>
    <w:p>
      <w:pPr>
        <w:pStyle w:val="51"/>
        <w:numPr>
          <w:ilvl w:val="0"/>
          <w:numId w:val="12"/>
        </w:numPr>
      </w:pPr>
      <w:r>
        <w:rPr>
          <w:rFonts w:hint="eastAsia"/>
        </w:rPr>
        <w:t>演练基本情况：演练组织单位及参与单位、演练形式、演练模拟的地震名称、地震发生的时间和地点、地震过程的情景描述、主要应急行动等；</w:t>
      </w:r>
    </w:p>
    <w:p>
      <w:pPr>
        <w:pStyle w:val="51"/>
        <w:numPr>
          <w:ilvl w:val="0"/>
          <w:numId w:val="8"/>
        </w:numPr>
      </w:pPr>
      <w:r>
        <w:rPr>
          <w:rFonts w:hint="eastAsia"/>
        </w:rPr>
        <w:t>演练评估过程：演练评估工作的组织实施过程和主要工作安排；</w:t>
      </w:r>
    </w:p>
    <w:p>
      <w:pPr>
        <w:pStyle w:val="51"/>
        <w:numPr>
          <w:ilvl w:val="0"/>
          <w:numId w:val="8"/>
        </w:numPr>
      </w:pPr>
      <w:r>
        <w:rPr>
          <w:rFonts w:hint="eastAsia"/>
        </w:rPr>
        <w:t>演练情况分析：依据演练评估表格的评估结果，从演练的准备及组织实施情况、参演人员表现等方面具体分析好的做法和存在的问题以及演练目标的实现、演练成本效益分析等；</w:t>
      </w:r>
    </w:p>
    <w:p>
      <w:pPr>
        <w:pStyle w:val="51"/>
        <w:numPr>
          <w:ilvl w:val="0"/>
          <w:numId w:val="8"/>
        </w:numPr>
      </w:pPr>
      <w:r>
        <w:rPr>
          <w:rFonts w:hint="eastAsia"/>
        </w:rPr>
        <w:t>评估结论：对演练组织实施情况进行综合评价，可根据评估结果给出评估分数或等级；</w:t>
      </w:r>
    </w:p>
    <w:p>
      <w:pPr>
        <w:pStyle w:val="51"/>
        <w:numPr>
          <w:ilvl w:val="0"/>
          <w:numId w:val="8"/>
        </w:numPr>
      </w:pPr>
      <w:r>
        <w:rPr>
          <w:rFonts w:hint="eastAsia"/>
        </w:rPr>
        <w:t>改进的意见和建议：对演练评估中发现的问题提出整改的意见和建议，通常包括培训演练组织策划人员、培训参演人员、修订预案、方案、完善应急流程、改进协同机制、补充更新应急物资、升级应急装备、系统、救援过程等；</w:t>
      </w:r>
    </w:p>
    <w:p>
      <w:pPr>
        <w:pStyle w:val="51"/>
        <w:numPr>
          <w:ilvl w:val="0"/>
          <w:numId w:val="8"/>
        </w:numPr>
      </w:pPr>
      <w:r>
        <w:rPr>
          <w:rFonts w:hint="eastAsia" w:ascii="Times New Roman"/>
        </w:rPr>
        <w:t>相关附件：评估记录表、现场照片等。</w:t>
      </w:r>
    </w:p>
    <w:p>
      <w:pPr>
        <w:pStyle w:val="43"/>
        <w:numPr>
          <w:ilvl w:val="1"/>
          <w:numId w:val="2"/>
        </w:numPr>
        <w:spacing w:before="240" w:after="240"/>
      </w:pPr>
      <w:bookmarkStart w:id="186" w:name="_Toc193294378"/>
      <w:bookmarkStart w:id="187" w:name="_Toc196661632"/>
      <w:bookmarkStart w:id="188" w:name="_Toc192779613"/>
      <w:bookmarkStart w:id="189" w:name="_Toc29035"/>
      <w:bookmarkStart w:id="190" w:name="_Toc192779127"/>
      <w:bookmarkStart w:id="191" w:name="_Toc192779344"/>
      <w:r>
        <w:rPr>
          <w:rFonts w:hint="eastAsia"/>
        </w:rPr>
        <w:t>工作改进与资料归档</w:t>
      </w:r>
      <w:bookmarkEnd w:id="186"/>
      <w:bookmarkEnd w:id="187"/>
      <w:bookmarkEnd w:id="188"/>
      <w:bookmarkEnd w:id="189"/>
      <w:bookmarkEnd w:id="190"/>
      <w:bookmarkEnd w:id="191"/>
    </w:p>
    <w:p>
      <w:pPr>
        <w:pStyle w:val="44"/>
        <w:ind w:firstLine="0"/>
        <w:outlineLvl w:val="1"/>
      </w:pPr>
      <w:bookmarkStart w:id="192" w:name="_Toc1111"/>
      <w:bookmarkStart w:id="193" w:name="_Toc24528"/>
      <w:bookmarkStart w:id="194" w:name="_Toc14684"/>
      <w:bookmarkStart w:id="195" w:name="_Toc16014"/>
      <w:bookmarkStart w:id="196" w:name="_Toc28671"/>
      <w:bookmarkStart w:id="197" w:name="_Toc24176"/>
      <w:r>
        <w:rPr>
          <w:rFonts w:hint="eastAsia" w:ascii="Times New Roman" w:eastAsia="黑体" w:cs="Times New Roman"/>
        </w:rPr>
        <w:t>8.1 工作改进</w:t>
      </w:r>
      <w:bookmarkEnd w:id="192"/>
      <w:bookmarkEnd w:id="193"/>
      <w:bookmarkEnd w:id="194"/>
      <w:bookmarkEnd w:id="195"/>
      <w:bookmarkEnd w:id="196"/>
      <w:bookmarkEnd w:id="197"/>
    </w:p>
    <w:p>
      <w:pPr>
        <w:pStyle w:val="44"/>
        <w:widowControl w:val="0"/>
        <w:ind w:firstLine="0"/>
        <w:rPr>
          <w:rFonts w:ascii="Times New Roman"/>
        </w:rPr>
      </w:pPr>
      <w:r>
        <w:rPr>
          <w:rFonts w:hint="eastAsia" w:ascii="Times New Roman"/>
        </w:rPr>
        <w:t>8.1.1 评估工作组与评估工作组织单位、演练组织单位及参与单位沟通讨论，反馈评估结论及改进地震应急工作的相关建议。</w:t>
      </w:r>
    </w:p>
    <w:p>
      <w:pPr>
        <w:pStyle w:val="44"/>
        <w:widowControl w:val="0"/>
        <w:ind w:firstLine="0"/>
        <w:rPr>
          <w:rFonts w:ascii="Times New Roman"/>
        </w:rPr>
      </w:pPr>
      <w:r>
        <w:rPr>
          <w:rFonts w:hint="eastAsia" w:ascii="Times New Roman"/>
        </w:rPr>
        <w:t xml:space="preserve">8.1.2 演练组织单位及参与单位根据评估报告制定整改计划和措施，并跟踪督促整改落实。 </w:t>
      </w:r>
    </w:p>
    <w:p>
      <w:pPr>
        <w:pStyle w:val="44"/>
        <w:widowControl w:val="0"/>
        <w:ind w:firstLine="0"/>
        <w:rPr>
          <w:rFonts w:ascii="Times New Roman"/>
        </w:rPr>
      </w:pPr>
      <w:r>
        <w:rPr>
          <w:rFonts w:hint="eastAsia" w:ascii="Times New Roman"/>
        </w:rPr>
        <w:t>8.1.3 工作改进措施通常可考虑：</w:t>
      </w:r>
    </w:p>
    <w:p>
      <w:pPr>
        <w:pStyle w:val="51"/>
        <w:numPr>
          <w:ilvl w:val="0"/>
          <w:numId w:val="13"/>
        </w:numPr>
      </w:pPr>
      <w:r>
        <w:rPr>
          <w:rFonts w:hint="eastAsia"/>
        </w:rPr>
        <w:t>培训演练组织策划人员；</w:t>
      </w:r>
    </w:p>
    <w:p>
      <w:pPr>
        <w:pStyle w:val="51"/>
        <w:numPr>
          <w:ilvl w:val="0"/>
          <w:numId w:val="8"/>
        </w:numPr>
      </w:pPr>
      <w:r>
        <w:rPr>
          <w:rFonts w:hint="eastAsia"/>
        </w:rPr>
        <w:t>培训参演人员；</w:t>
      </w:r>
    </w:p>
    <w:p>
      <w:pPr>
        <w:pStyle w:val="51"/>
        <w:numPr>
          <w:ilvl w:val="0"/>
          <w:numId w:val="8"/>
        </w:numPr>
      </w:pPr>
      <w:r>
        <w:rPr>
          <w:rFonts w:hint="eastAsia"/>
        </w:rPr>
        <w:t>修订预案、方案；</w:t>
      </w:r>
    </w:p>
    <w:p>
      <w:pPr>
        <w:pStyle w:val="51"/>
        <w:numPr>
          <w:ilvl w:val="0"/>
          <w:numId w:val="8"/>
        </w:numPr>
      </w:pPr>
      <w:r>
        <w:rPr>
          <w:rFonts w:hint="eastAsia"/>
        </w:rPr>
        <w:t>完善应急流程；</w:t>
      </w:r>
    </w:p>
    <w:p>
      <w:pPr>
        <w:pStyle w:val="51"/>
        <w:numPr>
          <w:ilvl w:val="0"/>
          <w:numId w:val="8"/>
        </w:numPr>
      </w:pPr>
      <w:r>
        <w:rPr>
          <w:rFonts w:hint="eastAsia"/>
        </w:rPr>
        <w:t>改进协同机制；</w:t>
      </w:r>
    </w:p>
    <w:p>
      <w:pPr>
        <w:pStyle w:val="51"/>
        <w:numPr>
          <w:ilvl w:val="0"/>
          <w:numId w:val="8"/>
        </w:numPr>
      </w:pPr>
      <w:r>
        <w:rPr>
          <w:rFonts w:hint="eastAsia"/>
        </w:rPr>
        <w:t>补充更新应急物资；</w:t>
      </w:r>
    </w:p>
    <w:p>
      <w:pPr>
        <w:pStyle w:val="51"/>
        <w:numPr>
          <w:ilvl w:val="0"/>
          <w:numId w:val="8"/>
        </w:numPr>
      </w:pPr>
      <w:r>
        <w:rPr>
          <w:rFonts w:hint="eastAsia"/>
        </w:rPr>
        <w:t>升级应急装备、系统；</w:t>
      </w:r>
    </w:p>
    <w:p>
      <w:pPr>
        <w:pStyle w:val="51"/>
        <w:numPr>
          <w:ilvl w:val="0"/>
          <w:numId w:val="8"/>
        </w:numPr>
      </w:pPr>
      <w:r>
        <w:rPr>
          <w:rFonts w:hint="eastAsia"/>
        </w:rPr>
        <w:t>整改现场发现的安全隐患；</w:t>
      </w:r>
    </w:p>
    <w:p>
      <w:pPr>
        <w:pStyle w:val="51"/>
        <w:numPr>
          <w:ilvl w:val="0"/>
          <w:numId w:val="8"/>
        </w:numPr>
      </w:pPr>
      <w:r>
        <w:rPr>
          <w:rFonts w:hint="eastAsia"/>
        </w:rPr>
        <w:t>提升基础设施的防灾减灾能力；</w:t>
      </w:r>
    </w:p>
    <w:p>
      <w:pPr>
        <w:pStyle w:val="51"/>
        <w:numPr>
          <w:ilvl w:val="0"/>
          <w:numId w:val="8"/>
        </w:numPr>
      </w:pPr>
      <w:r>
        <w:rPr>
          <w:rFonts w:hint="eastAsia"/>
        </w:rPr>
        <w:t>提升救援效率。</w:t>
      </w:r>
    </w:p>
    <w:p>
      <w:pPr>
        <w:pStyle w:val="44"/>
        <w:widowControl w:val="0"/>
        <w:ind w:firstLine="0"/>
        <w:rPr>
          <w:rFonts w:ascii="Times New Roman"/>
        </w:rPr>
      </w:pPr>
      <w:r>
        <w:rPr>
          <w:rFonts w:hint="eastAsia" w:ascii="Times New Roman"/>
        </w:rPr>
        <w:t xml:space="preserve">8.1.4 评估工作组织单位、评估工作组、演练组织单位及参与单位对评估工作进行总结，讨论优化工作改进措施。 </w:t>
      </w:r>
    </w:p>
    <w:p>
      <w:pPr>
        <w:pStyle w:val="44"/>
        <w:ind w:firstLine="0"/>
        <w:outlineLvl w:val="1"/>
        <w:rPr>
          <w:rFonts w:ascii="Times New Roman" w:eastAsia="黑体" w:cs="Times New Roman"/>
        </w:rPr>
      </w:pPr>
      <w:r>
        <w:rPr>
          <w:rFonts w:hint="eastAsia" w:ascii="Times New Roman" w:eastAsia="黑体" w:cs="Times New Roman"/>
        </w:rPr>
        <w:t>8.2 资料归档</w:t>
      </w:r>
    </w:p>
    <w:p>
      <w:pPr>
        <w:pStyle w:val="46"/>
        <w:numPr>
          <w:ilvl w:val="2"/>
          <w:numId w:val="0"/>
        </w:numPr>
      </w:pPr>
      <w:r>
        <w:rPr>
          <w:rFonts w:hint="eastAsia" w:ascii="Times New Roman" w:cs="CG Times"/>
          <w:szCs w:val="22"/>
        </w:rPr>
        <w:t xml:space="preserve">8.2.1 </w:t>
      </w:r>
      <w:r>
        <w:rPr>
          <w:rFonts w:hint="eastAsia"/>
        </w:rPr>
        <w:t>宜在评估工作结束后一个月内，</w:t>
      </w:r>
      <w:r>
        <w:rPr>
          <w:rFonts w:hint="eastAsia" w:ascii="Times New Roman"/>
        </w:rPr>
        <w:t>评估工作组织单位、演练组织单位</w:t>
      </w:r>
      <w:r>
        <w:rPr>
          <w:rFonts w:hint="eastAsia"/>
        </w:rPr>
        <w:t>对相关资料进行归档。归档内容可包括：</w:t>
      </w:r>
    </w:p>
    <w:p>
      <w:pPr>
        <w:pStyle w:val="51"/>
        <w:numPr>
          <w:ilvl w:val="0"/>
          <w:numId w:val="14"/>
        </w:numPr>
      </w:pPr>
      <w:r>
        <w:rPr>
          <w:rFonts w:hint="eastAsia"/>
        </w:rPr>
        <w:t>演练所涉及的相关应急预案和演练文件；</w:t>
      </w:r>
    </w:p>
    <w:p>
      <w:pPr>
        <w:pStyle w:val="51"/>
        <w:numPr>
          <w:ilvl w:val="0"/>
          <w:numId w:val="8"/>
        </w:numPr>
      </w:pPr>
      <w:r>
        <w:rPr>
          <w:rFonts w:hint="eastAsia"/>
        </w:rPr>
        <w:t>演练评估工作方案；</w:t>
      </w:r>
    </w:p>
    <w:p>
      <w:pPr>
        <w:pStyle w:val="51"/>
        <w:numPr>
          <w:ilvl w:val="0"/>
          <w:numId w:val="8"/>
        </w:numPr>
      </w:pPr>
      <w:r>
        <w:rPr>
          <w:rFonts w:hint="eastAsia"/>
        </w:rPr>
        <w:t>演练现场评估记录表；</w:t>
      </w:r>
    </w:p>
    <w:p>
      <w:pPr>
        <w:pStyle w:val="51"/>
        <w:numPr>
          <w:ilvl w:val="0"/>
          <w:numId w:val="8"/>
        </w:numPr>
      </w:pPr>
      <w:r>
        <w:rPr>
          <w:rFonts w:hint="eastAsia"/>
        </w:rPr>
        <w:t>演练评估报告；</w:t>
      </w:r>
    </w:p>
    <w:p>
      <w:pPr>
        <w:pStyle w:val="51"/>
        <w:numPr>
          <w:ilvl w:val="0"/>
          <w:numId w:val="8"/>
        </w:numPr>
      </w:pPr>
      <w:r>
        <w:rPr>
          <w:rFonts w:hint="eastAsia"/>
        </w:rPr>
        <w:t>演练网站报道及影像记录。</w:t>
      </w:r>
    </w:p>
    <w:p>
      <w:pPr>
        <w:pStyle w:val="44"/>
        <w:ind w:firstLine="0"/>
        <w:rPr>
          <w:rFonts w:ascii="Times New Roman" w:cs="Times New Roman"/>
        </w:rPr>
      </w:pPr>
      <w:r>
        <w:rPr>
          <w:rFonts w:hint="eastAsia" w:ascii="Times New Roman"/>
        </w:rPr>
        <w:t xml:space="preserve">8.2.2 </w:t>
      </w:r>
      <w:r>
        <w:rPr>
          <w:rFonts w:hint="eastAsia" w:ascii="Times New Roman" w:cs="Times New Roman"/>
        </w:rPr>
        <w:t>演练评估存档资料至少保存3年。</w:t>
      </w:r>
    </w:p>
    <w:p>
      <w:pPr>
        <w:pStyle w:val="29"/>
        <w:ind w:firstLine="420"/>
      </w:pPr>
    </w:p>
    <w:p>
      <w:pPr>
        <w:pStyle w:val="29"/>
        <w:ind w:firstLine="420"/>
      </w:pPr>
    </w:p>
    <w:p>
      <w:pPr>
        <w:pStyle w:val="29"/>
        <w:ind w:firstLine="420"/>
      </w:pPr>
    </w:p>
    <w:p>
      <w:pPr>
        <w:pStyle w:val="29"/>
        <w:ind w:firstLine="420"/>
        <w:sectPr>
          <w:footerReference r:id="rId11" w:type="default"/>
          <w:pgSz w:w="11906" w:h="16838"/>
          <w:pgMar w:top="1928" w:right="1134" w:bottom="1134" w:left="1134" w:header="1418" w:footer="850" w:gutter="284"/>
          <w:pgBorders>
            <w:top w:val="none" w:sz="0" w:space="0"/>
            <w:left w:val="none" w:sz="0" w:space="0"/>
            <w:bottom w:val="none" w:sz="0" w:space="0"/>
            <w:right w:val="none" w:sz="0" w:space="0"/>
          </w:pgBorders>
          <w:cols w:space="720" w:num="1"/>
          <w:formProt w:val="0"/>
          <w:docGrid w:linePitch="312" w:charSpace="0"/>
        </w:sectPr>
      </w:pPr>
    </w:p>
    <w:p>
      <w:pPr>
        <w:pStyle w:val="52"/>
        <w:numPr>
          <w:ilvl w:val="0"/>
          <w:numId w:val="15"/>
        </w:numPr>
        <w:ind w:firstLine="0"/>
        <w:rPr>
          <w:rFonts w:hint="eastAsia"/>
          <w:vanish w:val="0"/>
        </w:rPr>
      </w:pPr>
      <w:bookmarkStart w:id="198" w:name="BookMark5"/>
    </w:p>
    <w:p>
      <w:pPr>
        <w:pStyle w:val="53"/>
        <w:numPr>
          <w:ilvl w:val="0"/>
          <w:numId w:val="16"/>
        </w:numPr>
        <w:ind w:firstLine="0"/>
        <w:rPr>
          <w:vanish w:val="0"/>
        </w:rPr>
      </w:pPr>
    </w:p>
    <w:p>
      <w:pPr>
        <w:pStyle w:val="54"/>
        <w:numPr>
          <w:ilvl w:val="0"/>
          <w:numId w:val="17"/>
        </w:numPr>
        <w:spacing w:after="120"/>
      </w:pPr>
      <w:bookmarkStart w:id="199" w:name="_Toc30190"/>
      <w:r>
        <w:br w:type="textWrapping"/>
      </w:r>
      <w:bookmarkStart w:id="200" w:name="_Toc192779614"/>
      <w:bookmarkStart w:id="201" w:name="_Toc192779345"/>
      <w:bookmarkStart w:id="202" w:name="_Toc193294379"/>
      <w:bookmarkStart w:id="203" w:name="_Toc192779128"/>
      <w:bookmarkStart w:id="204" w:name="_Toc196661633"/>
      <w:r>
        <w:rPr>
          <w:rFonts w:hint="eastAsia"/>
        </w:rPr>
        <w:t>（资料性）</w:t>
      </w:r>
      <w:r>
        <w:br w:type="textWrapping"/>
      </w:r>
      <w:r>
        <w:rPr>
          <w:rFonts w:hint="eastAsia"/>
        </w:rPr>
        <w:t>地震应急实战演练评估要点</w:t>
      </w:r>
      <w:bookmarkEnd w:id="199"/>
      <w:bookmarkEnd w:id="200"/>
      <w:bookmarkEnd w:id="201"/>
      <w:bookmarkEnd w:id="202"/>
      <w:bookmarkEnd w:id="203"/>
      <w:bookmarkEnd w:id="204"/>
    </w:p>
    <w:p>
      <w:pPr>
        <w:pStyle w:val="29"/>
        <w:ind w:firstLine="420"/>
      </w:pPr>
      <w:r>
        <w:rPr>
          <w:rFonts w:hint="eastAsia"/>
        </w:rPr>
        <w:t>地震应急实战演练评估要点包括演练策划、演练实施、演练总结等方面，可根据演练实际情况，制定评估要点。地震应急实战演练评估要点参考模板见表</w:t>
      </w:r>
      <w:r>
        <w:t>A</w:t>
      </w:r>
      <w:r>
        <w:rPr>
          <w:rFonts w:hint="eastAsia"/>
        </w:rPr>
        <w:t>.1。</w:t>
      </w:r>
    </w:p>
    <w:p>
      <w:pPr>
        <w:pStyle w:val="55"/>
        <w:numPr>
          <w:ilvl w:val="1"/>
          <w:numId w:val="16"/>
        </w:numPr>
        <w:spacing w:before="120" w:after="120"/>
      </w:pPr>
      <w:r>
        <w:rPr>
          <w:rFonts w:hint="eastAsia"/>
        </w:rPr>
        <w:t>地震应急实战演练评估要点表</w:t>
      </w:r>
    </w:p>
    <w:tbl>
      <w:tblPr>
        <w:tblStyle w:val="1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557"/>
        <w:gridCol w:w="426"/>
        <w:gridCol w:w="567"/>
        <w:gridCol w:w="752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557" w:type="dxa"/>
            <w:vMerge w:val="restart"/>
            <w:tcBorders>
              <w:top w:val="single" w:color="auto" w:sz="8" w:space="0"/>
            </w:tcBorders>
            <w:noWrap w:val="0"/>
            <w:vAlign w:val="center"/>
          </w:tcPr>
          <w:p>
            <w:pPr>
              <w:pStyle w:val="56"/>
            </w:pPr>
            <w:r>
              <w:rPr>
                <w:rFonts w:hint="eastAsia"/>
              </w:rPr>
              <w:t>序号</w:t>
            </w:r>
          </w:p>
        </w:tc>
        <w:tc>
          <w:tcPr>
            <w:tcW w:w="993" w:type="dxa"/>
            <w:gridSpan w:val="2"/>
            <w:tcBorders>
              <w:top w:val="single" w:color="auto" w:sz="8" w:space="0"/>
              <w:bottom w:val="single" w:color="auto" w:sz="8" w:space="0"/>
            </w:tcBorders>
            <w:noWrap w:val="0"/>
            <w:vAlign w:val="center"/>
          </w:tcPr>
          <w:p>
            <w:pPr>
              <w:pStyle w:val="56"/>
            </w:pPr>
            <w:r>
              <w:rPr>
                <w:rFonts w:hint="eastAsia"/>
              </w:rPr>
              <w:t>评估指标</w:t>
            </w:r>
          </w:p>
        </w:tc>
        <w:tc>
          <w:tcPr>
            <w:tcW w:w="7522" w:type="dxa"/>
            <w:vMerge w:val="restart"/>
            <w:tcBorders>
              <w:top w:val="single" w:color="auto" w:sz="8" w:space="0"/>
            </w:tcBorders>
            <w:noWrap w:val="0"/>
            <w:vAlign w:val="center"/>
          </w:tcPr>
          <w:p>
            <w:pPr>
              <w:pStyle w:val="56"/>
            </w:pPr>
            <w:r>
              <w:rPr>
                <w:rFonts w:hint="eastAsia"/>
              </w:rPr>
              <w:t>评估内容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557" w:type="dxa"/>
            <w:vMerge w:val="continue"/>
            <w:tcBorders>
              <w:bottom w:val="single" w:color="auto" w:sz="8" w:space="0"/>
            </w:tcBorders>
            <w:noWrap w:val="0"/>
            <w:vAlign w:val="center"/>
          </w:tcPr>
          <w:p>
            <w:pPr>
              <w:pStyle w:val="56"/>
            </w:pPr>
          </w:p>
        </w:tc>
        <w:tc>
          <w:tcPr>
            <w:tcW w:w="426" w:type="dxa"/>
            <w:tcBorders>
              <w:top w:val="single" w:color="auto" w:sz="8" w:space="0"/>
              <w:bottom w:val="single" w:color="auto" w:sz="8" w:space="0"/>
            </w:tcBorders>
            <w:noWrap w:val="0"/>
            <w:vAlign w:val="center"/>
          </w:tcPr>
          <w:p>
            <w:pPr>
              <w:pStyle w:val="56"/>
            </w:pPr>
            <w:r>
              <w:rPr>
                <w:rFonts w:hint="eastAsia"/>
              </w:rPr>
              <w:t>一级</w:t>
            </w:r>
          </w:p>
        </w:tc>
        <w:tc>
          <w:tcPr>
            <w:tcW w:w="567" w:type="dxa"/>
            <w:tcBorders>
              <w:top w:val="single" w:color="auto" w:sz="8" w:space="0"/>
              <w:bottom w:val="single" w:color="auto" w:sz="8" w:space="0"/>
            </w:tcBorders>
            <w:noWrap w:val="0"/>
            <w:vAlign w:val="center"/>
          </w:tcPr>
          <w:p>
            <w:pPr>
              <w:pStyle w:val="56"/>
            </w:pPr>
            <w:r>
              <w:rPr>
                <w:rFonts w:hint="eastAsia"/>
              </w:rPr>
              <w:t>二级</w:t>
            </w:r>
          </w:p>
        </w:tc>
        <w:tc>
          <w:tcPr>
            <w:tcW w:w="7522" w:type="dxa"/>
            <w:vMerge w:val="continue"/>
            <w:tcBorders>
              <w:bottom w:val="single" w:color="auto" w:sz="8" w:space="0"/>
            </w:tcBorders>
            <w:noWrap w:val="0"/>
            <w:vAlign w:val="center"/>
          </w:tcPr>
          <w:p>
            <w:pPr>
              <w:pStyle w:val="56"/>
              <w:jc w:val="both"/>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tcBorders>
              <w:top w:val="single" w:color="auto" w:sz="8" w:space="0"/>
            </w:tcBorders>
            <w:noWrap w:val="0"/>
            <w:vAlign w:val="center"/>
          </w:tcPr>
          <w:p>
            <w:pPr>
              <w:pStyle w:val="56"/>
            </w:pPr>
            <w:r>
              <w:rPr>
                <w:rFonts w:hint="eastAsia"/>
              </w:rPr>
              <w:t>1</w:t>
            </w:r>
          </w:p>
        </w:tc>
        <w:tc>
          <w:tcPr>
            <w:tcW w:w="426" w:type="dxa"/>
            <w:vMerge w:val="restart"/>
            <w:tcBorders>
              <w:top w:val="single" w:color="auto" w:sz="8" w:space="0"/>
            </w:tcBorders>
            <w:noWrap w:val="0"/>
            <w:vAlign w:val="center"/>
          </w:tcPr>
          <w:p>
            <w:pPr>
              <w:pStyle w:val="56"/>
            </w:pPr>
            <w:r>
              <w:rPr>
                <w:rFonts w:hint="eastAsia"/>
              </w:rPr>
              <w:t>演练策划</w:t>
            </w:r>
          </w:p>
        </w:tc>
        <w:tc>
          <w:tcPr>
            <w:tcW w:w="567" w:type="dxa"/>
            <w:vMerge w:val="restart"/>
            <w:tcBorders>
              <w:top w:val="single" w:color="auto" w:sz="8" w:space="0"/>
            </w:tcBorders>
            <w:noWrap w:val="0"/>
            <w:vAlign w:val="center"/>
          </w:tcPr>
          <w:p>
            <w:pPr>
              <w:pStyle w:val="56"/>
            </w:pPr>
            <w:r>
              <w:rPr>
                <w:rFonts w:hint="eastAsia"/>
              </w:rPr>
              <w:t>演练目标</w:t>
            </w:r>
          </w:p>
        </w:tc>
        <w:tc>
          <w:tcPr>
            <w:tcW w:w="7522" w:type="dxa"/>
            <w:tcBorders>
              <w:top w:val="single" w:color="auto" w:sz="8" w:space="0"/>
            </w:tcBorders>
            <w:noWrap w:val="0"/>
            <w:vAlign w:val="center"/>
          </w:tcPr>
          <w:p>
            <w:pPr>
              <w:pStyle w:val="56"/>
              <w:jc w:val="both"/>
            </w:pPr>
            <w:r>
              <w:rPr>
                <w:rFonts w:hint="eastAsia"/>
              </w:rPr>
              <w:t>演练目标简明、合理、具体、可量化和可实现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2</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演练目标设定坚持任务牵引，检验地震应急预案、应急准备工作、救援队伍能力以及应急机制的有效性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3</w:t>
            </w:r>
          </w:p>
        </w:tc>
        <w:tc>
          <w:tcPr>
            <w:tcW w:w="426" w:type="dxa"/>
            <w:vMerge w:val="continue"/>
            <w:noWrap w:val="0"/>
            <w:vAlign w:val="center"/>
          </w:tcPr>
          <w:p>
            <w:pPr>
              <w:pStyle w:val="56"/>
            </w:pPr>
          </w:p>
        </w:tc>
        <w:tc>
          <w:tcPr>
            <w:tcW w:w="567" w:type="dxa"/>
            <w:vMerge w:val="restart"/>
            <w:noWrap w:val="0"/>
            <w:vAlign w:val="center"/>
          </w:tcPr>
          <w:p>
            <w:pPr>
              <w:pStyle w:val="56"/>
            </w:pPr>
            <w:r>
              <w:rPr>
                <w:rFonts w:hint="eastAsia"/>
              </w:rPr>
              <w:t xml:space="preserve">情景设定 </w:t>
            </w:r>
          </w:p>
        </w:tc>
        <w:tc>
          <w:tcPr>
            <w:tcW w:w="7522" w:type="dxa"/>
            <w:noWrap w:val="0"/>
            <w:vAlign w:val="center"/>
          </w:tcPr>
          <w:p>
            <w:pPr>
              <w:pStyle w:val="56"/>
              <w:jc w:val="both"/>
            </w:pPr>
            <w:r>
              <w:rPr>
                <w:rFonts w:hint="eastAsia"/>
              </w:rPr>
              <w:t>演练构想符合地震灾害及可能发生次生灾害的实际情况和特点，充分考虑地震发生的地质条件、周边环境等因素，合理设定各事件的发生与持续时间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4</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演练情景设计全面，涵盖地震发生的时间、地点、震级、震源深度等关键要素，详细描述灾情信息、影响范围、发展态势、人员伤亡及财产损失情况等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5</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演练场景构设合理，依据地震灾害发展的逻辑顺序，合理安排不同场景的出现时机和地点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6</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演练科目设置符合地震应急救援实际，有利于提高参演人员的应急处置能力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7</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演练流程设定科学，各环节、各科目衔接紧密，明确规定每个环节的开始和结束时间，以及各科目之间的转换条件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8</w:t>
            </w:r>
          </w:p>
        </w:tc>
        <w:tc>
          <w:tcPr>
            <w:tcW w:w="426" w:type="dxa"/>
            <w:vMerge w:val="continue"/>
            <w:noWrap w:val="0"/>
            <w:vAlign w:val="center"/>
          </w:tcPr>
          <w:p>
            <w:pPr>
              <w:pStyle w:val="56"/>
            </w:pPr>
          </w:p>
        </w:tc>
        <w:tc>
          <w:tcPr>
            <w:tcW w:w="567" w:type="dxa"/>
            <w:vMerge w:val="restart"/>
            <w:noWrap w:val="0"/>
            <w:vAlign w:val="center"/>
          </w:tcPr>
          <w:p>
            <w:pPr>
              <w:pStyle w:val="56"/>
            </w:pPr>
            <w:r>
              <w:rPr>
                <w:rFonts w:hint="eastAsia"/>
              </w:rPr>
              <w:t>演练组织</w:t>
            </w:r>
          </w:p>
        </w:tc>
        <w:tc>
          <w:tcPr>
            <w:tcW w:w="7522" w:type="dxa"/>
            <w:noWrap w:val="0"/>
            <w:vAlign w:val="center"/>
          </w:tcPr>
          <w:p>
            <w:pPr>
              <w:pStyle w:val="56"/>
              <w:jc w:val="both"/>
            </w:pPr>
            <w:r>
              <w:rPr>
                <w:rFonts w:hint="eastAsia"/>
              </w:rPr>
              <w:t>成立演练组织实施机构，并将主要相关方纳入，明确各项工作职责、进度安排等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9</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组织专业人员提前现场踏勘，进行安全风险评估，并为演练人员开展演练前风险提醒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10</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通过召开协调会等方式同步相关信息，确保相关方协同推进、相互支撑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11</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邀请专家顾问进行演练策划，并针对安全保障进行指导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12</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邀请相关媒体进行演练活动宣传报道</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13</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组织参演人员进行理论培训、岗位实操训练，确保参演人员充分了解演练规则、任务角色等内容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14</w:t>
            </w:r>
          </w:p>
        </w:tc>
        <w:tc>
          <w:tcPr>
            <w:tcW w:w="426" w:type="dxa"/>
            <w:vMerge w:val="continue"/>
            <w:noWrap w:val="0"/>
            <w:vAlign w:val="center"/>
          </w:tcPr>
          <w:p>
            <w:pPr>
              <w:pStyle w:val="56"/>
            </w:pPr>
          </w:p>
        </w:tc>
        <w:tc>
          <w:tcPr>
            <w:tcW w:w="567" w:type="dxa"/>
            <w:vMerge w:val="restart"/>
            <w:noWrap w:val="0"/>
            <w:vAlign w:val="center"/>
          </w:tcPr>
          <w:p>
            <w:pPr>
              <w:pStyle w:val="56"/>
            </w:pPr>
            <w:r>
              <w:rPr>
                <w:rFonts w:hint="eastAsia"/>
              </w:rPr>
              <w:t>演练保障</w:t>
            </w:r>
          </w:p>
        </w:tc>
        <w:tc>
          <w:tcPr>
            <w:tcW w:w="7522" w:type="dxa"/>
            <w:noWrap w:val="0"/>
            <w:vAlign w:val="center"/>
          </w:tcPr>
          <w:p>
            <w:pPr>
              <w:pStyle w:val="56"/>
              <w:jc w:val="both"/>
            </w:pPr>
            <w:r>
              <w:rPr>
                <w:rFonts w:hint="eastAsia"/>
              </w:rPr>
              <w:t>演练保障人员分工明确，职责明晰，合理确定人数，确保满足演练的各项保障需求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15</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演练保障经费充足，使用科学合理、节约高效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16</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演练场地选择符合情景设计，现场条件满足演练要求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17</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演练物资管理使用科学、规范，满足演练需要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18</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通信保障措施2种以上，并有备份通信手段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19</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演练安全保障措施到位，满足安全要求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20</w:t>
            </w:r>
          </w:p>
        </w:tc>
        <w:tc>
          <w:tcPr>
            <w:tcW w:w="426" w:type="dxa"/>
            <w:vMerge w:val="continue"/>
            <w:noWrap w:val="0"/>
            <w:vAlign w:val="center"/>
          </w:tcPr>
          <w:p>
            <w:pPr>
              <w:pStyle w:val="56"/>
            </w:pPr>
          </w:p>
        </w:tc>
        <w:tc>
          <w:tcPr>
            <w:tcW w:w="567" w:type="dxa"/>
            <w:vMerge w:val="restart"/>
            <w:noWrap w:val="0"/>
            <w:vAlign w:val="center"/>
          </w:tcPr>
          <w:p>
            <w:pPr>
              <w:pStyle w:val="56"/>
            </w:pPr>
            <w:r>
              <w:rPr>
                <w:rFonts w:hint="eastAsia"/>
              </w:rPr>
              <w:t>演练文件</w:t>
            </w:r>
          </w:p>
        </w:tc>
        <w:tc>
          <w:tcPr>
            <w:tcW w:w="7522" w:type="dxa"/>
            <w:noWrap w:val="0"/>
            <w:vAlign w:val="center"/>
          </w:tcPr>
          <w:p>
            <w:pPr>
              <w:pStyle w:val="56"/>
              <w:jc w:val="both"/>
            </w:pPr>
            <w:r>
              <w:rPr>
                <w:rFonts w:hint="eastAsia"/>
              </w:rPr>
              <w:t>编制工作方案、演练脚本、宣传方案、保障方案、观摩手册等演练文件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21</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演练文件内容通俗易懂、格式规范，各项附件项目齐全、编排顺序合理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22</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制定演练应急预案和安保方案，防范可能发生的意外情况，并提前告知周边可能受到影响的相关人员以避免造成或产生安全隐患</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23</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演练文件起草完成后，按照相关要求论证或评审，报请有关领导审批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24</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演练文件印发至演练对应的各部门，并组织相关人员进行宣传培训</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25</w:t>
            </w:r>
          </w:p>
        </w:tc>
        <w:tc>
          <w:tcPr>
            <w:tcW w:w="426" w:type="dxa"/>
            <w:vMerge w:val="restart"/>
            <w:noWrap w:val="0"/>
            <w:vAlign w:val="center"/>
          </w:tcPr>
          <w:p>
            <w:pPr>
              <w:pStyle w:val="56"/>
            </w:pPr>
            <w:r>
              <w:rPr>
                <w:rFonts w:hint="eastAsia"/>
              </w:rPr>
              <w:t xml:space="preserve">演练实施 </w:t>
            </w:r>
          </w:p>
        </w:tc>
        <w:tc>
          <w:tcPr>
            <w:tcW w:w="567" w:type="dxa"/>
            <w:vMerge w:val="restart"/>
            <w:noWrap w:val="0"/>
            <w:vAlign w:val="center"/>
          </w:tcPr>
          <w:p>
            <w:pPr>
              <w:pStyle w:val="56"/>
            </w:pPr>
            <w:r>
              <w:rPr>
                <w:rFonts w:hint="eastAsia"/>
              </w:rPr>
              <w:t>震情信息报告与发布</w:t>
            </w:r>
          </w:p>
        </w:tc>
        <w:tc>
          <w:tcPr>
            <w:tcW w:w="7522" w:type="dxa"/>
            <w:noWrap w:val="0"/>
            <w:vAlign w:val="center"/>
          </w:tcPr>
          <w:p>
            <w:pPr>
              <w:pStyle w:val="56"/>
              <w:jc w:val="both"/>
            </w:pPr>
            <w:r>
              <w:rPr>
                <w:rFonts w:hint="eastAsia"/>
              </w:rPr>
              <w:t>地震速报基本参数（发震时刻、震中坐标、速报震级和震源深度）信息是否完备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26</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地震速报基本参数的表述（格式、小数位数、单位等）是否符合地震速报技术管理规定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27</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震中参考地名的命名是否符合地震速报技术管理规定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28</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震情信息发布（初报、正式报）是否符合《地震速报技术管理规定》的时间要求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29</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震情信息发布的内容和样式是否符合《地震速报技术管理规定》的要求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30</w:t>
            </w:r>
          </w:p>
        </w:tc>
        <w:tc>
          <w:tcPr>
            <w:tcW w:w="426" w:type="dxa"/>
            <w:vMerge w:val="continue"/>
            <w:noWrap w:val="0"/>
            <w:vAlign w:val="center"/>
          </w:tcPr>
          <w:p>
            <w:pPr>
              <w:pStyle w:val="56"/>
            </w:pPr>
          </w:p>
        </w:tc>
        <w:tc>
          <w:tcPr>
            <w:tcW w:w="567" w:type="dxa"/>
            <w:vMerge w:val="restart"/>
            <w:noWrap w:val="0"/>
            <w:vAlign w:val="center"/>
          </w:tcPr>
          <w:p>
            <w:pPr>
              <w:pStyle w:val="56"/>
            </w:pPr>
            <w:r>
              <w:rPr>
                <w:rFonts w:hint="eastAsia"/>
              </w:rPr>
              <w:t xml:space="preserve">响应启动 </w:t>
            </w:r>
          </w:p>
        </w:tc>
        <w:tc>
          <w:tcPr>
            <w:tcW w:w="7522" w:type="dxa"/>
            <w:noWrap w:val="0"/>
            <w:vAlign w:val="center"/>
          </w:tcPr>
          <w:p>
            <w:pPr>
              <w:pStyle w:val="56"/>
              <w:jc w:val="both"/>
            </w:pPr>
            <w:r>
              <w:rPr>
                <w:rFonts w:hint="eastAsia"/>
              </w:rPr>
              <w:t>响应启动流程（接警、报送、研判、启动等）是否符合预案要求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31</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响应启动级别是否符合预案要求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32</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响应启动时效性是否符合预案要求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33</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响应启动后相关人员是否都通知到位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34</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响应启动后相关人员是否按照时间要求到达各自岗位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35</w:t>
            </w:r>
          </w:p>
        </w:tc>
        <w:tc>
          <w:tcPr>
            <w:tcW w:w="426" w:type="dxa"/>
            <w:vMerge w:val="continue"/>
            <w:noWrap w:val="0"/>
            <w:vAlign w:val="center"/>
          </w:tcPr>
          <w:p>
            <w:pPr>
              <w:pStyle w:val="56"/>
            </w:pPr>
          </w:p>
        </w:tc>
        <w:tc>
          <w:tcPr>
            <w:tcW w:w="567" w:type="dxa"/>
            <w:vMerge w:val="restart"/>
            <w:noWrap w:val="0"/>
            <w:vAlign w:val="center"/>
          </w:tcPr>
          <w:p>
            <w:pPr>
              <w:pStyle w:val="56"/>
            </w:pPr>
            <w:r>
              <w:rPr>
                <w:rFonts w:hint="eastAsia"/>
              </w:rPr>
              <w:t>指挥决策</w:t>
            </w:r>
          </w:p>
        </w:tc>
        <w:tc>
          <w:tcPr>
            <w:tcW w:w="7522" w:type="dxa"/>
            <w:noWrap w:val="0"/>
            <w:vAlign w:val="center"/>
          </w:tcPr>
          <w:p>
            <w:pPr>
              <w:pStyle w:val="56"/>
              <w:jc w:val="both"/>
            </w:pPr>
            <w:r>
              <w:rPr>
                <w:rFonts w:hint="eastAsia"/>
              </w:rPr>
              <w:t>是否能够根据地震等级成立对应抗震救灾指挥部，指挥部设置与应急预案是否一致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36</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指挥部各成员是否能够在规定时间内到位，按照实际身份参加演练，分工明确并各司其职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37</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指挥部能否结合灾情快速评估和现场信息科学准确、动态地研判灾情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38</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指挥部能否结合灾情评估结果和当地特点快速提出救援力量需求和调配方案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39</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指挥部能否结合灾情评估结果和当地特点快速提出救灾物资需求和调配方案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40</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应急指挥决策程序是否科学，内容是否有预见性、科学可行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41</w:t>
            </w:r>
          </w:p>
        </w:tc>
        <w:tc>
          <w:tcPr>
            <w:tcW w:w="426" w:type="dxa"/>
            <w:vMerge w:val="continue"/>
            <w:noWrap w:val="0"/>
            <w:vAlign w:val="center"/>
          </w:tcPr>
          <w:p>
            <w:pPr>
              <w:pStyle w:val="56"/>
            </w:pPr>
          </w:p>
        </w:tc>
        <w:tc>
          <w:tcPr>
            <w:tcW w:w="567" w:type="dxa"/>
            <w:vMerge w:val="restart"/>
            <w:noWrap w:val="0"/>
            <w:vAlign w:val="center"/>
          </w:tcPr>
          <w:p>
            <w:pPr>
              <w:pStyle w:val="56"/>
            </w:pPr>
            <w:r>
              <w:rPr>
                <w:rFonts w:hint="eastAsia"/>
              </w:rPr>
              <w:t>信息报送</w:t>
            </w:r>
          </w:p>
        </w:tc>
        <w:tc>
          <w:tcPr>
            <w:tcW w:w="7522" w:type="dxa"/>
            <w:noWrap w:val="0"/>
            <w:vAlign w:val="center"/>
          </w:tcPr>
          <w:p>
            <w:pPr>
              <w:pStyle w:val="56"/>
              <w:jc w:val="both"/>
            </w:pPr>
            <w:r>
              <w:rPr>
                <w:rFonts w:hint="eastAsia"/>
              </w:rPr>
              <w:t>是否能够及时向有关部门和人员报告事件信息，是否有内部信息通报系统并能及时投入使用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42</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信息报告程序（首报、续报及终报）是否规范，能否在规定时间内向上级主管部门和地方人民政府报告事件信息，并持续更新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43</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信息报送内容是否符合预案及相关规定的要求，如时间、地点、伤亡情况、采取措施等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44</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是否能够快速地向新闻媒体、社会公众通报地震灾情及抗震救灾工作信息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45</w:t>
            </w:r>
          </w:p>
        </w:tc>
        <w:tc>
          <w:tcPr>
            <w:tcW w:w="426" w:type="dxa"/>
            <w:vMerge w:val="continue"/>
            <w:noWrap w:val="0"/>
            <w:vAlign w:val="center"/>
          </w:tcPr>
          <w:p>
            <w:pPr>
              <w:pStyle w:val="56"/>
            </w:pPr>
          </w:p>
        </w:tc>
        <w:tc>
          <w:tcPr>
            <w:tcW w:w="567" w:type="dxa"/>
            <w:vMerge w:val="restart"/>
            <w:noWrap w:val="0"/>
            <w:vAlign w:val="center"/>
          </w:tcPr>
          <w:p>
            <w:pPr>
              <w:pStyle w:val="56"/>
            </w:pPr>
            <w:r>
              <w:rPr>
                <w:rFonts w:hint="eastAsia"/>
              </w:rPr>
              <w:t>现场指挥部搭建及运行</w:t>
            </w:r>
          </w:p>
        </w:tc>
        <w:tc>
          <w:tcPr>
            <w:tcW w:w="7522" w:type="dxa"/>
            <w:noWrap w:val="0"/>
            <w:vAlign w:val="center"/>
          </w:tcPr>
          <w:p>
            <w:pPr>
              <w:pStyle w:val="56"/>
              <w:jc w:val="both"/>
            </w:pPr>
            <w:r>
              <w:rPr>
                <w:rFonts w:hint="eastAsia"/>
              </w:rPr>
              <w:t>指挥部组建是否科学合理，主要包括组织架构的完备性和工作组牵头单位职责落实及成员单位人员到位、责任落实情况等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46</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指挥部实体化搭建是否科学合理，主要包括指挥部选址、空间布局、功能分区情况，办公环境和办公设备支撑、运行情况，信息管理、网络通信环境，会议保障、新闻发布保障，后勤保障措施及安全管控等情况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47</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指挥部各工作组设立与运行是否科学协调，主要包括工作组设立及任务职责分工情况，工作组牵头单位职责和参与单位配合情况，各工作组统筹、协调、配合工作情况等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48</w:t>
            </w:r>
          </w:p>
        </w:tc>
        <w:tc>
          <w:tcPr>
            <w:tcW w:w="426" w:type="dxa"/>
            <w:vMerge w:val="continue"/>
            <w:noWrap w:val="0"/>
            <w:vAlign w:val="center"/>
          </w:tcPr>
          <w:p>
            <w:pPr>
              <w:pStyle w:val="56"/>
            </w:pPr>
          </w:p>
        </w:tc>
        <w:tc>
          <w:tcPr>
            <w:tcW w:w="567" w:type="dxa"/>
            <w:vMerge w:val="restart"/>
            <w:noWrap w:val="0"/>
            <w:vAlign w:val="center"/>
          </w:tcPr>
          <w:p>
            <w:pPr>
              <w:pStyle w:val="56"/>
            </w:pPr>
            <w:r>
              <w:rPr>
                <w:rFonts w:hint="eastAsia"/>
              </w:rPr>
              <w:t>避险疏散</w:t>
            </w:r>
          </w:p>
        </w:tc>
        <w:tc>
          <w:tcPr>
            <w:tcW w:w="7522" w:type="dxa"/>
            <w:noWrap w:val="0"/>
            <w:vAlign w:val="center"/>
          </w:tcPr>
          <w:p>
            <w:pPr>
              <w:pStyle w:val="56"/>
              <w:jc w:val="both"/>
            </w:pPr>
            <w:r>
              <w:rPr>
                <w:rFonts w:hint="eastAsia"/>
              </w:rPr>
              <w:t>地震应急避险疏散通道与疏散场地准备情况，设立醒目的标志和路线标识，避开可能发生的危险情况的隐患位置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49</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地震应急避险疏散的科目内容设置的完整性，避震、疏散时各自的岗位、位置、工作内容、操作程序、安全职责</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50</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参演人员对避险关键环节的熟悉度，包括避震原则、躲避环境、躲避姿势等关键环节，疏散路线和避险地点选择的合理性，环境的安全性，动作的规范性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51</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对地震应急疏散关键环节的掌握情况，疏散转移路线和场地选择的科学合理性，疏散转移组织管理时间及有序程度，重点环节的把控程度，引导员设置在易发生危险处，到达疏散场地后，立即清点人数，确保无人遗漏，疏散后对建筑物采取临时封闭措施，防止人员擅自进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52</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疏散路线和避险地点选择的合理性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53</w:t>
            </w:r>
          </w:p>
        </w:tc>
        <w:tc>
          <w:tcPr>
            <w:tcW w:w="426" w:type="dxa"/>
            <w:vMerge w:val="continue"/>
            <w:noWrap w:val="0"/>
            <w:vAlign w:val="center"/>
          </w:tcPr>
          <w:p>
            <w:pPr>
              <w:pStyle w:val="56"/>
            </w:pPr>
          </w:p>
        </w:tc>
        <w:tc>
          <w:tcPr>
            <w:tcW w:w="567" w:type="dxa"/>
            <w:vMerge w:val="restart"/>
            <w:noWrap w:val="0"/>
            <w:vAlign w:val="center"/>
          </w:tcPr>
          <w:p>
            <w:pPr>
              <w:pStyle w:val="56"/>
            </w:pPr>
            <w:r>
              <w:rPr>
                <w:rFonts w:hint="eastAsia"/>
              </w:rPr>
              <w:t>先期处置</w:t>
            </w:r>
          </w:p>
        </w:tc>
        <w:tc>
          <w:tcPr>
            <w:tcW w:w="7522" w:type="dxa"/>
            <w:noWrap w:val="0"/>
            <w:vAlign w:val="center"/>
          </w:tcPr>
          <w:p>
            <w:pPr>
              <w:pStyle w:val="56"/>
              <w:jc w:val="both"/>
            </w:pPr>
            <w:r>
              <w:rPr>
                <w:rFonts w:hint="eastAsia"/>
              </w:rPr>
              <w:t>是否快速高效地组织灾区群众开展自救互救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54</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能否科学合理地制定方案并实施交通管制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55</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能否科学合理地制定方案并实施社会治安维稳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56</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能否科学合理地制定方案并实施基础设施抢修保通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57</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能否科学合理地制定方案并实施重点目标保护</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58</w:t>
            </w:r>
          </w:p>
        </w:tc>
        <w:tc>
          <w:tcPr>
            <w:tcW w:w="426" w:type="dxa"/>
            <w:vMerge w:val="continue"/>
            <w:noWrap w:val="0"/>
            <w:vAlign w:val="center"/>
          </w:tcPr>
          <w:p>
            <w:pPr>
              <w:pStyle w:val="56"/>
            </w:pPr>
          </w:p>
        </w:tc>
        <w:tc>
          <w:tcPr>
            <w:tcW w:w="567" w:type="dxa"/>
            <w:vMerge w:val="restart"/>
            <w:noWrap w:val="0"/>
            <w:vAlign w:val="center"/>
          </w:tcPr>
          <w:p>
            <w:pPr>
              <w:pStyle w:val="56"/>
            </w:pPr>
            <w:r>
              <w:rPr>
                <w:rFonts w:hint="eastAsia"/>
              </w:rPr>
              <w:t>应急通信</w:t>
            </w:r>
          </w:p>
        </w:tc>
        <w:tc>
          <w:tcPr>
            <w:tcW w:w="7522" w:type="dxa"/>
            <w:noWrap w:val="0"/>
            <w:vAlign w:val="center"/>
          </w:tcPr>
          <w:p>
            <w:pPr>
              <w:pStyle w:val="56"/>
              <w:jc w:val="both"/>
            </w:pPr>
            <w:r>
              <w:rPr>
                <w:rFonts w:hint="eastAsia"/>
              </w:rPr>
              <w:t>是否建立现场指挥部多信道多方式通讯保障体系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59</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是否实现各级指挥系统视频会议跨网融合的多方协同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60</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是否建立</w:t>
            </w:r>
            <w:r>
              <w:t>灾区全时程移动保障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61</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是否建立前突人员单兵通信保障手段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62</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是否建立灾情速报通信保障的机制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63</w:t>
            </w:r>
          </w:p>
        </w:tc>
        <w:tc>
          <w:tcPr>
            <w:tcW w:w="426" w:type="dxa"/>
            <w:vMerge w:val="continue"/>
            <w:noWrap w:val="0"/>
            <w:vAlign w:val="center"/>
          </w:tcPr>
          <w:p>
            <w:pPr>
              <w:pStyle w:val="56"/>
            </w:pPr>
          </w:p>
        </w:tc>
        <w:tc>
          <w:tcPr>
            <w:tcW w:w="567" w:type="dxa"/>
            <w:vMerge w:val="restart"/>
            <w:noWrap w:val="0"/>
            <w:vAlign w:val="center"/>
          </w:tcPr>
          <w:p>
            <w:pPr>
              <w:pStyle w:val="56"/>
            </w:pPr>
            <w:r>
              <w:rPr>
                <w:rFonts w:hint="eastAsia"/>
              </w:rPr>
              <w:t>人员搜救</w:t>
            </w:r>
          </w:p>
        </w:tc>
        <w:tc>
          <w:tcPr>
            <w:tcW w:w="7522" w:type="dxa"/>
            <w:noWrap w:val="0"/>
            <w:vAlign w:val="center"/>
          </w:tcPr>
          <w:p>
            <w:pPr>
              <w:pStyle w:val="56"/>
              <w:jc w:val="both"/>
            </w:pPr>
            <w:r>
              <w:rPr>
                <w:rFonts w:hint="eastAsia"/>
              </w:rPr>
              <w:t>是否具备使用独立装备设备和现场后勤支持，同时对两个相隔较远的场地开展作业的能力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64</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能否与其他救援队伍联动作业，形成合力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65</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能否根据前方工作场地信息选择和携行合理的搜索、营救、医疗、保障等相关装备设备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66</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是否在作业现场设立警戒线、设备集结区、紧急集合点等重点区位，并动态追踪队员行动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67</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是否根据实际需求穿戴符合标准的个体防护装备（PPE），设置安全员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68</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是否利用标识标记系统和声音信号动态控制行动程序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69</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是否采用监测和传感装置（电控和（或）非电控）建立建筑结构位移监测系统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70</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是否结合指挥和救援要素，综合采用人工搜索，光学、声学、电磁波学搜索仪器，搜救犬等方式搜寻和定位受困人员位置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7" w:hRule="atLeast"/>
          <w:jc w:val="center"/>
        </w:trPr>
        <w:tc>
          <w:tcPr>
            <w:tcW w:w="557" w:type="dxa"/>
            <w:noWrap w:val="0"/>
            <w:vAlign w:val="center"/>
          </w:tcPr>
          <w:p>
            <w:pPr>
              <w:pStyle w:val="56"/>
            </w:pPr>
            <w:r>
              <w:rPr>
                <w:rFonts w:hint="eastAsia"/>
              </w:rPr>
              <w:t>71</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是否能够使用救援装备从各方向对建筑结构构件进行快速和安全破拆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72</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是否能够使用救援装备对木材、金属、钢筋混凝土等材料构件进行切割</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73</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是否能够使用气动、液压等驱动的救援装备和大型机械对建筑结构构件进行移位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74</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是否能够使用叠木、门窗、垂直、斜向、水平等支撑类型稳定加固受损建筑结构，并对结构进行风险评估及稳定性监控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75</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是否能够搭建垂直升降、水平通过等绳索救援系统，并制定行动计划，全程监控风险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76</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是否能够判断建筑物破坏形式和安全性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77</w:t>
            </w:r>
          </w:p>
        </w:tc>
        <w:tc>
          <w:tcPr>
            <w:tcW w:w="426" w:type="dxa"/>
            <w:vMerge w:val="continue"/>
            <w:noWrap w:val="0"/>
            <w:vAlign w:val="center"/>
          </w:tcPr>
          <w:p>
            <w:pPr>
              <w:pStyle w:val="56"/>
            </w:pPr>
          </w:p>
        </w:tc>
        <w:tc>
          <w:tcPr>
            <w:tcW w:w="567" w:type="dxa"/>
            <w:vMerge w:val="restart"/>
            <w:noWrap w:val="0"/>
            <w:vAlign w:val="center"/>
          </w:tcPr>
          <w:p>
            <w:pPr>
              <w:pStyle w:val="56"/>
            </w:pPr>
            <w:r>
              <w:rPr>
                <w:rFonts w:hint="eastAsia"/>
              </w:rPr>
              <w:t>受灾群众安置</w:t>
            </w:r>
          </w:p>
        </w:tc>
        <w:tc>
          <w:tcPr>
            <w:tcW w:w="7522" w:type="dxa"/>
            <w:noWrap w:val="0"/>
            <w:vAlign w:val="center"/>
          </w:tcPr>
          <w:p>
            <w:pPr>
              <w:pStyle w:val="56"/>
              <w:jc w:val="both"/>
            </w:pPr>
            <w:r>
              <w:rPr>
                <w:rFonts w:hint="eastAsia"/>
              </w:rPr>
              <w:t>安置区搭建选址是否符合《地震应急避难场所 场址及配套设施》安全性要求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78</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安置区是否按需配备帐篷、折叠床、棉被、方便食品、饮用水等必要生活救灾物资，受灾群众基本生活是否得到保障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79</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安置区是否符合安置点搭建标准，具备防雷、防漏电、排水、生活垃圾处理等基础功能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80</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安置区管理是否规范，安置区工作人员、志愿者配置是否合理，分工是否明确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81</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应急、公安、民兵等队伍是否按照职责，做好秩序维护，消防隐患排查等工作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82</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医疗卫生人员是否开展环境消杀、医疗巡诊等工作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83</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是否对有需求的群众开展心理辅导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84</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安置区是否发布最新灾情信息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85</w:t>
            </w:r>
          </w:p>
        </w:tc>
        <w:tc>
          <w:tcPr>
            <w:tcW w:w="426" w:type="dxa"/>
            <w:vMerge w:val="continue"/>
            <w:noWrap w:val="0"/>
            <w:vAlign w:val="center"/>
          </w:tcPr>
          <w:p>
            <w:pPr>
              <w:pStyle w:val="56"/>
            </w:pPr>
          </w:p>
        </w:tc>
        <w:tc>
          <w:tcPr>
            <w:tcW w:w="567" w:type="dxa"/>
            <w:vMerge w:val="restart"/>
            <w:noWrap w:val="0"/>
            <w:vAlign w:val="center"/>
          </w:tcPr>
          <w:p>
            <w:pPr>
              <w:pStyle w:val="56"/>
            </w:pPr>
            <w:r>
              <w:rPr>
                <w:rFonts w:hint="eastAsia"/>
              </w:rPr>
              <w:t>医疗救治和卫生防疫</w:t>
            </w:r>
          </w:p>
        </w:tc>
        <w:tc>
          <w:tcPr>
            <w:tcW w:w="7522" w:type="dxa"/>
            <w:noWrap w:val="0"/>
            <w:vAlign w:val="center"/>
          </w:tcPr>
          <w:p>
            <w:pPr>
              <w:pStyle w:val="56"/>
              <w:jc w:val="both"/>
            </w:pPr>
            <w:r>
              <w:rPr>
                <w:rFonts w:hint="eastAsia"/>
              </w:rPr>
              <w:t>对受伤人员是否采取了有效的先期医疗救护措施，并及时联络了医疗救护机构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86</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评估意识状态、呼吸情况、出血情况评估：a）气道是否通畅；b）循环是否稳定；c）神经功能是否受损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87</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评估是否有其他暴露的伤情：a）评估受伤肢体肌力、关节活动度；b）是否有内脏、颅内出血；c）是否有挤压伤综合征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88</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评估是否有气性坏疽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89</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是否制定突发公共卫生事件预案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90</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评估是否有水源污染；是否有食物污染；是否做好灭蝇、灭蚊、灭鼠措施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91</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灾民中是否有不明原因发热、皮疹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92</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气性坏疽患者是否已做好严格消毒、隔离；救援人员在处理有传染病风险的伤员或尸体时是否做好防护</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93</w:t>
            </w:r>
          </w:p>
        </w:tc>
        <w:tc>
          <w:tcPr>
            <w:tcW w:w="426" w:type="dxa"/>
            <w:vMerge w:val="continue"/>
            <w:noWrap w:val="0"/>
            <w:vAlign w:val="center"/>
          </w:tcPr>
          <w:p>
            <w:pPr>
              <w:pStyle w:val="56"/>
            </w:pPr>
          </w:p>
        </w:tc>
        <w:tc>
          <w:tcPr>
            <w:tcW w:w="567" w:type="dxa"/>
            <w:vMerge w:val="restart"/>
            <w:noWrap w:val="0"/>
            <w:vAlign w:val="center"/>
          </w:tcPr>
          <w:p>
            <w:pPr>
              <w:pStyle w:val="56"/>
            </w:pPr>
            <w:r>
              <w:rPr>
                <w:rFonts w:hint="eastAsia"/>
              </w:rPr>
              <w:t>基础设施抢修</w:t>
            </w:r>
          </w:p>
        </w:tc>
        <w:tc>
          <w:tcPr>
            <w:tcW w:w="7522" w:type="dxa"/>
            <w:noWrap w:val="0"/>
            <w:vAlign w:val="center"/>
          </w:tcPr>
          <w:p>
            <w:pPr>
              <w:pStyle w:val="56"/>
              <w:jc w:val="both"/>
            </w:pPr>
            <w:r>
              <w:rPr>
                <w:rFonts w:hint="eastAsia"/>
              </w:rPr>
              <w:t>是否及时、准确、动态掌握地震对重大基础设施的损坏情况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94</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是否明确各单位的抢修任务分工、完成时限、标准要求等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95</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是否统筹协调相关力量资源，组织实施抢修保通作业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96</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专业抢修人员是否及时到达现场，人员装备是否满足需求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97</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是否按时按要求完成抢修任务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98</w:t>
            </w:r>
          </w:p>
        </w:tc>
        <w:tc>
          <w:tcPr>
            <w:tcW w:w="426" w:type="dxa"/>
            <w:vMerge w:val="continue"/>
            <w:noWrap w:val="0"/>
            <w:vAlign w:val="center"/>
          </w:tcPr>
          <w:p>
            <w:pPr>
              <w:pStyle w:val="56"/>
            </w:pPr>
          </w:p>
        </w:tc>
        <w:tc>
          <w:tcPr>
            <w:tcW w:w="567" w:type="dxa"/>
            <w:vMerge w:val="restart"/>
            <w:noWrap w:val="0"/>
            <w:vAlign w:val="center"/>
          </w:tcPr>
          <w:p>
            <w:pPr>
              <w:pStyle w:val="56"/>
            </w:pPr>
            <w:r>
              <w:rPr>
                <w:rFonts w:hint="eastAsia"/>
              </w:rPr>
              <w:t>次生灾害防范与处置</w:t>
            </w:r>
          </w:p>
        </w:tc>
        <w:tc>
          <w:tcPr>
            <w:tcW w:w="7522" w:type="dxa"/>
            <w:noWrap w:val="0"/>
            <w:vAlign w:val="center"/>
          </w:tcPr>
          <w:p>
            <w:pPr>
              <w:pStyle w:val="56"/>
              <w:jc w:val="both"/>
            </w:pPr>
            <w:r>
              <w:rPr>
                <w:rFonts w:hint="eastAsia"/>
              </w:rPr>
              <w:t>是否了解地震次生灾害的类型，包括自然层面的地震次生灾害（堰塞湖、滑坡、崩塌落石、泥石流、地裂缝、地面塌陷、砂土液化等）和社会层面的地震次生灾害（交通瘫痪、煤气管道破裂形成的火灾、下水道损坏对饮用水源的污染、电讯设施破坏造成的通讯中断，还有瘟疫流行，工厂毒气污染，医院细菌污染或放射性污染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99</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是否了解各类型地震次生灾害的防范措施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100</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是否掌握各类型地震次生灾害的紧急处置行动和方法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101</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能否采取措施阻止地震次生灾害的发生或减小地震次生灾害的影响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102</w:t>
            </w:r>
          </w:p>
        </w:tc>
        <w:tc>
          <w:tcPr>
            <w:tcW w:w="426" w:type="dxa"/>
            <w:vMerge w:val="continue"/>
            <w:noWrap w:val="0"/>
            <w:vAlign w:val="center"/>
          </w:tcPr>
          <w:p>
            <w:pPr>
              <w:pStyle w:val="56"/>
            </w:pPr>
          </w:p>
        </w:tc>
        <w:tc>
          <w:tcPr>
            <w:tcW w:w="567" w:type="dxa"/>
            <w:vMerge w:val="restart"/>
            <w:noWrap w:val="0"/>
            <w:vAlign w:val="center"/>
          </w:tcPr>
          <w:p>
            <w:pPr>
              <w:pStyle w:val="56"/>
            </w:pPr>
            <w:r>
              <w:rPr>
                <w:rFonts w:hint="eastAsia"/>
              </w:rPr>
              <w:t>灾害调查评估</w:t>
            </w:r>
          </w:p>
        </w:tc>
        <w:tc>
          <w:tcPr>
            <w:tcW w:w="7522" w:type="dxa"/>
            <w:noWrap w:val="0"/>
            <w:vAlign w:val="center"/>
          </w:tcPr>
          <w:p>
            <w:pPr>
              <w:pStyle w:val="56"/>
              <w:jc w:val="both"/>
            </w:pPr>
            <w:r>
              <w:rPr>
                <w:rFonts w:hint="eastAsia"/>
              </w:rPr>
              <w:t>是否制定调查计划，包括时间、路线、人员分工等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103</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是否明确外业调查的内容，包括：人的感觉和器物反应调查，房屋、生命线工程、地震地质灾害点震害调查，以及调查点资料收集整理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104</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是否明确内业工作内容，包括现场震害资料整理、房屋基础数据资料收集、人员伤亡统计、烈度图制图等工作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105</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是否依据现有的国家或行业标准进行地震现场震害调查与烈度评定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106</w:t>
            </w:r>
          </w:p>
        </w:tc>
        <w:tc>
          <w:tcPr>
            <w:tcW w:w="426" w:type="dxa"/>
            <w:vMerge w:val="continue"/>
            <w:noWrap w:val="0"/>
            <w:vAlign w:val="center"/>
          </w:tcPr>
          <w:p>
            <w:pPr>
              <w:pStyle w:val="56"/>
            </w:pPr>
          </w:p>
        </w:tc>
        <w:tc>
          <w:tcPr>
            <w:tcW w:w="567" w:type="dxa"/>
            <w:vMerge w:val="restart"/>
            <w:noWrap w:val="0"/>
            <w:vAlign w:val="center"/>
          </w:tcPr>
          <w:p>
            <w:pPr>
              <w:pStyle w:val="56"/>
            </w:pPr>
            <w:r>
              <w:rPr>
                <w:rFonts w:hint="eastAsia"/>
              </w:rPr>
              <w:t>社会治安维护</w:t>
            </w:r>
          </w:p>
        </w:tc>
        <w:tc>
          <w:tcPr>
            <w:tcW w:w="7522" w:type="dxa"/>
            <w:noWrap w:val="0"/>
            <w:vAlign w:val="center"/>
          </w:tcPr>
          <w:p>
            <w:pPr>
              <w:pStyle w:val="56"/>
              <w:jc w:val="both"/>
            </w:pPr>
            <w:r>
              <w:rPr>
                <w:rFonts w:hint="eastAsia"/>
              </w:rPr>
              <w:t>明确治安管控的重点目标和区域范围，以及潜在风险因素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107</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制定社会治安维护方案，加强对重点目标和区域范围的管控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108</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社会治安维护方案的制定是否合理并管控有效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109</w:t>
            </w:r>
          </w:p>
        </w:tc>
        <w:tc>
          <w:tcPr>
            <w:tcW w:w="426" w:type="dxa"/>
            <w:vMerge w:val="continue"/>
            <w:noWrap w:val="0"/>
            <w:vAlign w:val="center"/>
          </w:tcPr>
          <w:p>
            <w:pPr>
              <w:pStyle w:val="56"/>
            </w:pPr>
          </w:p>
        </w:tc>
        <w:tc>
          <w:tcPr>
            <w:tcW w:w="567" w:type="dxa"/>
            <w:vMerge w:val="restart"/>
            <w:noWrap w:val="0"/>
            <w:vAlign w:val="center"/>
          </w:tcPr>
          <w:p>
            <w:pPr>
              <w:pStyle w:val="56"/>
            </w:pPr>
            <w:r>
              <w:rPr>
                <w:rFonts w:hint="eastAsia"/>
              </w:rPr>
              <w:t>新闻发布与宣传</w:t>
            </w:r>
          </w:p>
        </w:tc>
        <w:tc>
          <w:tcPr>
            <w:tcW w:w="7522" w:type="dxa"/>
            <w:noWrap w:val="0"/>
            <w:vAlign w:val="center"/>
          </w:tcPr>
          <w:p>
            <w:pPr>
              <w:pStyle w:val="56"/>
              <w:jc w:val="both"/>
            </w:pPr>
            <w:r>
              <w:rPr>
                <w:rFonts w:hint="eastAsia"/>
              </w:rPr>
              <w:t>是否及时发布权威信息，包括发布新闻稿件、召开现场新闻发布会、组织相关负责人和专家接受采访、现场工作人员接受采访等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110</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是否有新闻发言人团队，包括新闻发言人、新闻工作组、新闻联络员等要素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111</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是否有舆情监测引导，包括新闻与信息发布制度、涉震舆情监测、评估和引导机制等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112</w:t>
            </w:r>
          </w:p>
        </w:tc>
        <w:tc>
          <w:tcPr>
            <w:tcW w:w="426" w:type="dxa"/>
            <w:vMerge w:val="continue"/>
            <w:noWrap w:val="0"/>
            <w:vAlign w:val="center"/>
          </w:tcPr>
          <w:p>
            <w:pPr>
              <w:pStyle w:val="56"/>
            </w:pPr>
          </w:p>
        </w:tc>
        <w:tc>
          <w:tcPr>
            <w:tcW w:w="567" w:type="dxa"/>
            <w:vMerge w:val="restart"/>
            <w:noWrap w:val="0"/>
            <w:vAlign w:val="center"/>
          </w:tcPr>
          <w:p>
            <w:pPr>
              <w:pStyle w:val="56"/>
            </w:pPr>
            <w:r>
              <w:rPr>
                <w:rFonts w:hint="eastAsia"/>
              </w:rPr>
              <w:t>指挥与协调</w:t>
            </w:r>
          </w:p>
        </w:tc>
        <w:tc>
          <w:tcPr>
            <w:tcW w:w="7522" w:type="dxa"/>
            <w:noWrap w:val="0"/>
            <w:vAlign w:val="center"/>
          </w:tcPr>
          <w:p>
            <w:pPr>
              <w:pStyle w:val="56"/>
              <w:jc w:val="both"/>
            </w:pPr>
            <w:r>
              <w:rPr>
                <w:rFonts w:hint="eastAsia"/>
              </w:rPr>
              <w:t>是否建立专门的指挥协调机构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113</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是否配备有指挥协调系统，包括：前方指挥模块、后方指挥模块、通信指挥车、个人终端通信设备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114</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是否设置了合理的指挥协调职能，包括：管理职能、信息/计划职能、安全职能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115</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信息收集与共享是否合理，包括：灾情信息内容是否完善、是否与灾害应对处置相关部门建立共享机制、信息传达是否高效顺畅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116</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指挥协调职能是合理执行，包括：救援力量调度、保障物资调度、受灾群众转移安置、新闻宣传、社会动员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117</w:t>
            </w:r>
          </w:p>
        </w:tc>
        <w:tc>
          <w:tcPr>
            <w:tcW w:w="426" w:type="dxa"/>
            <w:vMerge w:val="continue"/>
            <w:noWrap w:val="0"/>
            <w:vAlign w:val="center"/>
          </w:tcPr>
          <w:p>
            <w:pPr>
              <w:pStyle w:val="56"/>
            </w:pPr>
          </w:p>
        </w:tc>
        <w:tc>
          <w:tcPr>
            <w:tcW w:w="567" w:type="dxa"/>
            <w:vMerge w:val="restart"/>
            <w:noWrap w:val="0"/>
            <w:vAlign w:val="center"/>
          </w:tcPr>
          <w:p>
            <w:pPr>
              <w:pStyle w:val="56"/>
            </w:pPr>
            <w:r>
              <w:rPr>
                <w:rFonts w:hint="eastAsia"/>
              </w:rPr>
              <w:t>演练实施保障</w:t>
            </w:r>
          </w:p>
        </w:tc>
        <w:tc>
          <w:tcPr>
            <w:tcW w:w="7522" w:type="dxa"/>
            <w:noWrap w:val="0"/>
            <w:vAlign w:val="center"/>
          </w:tcPr>
          <w:p>
            <w:pPr>
              <w:pStyle w:val="56"/>
              <w:jc w:val="both"/>
            </w:pPr>
            <w:r>
              <w:rPr>
                <w:rFonts w:hint="eastAsia"/>
              </w:rPr>
              <w:t>演练使用的设施、设备、器材等数量和性能是否满足演练要求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118</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演练场地选择是否符合演练情景设置要求，现场条件是否满足演练要求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119</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演练场地标识是否满足演练的需求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120</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演练中是否有可靠的、符合突发事件应对实际的通信保障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121</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演练背景、进程等解说是否清晰正确，与现场同步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122</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演练全过程是否有音视频、文字、图像等记录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123</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是否为演练人员配备个体防护装备，购买保险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124</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演练活动安全保障条件是否准备到位并满足要求，演练现场和高风险环节是否设置警戒区域、有必要的安保措施和医疗救护人员、装备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125</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对可能影响公众生活、易引起公众误解和恐慌的应急演练是否提前向社会发布公告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126</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演练是否破坏当地生态环境，或经处理后能否解除生态环境的影响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127</w:t>
            </w:r>
          </w:p>
        </w:tc>
        <w:tc>
          <w:tcPr>
            <w:tcW w:w="426" w:type="dxa"/>
            <w:vMerge w:val="restart"/>
            <w:noWrap w:val="0"/>
            <w:vAlign w:val="center"/>
          </w:tcPr>
          <w:p>
            <w:pPr>
              <w:pStyle w:val="56"/>
            </w:pPr>
            <w:r>
              <w:rPr>
                <w:rFonts w:hint="eastAsia"/>
              </w:rPr>
              <w:t xml:space="preserve">演练总结 </w:t>
            </w:r>
          </w:p>
        </w:tc>
        <w:tc>
          <w:tcPr>
            <w:tcW w:w="567" w:type="dxa"/>
            <w:noWrap w:val="0"/>
            <w:vAlign w:val="center"/>
          </w:tcPr>
          <w:p>
            <w:pPr>
              <w:pStyle w:val="56"/>
            </w:pPr>
            <w:r>
              <w:rPr>
                <w:rFonts w:hint="eastAsia"/>
              </w:rPr>
              <w:t>内部总结</w:t>
            </w:r>
          </w:p>
        </w:tc>
        <w:tc>
          <w:tcPr>
            <w:tcW w:w="7522" w:type="dxa"/>
            <w:noWrap w:val="0"/>
            <w:vAlign w:val="center"/>
          </w:tcPr>
          <w:p>
            <w:pPr>
              <w:pStyle w:val="56"/>
              <w:jc w:val="both"/>
            </w:pPr>
            <w:r>
              <w:rPr>
                <w:rFonts w:hint="eastAsia"/>
              </w:rPr>
              <w:t>是否在演练结束后立即组织参与人员复盘总结，讨论演练过程中的感受与不足，演练组织机构和各参演单位总结是否全面到位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128</w:t>
            </w:r>
          </w:p>
        </w:tc>
        <w:tc>
          <w:tcPr>
            <w:tcW w:w="426" w:type="dxa"/>
            <w:vMerge w:val="continue"/>
            <w:noWrap w:val="0"/>
            <w:vAlign w:val="center"/>
          </w:tcPr>
          <w:p>
            <w:pPr>
              <w:pStyle w:val="56"/>
            </w:pPr>
          </w:p>
        </w:tc>
        <w:tc>
          <w:tcPr>
            <w:tcW w:w="567" w:type="dxa"/>
            <w:noWrap w:val="0"/>
            <w:vAlign w:val="center"/>
          </w:tcPr>
          <w:p>
            <w:pPr>
              <w:pStyle w:val="56"/>
            </w:pPr>
            <w:r>
              <w:rPr>
                <w:rFonts w:hint="eastAsia"/>
              </w:rPr>
              <w:t>外部点评</w:t>
            </w:r>
          </w:p>
        </w:tc>
        <w:tc>
          <w:tcPr>
            <w:tcW w:w="7522" w:type="dxa"/>
            <w:noWrap w:val="0"/>
            <w:vAlign w:val="center"/>
          </w:tcPr>
          <w:p>
            <w:pPr>
              <w:pStyle w:val="56"/>
              <w:jc w:val="both"/>
            </w:pPr>
            <w:r>
              <w:rPr>
                <w:rFonts w:hint="eastAsia"/>
              </w:rPr>
              <w:t>是否组织专家对演练进行了讲评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129</w:t>
            </w:r>
          </w:p>
        </w:tc>
        <w:tc>
          <w:tcPr>
            <w:tcW w:w="426" w:type="dxa"/>
            <w:vMerge w:val="continue"/>
            <w:noWrap w:val="0"/>
            <w:vAlign w:val="center"/>
          </w:tcPr>
          <w:p>
            <w:pPr>
              <w:pStyle w:val="56"/>
            </w:pPr>
          </w:p>
        </w:tc>
        <w:tc>
          <w:tcPr>
            <w:tcW w:w="567" w:type="dxa"/>
            <w:vMerge w:val="restart"/>
            <w:noWrap w:val="0"/>
            <w:vAlign w:val="center"/>
          </w:tcPr>
          <w:p>
            <w:pPr>
              <w:pStyle w:val="56"/>
            </w:pPr>
            <w:r>
              <w:rPr>
                <w:rFonts w:hint="eastAsia"/>
              </w:rPr>
              <w:t>综合讨论</w:t>
            </w:r>
          </w:p>
        </w:tc>
        <w:tc>
          <w:tcPr>
            <w:tcW w:w="7522" w:type="dxa"/>
            <w:noWrap w:val="0"/>
            <w:vAlign w:val="center"/>
          </w:tcPr>
          <w:p>
            <w:pPr>
              <w:pStyle w:val="56"/>
              <w:jc w:val="both"/>
            </w:pPr>
            <w:r>
              <w:rPr>
                <w:rFonts w:hint="eastAsia"/>
              </w:rPr>
              <w:t>是否组织专家、参与人员等结合演练情况，讨论提出应急预案的可操作性、协调性等方面存在的不足和修订建议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130</w:t>
            </w: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是否组织专家、参与人员等结合演练情况，讨论提出指挥协调、力量协同、人员搜救、抢通保通、信息共享等协同配合、技术技能方面存在的不足和改进建议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28" w:hRule="atLeast"/>
          <w:jc w:val="center"/>
        </w:trPr>
        <w:tc>
          <w:tcPr>
            <w:tcW w:w="557" w:type="dxa"/>
            <w:vMerge w:val="restart"/>
            <w:noWrap w:val="0"/>
            <w:vAlign w:val="center"/>
          </w:tcPr>
          <w:p>
            <w:pPr>
              <w:pStyle w:val="56"/>
            </w:pPr>
            <w:r>
              <w:rPr>
                <w:rFonts w:hint="eastAsia"/>
              </w:rPr>
              <w:t>131</w:t>
            </w:r>
          </w:p>
        </w:tc>
        <w:tc>
          <w:tcPr>
            <w:tcW w:w="426" w:type="dxa"/>
            <w:vMerge w:val="restart"/>
            <w:noWrap w:val="0"/>
            <w:vAlign w:val="center"/>
          </w:tcPr>
          <w:p>
            <w:pPr>
              <w:pStyle w:val="56"/>
            </w:pPr>
            <w:r>
              <w:rPr>
                <w:rFonts w:hint="eastAsia"/>
              </w:rPr>
              <w:t>工作改进与资料归档</w:t>
            </w:r>
          </w:p>
        </w:tc>
        <w:tc>
          <w:tcPr>
            <w:tcW w:w="567" w:type="dxa"/>
            <w:vMerge w:val="restart"/>
            <w:noWrap w:val="0"/>
            <w:vAlign w:val="center"/>
          </w:tcPr>
          <w:p>
            <w:pPr>
              <w:pStyle w:val="56"/>
            </w:pPr>
            <w:r>
              <w:rPr>
                <w:rFonts w:hint="eastAsia"/>
              </w:rPr>
              <w:t>工作改进</w:t>
            </w:r>
          </w:p>
        </w:tc>
        <w:tc>
          <w:tcPr>
            <w:tcW w:w="7522" w:type="dxa"/>
            <w:noWrap w:val="0"/>
            <w:vAlign w:val="center"/>
          </w:tcPr>
          <w:p>
            <w:pPr>
              <w:pStyle w:val="56"/>
              <w:jc w:val="both"/>
            </w:pPr>
            <w:r>
              <w:rPr>
                <w:rFonts w:hint="eastAsia"/>
              </w:rPr>
              <w:t>是否反馈评估结论并提出改进地震应急工作的相关建议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28" w:hRule="atLeast"/>
          <w:jc w:val="center"/>
        </w:trPr>
        <w:tc>
          <w:tcPr>
            <w:tcW w:w="557" w:type="dxa"/>
            <w:vMerge w:val="continue"/>
            <w:noWrap w:val="0"/>
            <w:vAlign w:val="center"/>
          </w:tcPr>
          <w:p>
            <w:pPr>
              <w:pStyle w:val="56"/>
            </w:pPr>
          </w:p>
        </w:tc>
        <w:tc>
          <w:tcPr>
            <w:tcW w:w="426" w:type="dxa"/>
            <w:vMerge w:val="continue"/>
            <w:noWrap w:val="0"/>
            <w:vAlign w:val="center"/>
          </w:tcPr>
          <w:p>
            <w:pPr>
              <w:pStyle w:val="56"/>
            </w:pPr>
          </w:p>
        </w:tc>
        <w:tc>
          <w:tcPr>
            <w:tcW w:w="567" w:type="dxa"/>
            <w:vMerge w:val="continue"/>
            <w:noWrap w:val="0"/>
            <w:vAlign w:val="center"/>
          </w:tcPr>
          <w:p>
            <w:pPr>
              <w:pStyle w:val="56"/>
            </w:pPr>
          </w:p>
        </w:tc>
        <w:tc>
          <w:tcPr>
            <w:tcW w:w="7522" w:type="dxa"/>
            <w:noWrap w:val="0"/>
            <w:vAlign w:val="center"/>
          </w:tcPr>
          <w:p>
            <w:pPr>
              <w:pStyle w:val="56"/>
              <w:jc w:val="both"/>
            </w:pPr>
            <w:r>
              <w:rPr>
                <w:rFonts w:hint="eastAsia"/>
              </w:rPr>
              <w:t>是否根据评估报告制定整改计划和措施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132</w:t>
            </w:r>
          </w:p>
        </w:tc>
        <w:tc>
          <w:tcPr>
            <w:tcW w:w="426" w:type="dxa"/>
            <w:vMerge w:val="continue"/>
            <w:noWrap w:val="0"/>
            <w:vAlign w:val="center"/>
          </w:tcPr>
          <w:p>
            <w:pPr>
              <w:pStyle w:val="56"/>
            </w:pPr>
          </w:p>
        </w:tc>
        <w:tc>
          <w:tcPr>
            <w:tcW w:w="567" w:type="dxa"/>
            <w:noWrap w:val="0"/>
            <w:vAlign w:val="center"/>
          </w:tcPr>
          <w:p>
            <w:pPr>
              <w:pStyle w:val="56"/>
            </w:pPr>
            <w:r>
              <w:rPr>
                <w:rFonts w:hint="eastAsia"/>
              </w:rPr>
              <w:t>资料归档</w:t>
            </w:r>
          </w:p>
        </w:tc>
        <w:tc>
          <w:tcPr>
            <w:tcW w:w="7522" w:type="dxa"/>
            <w:noWrap w:val="0"/>
            <w:vAlign w:val="center"/>
          </w:tcPr>
          <w:p>
            <w:pPr>
              <w:pStyle w:val="56"/>
              <w:jc w:val="both"/>
            </w:pPr>
            <w:r>
              <w:rPr>
                <w:rFonts w:hint="eastAsia"/>
              </w:rPr>
              <w:t>是否按时对演练的全过程、全要素资料进行归档</w:t>
            </w:r>
          </w:p>
        </w:tc>
      </w:tr>
    </w:tbl>
    <w:p>
      <w:pPr>
        <w:pStyle w:val="29"/>
        <w:ind w:firstLine="420"/>
      </w:pPr>
    </w:p>
    <w:p>
      <w:pPr>
        <w:pStyle w:val="29"/>
        <w:ind w:firstLine="420"/>
      </w:pPr>
    </w:p>
    <w:p>
      <w:pPr>
        <w:pStyle w:val="29"/>
        <w:ind w:firstLine="420"/>
      </w:pPr>
    </w:p>
    <w:p>
      <w:pPr>
        <w:pStyle w:val="29"/>
        <w:ind w:firstLine="420"/>
        <w:sectPr>
          <w:pgSz w:w="11906" w:h="16838"/>
          <w:pgMar w:top="1928" w:right="1134" w:bottom="1134" w:left="1134" w:header="1418" w:footer="850" w:gutter="284"/>
          <w:pgBorders>
            <w:top w:val="none" w:sz="0" w:space="0"/>
            <w:left w:val="none" w:sz="0" w:space="0"/>
            <w:bottom w:val="none" w:sz="0" w:space="0"/>
            <w:right w:val="none" w:sz="0" w:space="0"/>
          </w:pgBorders>
          <w:cols w:space="720" w:num="1"/>
          <w:formProt w:val="0"/>
          <w:docGrid w:linePitch="312" w:charSpace="0"/>
        </w:sectPr>
      </w:pPr>
    </w:p>
    <w:p>
      <w:pPr>
        <w:pStyle w:val="52"/>
        <w:numPr>
          <w:ilvl w:val="0"/>
          <w:numId w:val="15"/>
        </w:numPr>
        <w:ind w:firstLine="0"/>
        <w:rPr>
          <w:rFonts w:hint="eastAsia"/>
          <w:vanish w:val="0"/>
        </w:rPr>
      </w:pPr>
    </w:p>
    <w:p>
      <w:pPr>
        <w:pStyle w:val="53"/>
        <w:numPr>
          <w:ilvl w:val="0"/>
          <w:numId w:val="16"/>
        </w:numPr>
        <w:ind w:firstLine="0"/>
        <w:rPr>
          <w:vanish w:val="0"/>
        </w:rPr>
      </w:pPr>
    </w:p>
    <w:p>
      <w:pPr>
        <w:pStyle w:val="54"/>
        <w:numPr>
          <w:ilvl w:val="0"/>
          <w:numId w:val="17"/>
        </w:numPr>
        <w:spacing w:after="120"/>
      </w:pPr>
      <w:bookmarkStart w:id="205" w:name="_Toc19092"/>
      <w:r>
        <w:br w:type="textWrapping"/>
      </w:r>
      <w:bookmarkStart w:id="206" w:name="_Toc192779346"/>
      <w:bookmarkStart w:id="207" w:name="_Toc193294380"/>
      <w:bookmarkStart w:id="208" w:name="_Toc196661634"/>
      <w:bookmarkStart w:id="209" w:name="_Toc192779129"/>
      <w:bookmarkStart w:id="210" w:name="_Toc192779615"/>
      <w:r>
        <w:rPr>
          <w:rFonts w:hint="eastAsia"/>
        </w:rPr>
        <w:t>（资料性）</w:t>
      </w:r>
      <w:r>
        <w:br w:type="textWrapping"/>
      </w:r>
      <w:r>
        <w:rPr>
          <w:rFonts w:hint="eastAsia"/>
        </w:rPr>
        <w:t>地震应急桌面演练评估要点</w:t>
      </w:r>
      <w:bookmarkEnd w:id="205"/>
      <w:bookmarkEnd w:id="206"/>
      <w:bookmarkEnd w:id="207"/>
      <w:bookmarkEnd w:id="208"/>
      <w:bookmarkEnd w:id="209"/>
      <w:bookmarkEnd w:id="210"/>
    </w:p>
    <w:p>
      <w:pPr>
        <w:pStyle w:val="29"/>
        <w:ind w:firstLine="420"/>
      </w:pPr>
      <w:r>
        <w:rPr>
          <w:rFonts w:hint="eastAsia"/>
        </w:rPr>
        <w:t>地震应急桌面演练评估要点包括演练策划、演练实施、演练总结等方面，可根据演练实际情况，制定评估要点。地震应急桌面演练评估要点参考模板见表</w:t>
      </w:r>
      <w:r>
        <w:t>B</w:t>
      </w:r>
      <w:r>
        <w:rPr>
          <w:rFonts w:hint="eastAsia"/>
        </w:rPr>
        <w:t>.1。</w:t>
      </w:r>
    </w:p>
    <w:p>
      <w:pPr>
        <w:pStyle w:val="55"/>
        <w:numPr>
          <w:ilvl w:val="1"/>
          <w:numId w:val="16"/>
        </w:numPr>
        <w:spacing w:before="120" w:after="120"/>
      </w:pPr>
      <w:r>
        <w:rPr>
          <w:rFonts w:hint="eastAsia"/>
        </w:rPr>
        <w:t>地震应急桌面演练评估要点表</w:t>
      </w:r>
    </w:p>
    <w:tbl>
      <w:tblPr>
        <w:tblStyle w:val="1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557"/>
        <w:gridCol w:w="567"/>
        <w:gridCol w:w="579"/>
        <w:gridCol w:w="752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557" w:type="dxa"/>
            <w:vMerge w:val="restart"/>
            <w:tcBorders>
              <w:top w:val="single" w:color="auto" w:sz="8" w:space="0"/>
            </w:tcBorders>
            <w:noWrap w:val="0"/>
            <w:vAlign w:val="center"/>
          </w:tcPr>
          <w:p>
            <w:pPr>
              <w:pStyle w:val="56"/>
            </w:pPr>
            <w:r>
              <w:rPr>
                <w:rFonts w:hint="eastAsia"/>
              </w:rPr>
              <w:t>序号</w:t>
            </w:r>
          </w:p>
        </w:tc>
        <w:tc>
          <w:tcPr>
            <w:tcW w:w="1146" w:type="dxa"/>
            <w:gridSpan w:val="2"/>
            <w:tcBorders>
              <w:top w:val="single" w:color="auto" w:sz="8" w:space="0"/>
              <w:bottom w:val="single" w:color="auto" w:sz="8" w:space="0"/>
            </w:tcBorders>
            <w:noWrap w:val="0"/>
            <w:vAlign w:val="center"/>
          </w:tcPr>
          <w:p>
            <w:pPr>
              <w:pStyle w:val="56"/>
            </w:pPr>
            <w:r>
              <w:rPr>
                <w:rFonts w:hint="eastAsia"/>
              </w:rPr>
              <w:t>评估指标</w:t>
            </w:r>
          </w:p>
        </w:tc>
        <w:tc>
          <w:tcPr>
            <w:tcW w:w="7523" w:type="dxa"/>
            <w:vMerge w:val="restart"/>
            <w:tcBorders>
              <w:top w:val="single" w:color="auto" w:sz="8" w:space="0"/>
            </w:tcBorders>
            <w:noWrap w:val="0"/>
            <w:vAlign w:val="center"/>
          </w:tcPr>
          <w:p>
            <w:pPr>
              <w:pStyle w:val="56"/>
            </w:pPr>
            <w:r>
              <w:rPr>
                <w:rFonts w:hint="eastAsia"/>
              </w:rPr>
              <w:t>评估内容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557" w:type="dxa"/>
            <w:vMerge w:val="continue"/>
            <w:tcBorders>
              <w:bottom w:val="single" w:color="auto" w:sz="8" w:space="0"/>
            </w:tcBorders>
            <w:noWrap w:val="0"/>
            <w:vAlign w:val="center"/>
          </w:tcPr>
          <w:p>
            <w:pPr>
              <w:pStyle w:val="56"/>
            </w:pPr>
          </w:p>
        </w:tc>
        <w:tc>
          <w:tcPr>
            <w:tcW w:w="567" w:type="dxa"/>
            <w:tcBorders>
              <w:top w:val="single" w:color="auto" w:sz="8" w:space="0"/>
              <w:bottom w:val="single" w:color="auto" w:sz="8" w:space="0"/>
            </w:tcBorders>
            <w:noWrap w:val="0"/>
            <w:vAlign w:val="center"/>
          </w:tcPr>
          <w:p>
            <w:pPr>
              <w:pStyle w:val="56"/>
            </w:pPr>
            <w:r>
              <w:rPr>
                <w:rFonts w:hint="eastAsia"/>
              </w:rPr>
              <w:t>一级</w:t>
            </w:r>
          </w:p>
        </w:tc>
        <w:tc>
          <w:tcPr>
            <w:tcW w:w="579" w:type="dxa"/>
            <w:tcBorders>
              <w:top w:val="single" w:color="auto" w:sz="8" w:space="0"/>
              <w:bottom w:val="single" w:color="auto" w:sz="8" w:space="0"/>
            </w:tcBorders>
            <w:noWrap w:val="0"/>
            <w:vAlign w:val="center"/>
          </w:tcPr>
          <w:p>
            <w:pPr>
              <w:pStyle w:val="56"/>
            </w:pPr>
            <w:r>
              <w:rPr>
                <w:rFonts w:hint="eastAsia"/>
              </w:rPr>
              <w:t>二级</w:t>
            </w:r>
          </w:p>
        </w:tc>
        <w:tc>
          <w:tcPr>
            <w:tcW w:w="7523" w:type="dxa"/>
            <w:vMerge w:val="continue"/>
            <w:tcBorders>
              <w:bottom w:val="single" w:color="auto" w:sz="8" w:space="0"/>
            </w:tcBorders>
            <w:noWrap w:val="0"/>
            <w:vAlign w:val="center"/>
          </w:tcPr>
          <w:p>
            <w:pPr>
              <w:pStyle w:val="56"/>
              <w:jc w:val="both"/>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tcBorders>
              <w:top w:val="single" w:color="auto" w:sz="8" w:space="0"/>
            </w:tcBorders>
            <w:noWrap w:val="0"/>
            <w:vAlign w:val="center"/>
          </w:tcPr>
          <w:p>
            <w:pPr>
              <w:pStyle w:val="56"/>
            </w:pPr>
            <w:r>
              <w:rPr>
                <w:rFonts w:hint="eastAsia"/>
              </w:rPr>
              <w:t>1</w:t>
            </w:r>
          </w:p>
        </w:tc>
        <w:tc>
          <w:tcPr>
            <w:tcW w:w="567" w:type="dxa"/>
            <w:vMerge w:val="restart"/>
            <w:tcBorders>
              <w:top w:val="single" w:color="auto" w:sz="8" w:space="0"/>
            </w:tcBorders>
            <w:noWrap w:val="0"/>
            <w:vAlign w:val="center"/>
          </w:tcPr>
          <w:p>
            <w:pPr>
              <w:pStyle w:val="56"/>
            </w:pPr>
            <w:r>
              <w:rPr>
                <w:rFonts w:hint="eastAsia"/>
              </w:rPr>
              <w:t>演练策划</w:t>
            </w:r>
          </w:p>
        </w:tc>
        <w:tc>
          <w:tcPr>
            <w:tcW w:w="579" w:type="dxa"/>
            <w:vMerge w:val="restart"/>
            <w:tcBorders>
              <w:top w:val="single" w:color="auto" w:sz="8" w:space="0"/>
            </w:tcBorders>
            <w:noWrap w:val="0"/>
            <w:vAlign w:val="center"/>
          </w:tcPr>
          <w:p>
            <w:pPr>
              <w:pStyle w:val="56"/>
            </w:pPr>
            <w:r>
              <w:rPr>
                <w:rFonts w:hint="eastAsia"/>
              </w:rPr>
              <w:t>演练目标</w:t>
            </w:r>
          </w:p>
        </w:tc>
        <w:tc>
          <w:tcPr>
            <w:tcW w:w="7523" w:type="dxa"/>
            <w:tcBorders>
              <w:top w:val="single" w:color="auto" w:sz="8" w:space="0"/>
            </w:tcBorders>
            <w:noWrap w:val="0"/>
            <w:vAlign w:val="center"/>
          </w:tcPr>
          <w:p>
            <w:pPr>
              <w:pStyle w:val="56"/>
              <w:jc w:val="both"/>
            </w:pPr>
            <w:r>
              <w:rPr>
                <w:rFonts w:hint="eastAsia"/>
              </w:rPr>
              <w:t>演练目标简明、合理、具体、可量化和可实现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2</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演练目标设定坚持任务牵引，检验地震应急预案、应急准备工作、应急机制的有效性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3</w:t>
            </w:r>
          </w:p>
        </w:tc>
        <w:tc>
          <w:tcPr>
            <w:tcW w:w="567" w:type="dxa"/>
            <w:vMerge w:val="continue"/>
            <w:noWrap w:val="0"/>
            <w:vAlign w:val="center"/>
          </w:tcPr>
          <w:p>
            <w:pPr>
              <w:pStyle w:val="56"/>
            </w:pPr>
          </w:p>
        </w:tc>
        <w:tc>
          <w:tcPr>
            <w:tcW w:w="579" w:type="dxa"/>
            <w:vMerge w:val="restart"/>
            <w:noWrap w:val="0"/>
            <w:vAlign w:val="center"/>
          </w:tcPr>
          <w:p>
            <w:pPr>
              <w:pStyle w:val="56"/>
            </w:pPr>
            <w:r>
              <w:rPr>
                <w:rFonts w:hint="eastAsia"/>
              </w:rPr>
              <w:t>情景设定</w:t>
            </w:r>
          </w:p>
        </w:tc>
        <w:tc>
          <w:tcPr>
            <w:tcW w:w="7523" w:type="dxa"/>
            <w:noWrap w:val="0"/>
            <w:vAlign w:val="center"/>
          </w:tcPr>
          <w:p>
            <w:pPr>
              <w:pStyle w:val="56"/>
              <w:jc w:val="both"/>
            </w:pPr>
            <w:r>
              <w:rPr>
                <w:rFonts w:hint="eastAsia"/>
              </w:rPr>
              <w:t>演练构想符合地震灾害及可能发生次生灾害的实际情况和特点，充分考虑地震发生的地质构造条件、周边环境等因素，合理设定各事件的发生与持续时间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4</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演练情景设计全面，涵盖地震发生的时间、地点、震级、震源深度等关键要素，详细描述灾情信息、影响范围、发展态势、人员伤亡及财产损失情况等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5</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演练场景构设合理，依据地震灾害发展的逻辑顺序，合理安排不同场景的出现时机和地点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6</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演练科目设置符合地震救援实际，有利于提高参演人员的应对能力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7</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演练流程设定科学，各环节、各科目衔接紧密，明确规定每个环节的开始和结束时间，以及各科目之间的转换条件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8</w:t>
            </w:r>
          </w:p>
        </w:tc>
        <w:tc>
          <w:tcPr>
            <w:tcW w:w="567" w:type="dxa"/>
            <w:vMerge w:val="continue"/>
            <w:noWrap w:val="0"/>
            <w:vAlign w:val="center"/>
          </w:tcPr>
          <w:p>
            <w:pPr>
              <w:pStyle w:val="56"/>
            </w:pPr>
          </w:p>
        </w:tc>
        <w:tc>
          <w:tcPr>
            <w:tcW w:w="579" w:type="dxa"/>
            <w:vMerge w:val="restart"/>
            <w:noWrap w:val="0"/>
            <w:vAlign w:val="center"/>
          </w:tcPr>
          <w:p>
            <w:pPr>
              <w:pStyle w:val="56"/>
            </w:pPr>
            <w:r>
              <w:rPr>
                <w:rFonts w:hint="eastAsia"/>
              </w:rPr>
              <w:t>演练组织</w:t>
            </w:r>
          </w:p>
        </w:tc>
        <w:tc>
          <w:tcPr>
            <w:tcW w:w="7523" w:type="dxa"/>
            <w:noWrap w:val="0"/>
            <w:vAlign w:val="center"/>
          </w:tcPr>
          <w:p>
            <w:pPr>
              <w:pStyle w:val="56"/>
              <w:jc w:val="both"/>
            </w:pPr>
            <w:r>
              <w:rPr>
                <w:rFonts w:hint="eastAsia"/>
              </w:rPr>
              <w:t>成立演练组织实施机构，并将主要相关方纳入，明确各项工作职责、进度安排等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9</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通过召开协调会等方式同步相关信息，确保相关方协同推进、相互支撑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10</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邀请专家顾问进行演练策划，并针对安全保障进行指导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11</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邀请相关媒体进行演练活动宣传报道</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12</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组织参演人员进行理论培训，确保参演人员充分了解演练规则、任务角色等内容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13</w:t>
            </w:r>
          </w:p>
        </w:tc>
        <w:tc>
          <w:tcPr>
            <w:tcW w:w="567" w:type="dxa"/>
            <w:vMerge w:val="continue"/>
            <w:noWrap w:val="0"/>
            <w:vAlign w:val="center"/>
          </w:tcPr>
          <w:p>
            <w:pPr>
              <w:pStyle w:val="56"/>
            </w:pPr>
          </w:p>
        </w:tc>
        <w:tc>
          <w:tcPr>
            <w:tcW w:w="579" w:type="dxa"/>
            <w:vMerge w:val="restart"/>
            <w:noWrap w:val="0"/>
            <w:vAlign w:val="center"/>
          </w:tcPr>
          <w:p>
            <w:pPr>
              <w:pStyle w:val="56"/>
            </w:pPr>
            <w:r>
              <w:rPr>
                <w:rFonts w:hint="eastAsia"/>
              </w:rPr>
              <w:t>演练保障</w:t>
            </w:r>
          </w:p>
        </w:tc>
        <w:tc>
          <w:tcPr>
            <w:tcW w:w="7523" w:type="dxa"/>
            <w:noWrap w:val="0"/>
            <w:vAlign w:val="center"/>
          </w:tcPr>
          <w:p>
            <w:pPr>
              <w:pStyle w:val="56"/>
              <w:jc w:val="both"/>
            </w:pPr>
            <w:r>
              <w:rPr>
                <w:rFonts w:hint="eastAsia"/>
              </w:rPr>
              <w:t>演练保障人员分工明确，职责明晰，合理确定人数，确保满足演练的各项保障需求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14</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演练保障经费充足，使用科学合理、节约高效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15</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演练现场条件满足演练要求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16</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演练物资管理使用科学、规范，满足演练需要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17</w:t>
            </w:r>
          </w:p>
        </w:tc>
        <w:tc>
          <w:tcPr>
            <w:tcW w:w="567" w:type="dxa"/>
            <w:vMerge w:val="continue"/>
            <w:noWrap w:val="0"/>
            <w:vAlign w:val="center"/>
          </w:tcPr>
          <w:p>
            <w:pPr>
              <w:pStyle w:val="56"/>
            </w:pPr>
          </w:p>
        </w:tc>
        <w:tc>
          <w:tcPr>
            <w:tcW w:w="579" w:type="dxa"/>
            <w:vMerge w:val="restart"/>
            <w:noWrap w:val="0"/>
            <w:vAlign w:val="center"/>
          </w:tcPr>
          <w:p>
            <w:pPr>
              <w:pStyle w:val="56"/>
            </w:pPr>
            <w:r>
              <w:rPr>
                <w:rFonts w:hint="eastAsia"/>
              </w:rPr>
              <w:t>演练文件</w:t>
            </w:r>
          </w:p>
        </w:tc>
        <w:tc>
          <w:tcPr>
            <w:tcW w:w="7523" w:type="dxa"/>
            <w:noWrap w:val="0"/>
            <w:vAlign w:val="center"/>
          </w:tcPr>
          <w:p>
            <w:pPr>
              <w:pStyle w:val="56"/>
              <w:jc w:val="both"/>
            </w:pPr>
            <w:r>
              <w:rPr>
                <w:rFonts w:hint="eastAsia"/>
              </w:rPr>
              <w:t>编制工作方案、演练脚本、演练手册等演练文件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18</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演练文件内容通俗易懂、格式规范，各项附件项目齐全、编排顺序合理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19</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演练文件起草完成后，按照相关要求论证或评审，报请有关领导审批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20</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演练文件印发至演练对应的各部门，并组织相关人员进行宣传培训</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21</w:t>
            </w:r>
          </w:p>
        </w:tc>
        <w:tc>
          <w:tcPr>
            <w:tcW w:w="567" w:type="dxa"/>
            <w:vMerge w:val="restart"/>
            <w:noWrap w:val="0"/>
            <w:vAlign w:val="center"/>
          </w:tcPr>
          <w:p>
            <w:pPr>
              <w:pStyle w:val="56"/>
            </w:pPr>
            <w:r>
              <w:rPr>
                <w:rFonts w:hint="eastAsia"/>
              </w:rPr>
              <w:t>演练实施</w:t>
            </w:r>
          </w:p>
        </w:tc>
        <w:tc>
          <w:tcPr>
            <w:tcW w:w="579" w:type="dxa"/>
            <w:vMerge w:val="restart"/>
            <w:noWrap w:val="0"/>
            <w:vAlign w:val="center"/>
          </w:tcPr>
          <w:p>
            <w:pPr>
              <w:pStyle w:val="56"/>
            </w:pPr>
            <w:r>
              <w:rPr>
                <w:rFonts w:hint="eastAsia"/>
              </w:rPr>
              <w:t>推演背景及灾情设定</w:t>
            </w:r>
          </w:p>
        </w:tc>
        <w:tc>
          <w:tcPr>
            <w:tcW w:w="7523" w:type="dxa"/>
            <w:noWrap w:val="0"/>
            <w:vAlign w:val="center"/>
          </w:tcPr>
          <w:p>
            <w:pPr>
              <w:pStyle w:val="56"/>
              <w:jc w:val="both"/>
            </w:pPr>
            <w:r>
              <w:rPr>
                <w:rFonts w:hint="eastAsia"/>
              </w:rPr>
              <w:t>演练背景设计合理性评估，是否与模拟地震的发震构造背景，历史地震灾害情况、自然、人文和社会经济发展相符合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22</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是否设定地震的震级、震源深度、震中位置等参数，以模拟地震发生场景；根据这些参数和地质构造条件，评估地震对周边区域的影响范围，包括可能引发的次生灾害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23</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是否利用GIS、RS、可视化等现代信息技术手段，制作地震影响和灾情分布范围，以便直观地为应急响应提供决策支持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24</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灾情设定科学性评估，设定的灾情与同等震级历史相似地震的匹配性，灾情内容中的人员伤亡数量、建筑物破坏情况、“三断”情况、次生地震灾害的情况是否合理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25</w:t>
            </w:r>
          </w:p>
        </w:tc>
        <w:tc>
          <w:tcPr>
            <w:tcW w:w="567" w:type="dxa"/>
            <w:vMerge w:val="continue"/>
            <w:noWrap w:val="0"/>
            <w:vAlign w:val="center"/>
          </w:tcPr>
          <w:p>
            <w:pPr>
              <w:pStyle w:val="56"/>
            </w:pPr>
          </w:p>
        </w:tc>
        <w:tc>
          <w:tcPr>
            <w:tcW w:w="579" w:type="dxa"/>
            <w:vMerge w:val="restart"/>
            <w:noWrap w:val="0"/>
            <w:vAlign w:val="center"/>
          </w:tcPr>
          <w:p>
            <w:pPr>
              <w:pStyle w:val="56"/>
            </w:pPr>
            <w:r>
              <w:rPr>
                <w:rFonts w:hint="eastAsia"/>
              </w:rPr>
              <w:t>震情报告</w:t>
            </w:r>
          </w:p>
        </w:tc>
        <w:tc>
          <w:tcPr>
            <w:tcW w:w="7523" w:type="dxa"/>
            <w:noWrap w:val="0"/>
            <w:vAlign w:val="center"/>
          </w:tcPr>
          <w:p>
            <w:pPr>
              <w:pStyle w:val="56"/>
              <w:jc w:val="both"/>
            </w:pPr>
            <w:r>
              <w:rPr>
                <w:rFonts w:hint="eastAsia"/>
              </w:rPr>
              <w:t>震情报告的内容是否完备，包括发震时刻、震中坐标、震中参考地名、速报震级和震源深度等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26</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震情报告对地震速报基本参数的表述（格式、小数位数、单位等）是否符合地震速报技术管理规定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27</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震情报告时震中参考地名的命名是否符合地震速报技术管理规定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28</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震情报告（初报+正式报）是否符合地震速报技术管理规定的要求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29</w:t>
            </w:r>
          </w:p>
        </w:tc>
        <w:tc>
          <w:tcPr>
            <w:tcW w:w="567" w:type="dxa"/>
            <w:vMerge w:val="continue"/>
            <w:noWrap w:val="0"/>
            <w:vAlign w:val="center"/>
          </w:tcPr>
          <w:p>
            <w:pPr>
              <w:pStyle w:val="56"/>
            </w:pPr>
          </w:p>
        </w:tc>
        <w:tc>
          <w:tcPr>
            <w:tcW w:w="579" w:type="dxa"/>
            <w:vMerge w:val="restart"/>
            <w:noWrap w:val="0"/>
            <w:vAlign w:val="center"/>
          </w:tcPr>
          <w:p>
            <w:pPr>
              <w:pStyle w:val="56"/>
            </w:pPr>
            <w:r>
              <w:rPr>
                <w:rFonts w:hint="eastAsia"/>
              </w:rPr>
              <w:t>灾情报告</w:t>
            </w:r>
          </w:p>
        </w:tc>
        <w:tc>
          <w:tcPr>
            <w:tcW w:w="7523" w:type="dxa"/>
            <w:noWrap w:val="0"/>
            <w:vAlign w:val="center"/>
          </w:tcPr>
          <w:p>
            <w:pPr>
              <w:pStyle w:val="56"/>
              <w:jc w:val="both"/>
            </w:pPr>
            <w:r>
              <w:rPr>
                <w:rFonts w:hint="eastAsia"/>
              </w:rPr>
              <w:t>灾情信息获取方式是否多样，包括：专用软件或系统、多媒体、无人机遥感、灾害信息员、先遣队等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30</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灾情报告流程是否规范，注意权限和保密性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31</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灾情报告的内容是否完善，包括时间、地点、事件类型、伤亡情况、应急处置措施等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32</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灾情报告对象是否全面</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33</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灾情报告是否具有时效性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34</w:t>
            </w:r>
          </w:p>
        </w:tc>
        <w:tc>
          <w:tcPr>
            <w:tcW w:w="567" w:type="dxa"/>
            <w:vMerge w:val="continue"/>
            <w:noWrap w:val="0"/>
            <w:vAlign w:val="center"/>
          </w:tcPr>
          <w:p>
            <w:pPr>
              <w:pStyle w:val="56"/>
            </w:pPr>
          </w:p>
        </w:tc>
        <w:tc>
          <w:tcPr>
            <w:tcW w:w="579" w:type="dxa"/>
            <w:vMerge w:val="restart"/>
            <w:noWrap w:val="0"/>
            <w:vAlign w:val="center"/>
          </w:tcPr>
          <w:p>
            <w:pPr>
              <w:pStyle w:val="56"/>
            </w:pPr>
            <w:r>
              <w:rPr>
                <w:rFonts w:hint="eastAsia"/>
              </w:rPr>
              <w:t>启动应急预案</w:t>
            </w:r>
          </w:p>
        </w:tc>
        <w:tc>
          <w:tcPr>
            <w:tcW w:w="7523" w:type="dxa"/>
            <w:noWrap w:val="0"/>
            <w:vAlign w:val="center"/>
          </w:tcPr>
          <w:p>
            <w:pPr>
              <w:pStyle w:val="56"/>
              <w:jc w:val="both"/>
            </w:pPr>
            <w:r>
              <w:rPr>
                <w:rFonts w:hint="eastAsia"/>
              </w:rPr>
              <w:t>是否制定与地震灾害对应的应急预案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35</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预案启动后是否按照预案成立指挥机构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36</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成立机构的岗位职责是否明确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37</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预案是否有配套的工作方案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38</w:t>
            </w:r>
          </w:p>
        </w:tc>
        <w:tc>
          <w:tcPr>
            <w:tcW w:w="567" w:type="dxa"/>
            <w:vMerge w:val="continue"/>
            <w:noWrap w:val="0"/>
            <w:vAlign w:val="center"/>
          </w:tcPr>
          <w:p>
            <w:pPr>
              <w:pStyle w:val="56"/>
            </w:pPr>
          </w:p>
        </w:tc>
        <w:tc>
          <w:tcPr>
            <w:tcW w:w="579" w:type="dxa"/>
            <w:vMerge w:val="restart"/>
            <w:noWrap w:val="0"/>
            <w:vAlign w:val="center"/>
          </w:tcPr>
          <w:p>
            <w:pPr>
              <w:pStyle w:val="56"/>
            </w:pPr>
            <w:r>
              <w:rPr>
                <w:rFonts w:hint="eastAsia"/>
              </w:rPr>
              <w:t>成立指挥部</w:t>
            </w:r>
          </w:p>
        </w:tc>
        <w:tc>
          <w:tcPr>
            <w:tcW w:w="7523" w:type="dxa"/>
            <w:noWrap w:val="0"/>
            <w:vAlign w:val="center"/>
          </w:tcPr>
          <w:p>
            <w:pPr>
              <w:pStyle w:val="56"/>
              <w:jc w:val="both"/>
            </w:pPr>
            <w:r>
              <w:rPr>
                <w:rFonts w:hint="eastAsia"/>
              </w:rPr>
              <w:t>演练指挥部组织架构完整性，涵盖演练科目所有参演单位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39</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演练指挥部工作组设置合理性，指挥关系明确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40</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演练指挥部工作组演练到位时效性、任务分工、职责明确清晰，指挥命令能快速传达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41</w:t>
            </w:r>
          </w:p>
        </w:tc>
        <w:tc>
          <w:tcPr>
            <w:tcW w:w="567" w:type="dxa"/>
            <w:vMerge w:val="continue"/>
            <w:noWrap w:val="0"/>
            <w:vAlign w:val="center"/>
          </w:tcPr>
          <w:p>
            <w:pPr>
              <w:pStyle w:val="56"/>
            </w:pPr>
          </w:p>
        </w:tc>
        <w:tc>
          <w:tcPr>
            <w:tcW w:w="579" w:type="dxa"/>
            <w:vMerge w:val="restart"/>
            <w:noWrap w:val="0"/>
            <w:vAlign w:val="center"/>
          </w:tcPr>
          <w:p>
            <w:pPr>
              <w:pStyle w:val="56"/>
            </w:pPr>
            <w:r>
              <w:rPr>
                <w:rFonts w:hint="eastAsia"/>
              </w:rPr>
              <w:t>提出救灾和救援需求</w:t>
            </w:r>
          </w:p>
        </w:tc>
        <w:tc>
          <w:tcPr>
            <w:tcW w:w="7523" w:type="dxa"/>
            <w:noWrap w:val="0"/>
            <w:vAlign w:val="center"/>
          </w:tcPr>
          <w:p>
            <w:pPr>
              <w:pStyle w:val="56"/>
              <w:jc w:val="both"/>
            </w:pPr>
            <w:r>
              <w:rPr>
                <w:rFonts w:hint="eastAsia"/>
              </w:rPr>
              <w:t>是否包含搜救被困和失踪人员的需求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42</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是否包含基本生活需求，如食物、水、帐篷、毛毯、板房等紧急救援物资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43</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是否包含医疗卫生需求，如临时医疗设施、药品、心理治疗、消杀等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44</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是否包含通信、电力、供水供气管道等基础设施等抢修和恢复等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45</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是否包含特殊人群需求，如少数民族特色、女性卫生用品、婴儿护理等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46</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是否包含灾后重建、经济恢复、促进灾区发展的需求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47</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会议时效性是否符合预案及相关规定的要求，如：先期处置会议、抗震救灾工作会议、新闻发布会等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48</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会议内容是否符合应急场景设置，如关注救灾进展、调度救灾力量，采取措施、安置情况等，是否能够及时提出有针对性的事件应急处置措施或制定切实可行的现场处置方案，并形成会议记录、纪要等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49</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针对地震事件情景，是否利用图纸、沙盘、流程图、计算机模拟、视频、远程会议等辅助手段，进行交互式讨论和推演</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50</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是否具备远程会议能力，抗震救灾指挥部与地震现场指挥部、动中通、救援队伍等双方或多方的远程会议是否构建迅速，是否能够实现双向实时通讯，通信稳定、语音图像清晰流畅，是否能够实现数据互传，图传，实时调度指挥，一体化协同，并实现音视频等信息持续更新和共享</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51</w:t>
            </w:r>
          </w:p>
        </w:tc>
        <w:tc>
          <w:tcPr>
            <w:tcW w:w="567" w:type="dxa"/>
            <w:vMerge w:val="continue"/>
            <w:noWrap w:val="0"/>
            <w:vAlign w:val="center"/>
          </w:tcPr>
          <w:p>
            <w:pPr>
              <w:pStyle w:val="56"/>
            </w:pPr>
          </w:p>
        </w:tc>
        <w:tc>
          <w:tcPr>
            <w:tcW w:w="579" w:type="dxa"/>
            <w:vMerge w:val="restart"/>
            <w:noWrap w:val="0"/>
            <w:vAlign w:val="center"/>
          </w:tcPr>
          <w:p>
            <w:pPr>
              <w:pStyle w:val="56"/>
            </w:pPr>
            <w:r>
              <w:rPr>
                <w:rFonts w:hint="eastAsia"/>
              </w:rPr>
              <w:t>汇报抗震救灾工作开展情况</w:t>
            </w:r>
          </w:p>
        </w:tc>
        <w:tc>
          <w:tcPr>
            <w:tcW w:w="7523" w:type="dxa"/>
            <w:noWrap w:val="0"/>
            <w:vAlign w:val="center"/>
          </w:tcPr>
          <w:p>
            <w:pPr>
              <w:pStyle w:val="56"/>
              <w:jc w:val="both"/>
            </w:pPr>
            <w:r>
              <w:rPr>
                <w:rFonts w:hint="eastAsia"/>
              </w:rPr>
              <w:t>汇报内容是否涵盖震后最新灾情，包括地震基本情况、受灾范围、受灾人口、房屋倒塌以及损毁的数量、基础设施破坏情况等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52</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汇报内容是否涵盖应急响应和救援行动方面的内容，如启动的应急响应级别，救援力量的部署、救援行动、救出人数的具体安排等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53</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汇报内容是否涵盖灾民转移安置的内容，如灾民紧急转移安置的人数、地点、方式等，以及基本生活保障情况，食品、饮水、医疗、心理等方面的救助措施等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54</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汇报内容是否涵盖基础设施的抢修和恢复情况，如通信、电力、交通道路、供水供气管道等基础设施的抢修和恢复情况，包括抢修队伍、抢修进度、恢复时间等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55</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汇报内容是否涵盖次生灾害的防范与处置等内容，如次生灾害（滑坡、泥石流、堰塞湖等）的排查情况，包括排查范围、排查结果等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56</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汇报内容是否涵盖抗震救灾资金的使用情况，如政府拨款、社会捐赠等资金的使用情况以及救援物资的管理和分发情况，包括物资登记、分发流程、分发数量等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57</w:t>
            </w:r>
          </w:p>
        </w:tc>
        <w:tc>
          <w:tcPr>
            <w:tcW w:w="567" w:type="dxa"/>
            <w:vMerge w:val="continue"/>
            <w:noWrap w:val="0"/>
            <w:vAlign w:val="center"/>
          </w:tcPr>
          <w:p>
            <w:pPr>
              <w:pStyle w:val="56"/>
            </w:pPr>
          </w:p>
        </w:tc>
        <w:tc>
          <w:tcPr>
            <w:tcW w:w="579" w:type="dxa"/>
            <w:vMerge w:val="restart"/>
            <w:noWrap w:val="0"/>
            <w:vAlign w:val="center"/>
          </w:tcPr>
          <w:p>
            <w:pPr>
              <w:pStyle w:val="56"/>
            </w:pPr>
            <w:r>
              <w:rPr>
                <w:rFonts w:hint="eastAsia"/>
              </w:rPr>
              <w:t>部署抗震救灾工作</w:t>
            </w:r>
          </w:p>
        </w:tc>
        <w:tc>
          <w:tcPr>
            <w:tcW w:w="7523" w:type="dxa"/>
            <w:noWrap w:val="0"/>
            <w:vAlign w:val="center"/>
          </w:tcPr>
          <w:p>
            <w:pPr>
              <w:pStyle w:val="56"/>
              <w:jc w:val="both"/>
            </w:pPr>
            <w:r>
              <w:rPr>
                <w:rFonts w:hint="eastAsia"/>
              </w:rPr>
              <w:t>抗震救灾工作部署完整性评估，全面通盘考虑各项抗震救灾工作的安排，重点工作不缺项，可包括如下工作的部署：人员搜救和伤员救治、转移安置、交通管制、交通抢险保通、通信保通、电力保通、救灾物资调运、次生灾害处置与防范、医疗救护与医用物资调度、危化品处置、疫情防控、重伤员转运、遇难者善后、灾损评估、志愿者管理、接收捐赠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58</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安排部署抗震救灾工作是否形成责任清单，责任清晰明确，到岗到人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59</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救援力量部署评估，是否做到以行政单元为单位，划片包干责任制，不留救援空白区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60</w:t>
            </w:r>
          </w:p>
        </w:tc>
        <w:tc>
          <w:tcPr>
            <w:tcW w:w="567" w:type="dxa"/>
            <w:vMerge w:val="continue"/>
            <w:noWrap w:val="0"/>
            <w:vAlign w:val="center"/>
          </w:tcPr>
          <w:p>
            <w:pPr>
              <w:pStyle w:val="56"/>
            </w:pPr>
          </w:p>
        </w:tc>
        <w:tc>
          <w:tcPr>
            <w:tcW w:w="579" w:type="dxa"/>
            <w:vMerge w:val="restart"/>
            <w:noWrap w:val="0"/>
            <w:vAlign w:val="center"/>
          </w:tcPr>
          <w:p>
            <w:pPr>
              <w:pStyle w:val="56"/>
            </w:pPr>
            <w:r>
              <w:rPr>
                <w:rFonts w:hint="eastAsia"/>
              </w:rPr>
              <w:t>要素协同</w:t>
            </w:r>
          </w:p>
        </w:tc>
        <w:tc>
          <w:tcPr>
            <w:tcW w:w="7523" w:type="dxa"/>
            <w:noWrap w:val="0"/>
            <w:vAlign w:val="center"/>
          </w:tcPr>
          <w:p>
            <w:pPr>
              <w:pStyle w:val="56"/>
              <w:jc w:val="both"/>
            </w:pPr>
            <w:r>
              <w:rPr>
                <w:rFonts w:hint="eastAsia"/>
              </w:rPr>
              <w:t>参演人员是否熟悉各自应急职责，并能够较好配合其他小组或人员开展工作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61</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参与演练各小组负责人是否根据各位成员意见提出本小组的统一决策意见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62</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对决策意见的表达是否思路清晰、内容全面</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63</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做出的各项决策、行动是否符合角色身份要求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64</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是否按照计划完成演练科目内容，实现预定目标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65</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是否考虑了事后监测与恢复重建措施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66</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应急响应结束的判定条件和终止响应程序是否符合要求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67</w:t>
            </w:r>
          </w:p>
        </w:tc>
        <w:tc>
          <w:tcPr>
            <w:tcW w:w="567" w:type="dxa"/>
            <w:vMerge w:val="continue"/>
            <w:noWrap w:val="0"/>
            <w:vAlign w:val="center"/>
          </w:tcPr>
          <w:p>
            <w:pPr>
              <w:pStyle w:val="56"/>
            </w:pPr>
          </w:p>
        </w:tc>
        <w:tc>
          <w:tcPr>
            <w:tcW w:w="579" w:type="dxa"/>
            <w:vMerge w:val="restart"/>
            <w:noWrap w:val="0"/>
            <w:vAlign w:val="center"/>
          </w:tcPr>
          <w:p>
            <w:pPr>
              <w:pStyle w:val="56"/>
            </w:pPr>
            <w:r>
              <w:rPr>
                <w:rFonts w:hint="eastAsia"/>
              </w:rPr>
              <w:t>演练保障</w:t>
            </w:r>
          </w:p>
        </w:tc>
        <w:tc>
          <w:tcPr>
            <w:tcW w:w="7523" w:type="dxa"/>
            <w:noWrap w:val="0"/>
            <w:vAlign w:val="center"/>
          </w:tcPr>
          <w:p>
            <w:pPr>
              <w:pStyle w:val="56"/>
              <w:jc w:val="both"/>
            </w:pPr>
            <w:r>
              <w:rPr>
                <w:rFonts w:hint="eastAsia"/>
              </w:rPr>
              <w:t>演练选择使用的器材是否管理科学、规范，满足演练需要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68</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演练场所部署是否符合演练策划情景设置要求，现场条件满足演练要求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69</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演练中是否有可靠的、符合实际突发事件应对的通信保障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70</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是否制定专门安全保障方案或明确具体可行工作要求，现场是否满足疫情防控要求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71</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演练活动安全保障条件是否准备到位并满足要求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72</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是否有针对应对演练中突发事件的应急预案或采取有效控制措施的方案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73</w:t>
            </w:r>
          </w:p>
        </w:tc>
        <w:tc>
          <w:tcPr>
            <w:tcW w:w="567" w:type="dxa"/>
            <w:vMerge w:val="restart"/>
            <w:noWrap w:val="0"/>
            <w:vAlign w:val="center"/>
          </w:tcPr>
          <w:p>
            <w:pPr>
              <w:pStyle w:val="56"/>
            </w:pPr>
            <w:r>
              <w:rPr>
                <w:rFonts w:hint="eastAsia"/>
              </w:rPr>
              <w:t>演练总结</w:t>
            </w:r>
          </w:p>
        </w:tc>
        <w:tc>
          <w:tcPr>
            <w:tcW w:w="579" w:type="dxa"/>
            <w:noWrap w:val="0"/>
            <w:vAlign w:val="center"/>
          </w:tcPr>
          <w:p>
            <w:pPr>
              <w:pStyle w:val="56"/>
            </w:pPr>
            <w:r>
              <w:rPr>
                <w:rFonts w:hint="eastAsia"/>
              </w:rPr>
              <w:t>内部总结</w:t>
            </w:r>
          </w:p>
        </w:tc>
        <w:tc>
          <w:tcPr>
            <w:tcW w:w="7523" w:type="dxa"/>
            <w:noWrap w:val="0"/>
            <w:vAlign w:val="center"/>
          </w:tcPr>
          <w:p>
            <w:pPr>
              <w:pStyle w:val="56"/>
              <w:jc w:val="both"/>
            </w:pPr>
            <w:r>
              <w:rPr>
                <w:rFonts w:hint="eastAsia"/>
              </w:rPr>
              <w:t>演练组织机构和各参演单位总结是否全面到位；是否在演练结束后立即组织参与人员复盘总结，讨论演练过程中的感受与不足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74</w:t>
            </w:r>
          </w:p>
        </w:tc>
        <w:tc>
          <w:tcPr>
            <w:tcW w:w="567" w:type="dxa"/>
            <w:vMerge w:val="continue"/>
            <w:noWrap w:val="0"/>
            <w:vAlign w:val="center"/>
          </w:tcPr>
          <w:p>
            <w:pPr>
              <w:pStyle w:val="56"/>
            </w:pPr>
          </w:p>
        </w:tc>
        <w:tc>
          <w:tcPr>
            <w:tcW w:w="579" w:type="dxa"/>
            <w:noWrap w:val="0"/>
            <w:vAlign w:val="center"/>
          </w:tcPr>
          <w:p>
            <w:pPr>
              <w:pStyle w:val="56"/>
            </w:pPr>
            <w:r>
              <w:rPr>
                <w:rFonts w:hint="eastAsia"/>
              </w:rPr>
              <w:t>外部点评</w:t>
            </w:r>
          </w:p>
        </w:tc>
        <w:tc>
          <w:tcPr>
            <w:tcW w:w="7523" w:type="dxa"/>
            <w:noWrap w:val="0"/>
            <w:vAlign w:val="center"/>
          </w:tcPr>
          <w:p>
            <w:pPr>
              <w:pStyle w:val="56"/>
              <w:jc w:val="both"/>
            </w:pPr>
            <w:r>
              <w:rPr>
                <w:rFonts w:hint="eastAsia"/>
              </w:rPr>
              <w:t>是否组织专家对演练进行了讲评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75</w:t>
            </w:r>
          </w:p>
        </w:tc>
        <w:tc>
          <w:tcPr>
            <w:tcW w:w="567" w:type="dxa"/>
            <w:vMerge w:val="continue"/>
            <w:noWrap w:val="0"/>
            <w:vAlign w:val="center"/>
          </w:tcPr>
          <w:p>
            <w:pPr>
              <w:pStyle w:val="56"/>
            </w:pPr>
          </w:p>
        </w:tc>
        <w:tc>
          <w:tcPr>
            <w:tcW w:w="579" w:type="dxa"/>
            <w:vMerge w:val="restart"/>
            <w:noWrap w:val="0"/>
            <w:vAlign w:val="center"/>
          </w:tcPr>
          <w:p>
            <w:pPr>
              <w:pStyle w:val="56"/>
            </w:pPr>
            <w:r>
              <w:rPr>
                <w:rFonts w:hint="eastAsia"/>
              </w:rPr>
              <w:t>综合研讨</w:t>
            </w:r>
          </w:p>
        </w:tc>
        <w:tc>
          <w:tcPr>
            <w:tcW w:w="7523" w:type="dxa"/>
            <w:noWrap w:val="0"/>
            <w:vAlign w:val="center"/>
          </w:tcPr>
          <w:p>
            <w:pPr>
              <w:pStyle w:val="56"/>
              <w:jc w:val="both"/>
            </w:pPr>
            <w:r>
              <w:rPr>
                <w:rFonts w:hint="eastAsia"/>
              </w:rPr>
              <w:t>是否在组织专家、参与人员等结合演练情况，讨论提出应急预案的可操作性、协调性等方面存在的不足和修订建议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76</w:t>
            </w: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是否在组织专家、参与人员等结合演练情况，讨论提出指挥协调、力量协同、人员搜救、抢通保通、信息共享等协同配合、技术技能方面存在的不足和改进建议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restart"/>
            <w:noWrap w:val="0"/>
            <w:vAlign w:val="center"/>
          </w:tcPr>
          <w:p>
            <w:pPr>
              <w:pStyle w:val="56"/>
            </w:pPr>
            <w:r>
              <w:rPr>
                <w:rFonts w:hint="eastAsia"/>
              </w:rPr>
              <w:t>77</w:t>
            </w:r>
          </w:p>
        </w:tc>
        <w:tc>
          <w:tcPr>
            <w:tcW w:w="567" w:type="dxa"/>
            <w:vMerge w:val="restart"/>
            <w:noWrap w:val="0"/>
            <w:vAlign w:val="center"/>
          </w:tcPr>
          <w:p>
            <w:pPr>
              <w:pStyle w:val="56"/>
            </w:pPr>
            <w:r>
              <w:rPr>
                <w:rFonts w:hint="eastAsia"/>
              </w:rPr>
              <w:t>工作改进与资料归档</w:t>
            </w:r>
          </w:p>
        </w:tc>
        <w:tc>
          <w:tcPr>
            <w:tcW w:w="579" w:type="dxa"/>
            <w:vMerge w:val="restart"/>
            <w:noWrap w:val="0"/>
            <w:vAlign w:val="center"/>
          </w:tcPr>
          <w:p>
            <w:pPr>
              <w:pStyle w:val="56"/>
            </w:pPr>
            <w:r>
              <w:rPr>
                <w:rFonts w:hint="eastAsia"/>
              </w:rPr>
              <w:t>工作改进</w:t>
            </w:r>
          </w:p>
        </w:tc>
        <w:tc>
          <w:tcPr>
            <w:tcW w:w="7523" w:type="dxa"/>
            <w:noWrap w:val="0"/>
            <w:vAlign w:val="center"/>
          </w:tcPr>
          <w:p>
            <w:pPr>
              <w:pStyle w:val="56"/>
              <w:jc w:val="both"/>
            </w:pPr>
            <w:r>
              <w:rPr>
                <w:rFonts w:hint="eastAsia"/>
              </w:rPr>
              <w:t>是否反馈评估结论及改进地震应急工作的相关建议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pPr>
              <w:pStyle w:val="56"/>
            </w:pPr>
          </w:p>
        </w:tc>
        <w:tc>
          <w:tcPr>
            <w:tcW w:w="567" w:type="dxa"/>
            <w:vMerge w:val="continue"/>
            <w:noWrap w:val="0"/>
            <w:vAlign w:val="center"/>
          </w:tcPr>
          <w:p>
            <w:pPr>
              <w:pStyle w:val="56"/>
            </w:pPr>
          </w:p>
        </w:tc>
        <w:tc>
          <w:tcPr>
            <w:tcW w:w="579" w:type="dxa"/>
            <w:vMerge w:val="continue"/>
            <w:noWrap w:val="0"/>
            <w:vAlign w:val="center"/>
          </w:tcPr>
          <w:p>
            <w:pPr>
              <w:pStyle w:val="56"/>
            </w:pPr>
          </w:p>
        </w:tc>
        <w:tc>
          <w:tcPr>
            <w:tcW w:w="7523" w:type="dxa"/>
            <w:noWrap w:val="0"/>
            <w:vAlign w:val="center"/>
          </w:tcPr>
          <w:p>
            <w:pPr>
              <w:pStyle w:val="56"/>
              <w:jc w:val="both"/>
            </w:pPr>
            <w:r>
              <w:rPr>
                <w:rFonts w:hint="eastAsia"/>
              </w:rPr>
              <w:t>是否根据评估报告制定整改计划和措施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noWrap w:val="0"/>
            <w:vAlign w:val="center"/>
          </w:tcPr>
          <w:p>
            <w:pPr>
              <w:pStyle w:val="56"/>
            </w:pPr>
            <w:r>
              <w:rPr>
                <w:rFonts w:hint="eastAsia"/>
              </w:rPr>
              <w:t>78</w:t>
            </w:r>
          </w:p>
        </w:tc>
        <w:tc>
          <w:tcPr>
            <w:tcW w:w="567" w:type="dxa"/>
            <w:vMerge w:val="continue"/>
            <w:noWrap w:val="0"/>
            <w:vAlign w:val="center"/>
          </w:tcPr>
          <w:p>
            <w:pPr>
              <w:pStyle w:val="56"/>
            </w:pPr>
          </w:p>
        </w:tc>
        <w:tc>
          <w:tcPr>
            <w:tcW w:w="579" w:type="dxa"/>
            <w:noWrap w:val="0"/>
            <w:vAlign w:val="center"/>
          </w:tcPr>
          <w:p>
            <w:pPr>
              <w:pStyle w:val="56"/>
            </w:pPr>
            <w:r>
              <w:rPr>
                <w:rFonts w:hint="eastAsia"/>
              </w:rPr>
              <w:t>资料归档</w:t>
            </w:r>
          </w:p>
        </w:tc>
        <w:tc>
          <w:tcPr>
            <w:tcW w:w="7523" w:type="dxa"/>
            <w:noWrap w:val="0"/>
            <w:vAlign w:val="center"/>
          </w:tcPr>
          <w:p>
            <w:pPr>
              <w:pStyle w:val="56"/>
              <w:jc w:val="both"/>
            </w:pPr>
            <w:r>
              <w:rPr>
                <w:rFonts w:hint="eastAsia"/>
              </w:rPr>
              <w:t>是否按时对演练的全过程、全要素资料进行归档</w:t>
            </w:r>
          </w:p>
        </w:tc>
      </w:tr>
    </w:tbl>
    <w:p>
      <w:pPr>
        <w:pStyle w:val="29"/>
        <w:ind w:firstLine="420"/>
      </w:pPr>
    </w:p>
    <w:p>
      <w:pPr>
        <w:pStyle w:val="29"/>
        <w:ind w:firstLine="420"/>
      </w:pPr>
    </w:p>
    <w:p>
      <w:pPr>
        <w:pStyle w:val="53"/>
        <w:numPr>
          <w:ilvl w:val="0"/>
          <w:numId w:val="16"/>
        </w:numPr>
        <w:ind w:firstLine="0"/>
        <w:rPr>
          <w:vanish w:val="0"/>
        </w:rPr>
      </w:pPr>
    </w:p>
    <w:p>
      <w:pPr>
        <w:pStyle w:val="29"/>
        <w:ind w:firstLine="420"/>
      </w:pPr>
    </w:p>
    <w:p>
      <w:pPr>
        <w:pStyle w:val="29"/>
        <w:ind w:firstLine="420"/>
      </w:pPr>
    </w:p>
    <w:p>
      <w:pPr>
        <w:pStyle w:val="54"/>
        <w:numPr>
          <w:ilvl w:val="0"/>
          <w:numId w:val="17"/>
        </w:numPr>
        <w:spacing w:after="120"/>
        <w:sectPr>
          <w:headerReference r:id="rId12" w:type="default"/>
          <w:footerReference r:id="rId14" w:type="default"/>
          <w:headerReference r:id="rId13" w:type="even"/>
          <w:footerReference r:id="rId15" w:type="even"/>
          <w:pgSz w:w="11906" w:h="16838"/>
          <w:pgMar w:top="1928" w:right="1134" w:bottom="1134" w:left="1134" w:header="1134" w:footer="850" w:gutter="284"/>
          <w:pgBorders>
            <w:top w:val="none" w:sz="0" w:space="0"/>
            <w:left w:val="none" w:sz="0" w:space="0"/>
            <w:bottom w:val="none" w:sz="0" w:space="0"/>
            <w:right w:val="none" w:sz="0" w:space="0"/>
          </w:pgBorders>
          <w:cols w:space="720" w:num="1"/>
          <w:formProt w:val="0"/>
          <w:docGrid w:linePitch="312" w:charSpace="0"/>
        </w:sectPr>
      </w:pPr>
      <w:bookmarkStart w:id="211" w:name="_Toc24773"/>
    </w:p>
    <w:p>
      <w:pPr>
        <w:pStyle w:val="54"/>
        <w:numPr>
          <w:ilvl w:val="0"/>
          <w:numId w:val="17"/>
        </w:numPr>
        <w:spacing w:after="120"/>
      </w:pPr>
      <w:r>
        <w:br w:type="textWrapping"/>
      </w:r>
      <w:bookmarkStart w:id="212" w:name="_Toc196661635"/>
      <w:r>
        <w:rPr>
          <w:rFonts w:hint="eastAsia"/>
        </w:rPr>
        <w:t>（资料性）</w:t>
      </w:r>
      <w:r>
        <w:br w:type="textWrapping"/>
      </w:r>
      <w:r>
        <w:rPr>
          <w:rFonts w:hint="eastAsia"/>
        </w:rPr>
        <w:t>地震应急演练评估记录</w:t>
      </w:r>
      <w:bookmarkEnd w:id="211"/>
      <w:bookmarkEnd w:id="212"/>
    </w:p>
    <w:p>
      <w:pPr>
        <w:pStyle w:val="29"/>
        <w:ind w:firstLine="420"/>
      </w:pPr>
      <w:r>
        <w:rPr>
          <w:rFonts w:hint="eastAsia"/>
        </w:rPr>
        <w:t>地震应急演练评估记录包括演练参与单位（部门）、演练时间、演练地点、演练形式、演练过程具体信息、演练效果、完善措施等方面，可根据演练实际情况，优化记录内容。演练评估记录参考模板见表C.1。</w:t>
      </w:r>
    </w:p>
    <w:p>
      <w:pPr>
        <w:pStyle w:val="55"/>
        <w:numPr>
          <w:ilvl w:val="1"/>
          <w:numId w:val="16"/>
        </w:numPr>
        <w:spacing w:before="120" w:after="120"/>
      </w:pPr>
      <w:r>
        <w:rPr>
          <w:rFonts w:hint="eastAsia"/>
        </w:rPr>
        <w:t xml:space="preserve">  地震应急演练评估记录表</w:t>
      </w:r>
    </w:p>
    <w:p>
      <w:pPr>
        <w:pStyle w:val="29"/>
        <w:ind w:firstLine="630" w:firstLineChars="300"/>
      </w:pPr>
      <w:r>
        <w:rPr>
          <w:rFonts w:hint="eastAsia"/>
        </w:rPr>
        <w:t>演练名称：</w:t>
      </w:r>
    </w:p>
    <w:p>
      <w:pPr>
        <w:pStyle w:val="29"/>
        <w:ind w:firstLine="630" w:firstLineChars="300"/>
      </w:pPr>
      <w:r>
        <w:rPr>
          <w:rFonts w:hint="eastAsia"/>
        </w:rPr>
        <w:t>记录时间：                                               记录人：</w:t>
      </w:r>
    </w:p>
    <w:tbl>
      <w:tblPr>
        <w:tblStyle w:val="25"/>
        <w:tblW w:w="5083"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220"/>
        <w:gridCol w:w="589"/>
        <w:gridCol w:w="822"/>
        <w:gridCol w:w="2776"/>
        <w:gridCol w:w="745"/>
        <w:gridCol w:w="587"/>
        <w:gridCol w:w="95"/>
        <w:gridCol w:w="822"/>
        <w:gridCol w:w="10"/>
        <w:gridCol w:w="703"/>
        <w:gridCol w:w="221"/>
        <w:gridCol w:w="94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7" w:hRule="exact"/>
          <w:jc w:val="center"/>
        </w:trPr>
        <w:tc>
          <w:tcPr>
            <w:tcW w:w="949" w:type="pct"/>
            <w:gridSpan w:val="2"/>
            <w:noWrap w:val="0"/>
            <w:vAlign w:val="center"/>
          </w:tcPr>
          <w:p>
            <w:pPr>
              <w:jc w:val="center"/>
              <w:rPr>
                <w:sz w:val="18"/>
              </w:rPr>
            </w:pPr>
            <w:r>
              <w:rPr>
                <w:rFonts w:hint="eastAsia" w:ascii="Times New Roman" w:hAnsi="Times New Roman"/>
                <w:sz w:val="18"/>
              </w:rPr>
              <w:t>演练参与单位（部门）</w:t>
            </w:r>
          </w:p>
        </w:tc>
        <w:tc>
          <w:tcPr>
            <w:tcW w:w="1887" w:type="pct"/>
            <w:gridSpan w:val="2"/>
            <w:noWrap w:val="0"/>
            <w:vAlign w:val="center"/>
          </w:tcPr>
          <w:p>
            <w:pPr>
              <w:jc w:val="center"/>
              <w:rPr>
                <w:sz w:val="18"/>
              </w:rPr>
            </w:pPr>
          </w:p>
        </w:tc>
        <w:tc>
          <w:tcPr>
            <w:tcW w:w="699" w:type="pct"/>
            <w:gridSpan w:val="2"/>
            <w:noWrap w:val="0"/>
            <w:vAlign w:val="center"/>
          </w:tcPr>
          <w:p>
            <w:pPr>
              <w:jc w:val="center"/>
              <w:rPr>
                <w:sz w:val="18"/>
              </w:rPr>
            </w:pPr>
            <w:r>
              <w:rPr>
                <w:rFonts w:hint="eastAsia" w:ascii="Times New Roman" w:hAnsi="Times New Roman"/>
                <w:sz w:val="18"/>
              </w:rPr>
              <w:t>演练时间</w:t>
            </w:r>
          </w:p>
        </w:tc>
        <w:tc>
          <w:tcPr>
            <w:tcW w:w="486" w:type="pct"/>
            <w:gridSpan w:val="3"/>
            <w:noWrap w:val="0"/>
            <w:vAlign w:val="center"/>
          </w:tcPr>
          <w:p>
            <w:pPr>
              <w:jc w:val="center"/>
              <w:rPr>
                <w:sz w:val="18"/>
              </w:rPr>
            </w:pPr>
          </w:p>
        </w:tc>
        <w:tc>
          <w:tcPr>
            <w:tcW w:w="485" w:type="pct"/>
            <w:gridSpan w:val="2"/>
            <w:noWrap w:val="0"/>
            <w:vAlign w:val="center"/>
          </w:tcPr>
          <w:p>
            <w:pPr>
              <w:jc w:val="center"/>
              <w:rPr>
                <w:sz w:val="18"/>
              </w:rPr>
            </w:pPr>
            <w:r>
              <w:rPr>
                <w:rFonts w:hint="eastAsia" w:ascii="Times New Roman" w:hAnsi="Times New Roman"/>
                <w:sz w:val="18"/>
              </w:rPr>
              <w:t>演练地点</w:t>
            </w:r>
          </w:p>
        </w:tc>
        <w:tc>
          <w:tcPr>
            <w:tcW w:w="491" w:type="pct"/>
            <w:noWrap w:val="0"/>
            <w:vAlign w:val="center"/>
          </w:tcPr>
          <w:p>
            <w:pPr>
              <w:jc w:val="center"/>
              <w:rPr>
                <w:sz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7" w:hRule="exact"/>
          <w:jc w:val="center"/>
        </w:trPr>
        <w:tc>
          <w:tcPr>
            <w:tcW w:w="949" w:type="pct"/>
            <w:gridSpan w:val="2"/>
            <w:noWrap w:val="0"/>
            <w:vAlign w:val="center"/>
          </w:tcPr>
          <w:p>
            <w:pPr>
              <w:jc w:val="center"/>
              <w:rPr>
                <w:sz w:val="18"/>
              </w:rPr>
            </w:pPr>
            <w:r>
              <w:rPr>
                <w:rFonts w:hint="eastAsia" w:ascii="Times New Roman" w:hAnsi="Times New Roman"/>
                <w:sz w:val="18"/>
              </w:rPr>
              <w:t>演练形式</w:t>
            </w:r>
          </w:p>
        </w:tc>
        <w:tc>
          <w:tcPr>
            <w:tcW w:w="4050" w:type="pct"/>
            <w:gridSpan w:val="10"/>
            <w:noWrap w:val="0"/>
            <w:vAlign w:val="center"/>
          </w:tcPr>
          <w:p>
            <w:pPr>
              <w:jc w:val="center"/>
              <w:rPr>
                <w:sz w:val="18"/>
              </w:rPr>
            </w:pPr>
            <w:r>
              <w:rPr>
                <w:rFonts w:hint="eastAsia" w:ascii="宋体" w:hAnsi="宋体" w:cs="宋体"/>
                <w:sz w:val="18"/>
              </w:rPr>
              <w:t>□</w:t>
            </w:r>
            <w:r>
              <w:rPr>
                <w:rFonts w:hint="eastAsia" w:ascii="Times New Roman" w:hAnsi="Times New Roman"/>
                <w:sz w:val="18"/>
              </w:rPr>
              <w:t xml:space="preserve">实战演练     </w:t>
            </w:r>
            <w:r>
              <w:rPr>
                <w:rFonts w:ascii="Times New Roman" w:hAnsi="Times New Roman"/>
                <w:sz w:val="18"/>
              </w:rPr>
              <w:t xml:space="preserve">             </w:t>
            </w:r>
            <w:r>
              <w:rPr>
                <w:rFonts w:hint="eastAsia" w:ascii="宋体" w:hAnsi="宋体" w:cs="宋体"/>
                <w:sz w:val="18"/>
              </w:rPr>
              <w:t>□</w:t>
            </w:r>
            <w:r>
              <w:rPr>
                <w:rFonts w:hint="eastAsia" w:ascii="Times New Roman" w:hAnsi="Times New Roman"/>
                <w:sz w:val="18"/>
              </w:rPr>
              <w:t xml:space="preserve">桌面演练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37" w:hRule="exact"/>
          <w:jc w:val="center"/>
        </w:trPr>
        <w:tc>
          <w:tcPr>
            <w:tcW w:w="640" w:type="pct"/>
            <w:noWrap w:val="0"/>
            <w:vAlign w:val="center"/>
          </w:tcPr>
          <w:p>
            <w:pPr>
              <w:jc w:val="center"/>
              <w:rPr>
                <w:sz w:val="18"/>
              </w:rPr>
            </w:pPr>
            <w:r>
              <w:rPr>
                <w:rFonts w:hint="eastAsia" w:ascii="Times New Roman" w:hAnsi="Times New Roman"/>
                <w:sz w:val="18"/>
              </w:rPr>
              <w:t>演练过程/阶段</w:t>
            </w:r>
          </w:p>
        </w:tc>
        <w:tc>
          <w:tcPr>
            <w:tcW w:w="309" w:type="pct"/>
            <w:noWrap w:val="0"/>
            <w:vAlign w:val="center"/>
          </w:tcPr>
          <w:p>
            <w:pPr>
              <w:jc w:val="center"/>
              <w:rPr>
                <w:sz w:val="18"/>
              </w:rPr>
            </w:pPr>
            <w:r>
              <w:rPr>
                <w:rFonts w:hint="eastAsia" w:ascii="Times New Roman" w:hAnsi="Times New Roman"/>
                <w:sz w:val="18"/>
              </w:rPr>
              <w:t>序号</w:t>
            </w:r>
          </w:p>
        </w:tc>
        <w:tc>
          <w:tcPr>
            <w:tcW w:w="431" w:type="pct"/>
            <w:noWrap w:val="0"/>
            <w:vAlign w:val="center"/>
          </w:tcPr>
          <w:p>
            <w:pPr>
              <w:jc w:val="center"/>
              <w:outlineLvl w:val="0"/>
              <w:rPr>
                <w:rFonts w:hint="eastAsia" w:ascii="宋体" w:hAnsi="宋体" w:cs="宋体"/>
                <w:sz w:val="18"/>
              </w:rPr>
            </w:pPr>
            <w:r>
              <w:rPr>
                <w:rFonts w:hint="eastAsia" w:ascii="宋体" w:hAnsi="宋体" w:cs="宋体"/>
                <w:sz w:val="18"/>
              </w:rPr>
              <w:t>起止时间</w:t>
            </w:r>
          </w:p>
        </w:tc>
        <w:tc>
          <w:tcPr>
            <w:tcW w:w="1456" w:type="pct"/>
            <w:noWrap w:val="0"/>
            <w:vAlign w:val="center"/>
          </w:tcPr>
          <w:p>
            <w:pPr>
              <w:jc w:val="center"/>
              <w:outlineLvl w:val="0"/>
              <w:rPr>
                <w:rFonts w:hint="eastAsia" w:ascii="宋体" w:hAnsi="宋体" w:cs="宋体"/>
                <w:sz w:val="18"/>
              </w:rPr>
            </w:pPr>
            <w:r>
              <w:rPr>
                <w:rFonts w:hint="eastAsia" w:ascii="宋体" w:hAnsi="宋体" w:cs="宋体"/>
                <w:sz w:val="18"/>
              </w:rPr>
              <w:t>演练过程控制记录</w:t>
            </w:r>
          </w:p>
        </w:tc>
        <w:tc>
          <w:tcPr>
            <w:tcW w:w="391" w:type="pct"/>
            <w:noWrap w:val="0"/>
            <w:vAlign w:val="center"/>
          </w:tcPr>
          <w:p>
            <w:pPr>
              <w:jc w:val="center"/>
              <w:rPr>
                <w:rFonts w:hint="eastAsia" w:ascii="宋体" w:hAnsi="宋体" w:cs="宋体"/>
                <w:sz w:val="18"/>
              </w:rPr>
            </w:pPr>
            <w:r>
              <w:rPr>
                <w:rFonts w:ascii="Times New Roman" w:hAnsi="Times New Roman"/>
                <w:sz w:val="18"/>
              </w:rPr>
              <w:t>评估结果</w:t>
            </w:r>
          </w:p>
        </w:tc>
        <w:tc>
          <w:tcPr>
            <w:tcW w:w="358" w:type="pct"/>
            <w:gridSpan w:val="2"/>
            <w:noWrap w:val="0"/>
            <w:vAlign w:val="center"/>
          </w:tcPr>
          <w:p>
            <w:pPr>
              <w:jc w:val="center"/>
              <w:rPr>
                <w:sz w:val="18"/>
              </w:rPr>
            </w:pPr>
            <w:r>
              <w:rPr>
                <w:rFonts w:hint="eastAsia" w:ascii="Times New Roman" w:hAnsi="Times New Roman"/>
                <w:sz w:val="18"/>
              </w:rPr>
              <w:t>亮点</w:t>
            </w:r>
          </w:p>
        </w:tc>
        <w:tc>
          <w:tcPr>
            <w:tcW w:w="431" w:type="pct"/>
            <w:noWrap w:val="0"/>
            <w:vAlign w:val="center"/>
          </w:tcPr>
          <w:p>
            <w:pPr>
              <w:jc w:val="center"/>
              <w:rPr>
                <w:rFonts w:hint="eastAsia" w:ascii="宋体" w:hAnsi="宋体" w:cs="宋体"/>
                <w:sz w:val="18"/>
              </w:rPr>
            </w:pPr>
            <w:r>
              <w:rPr>
                <w:rFonts w:hint="eastAsia" w:ascii="Times New Roman" w:hAnsi="Times New Roman"/>
                <w:sz w:val="18"/>
              </w:rPr>
              <w:t>问题</w:t>
            </w:r>
          </w:p>
        </w:tc>
        <w:tc>
          <w:tcPr>
            <w:tcW w:w="374" w:type="pct"/>
            <w:gridSpan w:val="2"/>
            <w:noWrap w:val="0"/>
            <w:vAlign w:val="center"/>
          </w:tcPr>
          <w:p>
            <w:pPr>
              <w:jc w:val="center"/>
              <w:rPr>
                <w:rFonts w:hint="eastAsia" w:ascii="宋体" w:hAnsi="宋体" w:cs="宋体"/>
                <w:sz w:val="18"/>
              </w:rPr>
            </w:pPr>
            <w:r>
              <w:rPr>
                <w:rFonts w:ascii="Times New Roman" w:hAnsi="Times New Roman"/>
                <w:sz w:val="18"/>
              </w:rPr>
              <w:t>记录人</w:t>
            </w:r>
          </w:p>
        </w:tc>
        <w:tc>
          <w:tcPr>
            <w:tcW w:w="607" w:type="pct"/>
            <w:gridSpan w:val="2"/>
            <w:noWrap w:val="0"/>
            <w:vAlign w:val="center"/>
          </w:tcPr>
          <w:p>
            <w:pPr>
              <w:jc w:val="center"/>
              <w:rPr>
                <w:rFonts w:hint="eastAsia" w:ascii="宋体" w:hAnsi="宋体" w:cs="宋体"/>
                <w:sz w:val="18"/>
              </w:rPr>
            </w:pPr>
            <w:r>
              <w:rPr>
                <w:rFonts w:ascii="Times New Roman" w:hAnsi="Times New Roman"/>
                <w:sz w:val="18"/>
              </w:rPr>
              <w:t>记录手段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691" w:hRule="exact"/>
          <w:jc w:val="center"/>
        </w:trPr>
        <w:tc>
          <w:tcPr>
            <w:tcW w:w="640" w:type="pct"/>
            <w:noWrap w:val="0"/>
            <w:vAlign w:val="center"/>
          </w:tcPr>
          <w:p>
            <w:pPr>
              <w:jc w:val="center"/>
              <w:rPr>
                <w:sz w:val="18"/>
              </w:rPr>
            </w:pPr>
            <w:r>
              <w:rPr>
                <w:rFonts w:hint="eastAsia" w:ascii="宋体" w:hAnsi="宋体" w:cs="宋体"/>
                <w:sz w:val="18"/>
              </w:rPr>
              <w:t>演练组织协调</w:t>
            </w:r>
          </w:p>
        </w:tc>
        <w:tc>
          <w:tcPr>
            <w:tcW w:w="309" w:type="pct"/>
            <w:noWrap w:val="0"/>
            <w:vAlign w:val="center"/>
          </w:tcPr>
          <w:p>
            <w:pPr>
              <w:jc w:val="center"/>
              <w:rPr>
                <w:sz w:val="18"/>
              </w:rPr>
            </w:pPr>
            <w:r>
              <w:rPr>
                <w:rFonts w:hint="eastAsia" w:ascii="Times New Roman" w:hAnsi="Times New Roman"/>
                <w:sz w:val="18"/>
              </w:rPr>
              <w:t>1</w:t>
            </w:r>
          </w:p>
        </w:tc>
        <w:tc>
          <w:tcPr>
            <w:tcW w:w="431" w:type="pct"/>
            <w:noWrap w:val="0"/>
            <w:vAlign w:val="center"/>
          </w:tcPr>
          <w:p>
            <w:pPr>
              <w:outlineLvl w:val="0"/>
              <w:rPr>
                <w:rFonts w:hint="eastAsia" w:ascii="宋体" w:hAnsi="宋体" w:cs="宋体"/>
                <w:sz w:val="18"/>
              </w:rPr>
            </w:pPr>
          </w:p>
        </w:tc>
        <w:tc>
          <w:tcPr>
            <w:tcW w:w="1456" w:type="pct"/>
            <w:noWrap w:val="0"/>
            <w:vAlign w:val="center"/>
          </w:tcPr>
          <w:p>
            <w:pPr>
              <w:outlineLvl w:val="0"/>
              <w:rPr>
                <w:rFonts w:hint="eastAsia" w:ascii="宋体" w:hAnsi="宋体" w:cs="宋体"/>
                <w:sz w:val="18"/>
              </w:rPr>
            </w:pPr>
            <w:r>
              <w:rPr>
                <w:rFonts w:hint="eastAsia" w:ascii="宋体" w:hAnsi="宋体" w:cs="宋体"/>
                <w:sz w:val="18"/>
              </w:rPr>
              <w:t>□是否成立演练组织实施机构，并将主要相关方纳入，明确各项工作职责、进度安排等。</w:t>
            </w:r>
          </w:p>
          <w:p>
            <w:pPr>
              <w:outlineLvl w:val="0"/>
              <w:rPr>
                <w:rFonts w:hint="eastAsia" w:ascii="宋体" w:hAnsi="宋体" w:cs="宋体"/>
                <w:sz w:val="18"/>
              </w:rPr>
            </w:pPr>
            <w:r>
              <w:rPr>
                <w:rFonts w:hint="eastAsia" w:ascii="宋体" w:hAnsi="宋体" w:cs="宋体"/>
                <w:sz w:val="18"/>
              </w:rPr>
              <w:t>□是否通过沟通协调会等方式同步相关信息，确保相关方协同推进、相互支撑。</w:t>
            </w:r>
          </w:p>
          <w:p>
            <w:pPr>
              <w:rPr>
                <w:sz w:val="18"/>
              </w:rPr>
            </w:pPr>
            <w:r>
              <w:rPr>
                <w:rFonts w:hint="eastAsia" w:ascii="宋体" w:hAnsi="宋体" w:cs="宋体"/>
                <w:sz w:val="18"/>
              </w:rPr>
              <w:t>……</w:t>
            </w:r>
          </w:p>
        </w:tc>
        <w:tc>
          <w:tcPr>
            <w:tcW w:w="391" w:type="pct"/>
            <w:noWrap w:val="0"/>
            <w:vAlign w:val="center"/>
          </w:tcPr>
          <w:p>
            <w:pPr>
              <w:ind w:firstLine="180" w:firstLineChars="100"/>
              <w:outlineLvl w:val="0"/>
              <w:rPr>
                <w:rFonts w:hint="eastAsia" w:ascii="宋体" w:hAnsi="宋体" w:cs="宋体"/>
                <w:sz w:val="18"/>
              </w:rPr>
            </w:pPr>
            <w:r>
              <w:rPr>
                <w:rFonts w:hint="eastAsia" w:ascii="宋体" w:hAnsi="宋体" w:cs="宋体"/>
                <w:sz w:val="18"/>
              </w:rPr>
              <w:t>□优秀</w:t>
            </w:r>
          </w:p>
          <w:p>
            <w:pPr>
              <w:ind w:firstLine="180" w:firstLineChars="100"/>
              <w:outlineLvl w:val="0"/>
              <w:rPr>
                <w:rFonts w:hint="eastAsia" w:ascii="宋体" w:hAnsi="宋体" w:cs="宋体"/>
                <w:sz w:val="18"/>
              </w:rPr>
            </w:pPr>
            <w:r>
              <w:rPr>
                <w:rFonts w:hint="eastAsia" w:ascii="宋体" w:hAnsi="宋体" w:cs="宋体"/>
                <w:sz w:val="18"/>
              </w:rPr>
              <w:t>□良好</w:t>
            </w:r>
          </w:p>
          <w:p>
            <w:pPr>
              <w:ind w:firstLine="180" w:firstLineChars="100"/>
              <w:outlineLvl w:val="0"/>
              <w:rPr>
                <w:rFonts w:hint="eastAsia" w:ascii="宋体" w:hAnsi="宋体" w:cs="宋体"/>
                <w:sz w:val="18"/>
              </w:rPr>
            </w:pPr>
            <w:r>
              <w:rPr>
                <w:rFonts w:hint="eastAsia" w:ascii="宋体" w:hAnsi="宋体" w:cs="宋体"/>
                <w:sz w:val="18"/>
              </w:rPr>
              <w:t>□一般</w:t>
            </w:r>
          </w:p>
          <w:p>
            <w:pPr>
              <w:ind w:firstLine="180" w:firstLineChars="100"/>
              <w:outlineLvl w:val="0"/>
              <w:rPr>
                <w:rFonts w:hint="eastAsia" w:ascii="宋体" w:hAnsi="宋体" w:cs="宋体"/>
                <w:sz w:val="18"/>
              </w:rPr>
            </w:pPr>
            <w:r>
              <w:rPr>
                <w:rFonts w:hint="eastAsia" w:ascii="宋体" w:hAnsi="宋体" w:cs="宋体"/>
                <w:sz w:val="18"/>
              </w:rPr>
              <w:t>□差</w:t>
            </w:r>
          </w:p>
          <w:p>
            <w:pPr>
              <w:ind w:firstLine="180" w:firstLineChars="100"/>
              <w:outlineLvl w:val="0"/>
              <w:rPr>
                <w:rFonts w:hint="eastAsia" w:ascii="宋体" w:hAnsi="宋体" w:cs="宋体"/>
                <w:sz w:val="18"/>
              </w:rPr>
            </w:pPr>
            <w:r>
              <w:rPr>
                <w:rFonts w:hint="eastAsia" w:ascii="宋体" w:hAnsi="宋体" w:cs="宋体"/>
                <w:sz w:val="18"/>
              </w:rPr>
              <w:t>□缺项</w:t>
            </w:r>
          </w:p>
        </w:tc>
        <w:tc>
          <w:tcPr>
            <w:tcW w:w="358" w:type="pct"/>
            <w:gridSpan w:val="2"/>
            <w:noWrap w:val="0"/>
            <w:vAlign w:val="center"/>
          </w:tcPr>
          <w:p>
            <w:pPr>
              <w:outlineLvl w:val="0"/>
              <w:rPr>
                <w:rFonts w:hint="eastAsia" w:ascii="宋体" w:hAnsi="宋体" w:cs="宋体"/>
                <w:sz w:val="18"/>
              </w:rPr>
            </w:pPr>
          </w:p>
        </w:tc>
        <w:tc>
          <w:tcPr>
            <w:tcW w:w="431" w:type="pct"/>
            <w:noWrap w:val="0"/>
            <w:vAlign w:val="center"/>
          </w:tcPr>
          <w:p>
            <w:pPr>
              <w:outlineLvl w:val="0"/>
              <w:rPr>
                <w:rFonts w:hint="eastAsia" w:ascii="宋体" w:hAnsi="宋体" w:cs="宋体"/>
                <w:sz w:val="18"/>
              </w:rPr>
            </w:pPr>
          </w:p>
        </w:tc>
        <w:tc>
          <w:tcPr>
            <w:tcW w:w="374" w:type="pct"/>
            <w:gridSpan w:val="2"/>
            <w:noWrap w:val="0"/>
            <w:vAlign w:val="center"/>
          </w:tcPr>
          <w:p>
            <w:pPr>
              <w:outlineLvl w:val="0"/>
              <w:rPr>
                <w:rFonts w:hint="eastAsia" w:ascii="宋体" w:hAnsi="宋体" w:cs="宋体"/>
                <w:sz w:val="18"/>
              </w:rPr>
            </w:pPr>
          </w:p>
        </w:tc>
        <w:tc>
          <w:tcPr>
            <w:tcW w:w="607" w:type="pct"/>
            <w:gridSpan w:val="2"/>
            <w:noWrap w:val="0"/>
            <w:vAlign w:val="center"/>
          </w:tcPr>
          <w:p>
            <w:pPr>
              <w:outlineLvl w:val="0"/>
              <w:rPr>
                <w:rFonts w:hint="eastAsia" w:ascii="宋体" w:hAnsi="宋体" w:cs="宋体"/>
                <w:sz w:val="18"/>
              </w:rPr>
            </w:pPr>
            <w:r>
              <w:rPr>
                <w:rFonts w:hint="eastAsia" w:ascii="宋体" w:hAnsi="宋体" w:cs="宋体"/>
                <w:sz w:val="18"/>
              </w:rPr>
              <w:t>□文字</w:t>
            </w:r>
          </w:p>
          <w:p>
            <w:pPr>
              <w:outlineLvl w:val="0"/>
              <w:rPr>
                <w:rFonts w:hint="eastAsia" w:ascii="宋体" w:hAnsi="宋体" w:cs="宋体"/>
                <w:sz w:val="18"/>
              </w:rPr>
            </w:pPr>
            <w:r>
              <w:rPr>
                <w:rFonts w:hint="eastAsia" w:ascii="宋体" w:hAnsi="宋体" w:cs="宋体"/>
                <w:sz w:val="18"/>
              </w:rPr>
              <w:t>□照片</w:t>
            </w:r>
          </w:p>
          <w:p>
            <w:pPr>
              <w:outlineLvl w:val="0"/>
              <w:rPr>
                <w:rFonts w:hint="eastAsia" w:ascii="宋体" w:hAnsi="宋体" w:cs="宋体"/>
                <w:sz w:val="18"/>
              </w:rPr>
            </w:pPr>
            <w:r>
              <w:rPr>
                <w:rFonts w:hint="eastAsia" w:ascii="宋体" w:hAnsi="宋体" w:cs="宋体"/>
                <w:sz w:val="18"/>
              </w:rPr>
              <w:t>□音像</w:t>
            </w:r>
          </w:p>
          <w:p>
            <w:pPr>
              <w:outlineLvl w:val="0"/>
              <w:rPr>
                <w:rFonts w:hint="eastAsia" w:ascii="宋体" w:hAnsi="宋体" w:cs="宋体"/>
                <w:sz w:val="18"/>
              </w:rPr>
            </w:pPr>
            <w:r>
              <w:rPr>
                <w:rFonts w:hint="eastAsia" w:ascii="宋体" w:hAnsi="宋体" w:cs="宋体"/>
                <w:sz w:val="18"/>
              </w:rPr>
              <w:t>□其他（补充说明具体手段）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676" w:hRule="exact"/>
          <w:jc w:val="center"/>
        </w:trPr>
        <w:tc>
          <w:tcPr>
            <w:tcW w:w="640" w:type="pct"/>
            <w:noWrap w:val="0"/>
            <w:vAlign w:val="center"/>
          </w:tcPr>
          <w:p>
            <w:pPr>
              <w:jc w:val="center"/>
              <w:rPr>
                <w:sz w:val="18"/>
              </w:rPr>
            </w:pPr>
            <w:r>
              <w:rPr>
                <w:rFonts w:hint="eastAsia" w:ascii="Times New Roman" w:hAnsi="Times New Roman"/>
                <w:sz w:val="18"/>
              </w:rPr>
              <w:t>……</w:t>
            </w:r>
          </w:p>
        </w:tc>
        <w:tc>
          <w:tcPr>
            <w:tcW w:w="309" w:type="pct"/>
            <w:noWrap w:val="0"/>
            <w:vAlign w:val="center"/>
          </w:tcPr>
          <w:p>
            <w:pPr>
              <w:jc w:val="center"/>
              <w:rPr>
                <w:sz w:val="18"/>
              </w:rPr>
            </w:pPr>
            <w:r>
              <w:rPr>
                <w:rFonts w:hint="eastAsia" w:ascii="Times New Roman" w:hAnsi="Times New Roman"/>
                <w:sz w:val="18"/>
              </w:rPr>
              <w:t>……</w:t>
            </w:r>
          </w:p>
        </w:tc>
        <w:tc>
          <w:tcPr>
            <w:tcW w:w="431" w:type="pct"/>
            <w:noWrap w:val="0"/>
            <w:vAlign w:val="center"/>
          </w:tcPr>
          <w:p>
            <w:pPr>
              <w:rPr>
                <w:rFonts w:hint="eastAsia" w:ascii="宋体" w:hAnsi="宋体" w:cs="宋体"/>
                <w:sz w:val="18"/>
              </w:rPr>
            </w:pPr>
            <w:r>
              <w:rPr>
                <w:rFonts w:hint="eastAsia" w:ascii="Times New Roman" w:hAnsi="Times New Roman"/>
                <w:sz w:val="18"/>
              </w:rPr>
              <w:t>……</w:t>
            </w:r>
          </w:p>
        </w:tc>
        <w:tc>
          <w:tcPr>
            <w:tcW w:w="1456" w:type="pct"/>
            <w:noWrap w:val="0"/>
            <w:vAlign w:val="center"/>
          </w:tcPr>
          <w:p>
            <w:pPr>
              <w:rPr>
                <w:rFonts w:hint="eastAsia" w:ascii="宋体" w:hAnsi="宋体" w:cs="宋体"/>
                <w:sz w:val="18"/>
              </w:rPr>
            </w:pPr>
            <w:r>
              <w:rPr>
                <w:rFonts w:hint="eastAsia" w:ascii="Times New Roman" w:hAnsi="Times New Roman"/>
                <w:sz w:val="18"/>
              </w:rPr>
              <w:t>……</w:t>
            </w:r>
          </w:p>
        </w:tc>
        <w:tc>
          <w:tcPr>
            <w:tcW w:w="391" w:type="pct"/>
            <w:noWrap w:val="0"/>
            <w:vAlign w:val="center"/>
          </w:tcPr>
          <w:p>
            <w:pPr>
              <w:rPr>
                <w:rFonts w:hint="eastAsia" w:ascii="宋体" w:hAnsi="宋体" w:cs="宋体"/>
                <w:sz w:val="18"/>
              </w:rPr>
            </w:pPr>
            <w:r>
              <w:rPr>
                <w:rFonts w:hint="eastAsia" w:ascii="Times New Roman" w:hAnsi="Times New Roman"/>
                <w:sz w:val="18"/>
              </w:rPr>
              <w:t>……</w:t>
            </w:r>
          </w:p>
        </w:tc>
        <w:tc>
          <w:tcPr>
            <w:tcW w:w="358" w:type="pct"/>
            <w:gridSpan w:val="2"/>
            <w:noWrap w:val="0"/>
            <w:vAlign w:val="center"/>
          </w:tcPr>
          <w:p>
            <w:pPr>
              <w:rPr>
                <w:sz w:val="18"/>
              </w:rPr>
            </w:pPr>
          </w:p>
        </w:tc>
        <w:tc>
          <w:tcPr>
            <w:tcW w:w="431" w:type="pct"/>
            <w:noWrap w:val="0"/>
            <w:vAlign w:val="center"/>
          </w:tcPr>
          <w:p>
            <w:pPr>
              <w:rPr>
                <w:rFonts w:hint="eastAsia" w:ascii="宋体" w:hAnsi="宋体" w:cs="宋体"/>
                <w:sz w:val="18"/>
              </w:rPr>
            </w:pPr>
            <w:r>
              <w:rPr>
                <w:rFonts w:hint="eastAsia" w:ascii="Times New Roman" w:hAnsi="Times New Roman"/>
                <w:sz w:val="18"/>
              </w:rPr>
              <w:t>……</w:t>
            </w:r>
          </w:p>
        </w:tc>
        <w:tc>
          <w:tcPr>
            <w:tcW w:w="374" w:type="pct"/>
            <w:gridSpan w:val="2"/>
            <w:noWrap w:val="0"/>
            <w:vAlign w:val="center"/>
          </w:tcPr>
          <w:p>
            <w:pPr>
              <w:rPr>
                <w:rFonts w:hint="eastAsia" w:ascii="宋体" w:hAnsi="宋体" w:cs="宋体"/>
                <w:sz w:val="18"/>
              </w:rPr>
            </w:pPr>
            <w:r>
              <w:rPr>
                <w:rFonts w:hint="eastAsia" w:ascii="Times New Roman" w:hAnsi="Times New Roman"/>
                <w:sz w:val="18"/>
              </w:rPr>
              <w:t>……</w:t>
            </w:r>
          </w:p>
        </w:tc>
        <w:tc>
          <w:tcPr>
            <w:tcW w:w="607" w:type="pct"/>
            <w:gridSpan w:val="2"/>
            <w:noWrap w:val="0"/>
            <w:vAlign w:val="center"/>
          </w:tcPr>
          <w:p>
            <w:pPr>
              <w:outlineLvl w:val="0"/>
              <w:rPr>
                <w:rFonts w:hint="eastAsia" w:ascii="宋体" w:hAnsi="宋体" w:cs="宋体"/>
                <w:sz w:val="18"/>
              </w:rPr>
            </w:pPr>
            <w:r>
              <w:rPr>
                <w:rFonts w:hint="eastAsia" w:ascii="宋体" w:hAnsi="宋体" w:cs="宋体"/>
                <w:sz w:val="18"/>
              </w:rPr>
              <w:t>□文字</w:t>
            </w:r>
          </w:p>
          <w:p>
            <w:pPr>
              <w:outlineLvl w:val="0"/>
              <w:rPr>
                <w:rFonts w:hint="eastAsia" w:ascii="宋体" w:hAnsi="宋体" w:cs="宋体"/>
                <w:sz w:val="18"/>
              </w:rPr>
            </w:pPr>
            <w:r>
              <w:rPr>
                <w:rFonts w:hint="eastAsia" w:ascii="宋体" w:hAnsi="宋体" w:cs="宋体"/>
                <w:sz w:val="18"/>
              </w:rPr>
              <w:t>□照片</w:t>
            </w:r>
          </w:p>
          <w:p>
            <w:pPr>
              <w:outlineLvl w:val="0"/>
              <w:rPr>
                <w:rFonts w:hint="eastAsia" w:ascii="宋体" w:hAnsi="宋体" w:cs="宋体"/>
                <w:sz w:val="18"/>
              </w:rPr>
            </w:pPr>
            <w:r>
              <w:rPr>
                <w:rFonts w:hint="eastAsia" w:ascii="宋体" w:hAnsi="宋体" w:cs="宋体"/>
                <w:sz w:val="18"/>
              </w:rPr>
              <w:t>□音像</w:t>
            </w:r>
          </w:p>
          <w:p>
            <w:pPr>
              <w:outlineLvl w:val="0"/>
              <w:rPr>
                <w:rFonts w:hint="eastAsia" w:ascii="宋体" w:hAnsi="宋体" w:cs="宋体"/>
                <w:sz w:val="18"/>
              </w:rPr>
            </w:pPr>
            <w:r>
              <w:rPr>
                <w:rFonts w:hint="eastAsia" w:ascii="宋体" w:hAnsi="宋体" w:cs="宋体"/>
                <w:sz w:val="18"/>
              </w:rPr>
              <w:t>□其他（补充说明具体手段）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949" w:type="pct"/>
            <w:gridSpan w:val="2"/>
            <w:noWrap w:val="0"/>
            <w:vAlign w:val="center"/>
          </w:tcPr>
          <w:p>
            <w:pPr>
              <w:jc w:val="center"/>
              <w:rPr>
                <w:sz w:val="18"/>
              </w:rPr>
            </w:pPr>
            <w:r>
              <w:rPr>
                <w:rFonts w:hint="eastAsia" w:ascii="Times New Roman" w:hAnsi="Times New Roman"/>
                <w:sz w:val="18"/>
              </w:rPr>
              <w:t>演练效果</w:t>
            </w:r>
          </w:p>
        </w:tc>
        <w:tc>
          <w:tcPr>
            <w:tcW w:w="4050" w:type="pct"/>
            <w:gridSpan w:val="10"/>
            <w:noWrap w:val="0"/>
            <w:vAlign w:val="center"/>
          </w:tcPr>
          <w:p>
            <w:pPr>
              <w:jc w:val="center"/>
              <w:rPr>
                <w:sz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949" w:type="pct"/>
            <w:gridSpan w:val="2"/>
            <w:noWrap w:val="0"/>
            <w:vAlign w:val="center"/>
          </w:tcPr>
          <w:p>
            <w:pPr>
              <w:jc w:val="center"/>
              <w:rPr>
                <w:sz w:val="18"/>
              </w:rPr>
            </w:pPr>
            <w:r>
              <w:rPr>
                <w:rFonts w:hint="eastAsia" w:ascii="Times New Roman" w:hAnsi="Times New Roman"/>
                <w:sz w:val="18"/>
              </w:rPr>
              <w:t>完善措施建议</w:t>
            </w:r>
          </w:p>
        </w:tc>
        <w:tc>
          <w:tcPr>
            <w:tcW w:w="4050" w:type="pct"/>
            <w:gridSpan w:val="10"/>
            <w:noWrap w:val="0"/>
            <w:vAlign w:val="center"/>
          </w:tcPr>
          <w:p>
            <w:pPr>
              <w:jc w:val="center"/>
              <w:rPr>
                <w:sz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949" w:type="pct"/>
            <w:gridSpan w:val="2"/>
            <w:tcBorders>
              <w:bottom w:val="single" w:color="auto" w:sz="8" w:space="0"/>
            </w:tcBorders>
            <w:noWrap w:val="0"/>
            <w:vAlign w:val="center"/>
          </w:tcPr>
          <w:p>
            <w:pPr>
              <w:jc w:val="center"/>
              <w:rPr>
                <w:sz w:val="18"/>
              </w:rPr>
            </w:pPr>
            <w:r>
              <w:rPr>
                <w:rFonts w:hint="eastAsia" w:ascii="Times New Roman" w:hAnsi="Times New Roman"/>
                <w:sz w:val="18"/>
              </w:rPr>
              <w:t>其他备注</w:t>
            </w:r>
          </w:p>
        </w:tc>
        <w:tc>
          <w:tcPr>
            <w:tcW w:w="4050" w:type="pct"/>
            <w:gridSpan w:val="10"/>
            <w:tcBorders>
              <w:bottom w:val="single" w:color="auto" w:sz="8" w:space="0"/>
            </w:tcBorders>
            <w:noWrap w:val="0"/>
            <w:vAlign w:val="center"/>
          </w:tcPr>
          <w:p>
            <w:pPr>
              <w:jc w:val="center"/>
              <w:rPr>
                <w:sz w:val="18"/>
              </w:rPr>
            </w:pPr>
          </w:p>
        </w:tc>
      </w:tr>
    </w:tbl>
    <w:p>
      <w:pPr>
        <w:pStyle w:val="29"/>
        <w:ind w:firstLine="420"/>
        <w:rPr>
          <w:rFonts w:ascii="黑体" w:eastAsia="黑体"/>
        </w:rPr>
      </w:pPr>
    </w:p>
    <w:p>
      <w:pPr>
        <w:pStyle w:val="54"/>
        <w:numPr>
          <w:ilvl w:val="0"/>
          <w:numId w:val="17"/>
        </w:numPr>
        <w:spacing w:after="120"/>
        <w:sectPr>
          <w:pgSz w:w="11906" w:h="16838"/>
          <w:pgMar w:top="1928" w:right="1134" w:bottom="1134" w:left="1134" w:header="1418" w:footer="850" w:gutter="284"/>
          <w:pgBorders>
            <w:top w:val="none" w:sz="0" w:space="0"/>
            <w:left w:val="none" w:sz="0" w:space="0"/>
            <w:bottom w:val="none" w:sz="0" w:space="0"/>
            <w:right w:val="none" w:sz="0" w:space="0"/>
          </w:pgBorders>
          <w:cols w:space="720" w:num="1"/>
          <w:formProt w:val="0"/>
          <w:docGrid w:linePitch="312" w:charSpace="0"/>
        </w:sectPr>
      </w:pPr>
    </w:p>
    <w:p>
      <w:pPr>
        <w:pStyle w:val="52"/>
        <w:numPr>
          <w:ilvl w:val="0"/>
          <w:numId w:val="15"/>
        </w:numPr>
        <w:ind w:firstLine="0"/>
        <w:rPr>
          <w:rFonts w:hint="eastAsia"/>
          <w:vanish w:val="0"/>
        </w:rPr>
      </w:pPr>
    </w:p>
    <w:p>
      <w:pPr>
        <w:pStyle w:val="53"/>
        <w:numPr>
          <w:ilvl w:val="0"/>
          <w:numId w:val="16"/>
        </w:numPr>
        <w:ind w:firstLine="0"/>
        <w:rPr>
          <w:vanish w:val="0"/>
        </w:rPr>
      </w:pPr>
    </w:p>
    <w:p>
      <w:pPr>
        <w:pStyle w:val="54"/>
        <w:numPr>
          <w:ilvl w:val="0"/>
          <w:numId w:val="17"/>
        </w:numPr>
        <w:spacing w:after="120"/>
      </w:pPr>
      <w:bookmarkStart w:id="213" w:name="_Toc21632"/>
      <w:r>
        <w:br w:type="textWrapping"/>
      </w:r>
      <w:bookmarkStart w:id="214" w:name="_Toc196661636"/>
      <w:r>
        <w:rPr>
          <w:rFonts w:hint="eastAsia"/>
        </w:rPr>
        <w:t>（规范性）</w:t>
      </w:r>
      <w:r>
        <w:br w:type="textWrapping"/>
      </w:r>
      <w:r>
        <w:rPr>
          <w:rFonts w:hint="eastAsia"/>
        </w:rPr>
        <w:t>地震应急演练评估报告格式</w:t>
      </w:r>
      <w:bookmarkEnd w:id="213"/>
      <w:bookmarkEnd w:id="214"/>
    </w:p>
    <w:p>
      <w:pPr>
        <w:pStyle w:val="57"/>
        <w:numPr>
          <w:ilvl w:val="1"/>
          <w:numId w:val="17"/>
        </w:numPr>
        <w:spacing w:before="120" w:after="120"/>
      </w:pPr>
      <w:bookmarkStart w:id="215" w:name="_Toc196661637"/>
      <w:bookmarkStart w:id="216" w:name="_Toc31420"/>
      <w:r>
        <w:rPr>
          <w:rFonts w:hint="eastAsia"/>
        </w:rPr>
        <w:t>基本格式</w:t>
      </w:r>
      <w:bookmarkEnd w:id="215"/>
      <w:bookmarkEnd w:id="216"/>
    </w:p>
    <w:p>
      <w:pPr>
        <w:pStyle w:val="29"/>
        <w:ind w:firstLine="420"/>
      </w:pPr>
      <w:r>
        <w:rPr>
          <w:rFonts w:hint="eastAsia"/>
        </w:rPr>
        <w:t>地震应急演练评估报告的基本内容包括：</w:t>
      </w:r>
    </w:p>
    <w:p>
      <w:pPr>
        <w:pStyle w:val="51"/>
        <w:numPr>
          <w:ilvl w:val="0"/>
          <w:numId w:val="18"/>
        </w:numPr>
      </w:pPr>
      <w:r>
        <w:rPr>
          <w:rFonts w:hint="eastAsia"/>
        </w:rPr>
        <w:t>封面；</w:t>
      </w:r>
    </w:p>
    <w:p>
      <w:pPr>
        <w:pStyle w:val="51"/>
        <w:numPr>
          <w:ilvl w:val="0"/>
          <w:numId w:val="8"/>
        </w:numPr>
      </w:pPr>
      <w:r>
        <w:rPr>
          <w:rFonts w:hint="eastAsia"/>
        </w:rPr>
        <w:t>目录；</w:t>
      </w:r>
    </w:p>
    <w:p>
      <w:pPr>
        <w:pStyle w:val="51"/>
        <w:numPr>
          <w:ilvl w:val="0"/>
          <w:numId w:val="8"/>
        </w:numPr>
      </w:pPr>
      <w:r>
        <w:rPr>
          <w:rFonts w:hint="eastAsia"/>
        </w:rPr>
        <w:t>前言；</w:t>
      </w:r>
    </w:p>
    <w:p>
      <w:pPr>
        <w:pStyle w:val="51"/>
        <w:numPr>
          <w:ilvl w:val="0"/>
          <w:numId w:val="8"/>
        </w:numPr>
      </w:pPr>
      <w:r>
        <w:rPr>
          <w:rFonts w:hint="eastAsia"/>
        </w:rPr>
        <w:t>正文；</w:t>
      </w:r>
    </w:p>
    <w:p>
      <w:pPr>
        <w:pStyle w:val="51"/>
        <w:numPr>
          <w:ilvl w:val="0"/>
          <w:numId w:val="8"/>
        </w:numPr>
      </w:pPr>
      <w:r>
        <w:rPr>
          <w:rFonts w:hint="eastAsia"/>
        </w:rPr>
        <w:t>附件。</w:t>
      </w:r>
    </w:p>
    <w:p>
      <w:pPr>
        <w:pStyle w:val="57"/>
        <w:numPr>
          <w:ilvl w:val="1"/>
          <w:numId w:val="17"/>
        </w:numPr>
        <w:spacing w:before="120" w:after="120"/>
      </w:pPr>
      <w:bookmarkStart w:id="217" w:name="_Toc196661638"/>
      <w:bookmarkStart w:id="218" w:name="_Toc11758"/>
      <w:r>
        <w:rPr>
          <w:rFonts w:hint="eastAsia"/>
        </w:rPr>
        <w:t>规格</w:t>
      </w:r>
      <w:bookmarkEnd w:id="217"/>
      <w:bookmarkEnd w:id="218"/>
    </w:p>
    <w:p>
      <w:pPr>
        <w:pStyle w:val="29"/>
        <w:ind w:firstLine="420"/>
      </w:pPr>
      <w:r>
        <w:rPr>
          <w:rFonts w:hint="eastAsia"/>
        </w:rPr>
        <w:t>评估报告宜采用A4幅面，左侧装订。</w:t>
      </w:r>
    </w:p>
    <w:p>
      <w:pPr>
        <w:pStyle w:val="57"/>
        <w:numPr>
          <w:ilvl w:val="1"/>
          <w:numId w:val="17"/>
        </w:numPr>
        <w:spacing w:before="120" w:after="120"/>
      </w:pPr>
      <w:bookmarkStart w:id="219" w:name="_Toc11670"/>
      <w:bookmarkStart w:id="220" w:name="_Toc196661639"/>
      <w:r>
        <w:rPr>
          <w:rFonts w:hint="eastAsia"/>
        </w:rPr>
        <w:t>封面</w:t>
      </w:r>
      <w:bookmarkEnd w:id="219"/>
      <w:bookmarkEnd w:id="220"/>
    </w:p>
    <w:p>
      <w:pPr>
        <w:pStyle w:val="29"/>
        <w:ind w:firstLine="420"/>
      </w:pPr>
      <w:r>
        <w:rPr>
          <w:rFonts w:hint="eastAsia"/>
        </w:rPr>
        <w:t>封面的内容包括：</w:t>
      </w:r>
    </w:p>
    <w:p>
      <w:pPr>
        <w:pStyle w:val="51"/>
        <w:numPr>
          <w:ilvl w:val="0"/>
          <w:numId w:val="19"/>
        </w:numPr>
      </w:pPr>
      <w:r>
        <w:rPr>
          <w:rFonts w:hint="eastAsia"/>
        </w:rPr>
        <w:t>标题；</w:t>
      </w:r>
    </w:p>
    <w:p>
      <w:pPr>
        <w:pStyle w:val="51"/>
        <w:numPr>
          <w:ilvl w:val="0"/>
          <w:numId w:val="8"/>
        </w:numPr>
      </w:pPr>
      <w:r>
        <w:rPr>
          <w:rFonts w:hint="eastAsia"/>
        </w:rPr>
        <w:t>评估报告完成单位；</w:t>
      </w:r>
    </w:p>
    <w:p>
      <w:pPr>
        <w:pStyle w:val="51"/>
        <w:numPr>
          <w:ilvl w:val="0"/>
          <w:numId w:val="8"/>
        </w:numPr>
      </w:pPr>
      <w:r>
        <w:rPr>
          <w:rFonts w:hint="eastAsia"/>
        </w:rPr>
        <w:t>评估报告完成时间。</w:t>
      </w:r>
    </w:p>
    <w:p>
      <w:pPr>
        <w:pStyle w:val="29"/>
        <w:ind w:firstLine="420"/>
      </w:pPr>
      <w:r>
        <w:rPr>
          <w:rFonts w:hint="eastAsia"/>
        </w:rPr>
        <w:t>标题宜统一写成“‘XX（代号）’演</w:t>
      </w:r>
      <w:r>
        <w:rPr>
          <w:rFonts w:hint="eastAsia"/>
          <w:lang w:eastAsia="zh-CN"/>
        </w:rPr>
        <w:t>练</w:t>
      </w:r>
      <w:r>
        <w:rPr>
          <w:rFonts w:hint="eastAsia"/>
        </w:rPr>
        <w:t>评估情况报告”。</w:t>
      </w:r>
    </w:p>
    <w:p>
      <w:pPr>
        <w:pStyle w:val="57"/>
        <w:numPr>
          <w:ilvl w:val="1"/>
          <w:numId w:val="17"/>
        </w:numPr>
        <w:spacing w:before="120" w:after="120"/>
      </w:pPr>
      <w:bookmarkStart w:id="221" w:name="_Toc196661640"/>
      <w:bookmarkStart w:id="222" w:name="_Toc534"/>
      <w:r>
        <w:rPr>
          <w:rFonts w:hint="eastAsia"/>
        </w:rPr>
        <w:t>目录</w:t>
      </w:r>
      <w:bookmarkEnd w:id="221"/>
      <w:bookmarkEnd w:id="222"/>
    </w:p>
    <w:p>
      <w:pPr>
        <w:pStyle w:val="29"/>
        <w:ind w:firstLine="420"/>
      </w:pPr>
      <w:r>
        <w:rPr>
          <w:rFonts w:hint="eastAsia"/>
        </w:rPr>
        <w:t>报告宜有目录页，置于前言之前。</w:t>
      </w:r>
    </w:p>
    <w:p>
      <w:pPr>
        <w:pStyle w:val="57"/>
        <w:numPr>
          <w:ilvl w:val="1"/>
          <w:numId w:val="17"/>
        </w:numPr>
        <w:spacing w:before="120" w:after="120"/>
      </w:pPr>
      <w:bookmarkStart w:id="223" w:name="_Toc196661641"/>
      <w:bookmarkStart w:id="224" w:name="_Toc27812"/>
      <w:r>
        <w:rPr>
          <w:rFonts w:hint="eastAsia"/>
        </w:rPr>
        <w:t>摘要</w:t>
      </w:r>
      <w:bookmarkEnd w:id="223"/>
      <w:bookmarkEnd w:id="224"/>
    </w:p>
    <w:p>
      <w:pPr>
        <w:pStyle w:val="29"/>
        <w:ind w:firstLine="420"/>
      </w:pPr>
      <w:r>
        <w:rPr>
          <w:rFonts w:hint="eastAsia"/>
        </w:rPr>
        <w:t>摘要包括评估目的、原则、时间等。</w:t>
      </w:r>
    </w:p>
    <w:p>
      <w:pPr>
        <w:pStyle w:val="57"/>
        <w:numPr>
          <w:ilvl w:val="1"/>
          <w:numId w:val="17"/>
        </w:numPr>
        <w:spacing w:before="120" w:after="120"/>
      </w:pPr>
      <w:bookmarkStart w:id="225" w:name="_Toc3453"/>
      <w:bookmarkStart w:id="226" w:name="_Toc196661642"/>
      <w:r>
        <w:rPr>
          <w:rFonts w:hint="eastAsia"/>
        </w:rPr>
        <w:t>正文</w:t>
      </w:r>
      <w:bookmarkEnd w:id="225"/>
      <w:bookmarkEnd w:id="226"/>
    </w:p>
    <w:p>
      <w:pPr>
        <w:pStyle w:val="29"/>
        <w:ind w:firstLine="420"/>
      </w:pPr>
      <w:r>
        <w:rPr>
          <w:rFonts w:hint="eastAsia"/>
        </w:rPr>
        <w:t>评估报告正文编写如下内容：</w:t>
      </w:r>
    </w:p>
    <w:p>
      <w:pPr>
        <w:pStyle w:val="51"/>
        <w:numPr>
          <w:ilvl w:val="0"/>
          <w:numId w:val="20"/>
        </w:numPr>
      </w:pPr>
      <w:r>
        <w:rPr>
          <w:rFonts w:hint="eastAsia"/>
        </w:rPr>
        <w:t>第1部分“评估工作基本情况”，介绍评估单位和人员组成、评估方法、工作安排等内容；</w:t>
      </w:r>
    </w:p>
    <w:p>
      <w:pPr>
        <w:pStyle w:val="51"/>
        <w:numPr>
          <w:ilvl w:val="0"/>
          <w:numId w:val="8"/>
        </w:numPr>
      </w:pPr>
      <w:r>
        <w:rPr>
          <w:rFonts w:hint="eastAsia"/>
        </w:rPr>
        <w:t>第2部分“总体评价”，包括评价演</w:t>
      </w:r>
      <w:r>
        <w:rPr>
          <w:rFonts w:hint="eastAsia"/>
          <w:lang w:eastAsia="zh-CN"/>
        </w:rPr>
        <w:t>练</w:t>
      </w:r>
      <w:r>
        <w:rPr>
          <w:rFonts w:hint="eastAsia"/>
        </w:rPr>
        <w:t>总体特征、目标实现、评估结论等情况；</w:t>
      </w:r>
    </w:p>
    <w:p>
      <w:pPr>
        <w:pStyle w:val="51"/>
        <w:numPr>
          <w:ilvl w:val="0"/>
          <w:numId w:val="8"/>
        </w:numPr>
      </w:pPr>
      <w:r>
        <w:rPr>
          <w:rFonts w:hint="eastAsia"/>
        </w:rPr>
        <w:t>第3部分“主要问题”，分条凝练演</w:t>
      </w:r>
      <w:r>
        <w:rPr>
          <w:rFonts w:hint="eastAsia"/>
          <w:lang w:eastAsia="zh-CN"/>
        </w:rPr>
        <w:t>练</w:t>
      </w:r>
      <w:r>
        <w:rPr>
          <w:rFonts w:hint="eastAsia"/>
        </w:rPr>
        <w:t>问题，并基于评估数据详细论证；</w:t>
      </w:r>
    </w:p>
    <w:p>
      <w:pPr>
        <w:pStyle w:val="51"/>
        <w:numPr>
          <w:ilvl w:val="0"/>
          <w:numId w:val="8"/>
        </w:numPr>
      </w:pPr>
      <w:r>
        <w:rPr>
          <w:rFonts w:hint="eastAsia"/>
        </w:rPr>
        <w:t>第4部分“工作建议”，针对演</w:t>
      </w:r>
      <w:r>
        <w:rPr>
          <w:rFonts w:hint="eastAsia"/>
          <w:lang w:eastAsia="zh-CN"/>
        </w:rPr>
        <w:t>练</w:t>
      </w:r>
      <w:r>
        <w:rPr>
          <w:rFonts w:hint="eastAsia"/>
        </w:rPr>
        <w:t>呈现出的问题，提出相应工作建议，并详细说明。</w:t>
      </w:r>
    </w:p>
    <w:p>
      <w:pPr>
        <w:pStyle w:val="57"/>
        <w:numPr>
          <w:ilvl w:val="1"/>
          <w:numId w:val="17"/>
        </w:numPr>
        <w:spacing w:before="120" w:after="120"/>
      </w:pPr>
      <w:bookmarkStart w:id="227" w:name="_Toc32595"/>
      <w:bookmarkStart w:id="228" w:name="_Toc196661643"/>
      <w:r>
        <w:rPr>
          <w:rFonts w:hint="eastAsia"/>
        </w:rPr>
        <w:t>附件</w:t>
      </w:r>
      <w:bookmarkEnd w:id="227"/>
      <w:bookmarkEnd w:id="228"/>
    </w:p>
    <w:p>
      <w:pPr>
        <w:pStyle w:val="29"/>
        <w:ind w:firstLine="420"/>
      </w:pPr>
      <w:r>
        <w:rPr>
          <w:rFonts w:hint="eastAsia"/>
        </w:rPr>
        <w:t>地震应急演练评估意见表见附表E.1。</w:t>
      </w:r>
    </w:p>
    <w:p>
      <w:pPr>
        <w:pStyle w:val="29"/>
        <w:ind w:firstLine="420"/>
      </w:pPr>
    </w:p>
    <w:p>
      <w:pPr>
        <w:pStyle w:val="29"/>
        <w:ind w:firstLine="420"/>
      </w:pPr>
    </w:p>
    <w:p>
      <w:pPr>
        <w:pStyle w:val="29"/>
        <w:ind w:firstLine="420"/>
      </w:pPr>
    </w:p>
    <w:p>
      <w:pPr>
        <w:pStyle w:val="29"/>
        <w:ind w:firstLine="420"/>
        <w:sectPr>
          <w:headerReference r:id="rId16" w:type="default"/>
          <w:footerReference r:id="rId18" w:type="default"/>
          <w:headerReference r:id="rId17" w:type="even"/>
          <w:footerReference r:id="rId19" w:type="even"/>
          <w:pgSz w:w="11906" w:h="16838"/>
          <w:pgMar w:top="1928" w:right="1134" w:bottom="1134" w:left="1134" w:header="1418" w:footer="850" w:gutter="284"/>
          <w:pgBorders>
            <w:top w:val="none" w:sz="0" w:space="0"/>
            <w:left w:val="none" w:sz="0" w:space="0"/>
            <w:bottom w:val="none" w:sz="0" w:space="0"/>
            <w:right w:val="none" w:sz="0" w:space="0"/>
          </w:pgBorders>
          <w:cols w:space="720" w:num="1"/>
          <w:formProt w:val="0"/>
          <w:docGrid w:linePitch="312" w:charSpace="0"/>
        </w:sectPr>
      </w:pPr>
    </w:p>
    <w:p>
      <w:pPr>
        <w:pStyle w:val="52"/>
        <w:numPr>
          <w:ilvl w:val="0"/>
          <w:numId w:val="15"/>
        </w:numPr>
        <w:ind w:firstLine="0"/>
        <w:rPr>
          <w:rFonts w:hint="eastAsia"/>
          <w:vanish w:val="0"/>
        </w:rPr>
      </w:pPr>
    </w:p>
    <w:p>
      <w:pPr>
        <w:pStyle w:val="53"/>
        <w:numPr>
          <w:ilvl w:val="0"/>
          <w:numId w:val="16"/>
        </w:numPr>
        <w:ind w:firstLine="0"/>
        <w:rPr>
          <w:vanish w:val="0"/>
        </w:rPr>
      </w:pPr>
    </w:p>
    <w:p>
      <w:pPr>
        <w:pStyle w:val="54"/>
        <w:numPr>
          <w:ilvl w:val="0"/>
          <w:numId w:val="17"/>
        </w:numPr>
        <w:spacing w:after="120"/>
      </w:pPr>
      <w:bookmarkStart w:id="229" w:name="_Toc2780"/>
      <w:r>
        <w:br w:type="textWrapping"/>
      </w:r>
      <w:bookmarkStart w:id="230" w:name="_Toc196661644"/>
      <w:r>
        <w:rPr>
          <w:rFonts w:hint="eastAsia"/>
        </w:rPr>
        <w:t>（规范性）</w:t>
      </w:r>
      <w:r>
        <w:br w:type="textWrapping"/>
      </w:r>
      <w:r>
        <w:rPr>
          <w:rFonts w:hint="eastAsia"/>
        </w:rPr>
        <w:t>地震应急演练评估意见</w:t>
      </w:r>
      <w:bookmarkEnd w:id="229"/>
      <w:bookmarkEnd w:id="230"/>
    </w:p>
    <w:p>
      <w:pPr>
        <w:pStyle w:val="29"/>
        <w:ind w:firstLine="420"/>
      </w:pPr>
      <w:r>
        <w:rPr>
          <w:rFonts w:hint="eastAsia"/>
        </w:rPr>
        <w:t>地震应急演练评估意见包括应急处置、队伍能力建设、现场科目的评估内容、亮点和问题等方面，可根据演练实际情况，优化评估意见内容。地震应急演练评估意见参考模板见表</w:t>
      </w:r>
      <w:r>
        <w:t>E</w:t>
      </w:r>
      <w:r>
        <w:rPr>
          <w:rFonts w:hint="eastAsia"/>
        </w:rPr>
        <w:t>.1。</w:t>
      </w:r>
    </w:p>
    <w:p>
      <w:pPr>
        <w:pStyle w:val="55"/>
        <w:numPr>
          <w:ilvl w:val="1"/>
          <w:numId w:val="16"/>
        </w:numPr>
        <w:spacing w:before="120" w:after="120"/>
      </w:pPr>
      <w:r>
        <w:rPr>
          <w:rFonts w:hint="eastAsia"/>
        </w:rPr>
        <w:t>地震应急演练评估意见表</w:t>
      </w:r>
    </w:p>
    <w:tbl>
      <w:tblPr>
        <w:tblStyle w:val="1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266"/>
        <w:gridCol w:w="1134"/>
        <w:gridCol w:w="2300"/>
        <w:gridCol w:w="1522"/>
        <w:gridCol w:w="778"/>
        <w:gridCol w:w="23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2400" w:type="dxa"/>
            <w:gridSpan w:val="2"/>
            <w:tcBorders>
              <w:top w:val="single" w:color="auto" w:sz="8" w:space="0"/>
            </w:tcBorders>
            <w:noWrap w:val="0"/>
            <w:vAlign w:val="center"/>
          </w:tcPr>
          <w:p>
            <w:pPr>
              <w:jc w:val="center"/>
              <w:rPr>
                <w:rFonts w:ascii="Times New Roman" w:hAnsi="Times New Roman"/>
                <w:sz w:val="18"/>
              </w:rPr>
            </w:pPr>
            <w:r>
              <w:rPr>
                <w:rFonts w:hint="eastAsia" w:ascii="Times New Roman" w:hAnsi="Times New Roman"/>
                <w:sz w:val="18"/>
              </w:rPr>
              <w:t>地震应急演练名称</w:t>
            </w:r>
          </w:p>
        </w:tc>
        <w:tc>
          <w:tcPr>
            <w:tcW w:w="6934" w:type="dxa"/>
            <w:gridSpan w:val="4"/>
            <w:tcBorders>
              <w:top w:val="single" w:color="auto" w:sz="8" w:space="0"/>
            </w:tcBorders>
            <w:noWrap w:val="0"/>
            <w:vAlign w:val="center"/>
          </w:tcPr>
          <w:p>
            <w:pPr>
              <w:jc w:val="center"/>
              <w:rPr>
                <w:rFonts w:ascii="Times New Roman" w:hAnsi="Times New Roman"/>
                <w:sz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2400" w:type="dxa"/>
            <w:gridSpan w:val="2"/>
            <w:tcBorders>
              <w:top w:val="single" w:color="auto" w:sz="8" w:space="0"/>
            </w:tcBorders>
            <w:noWrap w:val="0"/>
            <w:vAlign w:val="center"/>
          </w:tcPr>
          <w:p>
            <w:pPr>
              <w:jc w:val="center"/>
              <w:rPr>
                <w:rFonts w:ascii="Times New Roman" w:hAnsi="Times New Roman"/>
                <w:sz w:val="18"/>
              </w:rPr>
            </w:pPr>
            <w:r>
              <w:rPr>
                <w:rFonts w:hint="eastAsia" w:ascii="Times New Roman" w:hAnsi="Times New Roman"/>
                <w:sz w:val="18"/>
              </w:rPr>
              <w:t>演练组织单位（部门）</w:t>
            </w:r>
          </w:p>
        </w:tc>
        <w:tc>
          <w:tcPr>
            <w:tcW w:w="2300" w:type="dxa"/>
            <w:tcBorders>
              <w:top w:val="single" w:color="auto" w:sz="8" w:space="0"/>
            </w:tcBorders>
            <w:noWrap w:val="0"/>
            <w:vAlign w:val="center"/>
          </w:tcPr>
          <w:p>
            <w:pPr>
              <w:jc w:val="center"/>
              <w:rPr>
                <w:rFonts w:ascii="Times New Roman" w:hAnsi="Times New Roman"/>
                <w:sz w:val="18"/>
              </w:rPr>
            </w:pPr>
          </w:p>
        </w:tc>
        <w:tc>
          <w:tcPr>
            <w:tcW w:w="2300" w:type="dxa"/>
            <w:gridSpan w:val="2"/>
            <w:tcBorders>
              <w:top w:val="single" w:color="auto" w:sz="8" w:space="0"/>
            </w:tcBorders>
            <w:noWrap w:val="0"/>
            <w:vAlign w:val="center"/>
          </w:tcPr>
          <w:p>
            <w:pPr>
              <w:jc w:val="center"/>
              <w:rPr>
                <w:rFonts w:ascii="Times New Roman" w:hAnsi="Times New Roman"/>
                <w:sz w:val="18"/>
              </w:rPr>
            </w:pPr>
            <w:r>
              <w:rPr>
                <w:rFonts w:hint="eastAsia" w:ascii="Times New Roman" w:hAnsi="Times New Roman"/>
                <w:sz w:val="18"/>
              </w:rPr>
              <w:t>演练时间</w:t>
            </w:r>
          </w:p>
        </w:tc>
        <w:tc>
          <w:tcPr>
            <w:tcW w:w="2334" w:type="dxa"/>
            <w:tcBorders>
              <w:top w:val="single" w:color="auto" w:sz="8" w:space="0"/>
            </w:tcBorders>
            <w:noWrap w:val="0"/>
            <w:vAlign w:val="center"/>
          </w:tcPr>
          <w:p>
            <w:pPr>
              <w:pStyle w:val="56"/>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2400" w:type="dxa"/>
            <w:gridSpan w:val="2"/>
            <w:tcBorders>
              <w:top w:val="single" w:color="auto" w:sz="8" w:space="0"/>
            </w:tcBorders>
            <w:noWrap w:val="0"/>
            <w:vAlign w:val="center"/>
          </w:tcPr>
          <w:p>
            <w:pPr>
              <w:jc w:val="center"/>
              <w:rPr>
                <w:rFonts w:ascii="Times New Roman" w:hAnsi="Times New Roman"/>
                <w:sz w:val="18"/>
              </w:rPr>
            </w:pPr>
            <w:r>
              <w:rPr>
                <w:rFonts w:hint="eastAsia" w:ascii="Times New Roman" w:hAnsi="Times New Roman"/>
                <w:sz w:val="18"/>
              </w:rPr>
              <w:t>演练参与单位（部门）</w:t>
            </w:r>
          </w:p>
        </w:tc>
        <w:tc>
          <w:tcPr>
            <w:tcW w:w="2300" w:type="dxa"/>
            <w:tcBorders>
              <w:top w:val="single" w:color="auto" w:sz="8" w:space="0"/>
            </w:tcBorders>
            <w:noWrap w:val="0"/>
            <w:vAlign w:val="center"/>
          </w:tcPr>
          <w:p>
            <w:pPr>
              <w:jc w:val="center"/>
              <w:rPr>
                <w:rFonts w:ascii="Times New Roman" w:hAnsi="Times New Roman"/>
                <w:sz w:val="18"/>
              </w:rPr>
            </w:pPr>
          </w:p>
        </w:tc>
        <w:tc>
          <w:tcPr>
            <w:tcW w:w="2300" w:type="dxa"/>
            <w:gridSpan w:val="2"/>
            <w:tcBorders>
              <w:top w:val="single" w:color="auto" w:sz="8" w:space="0"/>
            </w:tcBorders>
            <w:noWrap w:val="0"/>
            <w:vAlign w:val="center"/>
          </w:tcPr>
          <w:p>
            <w:pPr>
              <w:jc w:val="center"/>
              <w:rPr>
                <w:rFonts w:ascii="Times New Roman" w:hAnsi="Times New Roman"/>
                <w:sz w:val="18"/>
              </w:rPr>
            </w:pPr>
            <w:r>
              <w:rPr>
                <w:rFonts w:hint="eastAsia" w:ascii="Times New Roman" w:hAnsi="Times New Roman"/>
                <w:sz w:val="18"/>
              </w:rPr>
              <w:t>演练地点</w:t>
            </w:r>
          </w:p>
        </w:tc>
        <w:tc>
          <w:tcPr>
            <w:tcW w:w="2334" w:type="dxa"/>
            <w:tcBorders>
              <w:top w:val="single" w:color="auto" w:sz="8" w:space="0"/>
            </w:tcBorders>
            <w:noWrap w:val="0"/>
            <w:vAlign w:val="center"/>
          </w:tcPr>
          <w:p>
            <w:pPr>
              <w:pStyle w:val="56"/>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2400" w:type="dxa"/>
            <w:gridSpan w:val="2"/>
            <w:tcBorders>
              <w:top w:val="single" w:color="auto" w:sz="8" w:space="0"/>
            </w:tcBorders>
            <w:noWrap w:val="0"/>
            <w:vAlign w:val="center"/>
          </w:tcPr>
          <w:p>
            <w:pPr>
              <w:jc w:val="center"/>
              <w:rPr>
                <w:rFonts w:ascii="Times New Roman" w:hAnsi="Times New Roman"/>
                <w:sz w:val="18"/>
              </w:rPr>
            </w:pPr>
            <w:r>
              <w:rPr>
                <w:rFonts w:hint="eastAsia" w:ascii="Times New Roman" w:hAnsi="Times New Roman"/>
                <w:sz w:val="18"/>
              </w:rPr>
              <w:t>演练形式</w:t>
            </w:r>
          </w:p>
        </w:tc>
        <w:tc>
          <w:tcPr>
            <w:tcW w:w="6934" w:type="dxa"/>
            <w:gridSpan w:val="4"/>
            <w:tcBorders>
              <w:top w:val="single" w:color="auto" w:sz="8" w:space="0"/>
            </w:tcBorders>
            <w:noWrap w:val="0"/>
            <w:vAlign w:val="center"/>
          </w:tcPr>
          <w:p>
            <w:pPr>
              <w:jc w:val="center"/>
              <w:rPr>
                <w:rFonts w:ascii="Times New Roman" w:hAnsi="Times New Roman"/>
                <w:sz w:val="18"/>
              </w:rPr>
            </w:pPr>
            <w:r>
              <w:rPr>
                <w:rFonts w:ascii="Times New Roman" w:hAnsi="Times New Roman"/>
                <w:sz w:val="18"/>
              </w:rPr>
              <w:t xml:space="preserve"> </w:t>
            </w:r>
            <w:r>
              <w:rPr>
                <w:rFonts w:hint="eastAsia" w:ascii="Times New Roman" w:hAnsi="Times New Roman"/>
                <w:sz w:val="18"/>
              </w:rPr>
              <w:t xml:space="preserve">□实战演练     </w:t>
            </w:r>
            <w:r>
              <w:rPr>
                <w:rFonts w:ascii="Times New Roman" w:hAnsi="Times New Roman"/>
                <w:sz w:val="18"/>
              </w:rPr>
              <w:t xml:space="preserve">              </w:t>
            </w:r>
            <w:r>
              <w:rPr>
                <w:rFonts w:hint="eastAsia" w:ascii="Times New Roman" w:hAnsi="Times New Roman"/>
                <w:sz w:val="18"/>
              </w:rPr>
              <w:t>□桌面演练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2400" w:type="dxa"/>
            <w:gridSpan w:val="2"/>
            <w:tcBorders>
              <w:top w:val="single" w:color="auto" w:sz="8" w:space="0"/>
            </w:tcBorders>
            <w:noWrap w:val="0"/>
            <w:vAlign w:val="center"/>
          </w:tcPr>
          <w:p>
            <w:pPr>
              <w:jc w:val="center"/>
              <w:rPr>
                <w:rFonts w:ascii="Times New Roman" w:hAnsi="Times New Roman"/>
                <w:sz w:val="18"/>
              </w:rPr>
            </w:pPr>
            <w:r>
              <w:rPr>
                <w:rFonts w:hint="eastAsia" w:ascii="Times New Roman" w:hAnsi="Times New Roman"/>
                <w:sz w:val="18"/>
              </w:rPr>
              <w:t>演练目的</w:t>
            </w:r>
          </w:p>
        </w:tc>
        <w:tc>
          <w:tcPr>
            <w:tcW w:w="6934" w:type="dxa"/>
            <w:gridSpan w:val="4"/>
            <w:tcBorders>
              <w:top w:val="single" w:color="auto" w:sz="8" w:space="0"/>
            </w:tcBorders>
            <w:noWrap w:val="0"/>
            <w:vAlign w:val="center"/>
          </w:tcPr>
          <w:p>
            <w:pPr>
              <w:jc w:val="center"/>
              <w:rPr>
                <w:rFonts w:ascii="Times New Roman" w:hAnsi="Times New Roman"/>
                <w:sz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2400" w:type="dxa"/>
            <w:gridSpan w:val="2"/>
            <w:tcBorders>
              <w:top w:val="single" w:color="auto" w:sz="8" w:space="0"/>
            </w:tcBorders>
            <w:noWrap w:val="0"/>
            <w:vAlign w:val="center"/>
          </w:tcPr>
          <w:p>
            <w:pPr>
              <w:jc w:val="center"/>
              <w:rPr>
                <w:rFonts w:ascii="Times New Roman" w:hAnsi="Times New Roman"/>
                <w:sz w:val="18"/>
              </w:rPr>
            </w:pPr>
            <w:r>
              <w:rPr>
                <w:rFonts w:hint="eastAsia" w:ascii="Times New Roman" w:hAnsi="Times New Roman"/>
                <w:sz w:val="18"/>
              </w:rPr>
              <w:t>演练情景与内容</w:t>
            </w:r>
          </w:p>
        </w:tc>
        <w:tc>
          <w:tcPr>
            <w:tcW w:w="6934" w:type="dxa"/>
            <w:gridSpan w:val="4"/>
            <w:tcBorders>
              <w:top w:val="single" w:color="auto" w:sz="8" w:space="0"/>
            </w:tcBorders>
            <w:noWrap w:val="0"/>
            <w:vAlign w:val="center"/>
          </w:tcPr>
          <w:p>
            <w:pPr>
              <w:jc w:val="center"/>
              <w:rPr>
                <w:rFonts w:ascii="Times New Roman" w:hAnsi="Times New Roman"/>
                <w:sz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9334" w:type="dxa"/>
            <w:gridSpan w:val="6"/>
            <w:tcBorders>
              <w:top w:val="single" w:color="auto" w:sz="8" w:space="0"/>
            </w:tcBorders>
            <w:noWrap w:val="0"/>
            <w:vAlign w:val="center"/>
          </w:tcPr>
          <w:p>
            <w:pPr>
              <w:pStyle w:val="56"/>
              <w:ind w:firstLine="180" w:firstLineChars="100"/>
            </w:pPr>
            <w:r>
              <w:rPr>
                <w:rFonts w:hint="eastAsia"/>
              </w:rPr>
              <w:t>演练总体情况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9334" w:type="dxa"/>
            <w:gridSpan w:val="6"/>
            <w:tcBorders>
              <w:top w:val="single" w:color="auto" w:sz="8" w:space="0"/>
            </w:tcBorders>
            <w:noWrap w:val="0"/>
            <w:vAlign w:val="center"/>
          </w:tcPr>
          <w:p>
            <w:pPr>
              <w:pStyle w:val="56"/>
              <w:ind w:firstLine="180" w:firstLineChars="100"/>
              <w:jc w:val="left"/>
            </w:pPr>
            <w:r>
              <w:rPr>
                <w:rFonts w:hint="eastAsia"/>
              </w:rPr>
              <w:t>1. 应急处置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266" w:type="dxa"/>
            <w:noWrap w:val="0"/>
            <w:vAlign w:val="center"/>
          </w:tcPr>
          <w:p>
            <w:pPr>
              <w:pStyle w:val="56"/>
              <w:rPr>
                <w:b/>
                <w:bCs/>
              </w:rPr>
            </w:pPr>
            <w:r>
              <w:rPr>
                <w:rFonts w:hint="eastAsia"/>
                <w:b/>
                <w:bCs/>
              </w:rPr>
              <w:t>评估内容</w:t>
            </w:r>
          </w:p>
        </w:tc>
        <w:tc>
          <w:tcPr>
            <w:tcW w:w="4956" w:type="dxa"/>
            <w:gridSpan w:val="3"/>
            <w:noWrap w:val="0"/>
            <w:vAlign w:val="center"/>
          </w:tcPr>
          <w:p>
            <w:pPr>
              <w:pStyle w:val="56"/>
              <w:rPr>
                <w:b/>
                <w:bCs/>
              </w:rPr>
            </w:pPr>
            <w:r>
              <w:rPr>
                <w:rFonts w:hint="eastAsia"/>
                <w:b/>
                <w:bCs/>
              </w:rPr>
              <w:t>亮 点</w:t>
            </w:r>
          </w:p>
        </w:tc>
        <w:tc>
          <w:tcPr>
            <w:tcW w:w="3112" w:type="dxa"/>
            <w:gridSpan w:val="2"/>
            <w:noWrap w:val="0"/>
            <w:vAlign w:val="center"/>
          </w:tcPr>
          <w:p>
            <w:pPr>
              <w:pStyle w:val="56"/>
              <w:rPr>
                <w:b/>
                <w:bCs/>
              </w:rPr>
            </w:pPr>
            <w:r>
              <w:rPr>
                <w:rFonts w:hint="eastAsia"/>
                <w:b/>
                <w:bCs/>
              </w:rPr>
              <w:t>问 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266" w:type="dxa"/>
            <w:noWrap w:val="0"/>
            <w:vAlign w:val="center"/>
          </w:tcPr>
          <w:p>
            <w:pPr>
              <w:pStyle w:val="56"/>
            </w:pPr>
            <w:r>
              <w:rPr>
                <w:rFonts w:hint="eastAsia"/>
              </w:rPr>
              <w:t>国家级指挥部</w:t>
            </w:r>
          </w:p>
        </w:tc>
        <w:tc>
          <w:tcPr>
            <w:tcW w:w="4956" w:type="dxa"/>
            <w:gridSpan w:val="3"/>
            <w:noWrap w:val="0"/>
            <w:vAlign w:val="center"/>
          </w:tcPr>
          <w:p>
            <w:pPr>
              <w:pStyle w:val="56"/>
            </w:pPr>
          </w:p>
        </w:tc>
        <w:tc>
          <w:tcPr>
            <w:tcW w:w="3112" w:type="dxa"/>
            <w:gridSpan w:val="2"/>
            <w:noWrap w:val="0"/>
            <w:vAlign w:val="center"/>
          </w:tcPr>
          <w:p>
            <w:pPr>
              <w:pStyle w:val="56"/>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266" w:type="dxa"/>
            <w:noWrap w:val="0"/>
            <w:vAlign w:val="center"/>
          </w:tcPr>
          <w:p>
            <w:pPr>
              <w:pStyle w:val="56"/>
            </w:pPr>
            <w:r>
              <w:rPr>
                <w:rFonts w:hint="eastAsia"/>
              </w:rPr>
              <w:t>省级指挥部</w:t>
            </w:r>
          </w:p>
        </w:tc>
        <w:tc>
          <w:tcPr>
            <w:tcW w:w="4956" w:type="dxa"/>
            <w:gridSpan w:val="3"/>
            <w:noWrap w:val="0"/>
            <w:vAlign w:val="center"/>
          </w:tcPr>
          <w:p>
            <w:pPr>
              <w:pStyle w:val="56"/>
            </w:pPr>
          </w:p>
        </w:tc>
        <w:tc>
          <w:tcPr>
            <w:tcW w:w="3112" w:type="dxa"/>
            <w:gridSpan w:val="2"/>
            <w:noWrap w:val="0"/>
            <w:vAlign w:val="center"/>
          </w:tcPr>
          <w:p>
            <w:pPr>
              <w:pStyle w:val="56"/>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266" w:type="dxa"/>
            <w:noWrap w:val="0"/>
            <w:vAlign w:val="center"/>
          </w:tcPr>
          <w:p>
            <w:pPr>
              <w:pStyle w:val="56"/>
            </w:pPr>
            <w:r>
              <w:rPr>
                <w:rFonts w:hint="eastAsia"/>
              </w:rPr>
              <w:t>市级指挥部</w:t>
            </w:r>
          </w:p>
        </w:tc>
        <w:tc>
          <w:tcPr>
            <w:tcW w:w="4956" w:type="dxa"/>
            <w:gridSpan w:val="3"/>
            <w:noWrap w:val="0"/>
            <w:vAlign w:val="center"/>
          </w:tcPr>
          <w:p>
            <w:pPr>
              <w:pStyle w:val="56"/>
            </w:pPr>
            <w:r>
              <w:rPr>
                <w:rFonts w:hint="eastAsia"/>
              </w:rPr>
              <w:t>分市（地、州）列出</w:t>
            </w:r>
          </w:p>
        </w:tc>
        <w:tc>
          <w:tcPr>
            <w:tcW w:w="3112" w:type="dxa"/>
            <w:gridSpan w:val="2"/>
            <w:noWrap w:val="0"/>
            <w:vAlign w:val="center"/>
          </w:tcPr>
          <w:p>
            <w:pPr>
              <w:pStyle w:val="56"/>
            </w:pPr>
            <w:r>
              <w:rPr>
                <w:rFonts w:hint="eastAsia"/>
              </w:rPr>
              <w:t>分市（地、州）列出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266" w:type="dxa"/>
            <w:noWrap w:val="0"/>
            <w:vAlign w:val="center"/>
          </w:tcPr>
          <w:p>
            <w:pPr>
              <w:pStyle w:val="56"/>
            </w:pPr>
            <w:r>
              <w:rPr>
                <w:rFonts w:hint="eastAsia"/>
              </w:rPr>
              <w:t>区县指挥部</w:t>
            </w:r>
          </w:p>
        </w:tc>
        <w:tc>
          <w:tcPr>
            <w:tcW w:w="4956" w:type="dxa"/>
            <w:gridSpan w:val="3"/>
            <w:noWrap w:val="0"/>
            <w:vAlign w:val="center"/>
          </w:tcPr>
          <w:p>
            <w:pPr>
              <w:pStyle w:val="56"/>
            </w:pPr>
            <w:r>
              <w:rPr>
                <w:rFonts w:hint="eastAsia"/>
              </w:rPr>
              <w:t>分县（市）列出</w:t>
            </w:r>
          </w:p>
        </w:tc>
        <w:tc>
          <w:tcPr>
            <w:tcW w:w="3112" w:type="dxa"/>
            <w:gridSpan w:val="2"/>
            <w:noWrap w:val="0"/>
            <w:vAlign w:val="center"/>
          </w:tcPr>
          <w:p>
            <w:pPr>
              <w:pStyle w:val="56"/>
            </w:pPr>
            <w:r>
              <w:rPr>
                <w:rFonts w:hint="eastAsia"/>
              </w:rPr>
              <w:t>分县（区）列出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266" w:type="dxa"/>
            <w:noWrap w:val="0"/>
            <w:vAlign w:val="center"/>
          </w:tcPr>
          <w:p>
            <w:pPr>
              <w:pStyle w:val="56"/>
            </w:pPr>
            <w:r>
              <w:rPr>
                <w:rFonts w:hint="eastAsia"/>
              </w:rPr>
              <w:t>震情信息报告与发布</w:t>
            </w:r>
          </w:p>
        </w:tc>
        <w:tc>
          <w:tcPr>
            <w:tcW w:w="4956" w:type="dxa"/>
            <w:gridSpan w:val="3"/>
            <w:noWrap w:val="0"/>
            <w:vAlign w:val="center"/>
          </w:tcPr>
          <w:p>
            <w:pPr>
              <w:pStyle w:val="56"/>
            </w:pPr>
          </w:p>
        </w:tc>
        <w:tc>
          <w:tcPr>
            <w:tcW w:w="3112" w:type="dxa"/>
            <w:gridSpan w:val="2"/>
            <w:noWrap w:val="0"/>
            <w:vAlign w:val="center"/>
          </w:tcPr>
          <w:p>
            <w:pPr>
              <w:pStyle w:val="56"/>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266" w:type="dxa"/>
            <w:noWrap w:val="0"/>
            <w:vAlign w:val="center"/>
          </w:tcPr>
          <w:p>
            <w:pPr>
              <w:pStyle w:val="56"/>
            </w:pPr>
            <w:r>
              <w:rPr>
                <w:rFonts w:hint="eastAsia"/>
              </w:rPr>
              <w:t>响应启动</w:t>
            </w:r>
          </w:p>
        </w:tc>
        <w:tc>
          <w:tcPr>
            <w:tcW w:w="4956" w:type="dxa"/>
            <w:gridSpan w:val="3"/>
            <w:noWrap w:val="0"/>
            <w:vAlign w:val="center"/>
          </w:tcPr>
          <w:p>
            <w:pPr>
              <w:pStyle w:val="56"/>
            </w:pPr>
          </w:p>
        </w:tc>
        <w:tc>
          <w:tcPr>
            <w:tcW w:w="3112" w:type="dxa"/>
            <w:gridSpan w:val="2"/>
            <w:noWrap w:val="0"/>
            <w:vAlign w:val="center"/>
          </w:tcPr>
          <w:p>
            <w:pPr>
              <w:pStyle w:val="56"/>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266" w:type="dxa"/>
            <w:noWrap w:val="0"/>
            <w:vAlign w:val="center"/>
          </w:tcPr>
          <w:p>
            <w:pPr>
              <w:pStyle w:val="56"/>
            </w:pPr>
            <w:r>
              <w:rPr>
                <w:rFonts w:hint="eastAsia"/>
              </w:rPr>
              <w:t>指挥决策</w:t>
            </w:r>
          </w:p>
        </w:tc>
        <w:tc>
          <w:tcPr>
            <w:tcW w:w="4956" w:type="dxa"/>
            <w:gridSpan w:val="3"/>
            <w:noWrap w:val="0"/>
            <w:vAlign w:val="center"/>
          </w:tcPr>
          <w:p>
            <w:pPr>
              <w:pStyle w:val="56"/>
            </w:pPr>
          </w:p>
        </w:tc>
        <w:tc>
          <w:tcPr>
            <w:tcW w:w="3112" w:type="dxa"/>
            <w:gridSpan w:val="2"/>
            <w:noWrap w:val="0"/>
            <w:vAlign w:val="center"/>
          </w:tcPr>
          <w:p>
            <w:pPr>
              <w:pStyle w:val="56"/>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266" w:type="dxa"/>
            <w:noWrap w:val="0"/>
            <w:vAlign w:val="center"/>
          </w:tcPr>
          <w:p>
            <w:pPr>
              <w:pStyle w:val="56"/>
            </w:pPr>
            <w:r>
              <w:rPr>
                <w:rFonts w:hint="eastAsia"/>
              </w:rPr>
              <w:t>……</w:t>
            </w:r>
          </w:p>
        </w:tc>
        <w:tc>
          <w:tcPr>
            <w:tcW w:w="4956" w:type="dxa"/>
            <w:gridSpan w:val="3"/>
            <w:noWrap w:val="0"/>
            <w:vAlign w:val="center"/>
          </w:tcPr>
          <w:p>
            <w:pPr>
              <w:pStyle w:val="56"/>
            </w:pPr>
          </w:p>
        </w:tc>
        <w:tc>
          <w:tcPr>
            <w:tcW w:w="3112" w:type="dxa"/>
            <w:gridSpan w:val="2"/>
            <w:noWrap w:val="0"/>
            <w:vAlign w:val="center"/>
          </w:tcPr>
          <w:p>
            <w:pPr>
              <w:pStyle w:val="56"/>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9334" w:type="dxa"/>
            <w:gridSpan w:val="6"/>
            <w:noWrap w:val="0"/>
            <w:vAlign w:val="center"/>
          </w:tcPr>
          <w:p>
            <w:pPr>
              <w:pStyle w:val="56"/>
              <w:ind w:firstLine="180" w:firstLineChars="100"/>
              <w:jc w:val="left"/>
            </w:pPr>
            <w:r>
              <w:rPr>
                <w:rFonts w:hint="eastAsia"/>
              </w:rPr>
              <w:t>2. 队伍能力建设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266" w:type="dxa"/>
            <w:noWrap w:val="0"/>
            <w:vAlign w:val="center"/>
          </w:tcPr>
          <w:p>
            <w:pPr>
              <w:pStyle w:val="56"/>
              <w:rPr>
                <w:b/>
                <w:bCs/>
              </w:rPr>
            </w:pPr>
            <w:r>
              <w:rPr>
                <w:rFonts w:hint="eastAsia"/>
                <w:b/>
                <w:bCs/>
              </w:rPr>
              <w:t>评估内容</w:t>
            </w:r>
          </w:p>
        </w:tc>
        <w:tc>
          <w:tcPr>
            <w:tcW w:w="4956" w:type="dxa"/>
            <w:gridSpan w:val="3"/>
            <w:noWrap w:val="0"/>
            <w:vAlign w:val="center"/>
          </w:tcPr>
          <w:p>
            <w:pPr>
              <w:pStyle w:val="56"/>
              <w:rPr>
                <w:b/>
                <w:bCs/>
              </w:rPr>
            </w:pPr>
            <w:r>
              <w:rPr>
                <w:rFonts w:hint="eastAsia"/>
                <w:b/>
                <w:bCs/>
              </w:rPr>
              <w:t>亮 点</w:t>
            </w:r>
          </w:p>
        </w:tc>
        <w:tc>
          <w:tcPr>
            <w:tcW w:w="3112" w:type="dxa"/>
            <w:gridSpan w:val="2"/>
            <w:noWrap w:val="0"/>
            <w:vAlign w:val="center"/>
          </w:tcPr>
          <w:p>
            <w:pPr>
              <w:pStyle w:val="56"/>
              <w:rPr>
                <w:b/>
                <w:bCs/>
              </w:rPr>
            </w:pPr>
            <w:r>
              <w:rPr>
                <w:rFonts w:hint="eastAsia"/>
                <w:b/>
                <w:bCs/>
              </w:rPr>
              <w:t>问 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266" w:type="dxa"/>
            <w:noWrap w:val="0"/>
            <w:vAlign w:val="center"/>
          </w:tcPr>
          <w:p>
            <w:pPr>
              <w:pStyle w:val="56"/>
            </w:pPr>
            <w:r>
              <w:rPr>
                <w:rFonts w:hint="eastAsia"/>
              </w:rPr>
              <w:t>消防救援队伍</w:t>
            </w:r>
          </w:p>
        </w:tc>
        <w:tc>
          <w:tcPr>
            <w:tcW w:w="4956" w:type="dxa"/>
            <w:gridSpan w:val="3"/>
            <w:noWrap w:val="0"/>
            <w:vAlign w:val="center"/>
          </w:tcPr>
          <w:p>
            <w:pPr>
              <w:pStyle w:val="56"/>
            </w:pPr>
          </w:p>
        </w:tc>
        <w:tc>
          <w:tcPr>
            <w:tcW w:w="3112" w:type="dxa"/>
            <w:gridSpan w:val="2"/>
            <w:noWrap w:val="0"/>
            <w:vAlign w:val="center"/>
          </w:tcPr>
          <w:p>
            <w:pPr>
              <w:pStyle w:val="56"/>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266" w:type="dxa"/>
            <w:noWrap w:val="0"/>
            <w:vAlign w:val="center"/>
          </w:tcPr>
          <w:p>
            <w:pPr>
              <w:pStyle w:val="56"/>
            </w:pPr>
            <w:r>
              <w:rPr>
                <w:rFonts w:hint="eastAsia"/>
              </w:rPr>
              <w:t>安全生产队伍</w:t>
            </w:r>
          </w:p>
        </w:tc>
        <w:tc>
          <w:tcPr>
            <w:tcW w:w="4956" w:type="dxa"/>
            <w:gridSpan w:val="3"/>
            <w:noWrap w:val="0"/>
            <w:vAlign w:val="center"/>
          </w:tcPr>
          <w:p>
            <w:pPr>
              <w:pStyle w:val="56"/>
            </w:pPr>
          </w:p>
        </w:tc>
        <w:tc>
          <w:tcPr>
            <w:tcW w:w="3112" w:type="dxa"/>
            <w:gridSpan w:val="2"/>
            <w:noWrap w:val="0"/>
            <w:vAlign w:val="center"/>
          </w:tcPr>
          <w:p>
            <w:pPr>
              <w:pStyle w:val="56"/>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266" w:type="dxa"/>
            <w:noWrap w:val="0"/>
            <w:vAlign w:val="center"/>
          </w:tcPr>
          <w:p>
            <w:pPr>
              <w:pStyle w:val="56"/>
            </w:pPr>
            <w:r>
              <w:rPr>
                <w:rFonts w:hint="eastAsia"/>
              </w:rPr>
              <w:t>工程抢险队伍</w:t>
            </w:r>
          </w:p>
        </w:tc>
        <w:tc>
          <w:tcPr>
            <w:tcW w:w="4956" w:type="dxa"/>
            <w:gridSpan w:val="3"/>
            <w:noWrap w:val="0"/>
            <w:vAlign w:val="center"/>
          </w:tcPr>
          <w:p>
            <w:pPr>
              <w:pStyle w:val="56"/>
            </w:pPr>
          </w:p>
        </w:tc>
        <w:tc>
          <w:tcPr>
            <w:tcW w:w="3112" w:type="dxa"/>
            <w:gridSpan w:val="2"/>
            <w:noWrap w:val="0"/>
            <w:vAlign w:val="center"/>
          </w:tcPr>
          <w:p>
            <w:pPr>
              <w:pStyle w:val="56"/>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266" w:type="dxa"/>
            <w:noWrap w:val="0"/>
            <w:vAlign w:val="center"/>
          </w:tcPr>
          <w:p>
            <w:pPr>
              <w:pStyle w:val="56"/>
            </w:pPr>
            <w:r>
              <w:rPr>
                <w:rFonts w:hint="eastAsia"/>
              </w:rPr>
              <w:t>社会</w:t>
            </w:r>
            <w:r>
              <w:rPr>
                <w:rFonts w:hint="eastAsia"/>
                <w:lang w:eastAsia="zh-CN"/>
              </w:rPr>
              <w:t>应急</w:t>
            </w:r>
            <w:r>
              <w:rPr>
                <w:rFonts w:hint="eastAsia"/>
              </w:rPr>
              <w:t>力量</w:t>
            </w:r>
          </w:p>
        </w:tc>
        <w:tc>
          <w:tcPr>
            <w:tcW w:w="4956" w:type="dxa"/>
            <w:gridSpan w:val="3"/>
            <w:noWrap w:val="0"/>
            <w:vAlign w:val="center"/>
          </w:tcPr>
          <w:p>
            <w:pPr>
              <w:pStyle w:val="56"/>
            </w:pPr>
          </w:p>
        </w:tc>
        <w:tc>
          <w:tcPr>
            <w:tcW w:w="3112" w:type="dxa"/>
            <w:gridSpan w:val="2"/>
            <w:noWrap w:val="0"/>
            <w:vAlign w:val="center"/>
          </w:tcPr>
          <w:p>
            <w:pPr>
              <w:pStyle w:val="56"/>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266" w:type="dxa"/>
            <w:noWrap w:val="0"/>
            <w:vAlign w:val="center"/>
          </w:tcPr>
          <w:p>
            <w:pPr>
              <w:pStyle w:val="56"/>
            </w:pPr>
            <w:r>
              <w:rPr>
                <w:rFonts w:hint="eastAsia"/>
              </w:rPr>
              <w:t>其他队伍</w:t>
            </w:r>
          </w:p>
        </w:tc>
        <w:tc>
          <w:tcPr>
            <w:tcW w:w="4956" w:type="dxa"/>
            <w:gridSpan w:val="3"/>
            <w:noWrap w:val="0"/>
            <w:vAlign w:val="center"/>
          </w:tcPr>
          <w:p>
            <w:pPr>
              <w:pStyle w:val="56"/>
            </w:pPr>
          </w:p>
        </w:tc>
        <w:tc>
          <w:tcPr>
            <w:tcW w:w="3112" w:type="dxa"/>
            <w:gridSpan w:val="2"/>
            <w:noWrap w:val="0"/>
            <w:vAlign w:val="center"/>
          </w:tcPr>
          <w:p>
            <w:pPr>
              <w:pStyle w:val="56"/>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9334" w:type="dxa"/>
            <w:gridSpan w:val="6"/>
            <w:noWrap w:val="0"/>
            <w:vAlign w:val="center"/>
          </w:tcPr>
          <w:p>
            <w:pPr>
              <w:pStyle w:val="56"/>
              <w:ind w:firstLine="180" w:firstLineChars="100"/>
              <w:jc w:val="left"/>
            </w:pPr>
            <w:r>
              <w:rPr>
                <w:rFonts w:hint="eastAsia"/>
              </w:rPr>
              <w:t>3. 现场科目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266" w:type="dxa"/>
            <w:noWrap w:val="0"/>
            <w:vAlign w:val="center"/>
          </w:tcPr>
          <w:p>
            <w:pPr>
              <w:pStyle w:val="56"/>
              <w:rPr>
                <w:b/>
                <w:bCs/>
              </w:rPr>
            </w:pPr>
            <w:r>
              <w:rPr>
                <w:rFonts w:hint="eastAsia"/>
                <w:b/>
                <w:bCs/>
              </w:rPr>
              <w:t>评估内容</w:t>
            </w:r>
          </w:p>
        </w:tc>
        <w:tc>
          <w:tcPr>
            <w:tcW w:w="4956" w:type="dxa"/>
            <w:gridSpan w:val="3"/>
            <w:noWrap w:val="0"/>
            <w:vAlign w:val="center"/>
          </w:tcPr>
          <w:p>
            <w:pPr>
              <w:pStyle w:val="56"/>
              <w:rPr>
                <w:b/>
                <w:bCs/>
              </w:rPr>
            </w:pPr>
            <w:r>
              <w:rPr>
                <w:rFonts w:hint="eastAsia"/>
                <w:b/>
                <w:bCs/>
              </w:rPr>
              <w:t>亮点</w:t>
            </w:r>
          </w:p>
        </w:tc>
        <w:tc>
          <w:tcPr>
            <w:tcW w:w="3112" w:type="dxa"/>
            <w:gridSpan w:val="2"/>
            <w:noWrap w:val="0"/>
            <w:vAlign w:val="center"/>
          </w:tcPr>
          <w:p>
            <w:pPr>
              <w:pStyle w:val="56"/>
              <w:rPr>
                <w:b/>
                <w:bCs/>
              </w:rPr>
            </w:pPr>
            <w:r>
              <w:rPr>
                <w:rFonts w:hint="eastAsia"/>
                <w:b/>
                <w:bCs/>
              </w:rPr>
              <w:t>问题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24" w:hRule="atLeast"/>
          <w:jc w:val="center"/>
        </w:trPr>
        <w:tc>
          <w:tcPr>
            <w:tcW w:w="1266" w:type="dxa"/>
            <w:noWrap w:val="0"/>
            <w:vAlign w:val="center"/>
          </w:tcPr>
          <w:p>
            <w:pPr>
              <w:pStyle w:val="56"/>
            </w:pPr>
            <w:r>
              <w:rPr>
                <w:rFonts w:hint="eastAsia"/>
              </w:rPr>
              <w:t>根据现场科目设置情况逐条列出</w:t>
            </w:r>
          </w:p>
        </w:tc>
        <w:tc>
          <w:tcPr>
            <w:tcW w:w="4956" w:type="dxa"/>
            <w:gridSpan w:val="3"/>
            <w:noWrap w:val="0"/>
            <w:vAlign w:val="center"/>
          </w:tcPr>
          <w:p>
            <w:pPr>
              <w:pStyle w:val="56"/>
            </w:pPr>
          </w:p>
        </w:tc>
        <w:tc>
          <w:tcPr>
            <w:tcW w:w="3112" w:type="dxa"/>
            <w:gridSpan w:val="2"/>
            <w:noWrap w:val="0"/>
            <w:vAlign w:val="center"/>
          </w:tcPr>
          <w:p>
            <w:pPr>
              <w:pStyle w:val="56"/>
            </w:pPr>
          </w:p>
        </w:tc>
      </w:tr>
    </w:tbl>
    <w:p>
      <w:pPr>
        <w:pStyle w:val="29"/>
        <w:ind w:firstLine="420"/>
      </w:pPr>
    </w:p>
    <w:p>
      <w:pPr>
        <w:pStyle w:val="29"/>
        <w:ind w:firstLine="420"/>
      </w:pPr>
    </w:p>
    <w:bookmarkEnd w:id="198"/>
    <w:p>
      <w:pPr>
        <w:pStyle w:val="29"/>
        <w:ind w:firstLine="420"/>
        <w:sectPr>
          <w:headerReference r:id="rId20" w:type="default"/>
          <w:footerReference r:id="rId22" w:type="default"/>
          <w:headerReference r:id="rId21" w:type="even"/>
          <w:footerReference r:id="rId23" w:type="even"/>
          <w:pgSz w:w="11906" w:h="16838"/>
          <w:pgMar w:top="1928" w:right="1134" w:bottom="1134" w:left="1134" w:header="1418" w:footer="850" w:gutter="284"/>
          <w:pgBorders>
            <w:top w:val="none" w:sz="0" w:space="0"/>
            <w:left w:val="none" w:sz="0" w:space="0"/>
            <w:bottom w:val="none" w:sz="0" w:space="0"/>
            <w:right w:val="none" w:sz="0" w:space="0"/>
          </w:pgBorders>
          <w:cols w:space="720" w:num="1"/>
          <w:formProt w:val="0"/>
          <w:docGrid w:linePitch="312" w:charSpace="0"/>
        </w:sectPr>
      </w:pPr>
      <w:bookmarkStart w:id="231" w:name="BookMark6"/>
    </w:p>
    <w:p>
      <w:pPr>
        <w:pStyle w:val="58"/>
        <w:spacing w:after="156"/>
      </w:pPr>
      <w:bookmarkStart w:id="232" w:name="_Toc196661645"/>
      <w:r>
        <w:rPr>
          <w:rFonts w:hint="eastAsia"/>
          <w:spacing w:val="105"/>
        </w:rPr>
        <w:t>参考文</w:t>
      </w:r>
      <w:r>
        <w:rPr>
          <w:rFonts w:hint="eastAsia"/>
        </w:rPr>
        <w:t>献</w:t>
      </w:r>
      <w:bookmarkEnd w:id="232"/>
    </w:p>
    <w:p>
      <w:pPr>
        <w:pStyle w:val="29"/>
        <w:ind w:firstLine="420"/>
      </w:pPr>
      <w:r>
        <w:rPr>
          <w:rFonts w:hint="eastAsia"/>
        </w:rPr>
        <w:t>[1]</w:t>
      </w:r>
      <w:r>
        <w:rPr>
          <w:rFonts w:hint="eastAsia"/>
        </w:rPr>
        <w:tab/>
      </w:r>
      <w:r>
        <w:rPr>
          <w:rFonts w:hint="eastAsia"/>
        </w:rPr>
        <w:t>中共中央 国务院《国家突发事件总体应急预案》</w:t>
      </w:r>
    </w:p>
    <w:p>
      <w:pPr>
        <w:pStyle w:val="29"/>
        <w:ind w:firstLine="420"/>
      </w:pPr>
      <w:r>
        <w:rPr>
          <w:rFonts w:hint="eastAsia"/>
        </w:rPr>
        <w:t>[2]</w:t>
      </w:r>
      <w:r>
        <w:rPr>
          <w:rFonts w:hint="eastAsia"/>
        </w:rPr>
        <w:tab/>
      </w:r>
      <w:r>
        <w:rPr>
          <w:rFonts w:hint="eastAsia"/>
        </w:rPr>
        <w:t>国务院办公厅关于印发《突发事件应急预案管理办法》的通知（国办发〔2024〕5号）</w:t>
      </w:r>
    </w:p>
    <w:p>
      <w:pPr>
        <w:pStyle w:val="29"/>
        <w:ind w:firstLine="420"/>
      </w:pPr>
      <w:r>
        <w:rPr>
          <w:rFonts w:hint="eastAsia"/>
        </w:rPr>
        <w:t>[3] 国务院办公厅国务院应急管理办公室关于印发《突发事件应急演练指南》的通知（应急办函〔2009〕62号）</w:t>
      </w:r>
    </w:p>
    <w:p>
      <w:pPr>
        <w:pStyle w:val="59"/>
        <w:spacing w:line="240" w:lineRule="auto"/>
        <w:ind w:firstLine="420"/>
        <w:rPr>
          <w:rFonts w:ascii="宋体" w:hAnsi="Times New Roman"/>
        </w:rPr>
      </w:pPr>
      <w:r>
        <w:rPr>
          <w:rFonts w:hint="eastAsia" w:ascii="宋体" w:hAnsi="Times New Roman"/>
        </w:rPr>
        <w:t>[4] GB/T XXXX突发事件应急预案编制导则 第1 部分：通则</w:t>
      </w:r>
    </w:p>
    <w:p>
      <w:pPr>
        <w:pStyle w:val="59"/>
        <w:spacing w:line="240" w:lineRule="auto"/>
        <w:ind w:firstLine="420"/>
        <w:rPr>
          <w:rFonts w:ascii="宋体" w:hAnsi="Times New Roman"/>
        </w:rPr>
      </w:pPr>
      <w:r>
        <w:rPr>
          <w:rFonts w:hint="eastAsia" w:ascii="宋体" w:hAnsi="Times New Roman"/>
        </w:rPr>
        <w:t>[5] GB/T XXXX 突发事件应急预案编制导则 第2 部分：乡镇（街道）</w:t>
      </w:r>
    </w:p>
    <w:p>
      <w:pPr>
        <w:pStyle w:val="59"/>
        <w:spacing w:line="240" w:lineRule="auto"/>
        <w:ind w:firstLine="420"/>
        <w:rPr>
          <w:rFonts w:ascii="宋体" w:hAnsi="Times New Roman"/>
        </w:rPr>
      </w:pPr>
      <w:r>
        <w:rPr>
          <w:rFonts w:hint="eastAsia" w:ascii="宋体" w:hAnsi="Times New Roman"/>
        </w:rPr>
        <w:t>[6] GB/T XXXX 突发事件应急预案编制导则 第3 部分：村（社区）</w:t>
      </w:r>
    </w:p>
    <w:p>
      <w:pPr>
        <w:pStyle w:val="29"/>
        <w:ind w:firstLine="420"/>
      </w:pPr>
      <w:r>
        <w:rPr>
          <w:rFonts w:hint="eastAsia"/>
        </w:rPr>
        <w:t>[7] GB/T 29639—2020 生产经营单位生产安全事故应急预案编制导则</w:t>
      </w:r>
    </w:p>
    <w:p>
      <w:pPr>
        <w:pStyle w:val="29"/>
        <w:ind w:firstLine="420"/>
      </w:pPr>
      <w:r>
        <w:rPr>
          <w:rFonts w:hint="eastAsia"/>
        </w:rPr>
        <w:t>[8] GB/T 38209—2019 公共安全 演练指南</w:t>
      </w:r>
    </w:p>
    <w:p>
      <w:pPr>
        <w:pStyle w:val="29"/>
        <w:ind w:firstLine="420"/>
      </w:pPr>
      <w:r>
        <w:rPr>
          <w:rFonts w:hint="eastAsia"/>
        </w:rPr>
        <w:t>[9] AQ/T 9007—2019 生产安全事故应急演练基本规范</w:t>
      </w:r>
    </w:p>
    <w:p>
      <w:pPr>
        <w:pStyle w:val="29"/>
        <w:ind w:firstLine="420"/>
      </w:pPr>
      <w:r>
        <w:rPr>
          <w:rFonts w:hint="eastAsia"/>
        </w:rPr>
        <w:t>[10] AQ/T 9009—2015 生产安全事故应急演练评估规范</w:t>
      </w:r>
    </w:p>
    <w:bookmarkEnd w:id="231"/>
    <w:p>
      <w:pPr>
        <w:pStyle w:val="29"/>
        <w:ind w:firstLine="0" w:firstLineChars="0"/>
        <w:jc w:val="center"/>
      </w:pPr>
      <w:bookmarkStart w:id="233" w:name="BookMark8"/>
      <w:r>
        <w:drawing>
          <wp:inline distT="0" distB="0" distL="114300" distR="114300">
            <wp:extent cx="1485900" cy="317500"/>
            <wp:effectExtent l="0" t="0" r="0" b="0"/>
            <wp:docPr id="3" name="图片 1"/>
            <wp:cNvGraphicFramePr/>
            <a:graphic xmlns:a="http://schemas.openxmlformats.org/drawingml/2006/main">
              <a:graphicData uri="http://schemas.openxmlformats.org/drawingml/2006/picture">
                <pic:pic xmlns:pic="http://schemas.openxmlformats.org/drawingml/2006/picture">
                  <pic:nvPicPr>
                    <pic:cNvPr id="3" name="图片 1"/>
                    <pic:cNvPicPr/>
                  </pic:nvPicPr>
                  <pic:blipFill>
                    <a:blip r:embed="rId28"/>
                    <a:stretch>
                      <a:fillRect/>
                    </a:stretch>
                  </pic:blipFill>
                  <pic:spPr>
                    <a:xfrm>
                      <a:off x="0" y="0"/>
                      <a:ext cx="1485900" cy="317500"/>
                    </a:xfrm>
                    <a:prstGeom prst="rect">
                      <a:avLst/>
                    </a:prstGeom>
                    <a:noFill/>
                    <a:ln>
                      <a:noFill/>
                    </a:ln>
                  </pic:spPr>
                </pic:pic>
              </a:graphicData>
            </a:graphic>
          </wp:inline>
        </w:drawing>
      </w:r>
      <w:bookmarkEnd w:id="233"/>
    </w:p>
    <w:p>
      <w:pPr>
        <w:widowControl/>
        <w:spacing w:line="560" w:lineRule="exact"/>
        <w:rPr>
          <w:rFonts w:hint="eastAsia" w:ascii="宋体" w:hAnsi="宋体" w:eastAsia="方正公文黑体" w:cs="方正公文黑体"/>
          <w:sz w:val="32"/>
          <w:szCs w:val="32"/>
        </w:rPr>
      </w:pPr>
    </w:p>
    <w:p>
      <w:pPr>
        <w:pStyle w:val="2"/>
        <w:ind w:firstLine="640"/>
        <w:rPr>
          <w:rFonts w:hint="eastAsia"/>
        </w:rPr>
        <w:sectPr>
          <w:pgSz w:w="11906" w:h="16838"/>
          <w:pgMar w:top="1440" w:right="1800" w:bottom="1440" w:left="1800" w:header="851" w:footer="850" w:gutter="0"/>
          <w:pgBorders>
            <w:top w:val="none" w:sz="0" w:space="0"/>
            <w:left w:val="none" w:sz="0" w:space="0"/>
            <w:bottom w:val="none" w:sz="0" w:space="0"/>
            <w:right w:val="none" w:sz="0" w:space="0"/>
          </w:pgBorders>
          <w:cols w:space="720" w:num="1"/>
          <w:titlePg/>
          <w:docGrid w:type="lines" w:linePitch="312" w:charSpace="0"/>
        </w:sectPr>
      </w:pPr>
    </w:p>
    <w:p>
      <w:pPr>
        <w:pStyle w:val="2"/>
        <w:spacing w:line="250" w:lineRule="auto"/>
        <w:ind w:firstLine="640"/>
        <w:rPr>
          <w:rFonts w:hint="eastAsia"/>
        </w:rPr>
      </w:pPr>
    </w:p>
    <w:p>
      <w:pPr>
        <w:pStyle w:val="2"/>
        <w:spacing w:line="250" w:lineRule="auto"/>
        <w:ind w:firstLine="640"/>
        <w:rPr>
          <w:rFonts w:hint="eastAsia"/>
        </w:rPr>
      </w:pPr>
    </w:p>
    <w:p>
      <w:pPr>
        <w:pStyle w:val="2"/>
        <w:spacing w:line="250" w:lineRule="auto"/>
        <w:ind w:firstLine="640"/>
        <w:rPr>
          <w:rFonts w:hint="eastAsia"/>
        </w:rPr>
      </w:pPr>
    </w:p>
    <w:p>
      <w:pPr>
        <w:pStyle w:val="2"/>
        <w:spacing w:line="251" w:lineRule="auto"/>
        <w:ind w:firstLine="640"/>
        <w:rPr>
          <w:rFonts w:hint="eastAsia"/>
        </w:rPr>
      </w:pPr>
    </w:p>
    <w:p>
      <w:pPr>
        <w:pStyle w:val="2"/>
        <w:spacing w:line="251" w:lineRule="auto"/>
        <w:ind w:firstLine="640"/>
        <w:rPr>
          <w:rFonts w:hint="eastAsia"/>
        </w:rPr>
      </w:pPr>
    </w:p>
    <w:p>
      <w:pPr>
        <w:pStyle w:val="2"/>
        <w:spacing w:line="251" w:lineRule="auto"/>
        <w:ind w:firstLine="640"/>
        <w:rPr>
          <w:rFonts w:hint="eastAsia"/>
        </w:rPr>
      </w:pPr>
    </w:p>
    <w:p>
      <w:pPr>
        <w:spacing w:line="480" w:lineRule="auto"/>
        <w:jc w:val="center"/>
        <w:rPr>
          <w:rFonts w:hint="eastAsia" w:ascii="宋体" w:hAnsi="宋体" w:eastAsia="方正小标宋简体"/>
          <w:sz w:val="44"/>
          <w:szCs w:val="44"/>
        </w:rPr>
      </w:pPr>
      <w:r>
        <w:rPr>
          <w:rFonts w:hint="eastAsia" w:ascii="宋体" w:hAnsi="宋体" w:eastAsia="方正小标宋简体"/>
          <w:sz w:val="44"/>
          <w:szCs w:val="44"/>
        </w:rPr>
        <w:t>《地震应急演练评估指南》</w:t>
      </w:r>
    </w:p>
    <w:p>
      <w:pPr>
        <w:spacing w:line="480" w:lineRule="auto"/>
        <w:jc w:val="center"/>
        <w:rPr>
          <w:rFonts w:hint="eastAsia" w:ascii="宋体" w:hAnsi="宋体" w:eastAsia="仿宋"/>
          <w:sz w:val="32"/>
          <w:szCs w:val="32"/>
        </w:rPr>
      </w:pPr>
      <w:r>
        <w:rPr>
          <w:rFonts w:hint="eastAsia" w:ascii="宋体" w:hAnsi="宋体" w:eastAsia="仿宋"/>
          <w:sz w:val="32"/>
          <w:szCs w:val="32"/>
        </w:rPr>
        <w:t>（</w:t>
      </w:r>
      <w:r>
        <w:rPr>
          <w:rFonts w:hint="eastAsia" w:ascii="宋体" w:hAnsi="宋体"/>
          <w:b/>
          <w:sz w:val="32"/>
          <w:szCs w:val="32"/>
        </w:rPr>
        <w:t>☑</w:t>
      </w:r>
      <w:r>
        <w:rPr>
          <w:rFonts w:hint="eastAsia" w:ascii="宋体" w:hAnsi="宋体" w:eastAsia="仿宋"/>
          <w:sz w:val="32"/>
          <w:szCs w:val="32"/>
        </w:rPr>
        <w:t xml:space="preserve">征求意见稿 </w:t>
      </w:r>
      <w:r>
        <w:rPr>
          <w:rFonts w:hint="eastAsia" w:ascii="宋体" w:hAnsi="宋体" w:cs="Calibri"/>
        </w:rPr>
        <w:t xml:space="preserve"> </w:t>
      </w:r>
      <w:r>
        <w:rPr>
          <w:rFonts w:hint="eastAsia" w:ascii="Segoe UI Symbol" w:hAnsi="Segoe UI Symbol" w:eastAsia="宋体" w:cs="Segoe UI Symbol"/>
          <w:b/>
          <w:sz w:val="32"/>
          <w:szCs w:val="32"/>
        </w:rPr>
        <w:t>□</w:t>
      </w:r>
      <w:r>
        <w:rPr>
          <w:rFonts w:hint="eastAsia" w:ascii="宋体" w:hAnsi="宋体" w:eastAsia="仿宋"/>
          <w:sz w:val="32"/>
          <w:szCs w:val="32"/>
        </w:rPr>
        <w:t>送审稿</w:t>
      </w:r>
      <w:r>
        <w:rPr>
          <w:rFonts w:ascii="宋体" w:hAnsi="宋体" w:eastAsia="仿宋"/>
          <w:sz w:val="32"/>
          <w:szCs w:val="32"/>
        </w:rPr>
        <w:t xml:space="preserve"> </w:t>
      </w:r>
      <w:r>
        <w:rPr>
          <w:rFonts w:hint="eastAsia" w:ascii="宋体" w:hAnsi="宋体" w:cs="Calibri"/>
        </w:rPr>
        <w:t xml:space="preserve"> </w:t>
      </w:r>
      <w:r>
        <w:rPr>
          <w:rFonts w:hint="eastAsia" w:ascii="Segoe UI Symbol" w:hAnsi="Segoe UI Symbol" w:eastAsia="宋体" w:cs="Segoe UI Symbol"/>
          <w:b/>
          <w:sz w:val="32"/>
          <w:szCs w:val="32"/>
        </w:rPr>
        <w:t>□</w:t>
      </w:r>
      <w:r>
        <w:rPr>
          <w:rFonts w:hint="eastAsia" w:ascii="宋体" w:hAnsi="宋体" w:eastAsia="仿宋"/>
          <w:sz w:val="32"/>
          <w:szCs w:val="32"/>
        </w:rPr>
        <w:t>报批稿）</w:t>
      </w:r>
    </w:p>
    <w:p>
      <w:pPr>
        <w:spacing w:line="560" w:lineRule="exact"/>
        <w:jc w:val="center"/>
        <w:rPr>
          <w:rFonts w:hint="eastAsia" w:ascii="宋体" w:hAnsi="宋体" w:eastAsia="仿宋"/>
          <w:b/>
          <w:bCs/>
          <w:sz w:val="28"/>
          <w:szCs w:val="28"/>
        </w:rPr>
      </w:pPr>
      <w:r>
        <w:rPr>
          <w:rFonts w:ascii="宋体" w:hAnsi="宋体" w:eastAsia="仿宋"/>
          <w:sz w:val="28"/>
          <w:szCs w:val="28"/>
        </w:rPr>
        <w:br w:type="textWrapping"/>
      </w:r>
      <w:r>
        <w:rPr>
          <w:rFonts w:hint="eastAsia" w:ascii="宋体" w:hAnsi="宋体" w:eastAsia="方正小标宋简体"/>
          <w:sz w:val="44"/>
          <w:szCs w:val="44"/>
        </w:rPr>
        <w:t>编制说明</w:t>
      </w:r>
    </w:p>
    <w:p>
      <w:pPr>
        <w:pStyle w:val="2"/>
        <w:spacing w:line="245" w:lineRule="auto"/>
        <w:ind w:firstLine="640"/>
        <w:rPr>
          <w:rFonts w:hint="eastAsia"/>
        </w:rPr>
      </w:pPr>
    </w:p>
    <w:p>
      <w:pPr>
        <w:pStyle w:val="2"/>
        <w:spacing w:line="245" w:lineRule="auto"/>
        <w:ind w:firstLine="640"/>
        <w:rPr>
          <w:rFonts w:hint="eastAsia"/>
        </w:rPr>
      </w:pPr>
    </w:p>
    <w:p>
      <w:pPr>
        <w:pStyle w:val="2"/>
        <w:spacing w:line="246" w:lineRule="auto"/>
        <w:ind w:firstLine="640"/>
        <w:rPr>
          <w:rFonts w:hint="eastAsia"/>
        </w:rPr>
      </w:pPr>
    </w:p>
    <w:p>
      <w:pPr>
        <w:pStyle w:val="2"/>
        <w:spacing w:line="246" w:lineRule="auto"/>
        <w:ind w:firstLine="640"/>
        <w:rPr>
          <w:rFonts w:hint="eastAsia"/>
        </w:rPr>
      </w:pPr>
    </w:p>
    <w:p>
      <w:pPr>
        <w:pStyle w:val="2"/>
        <w:spacing w:line="246" w:lineRule="auto"/>
        <w:ind w:firstLine="640"/>
        <w:rPr>
          <w:rFonts w:hint="eastAsia"/>
        </w:rPr>
      </w:pPr>
    </w:p>
    <w:p>
      <w:pPr>
        <w:pStyle w:val="2"/>
        <w:spacing w:line="246" w:lineRule="auto"/>
        <w:ind w:firstLine="640"/>
        <w:rPr>
          <w:rFonts w:hint="eastAsia"/>
        </w:rPr>
      </w:pPr>
    </w:p>
    <w:p>
      <w:pPr>
        <w:pStyle w:val="2"/>
        <w:spacing w:line="246" w:lineRule="auto"/>
        <w:ind w:firstLine="640"/>
        <w:rPr>
          <w:rFonts w:hint="eastAsia"/>
        </w:rPr>
      </w:pPr>
    </w:p>
    <w:p>
      <w:pPr>
        <w:pStyle w:val="2"/>
        <w:spacing w:line="246" w:lineRule="auto"/>
        <w:ind w:firstLine="640"/>
        <w:rPr>
          <w:rFonts w:hint="eastAsia"/>
        </w:rPr>
      </w:pPr>
    </w:p>
    <w:p>
      <w:pPr>
        <w:spacing w:line="360" w:lineRule="auto"/>
        <w:jc w:val="center"/>
        <w:rPr>
          <w:rFonts w:hint="eastAsia" w:ascii="宋体" w:hAnsi="宋体" w:eastAsia="仿宋" w:cs="Times New Roman"/>
          <w:bCs/>
          <w:sz w:val="32"/>
          <w:szCs w:val="32"/>
        </w:rPr>
      </w:pPr>
      <w:r>
        <w:rPr>
          <w:rFonts w:hint="eastAsia" w:ascii="宋体" w:hAnsi="宋体" w:eastAsia="仿宋" w:cs="Times New Roman"/>
          <w:bCs/>
          <w:sz w:val="32"/>
          <w:szCs w:val="32"/>
        </w:rPr>
        <w:t>标准编制组</w:t>
      </w:r>
    </w:p>
    <w:p>
      <w:pPr>
        <w:spacing w:line="360" w:lineRule="auto"/>
        <w:jc w:val="center"/>
        <w:rPr>
          <w:rFonts w:hint="eastAsia" w:ascii="宋体" w:hAnsi="宋体" w:cs="Times New Roman"/>
          <w:sz w:val="32"/>
          <w:szCs w:val="32"/>
        </w:rPr>
        <w:sectPr>
          <w:headerReference r:id="rId24" w:type="default"/>
          <w:pgSz w:w="11900" w:h="16840"/>
          <w:pgMar w:top="1431" w:right="1785" w:bottom="0" w:left="1785" w:header="567" w:footer="850" w:gutter="0"/>
          <w:pgBorders>
            <w:top w:val="none" w:sz="0" w:space="0"/>
            <w:left w:val="none" w:sz="0" w:space="0"/>
            <w:bottom w:val="none" w:sz="0" w:space="0"/>
            <w:right w:val="none" w:sz="0" w:space="0"/>
          </w:pgBorders>
          <w:cols w:space="720" w:num="1"/>
          <w:docGrid w:linePitch="286" w:charSpace="0"/>
        </w:sectPr>
      </w:pPr>
      <w:r>
        <w:rPr>
          <w:rFonts w:hint="eastAsia" w:ascii="宋体" w:hAnsi="宋体" w:cs="Times New Roman"/>
          <w:sz w:val="32"/>
          <w:szCs w:val="32"/>
        </w:rPr>
        <w:t>2025年</w:t>
      </w:r>
      <w:r>
        <w:rPr>
          <w:rFonts w:hint="eastAsia" w:ascii="宋体" w:hAnsi="宋体" w:cs="Times New Roman"/>
          <w:sz w:val="32"/>
          <w:szCs w:val="32"/>
          <w:lang w:val="en-US" w:eastAsia="zh-CN"/>
        </w:rPr>
        <w:t>7</w:t>
      </w:r>
      <w:r>
        <w:rPr>
          <w:rFonts w:hint="eastAsia" w:ascii="宋体" w:hAnsi="宋体" w:cs="Times New Roman"/>
          <w:sz w:val="32"/>
          <w:szCs w:val="32"/>
        </w:rPr>
        <w:t>月</w:t>
      </w:r>
      <w:r>
        <w:rPr>
          <w:rFonts w:hint="eastAsia" w:ascii="宋体" w:hAnsi="宋体" w:cs="Times New Roman"/>
          <w:sz w:val="32"/>
          <w:szCs w:val="32"/>
          <w:lang w:val="en-US" w:eastAsia="zh-CN"/>
        </w:rPr>
        <w:t xml:space="preserve"> </w:t>
      </w:r>
      <w:r>
        <w:rPr>
          <w:rFonts w:hint="eastAsia" w:ascii="宋体" w:hAnsi="宋体" w:cs="Times New Roman"/>
          <w:sz w:val="32"/>
          <w:szCs w:val="32"/>
        </w:rPr>
        <w:t>日</w:t>
      </w:r>
    </w:p>
    <w:p>
      <w:pPr>
        <w:spacing w:after="120" w:afterLines="50"/>
        <w:jc w:val="center"/>
        <w:rPr>
          <w:rFonts w:hint="eastAsia" w:ascii="宋体" w:hAnsi="宋体" w:eastAsia="宋体" w:cs="Times New Roman"/>
          <w:b/>
          <w:bCs/>
          <w:sz w:val="32"/>
          <w:szCs w:val="32"/>
        </w:rPr>
      </w:pPr>
      <w:r>
        <w:rPr>
          <w:rFonts w:hint="eastAsia" w:ascii="宋体" w:hAnsi="宋体" w:eastAsia="宋体" w:cs="Times New Roman"/>
          <w:b/>
          <w:bCs/>
          <w:sz w:val="32"/>
          <w:szCs w:val="32"/>
        </w:rPr>
        <w:t>说明</w:t>
      </w:r>
    </w:p>
    <w:p>
      <w:pPr>
        <w:spacing w:line="360" w:lineRule="auto"/>
        <w:ind w:firstLine="420"/>
        <w:rPr>
          <w:rFonts w:hint="eastAsia" w:ascii="宋体" w:hAnsi="宋体" w:eastAsia="仿宋_GB2312" w:cs="Times New Roman"/>
          <w:sz w:val="24"/>
          <w:szCs w:val="24"/>
        </w:rPr>
      </w:pPr>
      <w:r>
        <w:rPr>
          <w:rFonts w:hint="eastAsia" w:ascii="宋体" w:hAnsi="宋体" w:eastAsia="仿宋_GB2312" w:cs="Times New Roman"/>
          <w:sz w:val="24"/>
          <w:szCs w:val="24"/>
        </w:rPr>
        <w:t>1.标准编制说明的封面</w:t>
      </w:r>
    </w:p>
    <w:p>
      <w:pPr>
        <w:spacing w:line="360" w:lineRule="auto"/>
        <w:ind w:firstLine="420"/>
        <w:rPr>
          <w:rFonts w:hint="eastAsia" w:ascii="宋体" w:hAnsi="宋体" w:eastAsia="仿宋_GB2312" w:cs="Times New Roman"/>
          <w:sz w:val="24"/>
          <w:szCs w:val="24"/>
        </w:rPr>
      </w:pPr>
      <w:r>
        <w:rPr>
          <w:rFonts w:hint="eastAsia" w:ascii="宋体" w:hAnsi="宋体" w:eastAsia="仿宋_GB2312" w:cs="Times New Roman"/>
          <w:sz w:val="24"/>
          <w:szCs w:val="24"/>
        </w:rPr>
        <w:t>（1）标准名称。应在封面靠上居中位置，与标准稿名称保持一致。字体字号为方正小标宋二号。</w:t>
      </w:r>
    </w:p>
    <w:p>
      <w:pPr>
        <w:spacing w:line="360" w:lineRule="auto"/>
        <w:ind w:firstLine="420"/>
        <w:rPr>
          <w:rFonts w:hint="eastAsia" w:ascii="宋体" w:hAnsi="宋体" w:eastAsia="仿宋_GB2312" w:cs="Times New Roman"/>
          <w:sz w:val="24"/>
          <w:szCs w:val="24"/>
        </w:rPr>
      </w:pPr>
      <w:r>
        <w:rPr>
          <w:rFonts w:hint="eastAsia" w:ascii="宋体" w:hAnsi="宋体" w:eastAsia="仿宋_GB2312" w:cs="Times New Roman"/>
          <w:sz w:val="24"/>
          <w:szCs w:val="24"/>
        </w:rPr>
        <w:t>（2）标准文稿版次。在标准名称下方“征求意见稿、送审稿、报批稿”前的方框涂选其一，例如“■征求意见稿”。字体字号为仿宋三号。</w:t>
      </w:r>
    </w:p>
    <w:p>
      <w:pPr>
        <w:spacing w:line="360" w:lineRule="auto"/>
        <w:ind w:firstLine="420"/>
        <w:rPr>
          <w:rFonts w:hint="eastAsia" w:ascii="宋体" w:hAnsi="宋体" w:eastAsia="仿宋_GB2312" w:cs="Times New Roman"/>
          <w:sz w:val="24"/>
          <w:szCs w:val="24"/>
        </w:rPr>
      </w:pPr>
      <w:r>
        <w:rPr>
          <w:rFonts w:hint="eastAsia" w:ascii="宋体" w:hAnsi="宋体" w:eastAsia="仿宋_GB2312" w:cs="Times New Roman"/>
          <w:sz w:val="24"/>
          <w:szCs w:val="24"/>
        </w:rPr>
        <w:t>（3）标准编制组。在封面靠下居中位置。字体字号为仿宋三号。</w:t>
      </w:r>
    </w:p>
    <w:p>
      <w:pPr>
        <w:spacing w:line="360" w:lineRule="auto"/>
        <w:ind w:firstLine="420"/>
        <w:rPr>
          <w:rFonts w:hint="eastAsia" w:ascii="宋体" w:hAnsi="宋体" w:eastAsia="仿宋_GB2312" w:cs="Times New Roman"/>
          <w:sz w:val="24"/>
          <w:szCs w:val="24"/>
        </w:rPr>
      </w:pPr>
      <w:r>
        <w:rPr>
          <w:rFonts w:hint="eastAsia" w:ascii="宋体" w:hAnsi="宋体" w:eastAsia="仿宋_GB2312" w:cs="Times New Roman"/>
          <w:sz w:val="24"/>
          <w:szCs w:val="24"/>
        </w:rPr>
        <w:t>（4）编制日期。编制日期为本阶段完成的日期，以数字格式书写，字体为宋体，字号为三号。如：“2020年3月30日”。</w:t>
      </w:r>
    </w:p>
    <w:p>
      <w:pPr>
        <w:spacing w:line="360" w:lineRule="auto"/>
        <w:ind w:firstLine="420"/>
        <w:rPr>
          <w:rFonts w:hint="eastAsia" w:ascii="宋体" w:hAnsi="宋体" w:eastAsia="仿宋_GB2312" w:cs="Times New Roman"/>
          <w:sz w:val="24"/>
          <w:szCs w:val="24"/>
        </w:rPr>
      </w:pPr>
      <w:r>
        <w:rPr>
          <w:rFonts w:hint="eastAsia" w:ascii="宋体" w:hAnsi="宋体" w:eastAsia="仿宋_GB2312" w:cs="Times New Roman"/>
          <w:sz w:val="24"/>
          <w:szCs w:val="24"/>
        </w:rPr>
        <w:t>2.标准编制说明的正文</w:t>
      </w:r>
    </w:p>
    <w:p>
      <w:pPr>
        <w:spacing w:line="360" w:lineRule="auto"/>
        <w:ind w:firstLine="420"/>
        <w:rPr>
          <w:rFonts w:hint="eastAsia" w:ascii="宋体" w:hAnsi="宋体" w:eastAsia="仿宋_GB2312" w:cs="Times New Roman"/>
          <w:sz w:val="24"/>
          <w:szCs w:val="24"/>
        </w:rPr>
      </w:pPr>
      <w:r>
        <w:rPr>
          <w:rFonts w:hint="eastAsia" w:ascii="宋体" w:hAnsi="宋体" w:eastAsia="仿宋_GB2312" w:cs="Times New Roman"/>
          <w:sz w:val="24"/>
          <w:szCs w:val="24"/>
        </w:rPr>
        <w:t>（1）正文页边距为上3cm、下2.6cm、左2.8cm、右2.6cm。</w:t>
      </w:r>
    </w:p>
    <w:p>
      <w:pPr>
        <w:spacing w:line="360" w:lineRule="auto"/>
        <w:ind w:firstLine="420"/>
        <w:rPr>
          <w:rFonts w:hint="eastAsia" w:ascii="宋体" w:hAnsi="宋体" w:eastAsia="仿宋_GB2312" w:cs="Times New Roman"/>
          <w:sz w:val="24"/>
          <w:szCs w:val="24"/>
        </w:rPr>
      </w:pPr>
      <w:r>
        <w:rPr>
          <w:rFonts w:hint="eastAsia" w:ascii="宋体" w:hAnsi="宋体" w:eastAsia="仿宋_GB2312" w:cs="Times New Roman"/>
          <w:sz w:val="24"/>
          <w:szCs w:val="24"/>
        </w:rPr>
        <w:t>（2）正文标题，一级标题用黑体三号字，二级标题用楷体三号字不加粗。三级、四级标题用仿宋GB-2312三号字不加粗。文中结构层次序数为“一”“（一）”“1.”“（1）”标注。</w:t>
      </w:r>
    </w:p>
    <w:p>
      <w:pPr>
        <w:spacing w:line="360" w:lineRule="auto"/>
        <w:ind w:firstLine="420"/>
        <w:rPr>
          <w:rFonts w:hint="eastAsia" w:ascii="宋体" w:hAnsi="宋体" w:eastAsia="仿宋_GB2312" w:cs="Times New Roman"/>
          <w:sz w:val="24"/>
          <w:szCs w:val="24"/>
        </w:rPr>
      </w:pPr>
      <w:r>
        <w:rPr>
          <w:rFonts w:hint="eastAsia" w:ascii="宋体" w:hAnsi="宋体" w:eastAsia="仿宋_GB2312" w:cs="Times New Roman"/>
          <w:sz w:val="24"/>
          <w:szCs w:val="24"/>
        </w:rPr>
        <w:t>（3）正文中文字体字号为仿宋GB-2312三号字，数字、字母等西文字体为宋体三号字，段落行距为28磅，首行缩进2字符。</w:t>
      </w:r>
    </w:p>
    <w:p>
      <w:pPr>
        <w:spacing w:line="360" w:lineRule="auto"/>
        <w:ind w:firstLine="420"/>
        <w:rPr>
          <w:rFonts w:hint="eastAsia" w:ascii="宋体" w:hAnsi="宋体" w:eastAsia="仿宋_GB2312" w:cs="Times New Roman"/>
          <w:sz w:val="24"/>
          <w:szCs w:val="24"/>
        </w:rPr>
      </w:pPr>
      <w:r>
        <w:rPr>
          <w:rFonts w:hint="eastAsia" w:ascii="宋体" w:hAnsi="宋体" w:eastAsia="仿宋_GB2312" w:cs="Times New Roman"/>
          <w:sz w:val="24"/>
          <w:szCs w:val="24"/>
        </w:rPr>
        <w:t>3.编制说明的内容</w:t>
      </w:r>
    </w:p>
    <w:p>
      <w:pPr>
        <w:spacing w:line="360" w:lineRule="auto"/>
        <w:ind w:firstLine="420"/>
        <w:rPr>
          <w:rFonts w:hint="eastAsia" w:ascii="宋体" w:hAnsi="宋体" w:eastAsia="仿宋_GB2312" w:cs="Times New Roman"/>
          <w:sz w:val="24"/>
          <w:szCs w:val="24"/>
        </w:rPr>
      </w:pPr>
      <w:r>
        <w:rPr>
          <w:rFonts w:hint="eastAsia" w:ascii="宋体" w:hAnsi="宋体" w:eastAsia="仿宋_GB2312" w:cs="Times New Roman"/>
          <w:sz w:val="24"/>
          <w:szCs w:val="24"/>
        </w:rPr>
        <w:t>（1）应按照格式要求逐条说明，不涉及的填“无”。</w:t>
      </w:r>
    </w:p>
    <w:p>
      <w:pPr>
        <w:spacing w:line="360" w:lineRule="auto"/>
        <w:ind w:firstLine="420"/>
        <w:rPr>
          <w:rFonts w:hint="eastAsia" w:ascii="宋体" w:hAnsi="宋体" w:eastAsia="仿宋_GB2312" w:cs="Times New Roman"/>
          <w:sz w:val="24"/>
          <w:szCs w:val="24"/>
        </w:rPr>
      </w:pPr>
      <w:r>
        <w:rPr>
          <w:rFonts w:hint="eastAsia" w:ascii="宋体" w:hAnsi="宋体" w:eastAsia="仿宋_GB2312" w:cs="Times New Roman"/>
          <w:sz w:val="24"/>
          <w:szCs w:val="24"/>
        </w:rPr>
        <w:t>（2）应根据工作进度不断补充完善，工作过程有连续性。</w:t>
      </w:r>
    </w:p>
    <w:p>
      <w:pPr>
        <w:spacing w:line="360" w:lineRule="auto"/>
        <w:ind w:firstLine="420"/>
        <w:rPr>
          <w:rFonts w:hint="eastAsia" w:ascii="宋体" w:hAnsi="宋体" w:eastAsia="仿宋_GB2312" w:cs="Times New Roman"/>
          <w:sz w:val="24"/>
          <w:szCs w:val="24"/>
        </w:rPr>
      </w:pPr>
      <w:r>
        <w:rPr>
          <w:rFonts w:hint="eastAsia" w:ascii="宋体" w:hAnsi="宋体" w:eastAsia="仿宋_GB2312" w:cs="Times New Roman"/>
          <w:sz w:val="24"/>
          <w:szCs w:val="24"/>
        </w:rPr>
        <w:t>（3）编制说明不是对标准内容的复制。</w:t>
      </w:r>
    </w:p>
    <w:p>
      <w:pPr>
        <w:spacing w:line="360" w:lineRule="auto"/>
        <w:ind w:firstLine="420"/>
        <w:rPr>
          <w:rFonts w:hint="eastAsia" w:ascii="宋体" w:hAnsi="宋体" w:eastAsia="仿宋_GB2312" w:cs="Times New Roman"/>
          <w:sz w:val="24"/>
          <w:szCs w:val="24"/>
        </w:rPr>
      </w:pPr>
      <w:r>
        <w:rPr>
          <w:rFonts w:hint="eastAsia" w:ascii="宋体" w:hAnsi="宋体" w:eastAsia="仿宋_GB2312" w:cs="Times New Roman"/>
          <w:sz w:val="24"/>
          <w:szCs w:val="24"/>
        </w:rPr>
        <w:t>（4）应关注强制性标准的依据、修订标准的主要技术内容比对、标准实施过渡期、强制性标准实施政策等重要内容的编写，详见下文模板。</w:t>
      </w:r>
    </w:p>
    <w:p>
      <w:pPr>
        <w:spacing w:line="360" w:lineRule="auto"/>
        <w:ind w:firstLine="420"/>
        <w:rPr>
          <w:rFonts w:hint="eastAsia" w:ascii="宋体" w:hAnsi="宋体" w:eastAsia="仿宋_GB2312" w:cs="Times New Roman"/>
          <w:sz w:val="24"/>
          <w:szCs w:val="24"/>
        </w:rPr>
      </w:pPr>
      <w:r>
        <w:rPr>
          <w:rFonts w:hint="eastAsia" w:ascii="宋体" w:hAnsi="宋体" w:eastAsia="仿宋_GB2312" w:cs="Times New Roman"/>
          <w:sz w:val="24"/>
          <w:szCs w:val="24"/>
        </w:rPr>
        <w:t>4.其他</w:t>
      </w:r>
    </w:p>
    <w:p>
      <w:pPr>
        <w:spacing w:line="360" w:lineRule="auto"/>
        <w:ind w:firstLine="420"/>
        <w:rPr>
          <w:rFonts w:hint="eastAsia" w:ascii="宋体" w:hAnsi="宋体" w:eastAsia="仿宋_GB2312" w:cs="Times New Roman"/>
          <w:sz w:val="24"/>
          <w:szCs w:val="24"/>
        </w:rPr>
      </w:pPr>
      <w:r>
        <w:rPr>
          <w:rFonts w:hint="eastAsia" w:ascii="宋体" w:hAnsi="宋体" w:eastAsia="仿宋_GB2312" w:cs="Times New Roman"/>
          <w:sz w:val="24"/>
          <w:szCs w:val="24"/>
        </w:rPr>
        <w:t>（1）编制说明内容模板中的斜体文字内容为参考，正式提交后应删除。</w:t>
      </w:r>
    </w:p>
    <w:p>
      <w:pPr>
        <w:spacing w:line="360" w:lineRule="auto"/>
        <w:ind w:firstLine="420"/>
        <w:rPr>
          <w:rFonts w:hint="eastAsia" w:ascii="宋体" w:hAnsi="宋体" w:eastAsia="仿宋_GB2312" w:cs="Times New Roman"/>
          <w:sz w:val="24"/>
          <w:szCs w:val="24"/>
        </w:rPr>
      </w:pPr>
      <w:r>
        <w:rPr>
          <w:rFonts w:hint="eastAsia" w:ascii="宋体" w:hAnsi="宋体" w:eastAsia="仿宋_GB2312" w:cs="Times New Roman"/>
          <w:sz w:val="24"/>
          <w:szCs w:val="24"/>
        </w:rPr>
        <w:t>（2）编制说明应正反面打印。本说明保留，打印首页反面。</w:t>
      </w:r>
    </w:p>
    <w:p>
      <w:pPr>
        <w:spacing w:line="360" w:lineRule="auto"/>
        <w:ind w:firstLine="420"/>
        <w:rPr>
          <w:rFonts w:hint="eastAsia" w:ascii="宋体" w:hAnsi="宋体" w:eastAsia="仿宋_GB2312" w:cs="Times New Roman"/>
          <w:sz w:val="24"/>
          <w:szCs w:val="24"/>
        </w:rPr>
      </w:pPr>
      <w:r>
        <w:rPr>
          <w:rFonts w:hint="eastAsia" w:ascii="宋体" w:hAnsi="宋体" w:eastAsia="仿宋_GB2312" w:cs="Times New Roman"/>
          <w:sz w:val="24"/>
          <w:szCs w:val="24"/>
        </w:rPr>
        <w:t>（3）页码从第三页开始编，起始页码为“1”，页码为五号宋体。</w:t>
      </w:r>
    </w:p>
    <w:p>
      <w:pPr>
        <w:spacing w:line="560" w:lineRule="exact"/>
        <w:ind w:firstLine="420"/>
        <w:rPr>
          <w:rFonts w:hint="eastAsia" w:ascii="方正仿宋_GB2312" w:hAnsi="方正仿宋_GB2312" w:eastAsia="方正仿宋_GB2312" w:cs="方正仿宋_GB2312"/>
          <w:sz w:val="24"/>
          <w:szCs w:val="24"/>
        </w:rPr>
        <w:sectPr>
          <w:pgSz w:w="12040" w:h="16940"/>
          <w:pgMar w:top="1439" w:right="1453" w:bottom="0" w:left="1559" w:header="0" w:footer="850" w:gutter="0"/>
          <w:pgBorders>
            <w:top w:val="none" w:sz="0" w:space="0"/>
            <w:left w:val="none" w:sz="0" w:space="0"/>
            <w:bottom w:val="none" w:sz="0" w:space="0"/>
            <w:right w:val="none" w:sz="0" w:space="0"/>
          </w:pgBorders>
          <w:cols w:space="720" w:num="1"/>
          <w:docGrid w:linePitch="286" w:charSpace="0"/>
        </w:sectPr>
      </w:pPr>
    </w:p>
    <w:p>
      <w:pPr>
        <w:spacing w:line="560" w:lineRule="exact"/>
        <w:jc w:val="center"/>
        <w:rPr>
          <w:rFonts w:hint="eastAsia" w:ascii="宋体" w:hAnsi="宋体" w:eastAsia="方正小标宋简体" w:cs="Times New Roman"/>
          <w:sz w:val="44"/>
          <w:szCs w:val="44"/>
        </w:rPr>
      </w:pPr>
      <w:r>
        <w:rPr>
          <w:rFonts w:hint="eastAsia" w:ascii="宋体" w:hAnsi="宋体" w:eastAsia="方正小标宋简体" w:cs="Times New Roman"/>
          <w:sz w:val="44"/>
          <w:szCs w:val="44"/>
        </w:rPr>
        <w:t>《地震应急演练评估指南》编制说明</w:t>
      </w:r>
    </w:p>
    <w:p>
      <w:pPr>
        <w:pStyle w:val="60"/>
        <w:kinsoku/>
        <w:autoSpaceDE/>
        <w:autoSpaceDN/>
        <w:ind w:firstLine="420" w:firstLineChars="0"/>
        <w:jc w:val="both"/>
        <w:textAlignment w:val="auto"/>
        <w:outlineLvl w:val="9"/>
        <w:rPr>
          <w:rFonts w:hint="eastAsia" w:ascii="宋体" w:hAnsi="宋体" w:cs="Times New Roman"/>
          <w:snapToGrid/>
          <w:kern w:val="2"/>
          <w:lang w:eastAsia="zh-CN"/>
        </w:rPr>
      </w:pPr>
    </w:p>
    <w:p>
      <w:pPr>
        <w:pStyle w:val="60"/>
        <w:keepNext w:val="0"/>
        <w:keepLines w:val="0"/>
        <w:pageBreakBefore w:val="0"/>
        <w:widowControl w:val="0"/>
        <w:kinsoku/>
        <w:wordWrap/>
        <w:topLinePunct w:val="0"/>
        <w:autoSpaceDE/>
        <w:autoSpaceDN/>
        <w:bidi w:val="0"/>
        <w:ind w:firstLine="420" w:firstLineChars="0"/>
        <w:jc w:val="both"/>
        <w:textAlignment w:val="auto"/>
        <w:rPr>
          <w:rFonts w:hint="eastAsia" w:ascii="宋体" w:hAnsi="宋体" w:cs="Times New Roman"/>
          <w:snapToGrid/>
          <w:kern w:val="2"/>
          <w:lang w:eastAsia="zh-CN"/>
        </w:rPr>
      </w:pPr>
      <w:r>
        <w:rPr>
          <w:rFonts w:hint="eastAsia" w:ascii="宋体" w:hAnsi="宋体" w:cs="Times New Roman"/>
          <w:snapToGrid/>
          <w:kern w:val="2"/>
          <w:lang w:eastAsia="zh-CN"/>
        </w:rPr>
        <w:t>一、工作简况</w:t>
      </w:r>
    </w:p>
    <w:p>
      <w:pPr>
        <w:pStyle w:val="61"/>
        <w:keepNext w:val="0"/>
        <w:keepLines w:val="0"/>
        <w:pageBreakBefore w:val="0"/>
        <w:widowControl w:val="0"/>
        <w:kinsoku/>
        <w:wordWrap/>
        <w:topLinePunct w:val="0"/>
        <w:autoSpaceDE/>
        <w:autoSpaceDN/>
        <w:bidi w:val="0"/>
        <w:ind w:firstLine="640"/>
        <w:jc w:val="both"/>
        <w:textAlignment w:val="auto"/>
        <w:rPr>
          <w:rFonts w:hint="eastAsia" w:cs="Times New Roman"/>
          <w:snapToGrid/>
          <w:kern w:val="2"/>
          <w:lang w:eastAsia="zh-CN"/>
        </w:rPr>
      </w:pPr>
      <w:r>
        <w:rPr>
          <w:rFonts w:hint="eastAsia" w:cs="Times New Roman"/>
          <w:snapToGrid/>
          <w:kern w:val="2"/>
          <w:lang w:eastAsia="zh-CN"/>
        </w:rPr>
        <w:t>（一）任务来源</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szCs w:val="32"/>
        </w:rPr>
      </w:pPr>
      <w:r>
        <w:rPr>
          <w:rFonts w:hint="eastAsia" w:ascii="宋体" w:hAnsi="宋体" w:eastAsia="仿宋_GB2312"/>
          <w:szCs w:val="32"/>
        </w:rPr>
        <w:t>2023年9月，《应急管理部办公厅关于印发2023年第二批行业标准制修订计划的通知》（应急厅函〔2023〕288号）中下达了行业标准《地震应急演练评估规范》的制订计划，计划号</w:t>
      </w:r>
      <w:r>
        <w:rPr>
          <w:rFonts w:hint="eastAsia" w:ascii="宋体" w:hAnsi="宋体" w:eastAsia="仿宋_GB2312"/>
          <w:szCs w:val="32"/>
          <w:lang w:val="en-US" w:eastAsia="zh-CN"/>
        </w:rPr>
        <w:t>为</w:t>
      </w:r>
      <w:r>
        <w:rPr>
          <w:rFonts w:hint="eastAsia" w:ascii="宋体" w:hAnsi="宋体" w:eastAsia="仿宋_GB2312"/>
          <w:szCs w:val="32"/>
        </w:rPr>
        <w:t xml:space="preserve"> 2023-YJ-03，标准编制周期16个月，主管业务司局（单位）为救援协调和预案管理局，由全国应急管理与减灾救灾标准化技术委员会（SAC/TC307）归口。本标准为推荐性行业标准。</w:t>
      </w:r>
    </w:p>
    <w:p>
      <w:pPr>
        <w:pStyle w:val="61"/>
        <w:keepNext w:val="0"/>
        <w:keepLines w:val="0"/>
        <w:pageBreakBefore w:val="0"/>
        <w:widowControl w:val="0"/>
        <w:kinsoku/>
        <w:wordWrap/>
        <w:topLinePunct w:val="0"/>
        <w:autoSpaceDE/>
        <w:autoSpaceDN/>
        <w:bidi w:val="0"/>
        <w:ind w:firstLine="640"/>
        <w:jc w:val="both"/>
        <w:textAlignment w:val="auto"/>
        <w:rPr>
          <w:rFonts w:hint="eastAsia" w:cs="Times New Roman"/>
          <w:snapToGrid/>
          <w:kern w:val="2"/>
          <w:lang w:eastAsia="zh-CN"/>
        </w:rPr>
      </w:pPr>
      <w:r>
        <w:rPr>
          <w:rFonts w:hint="eastAsia" w:cs="Times New Roman"/>
          <w:snapToGrid/>
          <w:kern w:val="2"/>
          <w:lang w:eastAsia="zh-CN"/>
        </w:rPr>
        <w:t>（二）制定背景</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szCs w:val="32"/>
        </w:rPr>
      </w:pPr>
      <w:r>
        <w:rPr>
          <w:rFonts w:hint="eastAsia" w:ascii="宋体" w:hAnsi="宋体" w:eastAsia="仿宋_GB2312"/>
          <w:szCs w:val="32"/>
        </w:rPr>
        <w:t>应急演练是检验预案、锻炼队伍、磨合机制、宣传教育、完善准备的重要方式。我国相关法律法规、标准规范等对应急演练和评估作了明确要求，为地震应急演练评估标准编制提供了依据。《中华人民共和国突发事件应对法》（2024年修订版）第四十二条明确规定，应急预案演练组织单位应当加强演练评估工作，并要求各地区各有关部门加强对本行政区域、本部门（行业、领域）应急预案演练的评估指导。《中华人民共和国防震减灾法》第四十四条明确了各地各部门地震应急演练职责，要求政府和有关部门、基层组织、机关、团体、企业、事业等单位组织开展必要的地震应急救援演练。《国家突发事件总体应急预案》</w:t>
      </w:r>
      <w:r>
        <w:rPr>
          <w:rFonts w:hint="eastAsia" w:eastAsia="仿宋_GB2312"/>
          <w:szCs w:val="32"/>
          <w:lang w:eastAsia="zh-CN"/>
        </w:rPr>
        <w:t>对国家相关应急指挥机构或者各类应急预案牵头编制部门，以及</w:t>
      </w:r>
      <w:r>
        <w:rPr>
          <w:rFonts w:hint="eastAsia" w:ascii="宋体" w:hAnsi="宋体" w:eastAsia="仿宋_GB2312"/>
          <w:szCs w:val="32"/>
        </w:rPr>
        <w:t>各地</w:t>
      </w:r>
      <w:r>
        <w:rPr>
          <w:rFonts w:hint="eastAsia" w:eastAsia="仿宋_GB2312"/>
          <w:szCs w:val="32"/>
          <w:lang w:eastAsia="zh-CN"/>
        </w:rPr>
        <w:t>有计划地组织对相关</w:t>
      </w:r>
      <w:r>
        <w:rPr>
          <w:rFonts w:hint="eastAsia" w:ascii="宋体" w:hAnsi="宋体" w:eastAsia="仿宋_GB2312"/>
          <w:szCs w:val="32"/>
        </w:rPr>
        <w:t>应急预案进行</w:t>
      </w:r>
      <w:r>
        <w:rPr>
          <w:rFonts w:hint="eastAsia" w:eastAsia="仿宋_GB2312"/>
          <w:szCs w:val="32"/>
          <w:lang w:eastAsia="zh-CN"/>
        </w:rPr>
        <w:t>演练提出了明确要求</w:t>
      </w:r>
      <w:r>
        <w:rPr>
          <w:rFonts w:hint="eastAsia" w:ascii="宋体" w:hAnsi="宋体" w:eastAsia="仿宋_GB2312"/>
          <w:szCs w:val="32"/>
        </w:rPr>
        <w:t>。《突发事件应急预案管理办法》第三十三条要求，应急预案演练组织单位应当加强演练评估，各地区各有关部门加强对本行政区域、本部门（行业、领域）应急预案演练的评估指导。《突发事件应急演练指南》（</w:t>
      </w:r>
      <w:r>
        <w:rPr>
          <w:rFonts w:ascii="宋体" w:hAnsi="宋体" w:eastAsia="仿宋_GB2312"/>
          <w:szCs w:val="32"/>
        </w:rPr>
        <w:t>应急办函〔2009〕62号</w:t>
      </w:r>
      <w:r>
        <w:rPr>
          <w:rFonts w:hint="eastAsia" w:ascii="宋体" w:hAnsi="宋体" w:eastAsia="仿宋_GB2312"/>
          <w:szCs w:val="32"/>
        </w:rPr>
        <w:t>）对演练基本概念、准备、实施、评估与总结等术语和基本流程进行了规范。</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szCs w:val="32"/>
        </w:rPr>
      </w:pPr>
      <w:r>
        <w:rPr>
          <w:rFonts w:hint="eastAsia" w:ascii="宋体" w:hAnsi="宋体" w:eastAsia="仿宋_GB2312"/>
          <w:szCs w:val="32"/>
        </w:rPr>
        <w:t>地震应急演练是地震应急准备的重要环节。我国地震灾害风险形势严峻，是世界上地震灾害最严重的国家之一。</w:t>
      </w:r>
      <w:r>
        <w:rPr>
          <w:rFonts w:hint="eastAsia" w:ascii="仿宋_GB2312" w:hAnsi="仿宋_GB2312" w:eastAsia="仿宋_GB2312" w:cs="仿宋_GB2312"/>
          <w:color w:val="000000"/>
          <w:szCs w:val="32"/>
        </w:rPr>
        <w:t>党中央、国务院高度重视防震减灾工作。党的十八大以来，习近平总书记多次对抗震救灾</w:t>
      </w:r>
      <w:r>
        <w:rPr>
          <w:rFonts w:hint="eastAsia" w:ascii="仿宋_GB2312" w:hAnsi="仿宋_GB2312" w:eastAsia="仿宋_GB2312" w:cs="仿宋_GB2312"/>
          <w:color w:val="000000"/>
          <w:szCs w:val="32"/>
          <w:lang w:eastAsia="zh-CN"/>
        </w:rPr>
        <w:t>工作</w:t>
      </w:r>
      <w:r>
        <w:rPr>
          <w:rFonts w:hint="eastAsia" w:ascii="仿宋_GB2312" w:hAnsi="仿宋_GB2312" w:eastAsia="仿宋_GB2312" w:cs="仿宋_GB2312"/>
          <w:color w:val="000000"/>
          <w:szCs w:val="32"/>
        </w:rPr>
        <w:t>作出重要指示批示，就防灾减灾救灾提出了一系列新理念新思想新战略。</w:t>
      </w:r>
      <w:r>
        <w:rPr>
          <w:rFonts w:hint="eastAsia" w:ascii="宋体" w:hAnsi="宋体" w:eastAsia="仿宋_GB2312"/>
          <w:szCs w:val="32"/>
        </w:rPr>
        <w:t>开展地震应急演练与评估不仅有利于提高地震应急能力，而且是检验地震应急预案科学性的有效手段。</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szCs w:val="32"/>
        </w:rPr>
      </w:pPr>
      <w:r>
        <w:rPr>
          <w:rFonts w:hint="eastAsia" w:ascii="宋体" w:hAnsi="宋体" w:eastAsia="仿宋_GB2312"/>
          <w:szCs w:val="32"/>
        </w:rPr>
        <w:t>目前，我国尚未形成系统化、规范化的地震应急演练评估技术标准体系，</w:t>
      </w:r>
      <w:r>
        <w:rPr>
          <w:rFonts w:hint="eastAsia" w:eastAsia="仿宋_GB2312"/>
          <w:szCs w:val="32"/>
          <w:lang w:eastAsia="zh-CN"/>
        </w:rPr>
        <w:t>存在</w:t>
      </w:r>
      <w:r>
        <w:rPr>
          <w:rFonts w:hint="eastAsia" w:ascii="宋体" w:hAnsi="宋体" w:eastAsia="仿宋_GB2312"/>
          <w:szCs w:val="32"/>
        </w:rPr>
        <w:t>演练流程规范化程度不高、实施效果评估体系缺失等突出问题，制约着演练成效的科学量化评估，亟需制定地震应急演练评估技术规范，建立多维度的评估指标和规范流程，为各级政府及职能部门提供科学依据和操作指引，切实提升地震应急演练实战化、规范化水平。</w:t>
      </w:r>
    </w:p>
    <w:p>
      <w:pPr>
        <w:pStyle w:val="61"/>
        <w:keepNext w:val="0"/>
        <w:keepLines w:val="0"/>
        <w:pageBreakBefore w:val="0"/>
        <w:widowControl w:val="0"/>
        <w:kinsoku/>
        <w:wordWrap/>
        <w:topLinePunct w:val="0"/>
        <w:autoSpaceDE/>
        <w:autoSpaceDN/>
        <w:bidi w:val="0"/>
        <w:ind w:firstLine="640"/>
        <w:jc w:val="both"/>
        <w:textAlignment w:val="auto"/>
        <w:rPr>
          <w:rFonts w:hint="eastAsia" w:cs="Times New Roman"/>
          <w:snapToGrid/>
          <w:kern w:val="2"/>
          <w:lang w:eastAsia="zh-CN"/>
        </w:rPr>
      </w:pPr>
      <w:r>
        <w:rPr>
          <w:rFonts w:hint="eastAsia" w:cs="Times New Roman"/>
          <w:snapToGrid/>
          <w:kern w:val="2"/>
          <w:lang w:eastAsia="zh-CN"/>
        </w:rPr>
        <w:t>（三）编制组组成</w:t>
      </w:r>
    </w:p>
    <w:p>
      <w:pPr>
        <w:pStyle w:val="62"/>
        <w:keepNext w:val="0"/>
        <w:keepLines w:val="0"/>
        <w:pageBreakBefore w:val="0"/>
        <w:widowControl w:val="0"/>
        <w:kinsoku/>
        <w:wordWrap/>
        <w:overflowPunct w:val="0"/>
        <w:topLinePunct w:val="0"/>
        <w:autoSpaceDE/>
        <w:autoSpaceDN/>
        <w:bidi w:val="0"/>
        <w:adjustRightInd w:val="0"/>
        <w:snapToGrid w:val="0"/>
        <w:ind w:firstLine="640"/>
        <w:textAlignment w:val="auto"/>
        <w:rPr>
          <w:rFonts w:hint="eastAsia" w:ascii="宋体" w:hAnsi="宋体" w:eastAsia="仿宋_GB2312"/>
          <w:szCs w:val="32"/>
        </w:rPr>
      </w:pPr>
      <w:r>
        <w:rPr>
          <w:rFonts w:hint="eastAsia" w:ascii="宋体" w:hAnsi="宋体" w:eastAsia="仿宋_GB2312"/>
          <w:szCs w:val="32"/>
        </w:rPr>
        <w:t>根据立项计划</w:t>
      </w:r>
      <w:r>
        <w:rPr>
          <w:rFonts w:hint="eastAsia" w:eastAsia="仿宋_GB2312"/>
          <w:szCs w:val="32"/>
          <w:lang w:eastAsia="zh-CN"/>
        </w:rPr>
        <w:t>和工作</w:t>
      </w:r>
      <w:r>
        <w:rPr>
          <w:rFonts w:hint="eastAsia" w:ascii="宋体" w:hAnsi="宋体" w:eastAsia="仿宋_GB2312"/>
          <w:szCs w:val="32"/>
        </w:rPr>
        <w:t>安排，标准编制工作组</w:t>
      </w:r>
      <w:r>
        <w:rPr>
          <w:rFonts w:hint="eastAsia" w:eastAsia="仿宋_GB2312"/>
          <w:szCs w:val="32"/>
          <w:lang w:eastAsia="zh-CN"/>
        </w:rPr>
        <w:t>于</w:t>
      </w:r>
      <w:r>
        <w:rPr>
          <w:rFonts w:hint="eastAsia" w:ascii="宋体" w:hAnsi="宋体" w:eastAsia="仿宋_GB2312"/>
          <w:szCs w:val="32"/>
        </w:rPr>
        <w:t>2023年9月正式成立。由中国地震应急搜救中心牵头</w:t>
      </w:r>
      <w:r>
        <w:rPr>
          <w:rFonts w:hint="eastAsia" w:eastAsia="仿宋_GB2312"/>
          <w:szCs w:val="32"/>
          <w:lang w:eastAsia="zh-CN"/>
        </w:rPr>
        <w:t>，</w:t>
      </w:r>
      <w:r>
        <w:rPr>
          <w:rFonts w:hint="eastAsia" w:ascii="宋体" w:hAnsi="宋体" w:eastAsia="仿宋_GB2312"/>
          <w:szCs w:val="32"/>
        </w:rPr>
        <w:t>组织标准编制成员单位</w:t>
      </w:r>
      <w:r>
        <w:rPr>
          <w:rFonts w:hint="eastAsia" w:eastAsia="仿宋_GB2312"/>
          <w:szCs w:val="32"/>
          <w:lang w:eastAsia="zh-CN"/>
        </w:rPr>
        <w:t>建立工作</w:t>
      </w:r>
      <w:r>
        <w:rPr>
          <w:rFonts w:hint="eastAsia" w:ascii="宋体" w:hAnsi="宋体" w:eastAsia="仿宋_GB2312"/>
          <w:szCs w:val="32"/>
        </w:rPr>
        <w:t>协同机制，研究标准编制工作方案，</w:t>
      </w:r>
      <w:r>
        <w:rPr>
          <w:rFonts w:hint="eastAsia" w:eastAsia="仿宋_GB2312"/>
          <w:szCs w:val="32"/>
          <w:lang w:eastAsia="zh-CN"/>
        </w:rPr>
        <w:t>设定</w:t>
      </w:r>
      <w:r>
        <w:rPr>
          <w:rFonts w:hint="eastAsia" w:ascii="宋体" w:hAnsi="宋体" w:eastAsia="仿宋_GB2312"/>
          <w:szCs w:val="32"/>
        </w:rPr>
        <w:t>编制工作实施路径与进度节点，</w:t>
      </w:r>
      <w:r>
        <w:rPr>
          <w:rFonts w:hint="eastAsia" w:eastAsia="仿宋_GB2312"/>
          <w:szCs w:val="32"/>
          <w:lang w:eastAsia="zh-CN"/>
        </w:rPr>
        <w:t>推进</w:t>
      </w:r>
      <w:r>
        <w:rPr>
          <w:rFonts w:hint="eastAsia" w:ascii="宋体" w:hAnsi="宋体" w:eastAsia="仿宋_GB2312"/>
          <w:szCs w:val="32"/>
        </w:rPr>
        <w:t>标准框架搭建及核心指标论证，稳步推进标准编制各阶段</w:t>
      </w:r>
      <w:r>
        <w:rPr>
          <w:rFonts w:hint="eastAsia" w:eastAsia="仿宋_GB2312"/>
          <w:szCs w:val="32"/>
          <w:lang w:eastAsia="zh-CN"/>
        </w:rPr>
        <w:t>工作</w:t>
      </w:r>
      <w:r>
        <w:rPr>
          <w:rFonts w:hint="eastAsia" w:ascii="宋体" w:hAnsi="宋体" w:eastAsia="仿宋_GB2312"/>
          <w:szCs w:val="32"/>
        </w:rPr>
        <w:t>任务落实。</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楷体" w:cs="Times New Roman"/>
          <w:bCs/>
          <w:szCs w:val="28"/>
        </w:rPr>
      </w:pPr>
      <w:r>
        <w:rPr>
          <w:rFonts w:hint="eastAsia" w:ascii="宋体" w:hAnsi="宋体" w:eastAsia="楷体" w:cs="Times New Roman"/>
          <w:bCs/>
          <w:szCs w:val="28"/>
        </w:rPr>
        <w:t>（四）主要编制过程</w:t>
      </w:r>
    </w:p>
    <w:p>
      <w:pPr>
        <w:pStyle w:val="61"/>
        <w:keepNext w:val="0"/>
        <w:keepLines w:val="0"/>
        <w:pageBreakBefore w:val="0"/>
        <w:widowControl w:val="0"/>
        <w:kinsoku/>
        <w:wordWrap/>
        <w:topLinePunct w:val="0"/>
        <w:autoSpaceDE/>
        <w:autoSpaceDN/>
        <w:bidi w:val="0"/>
        <w:ind w:left="641" w:firstLine="0" w:firstLineChars="0"/>
        <w:jc w:val="both"/>
        <w:textAlignment w:val="auto"/>
        <w:outlineLvl w:val="2"/>
        <w:rPr>
          <w:rFonts w:hint="eastAsia" w:cs="Times New Roman"/>
          <w:snapToGrid/>
          <w:kern w:val="2"/>
          <w:lang w:eastAsia="zh-CN"/>
        </w:rPr>
      </w:pPr>
      <w:r>
        <w:rPr>
          <w:rFonts w:hint="eastAsia" w:cs="Times New Roman"/>
          <w:snapToGrid/>
          <w:kern w:val="2"/>
          <w:lang w:eastAsia="zh-CN"/>
        </w:rPr>
        <w:t>1.初稿编制阶段</w:t>
      </w:r>
    </w:p>
    <w:p>
      <w:pPr>
        <w:pStyle w:val="62"/>
        <w:keepNext w:val="0"/>
        <w:keepLines w:val="0"/>
        <w:pageBreakBefore w:val="0"/>
        <w:widowControl w:val="0"/>
        <w:kinsoku/>
        <w:wordWrap/>
        <w:overflowPunct w:val="0"/>
        <w:topLinePunct w:val="0"/>
        <w:autoSpaceDE/>
        <w:autoSpaceDN/>
        <w:bidi w:val="0"/>
        <w:adjustRightInd w:val="0"/>
        <w:snapToGrid w:val="0"/>
        <w:ind w:firstLine="640"/>
        <w:textAlignment w:val="auto"/>
        <w:rPr>
          <w:rFonts w:hint="eastAsia" w:ascii="宋体" w:hAnsi="宋体" w:eastAsia="仿宋_GB2312" w:cs="Times New Roman"/>
          <w:color w:val="0000FF"/>
        </w:rPr>
      </w:pPr>
      <w:r>
        <w:rPr>
          <w:rFonts w:hint="eastAsia" w:ascii="宋体" w:hAnsi="宋体" w:eastAsia="仿宋_GB2312" w:cs="Times New Roman"/>
        </w:rPr>
        <w:t>2021年起，编制组牵头单位多次组织“应急使命”系列</w:t>
      </w:r>
      <w:r>
        <w:rPr>
          <w:rFonts w:hint="eastAsia" w:eastAsia="仿宋_GB2312" w:cs="Times New Roman"/>
          <w:lang w:eastAsia="zh-CN"/>
        </w:rPr>
        <w:t>演练</w:t>
      </w:r>
      <w:r>
        <w:rPr>
          <w:rFonts w:hint="eastAsia" w:ascii="宋体" w:hAnsi="宋体" w:eastAsia="仿宋_GB2312" w:cs="Times New Roman"/>
        </w:rPr>
        <w:t>评估工作，系统总结演练评估工作的演练准备、基本内容、评估流程、评估方法</w:t>
      </w:r>
      <w:r>
        <w:rPr>
          <w:rFonts w:hint="eastAsia" w:eastAsia="仿宋_GB2312" w:cs="Times New Roman"/>
          <w:lang w:eastAsia="zh-CN"/>
        </w:rPr>
        <w:t>、</w:t>
      </w:r>
      <w:r>
        <w:rPr>
          <w:rFonts w:hint="eastAsia" w:ascii="宋体" w:hAnsi="宋体" w:eastAsia="仿宋_GB2312" w:cs="Times New Roman"/>
        </w:rPr>
        <w:t>评估总结等内容，梳理标准文本基本框架，形成</w:t>
      </w:r>
      <w:r>
        <w:rPr>
          <w:rFonts w:hint="eastAsia" w:eastAsia="仿宋_GB2312" w:cs="Times New Roman"/>
          <w:lang w:eastAsia="zh-CN"/>
        </w:rPr>
        <w:t>了立项申报</w:t>
      </w:r>
      <w:r>
        <w:rPr>
          <w:rFonts w:hint="eastAsia" w:ascii="宋体" w:hAnsi="宋体" w:eastAsia="仿宋_GB2312" w:cs="Times New Roman"/>
        </w:rPr>
        <w:t>草案稿。</w:t>
      </w:r>
    </w:p>
    <w:p>
      <w:pPr>
        <w:pStyle w:val="62"/>
        <w:keepNext w:val="0"/>
        <w:keepLines w:val="0"/>
        <w:pageBreakBefore w:val="0"/>
        <w:widowControl w:val="0"/>
        <w:kinsoku/>
        <w:wordWrap/>
        <w:overflowPunct w:val="0"/>
        <w:topLinePunct w:val="0"/>
        <w:autoSpaceDE/>
        <w:autoSpaceDN/>
        <w:bidi w:val="0"/>
        <w:adjustRightInd w:val="0"/>
        <w:snapToGrid w:val="0"/>
        <w:ind w:firstLine="640"/>
        <w:textAlignment w:val="auto"/>
        <w:rPr>
          <w:rFonts w:hint="eastAsia" w:ascii="宋体" w:hAnsi="宋体" w:eastAsia="仿宋_GB2312" w:cs="Times New Roman"/>
        </w:rPr>
      </w:pPr>
      <w:r>
        <w:rPr>
          <w:rFonts w:hint="eastAsia" w:ascii="宋体" w:hAnsi="宋体" w:eastAsia="仿宋_GB2312" w:cs="Times New Roman"/>
        </w:rPr>
        <w:t>2023年9月标准立项后，编制组</w:t>
      </w:r>
      <w:r>
        <w:rPr>
          <w:rFonts w:hint="eastAsia" w:eastAsia="仿宋_GB2312" w:cs="Times New Roman"/>
          <w:lang w:eastAsia="zh-CN"/>
        </w:rPr>
        <w:t>在</w:t>
      </w:r>
      <w:r>
        <w:rPr>
          <w:rFonts w:hint="eastAsia" w:ascii="宋体" w:hAnsi="宋体" w:eastAsia="仿宋_GB2312" w:cs="Times New Roman"/>
        </w:rPr>
        <w:t>分析研究国内外有关地震应急演练评估的方法、制度等方面文献基础上，进一步修改完善了草案稿，并在国家和地方</w:t>
      </w:r>
      <w:r>
        <w:rPr>
          <w:rFonts w:hint="eastAsia" w:eastAsia="仿宋_GB2312" w:cs="Times New Roman"/>
          <w:lang w:eastAsia="zh-CN"/>
        </w:rPr>
        <w:t>有关</w:t>
      </w:r>
      <w:r>
        <w:rPr>
          <w:rFonts w:hint="eastAsia" w:ascii="宋体" w:hAnsi="宋体" w:eastAsia="仿宋_GB2312" w:cs="Times New Roman"/>
        </w:rPr>
        <w:t>地震应急演练中进行验证，对</w:t>
      </w:r>
      <w:r>
        <w:rPr>
          <w:rFonts w:hint="eastAsia" w:eastAsia="仿宋_GB2312" w:cs="Times New Roman"/>
          <w:lang w:eastAsia="zh-CN"/>
        </w:rPr>
        <w:t>相关</w:t>
      </w:r>
      <w:r>
        <w:rPr>
          <w:rFonts w:hint="eastAsia" w:ascii="宋体" w:hAnsi="宋体" w:eastAsia="仿宋_GB2312" w:cs="Times New Roman"/>
        </w:rPr>
        <w:t>技术内容进行优化。同时，组织专家进行交流讨论，持续对演练评估准备、实施、总结与跟踪等</w:t>
      </w:r>
      <w:r>
        <w:rPr>
          <w:rFonts w:hint="eastAsia" w:eastAsia="仿宋_GB2312" w:cs="Times New Roman"/>
          <w:lang w:eastAsia="zh-CN"/>
        </w:rPr>
        <w:t>内容</w:t>
      </w:r>
      <w:r>
        <w:rPr>
          <w:rFonts w:hint="eastAsia" w:ascii="宋体" w:hAnsi="宋体" w:eastAsia="仿宋_GB2312" w:cs="Times New Roman"/>
        </w:rPr>
        <w:t>进行完善修改。</w:t>
      </w:r>
    </w:p>
    <w:p>
      <w:pPr>
        <w:pStyle w:val="62"/>
        <w:keepNext w:val="0"/>
        <w:keepLines w:val="0"/>
        <w:pageBreakBefore w:val="0"/>
        <w:widowControl w:val="0"/>
        <w:kinsoku/>
        <w:wordWrap/>
        <w:overflowPunct w:val="0"/>
        <w:topLinePunct w:val="0"/>
        <w:autoSpaceDE/>
        <w:autoSpaceDN/>
        <w:bidi w:val="0"/>
        <w:adjustRightInd w:val="0"/>
        <w:snapToGrid w:val="0"/>
        <w:ind w:firstLine="640"/>
        <w:textAlignment w:val="auto"/>
        <w:rPr>
          <w:rFonts w:hint="eastAsia" w:ascii="宋体" w:hAnsi="宋体" w:eastAsia="仿宋_GB2312" w:cs="Times New Roman"/>
          <w:lang w:eastAsia="zh-CN"/>
        </w:rPr>
      </w:pPr>
      <w:r>
        <w:rPr>
          <w:rFonts w:hint="eastAsia" w:ascii="宋体" w:hAnsi="宋体" w:eastAsia="仿宋_GB2312" w:cs="Times New Roman"/>
        </w:rPr>
        <w:t>2024年10月，编制组召开标准技术咨询会。专家组就标准的立项情况、编制定位、内容范围及具体指标确立等内容进行咨询和讨论，并形成咨询意见，建议将标准名称</w:t>
      </w:r>
      <w:r>
        <w:rPr>
          <w:rFonts w:hint="eastAsia" w:eastAsia="仿宋_GB2312" w:cs="Times New Roman"/>
          <w:lang w:eastAsia="zh-CN"/>
        </w:rPr>
        <w:t>调整</w:t>
      </w:r>
      <w:r>
        <w:rPr>
          <w:rFonts w:hint="eastAsia" w:ascii="宋体" w:hAnsi="宋体" w:eastAsia="仿宋_GB2312" w:cs="Times New Roman"/>
        </w:rPr>
        <w:t>为《地震应急演练评估指南》。</w:t>
      </w:r>
      <w:r>
        <w:rPr>
          <w:rFonts w:hint="eastAsia" w:eastAsia="仿宋_GB2312" w:cs="Times New Roman"/>
          <w:lang w:eastAsia="zh-CN"/>
        </w:rPr>
        <w:t>根据专家组意见，并按程序报批后正式将标准名称予以调整。</w:t>
      </w:r>
    </w:p>
    <w:p>
      <w:pPr>
        <w:pStyle w:val="62"/>
        <w:keepNext w:val="0"/>
        <w:keepLines w:val="0"/>
        <w:pageBreakBefore w:val="0"/>
        <w:widowControl w:val="0"/>
        <w:kinsoku/>
        <w:wordWrap/>
        <w:overflowPunct w:val="0"/>
        <w:topLinePunct w:val="0"/>
        <w:autoSpaceDE/>
        <w:autoSpaceDN/>
        <w:bidi w:val="0"/>
        <w:adjustRightInd w:val="0"/>
        <w:snapToGrid w:val="0"/>
        <w:ind w:firstLine="640"/>
        <w:textAlignment w:val="auto"/>
        <w:rPr>
          <w:rFonts w:hint="eastAsia" w:ascii="宋体" w:hAnsi="宋体" w:eastAsia="仿宋_GB2312" w:cs="Times New Roman"/>
        </w:rPr>
      </w:pPr>
      <w:r>
        <w:rPr>
          <w:rFonts w:hint="eastAsia" w:ascii="宋体" w:hAnsi="宋体" w:eastAsia="仿宋_GB2312" w:cs="Times New Roman"/>
        </w:rPr>
        <w:t>2024年12月</w:t>
      </w:r>
      <w:r>
        <w:rPr>
          <w:rFonts w:hint="eastAsia" w:ascii="宋体" w:hAnsi="宋体" w:eastAsia="仿宋_GB2312" w:cs="Times New Roman"/>
          <w:lang w:eastAsia="zh-CN"/>
        </w:rPr>
        <w:t>，</w:t>
      </w:r>
      <w:r>
        <w:rPr>
          <w:rFonts w:hint="eastAsia" w:eastAsia="仿宋_GB2312" w:cs="Times New Roman"/>
          <w:lang w:eastAsia="zh-CN"/>
        </w:rPr>
        <w:t>正在制订过程中的</w:t>
      </w:r>
      <w:r>
        <w:rPr>
          <w:rFonts w:hint="eastAsia" w:ascii="仿宋_GB2312" w:hAnsi="宋体" w:eastAsia="仿宋_GB2312"/>
          <w:szCs w:val="32"/>
        </w:rPr>
        <w:t>国家标准《突发事件应急演练评估指南（征求意见稿）》向社会</w:t>
      </w:r>
      <w:r>
        <w:rPr>
          <w:rFonts w:hint="eastAsia" w:ascii="仿宋_GB2312" w:eastAsia="仿宋_GB2312"/>
          <w:szCs w:val="32"/>
          <w:lang w:eastAsia="zh-CN"/>
        </w:rPr>
        <w:t>面</w:t>
      </w:r>
      <w:r>
        <w:rPr>
          <w:rFonts w:hint="eastAsia" w:ascii="仿宋_GB2312" w:hAnsi="宋体" w:eastAsia="仿宋_GB2312"/>
          <w:szCs w:val="32"/>
        </w:rPr>
        <w:t>公开征求意见</w:t>
      </w:r>
      <w:r>
        <w:rPr>
          <w:rFonts w:hint="eastAsia" w:ascii="仿宋_GB2312" w:eastAsia="仿宋_GB2312"/>
          <w:szCs w:val="32"/>
          <w:lang w:eastAsia="zh-CN"/>
        </w:rPr>
        <w:t>。考虑到</w:t>
      </w:r>
      <w:r>
        <w:rPr>
          <w:rFonts w:hint="eastAsia" w:ascii="仿宋_GB2312" w:hAnsi="宋体" w:eastAsia="仿宋_GB2312"/>
          <w:szCs w:val="32"/>
        </w:rPr>
        <w:t>本标准属于突发事件应急演练评估系列标准之一，</w:t>
      </w:r>
      <w:r>
        <w:rPr>
          <w:rFonts w:hint="eastAsia" w:ascii="仿宋_GB2312" w:eastAsia="仿宋_GB2312"/>
          <w:szCs w:val="32"/>
          <w:lang w:eastAsia="zh-CN"/>
        </w:rPr>
        <w:t>应当</w:t>
      </w:r>
      <w:r>
        <w:rPr>
          <w:rFonts w:hint="eastAsia" w:ascii="仿宋_GB2312" w:hAnsi="宋体" w:eastAsia="仿宋_GB2312"/>
          <w:szCs w:val="32"/>
        </w:rPr>
        <w:t>与</w:t>
      </w:r>
      <w:r>
        <w:rPr>
          <w:rFonts w:hint="eastAsia" w:ascii="仿宋_GB2312" w:eastAsia="仿宋_GB2312"/>
          <w:szCs w:val="32"/>
          <w:lang w:eastAsia="zh-CN"/>
        </w:rPr>
        <w:t>相关</w:t>
      </w:r>
      <w:r>
        <w:rPr>
          <w:rFonts w:hint="eastAsia" w:ascii="仿宋_GB2312" w:hAnsi="宋体" w:eastAsia="仿宋_GB2312"/>
          <w:szCs w:val="32"/>
        </w:rPr>
        <w:t>国家标准的体系结构</w:t>
      </w:r>
      <w:r>
        <w:rPr>
          <w:rFonts w:hint="eastAsia" w:ascii="仿宋_GB2312" w:eastAsia="仿宋_GB2312"/>
          <w:szCs w:val="32"/>
          <w:lang w:eastAsia="zh-CN"/>
        </w:rPr>
        <w:t>、</w:t>
      </w:r>
      <w:r>
        <w:rPr>
          <w:rFonts w:hint="eastAsia" w:ascii="仿宋_GB2312" w:hAnsi="宋体" w:eastAsia="仿宋_GB2312"/>
          <w:szCs w:val="32"/>
        </w:rPr>
        <w:t>技术条款</w:t>
      </w:r>
      <w:r>
        <w:rPr>
          <w:rFonts w:hint="eastAsia" w:ascii="仿宋_GB2312" w:eastAsia="仿宋_GB2312"/>
          <w:szCs w:val="32"/>
          <w:lang w:eastAsia="zh-CN"/>
        </w:rPr>
        <w:t>等</w:t>
      </w:r>
      <w:r>
        <w:rPr>
          <w:rFonts w:hint="eastAsia" w:ascii="仿宋_GB2312" w:hAnsi="宋体" w:eastAsia="仿宋_GB2312"/>
          <w:szCs w:val="32"/>
        </w:rPr>
        <w:t>保持协调性和一致性，经</w:t>
      </w:r>
      <w:r>
        <w:rPr>
          <w:rFonts w:hint="eastAsia" w:ascii="仿宋_GB2312" w:eastAsia="仿宋_GB2312"/>
          <w:szCs w:val="32"/>
          <w:lang w:eastAsia="zh-CN"/>
        </w:rPr>
        <w:t>报</w:t>
      </w:r>
      <w:r>
        <w:rPr>
          <w:rFonts w:hint="eastAsia" w:ascii="仿宋_GB2312" w:hAnsi="宋体" w:eastAsia="仿宋_GB2312"/>
          <w:szCs w:val="32"/>
        </w:rPr>
        <w:t>全国应急管理与减灾救灾标准化技术委员会</w:t>
      </w:r>
      <w:r>
        <w:rPr>
          <w:rFonts w:hint="eastAsia" w:ascii="仿宋_GB2312" w:eastAsia="仿宋_GB2312"/>
          <w:szCs w:val="32"/>
          <w:lang w:eastAsia="zh-CN"/>
        </w:rPr>
        <w:t>同意</w:t>
      </w:r>
      <w:r>
        <w:rPr>
          <w:rFonts w:hint="eastAsia" w:ascii="仿宋_GB2312" w:hAnsi="宋体" w:eastAsia="仿宋_GB2312"/>
          <w:szCs w:val="32"/>
        </w:rPr>
        <w:t>，</w:t>
      </w:r>
      <w:r>
        <w:rPr>
          <w:rFonts w:hint="eastAsia" w:ascii="仿宋_GB2312" w:eastAsia="仿宋_GB2312"/>
          <w:szCs w:val="32"/>
          <w:lang w:eastAsia="zh-CN"/>
        </w:rPr>
        <w:t>标准正式报批</w:t>
      </w:r>
      <w:r>
        <w:rPr>
          <w:rFonts w:hint="eastAsia" w:eastAsia="仿宋_GB2312" w:cs="Times New Roman"/>
          <w:lang w:eastAsia="zh-CN"/>
        </w:rPr>
        <w:t>时间相应</w:t>
      </w:r>
      <w:r>
        <w:rPr>
          <w:rFonts w:hint="eastAsia" w:ascii="宋体" w:hAnsi="宋体" w:eastAsia="仿宋_GB2312" w:cs="Times New Roman"/>
        </w:rPr>
        <w:t>延期。</w:t>
      </w:r>
    </w:p>
    <w:p>
      <w:pPr>
        <w:pStyle w:val="62"/>
        <w:keepNext w:val="0"/>
        <w:keepLines w:val="0"/>
        <w:pageBreakBefore w:val="0"/>
        <w:widowControl w:val="0"/>
        <w:kinsoku/>
        <w:wordWrap/>
        <w:overflowPunct w:val="0"/>
        <w:topLinePunct w:val="0"/>
        <w:autoSpaceDE/>
        <w:autoSpaceDN/>
        <w:bidi w:val="0"/>
        <w:adjustRightInd w:val="0"/>
        <w:snapToGrid w:val="0"/>
        <w:ind w:firstLine="640"/>
        <w:textAlignment w:val="auto"/>
        <w:rPr>
          <w:rFonts w:hint="eastAsia" w:ascii="宋体" w:hAnsi="宋体" w:eastAsia="仿宋_GB2312" w:cs="Times New Roman"/>
        </w:rPr>
      </w:pPr>
      <w:r>
        <w:rPr>
          <w:rFonts w:hint="eastAsia" w:ascii="宋体" w:hAnsi="宋体" w:eastAsia="仿宋_GB2312" w:cs="Times New Roman"/>
        </w:rPr>
        <w:t>2025年3月，编制组认真学习</w:t>
      </w:r>
      <w:r>
        <w:rPr>
          <w:rFonts w:hint="eastAsia" w:eastAsia="仿宋_GB2312" w:cs="Times New Roman"/>
          <w:lang w:eastAsia="zh-CN"/>
        </w:rPr>
        <w:t>新修订出台的</w:t>
      </w:r>
      <w:r>
        <w:rPr>
          <w:rFonts w:hint="eastAsia" w:ascii="宋体" w:hAnsi="宋体" w:eastAsia="仿宋_GB2312" w:cs="Times New Roman"/>
        </w:rPr>
        <w:t>《国家突发事件总体应急预案》，参照</w:t>
      </w:r>
      <w:r>
        <w:rPr>
          <w:rFonts w:hint="eastAsia" w:eastAsia="仿宋_GB2312" w:cs="Times New Roman"/>
          <w:lang w:eastAsia="zh-CN"/>
        </w:rPr>
        <w:t>国家标准</w:t>
      </w:r>
      <w:r>
        <w:rPr>
          <w:rFonts w:hint="eastAsia" w:ascii="宋体" w:hAnsi="宋体" w:eastAsia="仿宋_GB2312" w:cs="Times New Roman"/>
        </w:rPr>
        <w:t>《突发事件应急演练评估指南（征求意见稿）》技术框架和评估科目设置，根据专家意见对本</w:t>
      </w:r>
      <w:r>
        <w:rPr>
          <w:rFonts w:hint="eastAsia" w:eastAsia="仿宋_GB2312" w:cs="Times New Roman"/>
          <w:lang w:eastAsia="zh-CN"/>
        </w:rPr>
        <w:t>标准草案</w:t>
      </w:r>
      <w:r>
        <w:rPr>
          <w:rFonts w:hint="eastAsia" w:ascii="宋体" w:hAnsi="宋体" w:eastAsia="仿宋_GB2312" w:cs="Times New Roman"/>
        </w:rPr>
        <w:t>中演练评估准备、实施</w:t>
      </w:r>
      <w:r>
        <w:rPr>
          <w:rFonts w:hint="eastAsia" w:eastAsia="仿宋_GB2312" w:cs="Times New Roman"/>
          <w:lang w:eastAsia="zh-CN"/>
        </w:rPr>
        <w:t>等</w:t>
      </w:r>
      <w:r>
        <w:rPr>
          <w:rFonts w:hint="eastAsia" w:ascii="宋体" w:hAnsi="宋体" w:eastAsia="仿宋_GB2312" w:cs="Times New Roman"/>
        </w:rPr>
        <w:t>章节和附录进行修改，</w:t>
      </w:r>
      <w:r>
        <w:rPr>
          <w:rFonts w:hint="eastAsia" w:eastAsia="仿宋_GB2312" w:cs="Times New Roman"/>
          <w:lang w:eastAsia="zh-CN"/>
        </w:rPr>
        <w:t>优化</w:t>
      </w:r>
      <w:r>
        <w:rPr>
          <w:rFonts w:hint="eastAsia" w:ascii="宋体" w:hAnsi="宋体" w:eastAsia="仿宋_GB2312" w:cs="Times New Roman"/>
        </w:rPr>
        <w:t>与</w:t>
      </w:r>
      <w:r>
        <w:rPr>
          <w:rFonts w:hint="eastAsia" w:eastAsia="仿宋_GB2312" w:cs="Times New Roman"/>
          <w:lang w:eastAsia="zh-CN"/>
        </w:rPr>
        <w:t>该国家标准</w:t>
      </w:r>
      <w:r>
        <w:rPr>
          <w:rFonts w:hint="eastAsia" w:ascii="宋体" w:hAnsi="宋体" w:eastAsia="仿宋_GB2312" w:cs="Times New Roman"/>
        </w:rPr>
        <w:t>在章节内容、评估实施流程以及实战和桌面演练评估要点等</w:t>
      </w:r>
      <w:r>
        <w:rPr>
          <w:rFonts w:hint="eastAsia" w:eastAsia="仿宋_GB2312" w:cs="Times New Roman"/>
          <w:lang w:eastAsia="zh-CN"/>
        </w:rPr>
        <w:t>的</w:t>
      </w:r>
      <w:r>
        <w:rPr>
          <w:rFonts w:hint="eastAsia" w:ascii="宋体" w:hAnsi="宋体" w:eastAsia="仿宋_GB2312" w:cs="Times New Roman"/>
        </w:rPr>
        <w:t>技术协调性。</w:t>
      </w:r>
    </w:p>
    <w:p>
      <w:pPr>
        <w:pStyle w:val="61"/>
        <w:keepNext w:val="0"/>
        <w:keepLines w:val="0"/>
        <w:pageBreakBefore w:val="0"/>
        <w:widowControl w:val="0"/>
        <w:kinsoku/>
        <w:wordWrap/>
        <w:topLinePunct w:val="0"/>
        <w:autoSpaceDE/>
        <w:autoSpaceDN/>
        <w:bidi w:val="0"/>
        <w:ind w:left="641" w:firstLine="0" w:firstLineChars="0"/>
        <w:jc w:val="both"/>
        <w:textAlignment w:val="auto"/>
        <w:outlineLvl w:val="2"/>
        <w:rPr>
          <w:rFonts w:hint="eastAsia" w:cs="Times New Roman"/>
          <w:snapToGrid/>
          <w:kern w:val="2"/>
          <w:lang w:eastAsia="zh-CN"/>
        </w:rPr>
      </w:pPr>
      <w:r>
        <w:rPr>
          <w:rFonts w:hint="eastAsia" w:cs="Times New Roman"/>
          <w:snapToGrid/>
          <w:kern w:val="2"/>
          <w:lang w:eastAsia="zh-CN"/>
        </w:rPr>
        <w:t>2.征求意见阶段</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rPr>
      </w:pPr>
      <w:r>
        <w:rPr>
          <w:rFonts w:hint="eastAsia" w:ascii="宋体" w:hAnsi="宋体" w:eastAsia="仿宋_GB2312" w:cs="Times New Roman"/>
        </w:rPr>
        <w:t>2025年5月，救援协调和预案管理局将《地震应急演练评估指南（征求意见稿）》及编制说明</w:t>
      </w:r>
      <w:r>
        <w:rPr>
          <w:rFonts w:hint="eastAsia" w:eastAsia="仿宋_GB2312" w:cs="Times New Roman"/>
          <w:lang w:eastAsia="zh-CN"/>
        </w:rPr>
        <w:t>送</w:t>
      </w:r>
      <w:r>
        <w:rPr>
          <w:rFonts w:hint="eastAsia" w:ascii="宋体" w:hAnsi="宋体" w:eastAsia="仿宋_GB2312" w:cs="Times New Roman"/>
        </w:rPr>
        <w:t>应急管理部相关司局</w:t>
      </w:r>
      <w:r>
        <w:rPr>
          <w:rFonts w:hint="eastAsia" w:eastAsia="仿宋_GB2312" w:cs="Times New Roman"/>
          <w:lang w:eastAsia="zh-CN"/>
        </w:rPr>
        <w:t>（</w:t>
      </w:r>
      <w:r>
        <w:rPr>
          <w:rFonts w:hint="eastAsia" w:ascii="宋体" w:hAnsi="宋体" w:eastAsia="仿宋_GB2312" w:cs="Times New Roman"/>
        </w:rPr>
        <w:t>单位</w:t>
      </w:r>
      <w:r>
        <w:rPr>
          <w:rFonts w:hint="eastAsia" w:eastAsia="仿宋_GB2312" w:cs="Times New Roman"/>
          <w:lang w:eastAsia="zh-CN"/>
        </w:rPr>
        <w:t>）征求</w:t>
      </w:r>
      <w:r>
        <w:rPr>
          <w:rFonts w:hint="eastAsia" w:ascii="宋体" w:hAnsi="宋体" w:eastAsia="仿宋_GB2312" w:cs="Times New Roman"/>
        </w:rPr>
        <w:t>意见，包括指挥中心、人事司、队伍建设局、综合减灾司、监测防火司、防汛抗旱司、地震地质司、危化监管一司、危化监管二司、执法工贸局、安全协调司、救灾司、调查统计司、新闻司、科信司，国家消防救援局办公室、国家矿山安监局综合司、中国地震局办公室，国家安全生产应急救援中心等。共收集到44条具体修改意见，其中39条采纳，1条</w:t>
      </w:r>
      <w:r>
        <w:rPr>
          <w:rFonts w:hint="eastAsia" w:ascii="宋体" w:hAnsi="宋体" w:eastAsia="仿宋_GB2312" w:cs="Times New Roman"/>
          <w:lang w:val="en-US" w:eastAsia="zh-CN"/>
        </w:rPr>
        <w:t>综合</w:t>
      </w:r>
      <w:r>
        <w:rPr>
          <w:rFonts w:hint="eastAsia" w:ascii="宋体" w:hAnsi="宋体" w:eastAsia="仿宋_GB2312" w:cs="Times New Roman"/>
        </w:rPr>
        <w:t>采纳，4条未采纳（经沟通达成一致）</w:t>
      </w:r>
      <w:r>
        <w:rPr>
          <w:rFonts w:hint="eastAsia" w:ascii="宋体" w:hAnsi="宋体" w:eastAsia="仿宋_GB2312" w:cs="Times New Roman"/>
          <w:lang w:eastAsia="zh-CN"/>
        </w:rPr>
        <w:t>。</w:t>
      </w:r>
      <w:r>
        <w:rPr>
          <w:rFonts w:hint="eastAsia" w:ascii="宋体" w:hAnsi="宋体" w:eastAsia="仿宋_GB2312" w:cs="Times New Roman"/>
        </w:rPr>
        <w:t>2025年5月</w:t>
      </w:r>
      <w:r>
        <w:rPr>
          <w:rFonts w:hint="eastAsia" w:ascii="宋体" w:hAnsi="宋体" w:eastAsia="仿宋_GB2312" w:cs="Times New Roman"/>
          <w:lang w:eastAsia="zh-CN"/>
        </w:rPr>
        <w:t>，</w:t>
      </w:r>
      <w:r>
        <w:rPr>
          <w:rFonts w:hint="eastAsia" w:ascii="宋体" w:hAnsi="宋体" w:eastAsia="仿宋_GB2312" w:cs="Times New Roman"/>
        </w:rPr>
        <w:t>编制组对照征求的意见完成标准文本的修改，并完成征求意见汇总处理表。</w:t>
      </w:r>
    </w:p>
    <w:p>
      <w:pPr>
        <w:keepNext w:val="0"/>
        <w:keepLines w:val="0"/>
        <w:pageBreakBefore w:val="0"/>
        <w:widowControl w:val="0"/>
        <w:kinsoku/>
        <w:wordWrap/>
        <w:topLinePunct w:val="0"/>
        <w:bidi w:val="0"/>
        <w:spacing w:before="191" w:line="560" w:lineRule="exact"/>
        <w:ind w:firstLine="676" w:firstLineChars="200"/>
        <w:textAlignment w:val="auto"/>
        <w:outlineLvl w:val="2"/>
        <w:rPr>
          <w:rFonts w:hint="eastAsia" w:ascii="黑体" w:hAnsi="黑体" w:eastAsia="黑体" w:cs="黑体"/>
          <w:sz w:val="32"/>
          <w:szCs w:val="32"/>
        </w:rPr>
      </w:pPr>
      <w:r>
        <w:rPr>
          <w:rFonts w:hint="eastAsia" w:ascii="黑体" w:hAnsi="黑体" w:eastAsia="黑体" w:cs="黑体"/>
          <w:spacing w:val="9"/>
          <w:sz w:val="32"/>
          <w:szCs w:val="32"/>
        </w:rPr>
        <w:t>二、标准编制原则、主要技术内容及其确定依据</w:t>
      </w:r>
    </w:p>
    <w:p>
      <w:pPr>
        <w:pStyle w:val="61"/>
        <w:keepNext w:val="0"/>
        <w:keepLines w:val="0"/>
        <w:pageBreakBefore w:val="0"/>
        <w:widowControl w:val="0"/>
        <w:kinsoku/>
        <w:wordWrap/>
        <w:topLinePunct w:val="0"/>
        <w:autoSpaceDE/>
        <w:autoSpaceDN/>
        <w:bidi w:val="0"/>
        <w:ind w:firstLine="640"/>
        <w:jc w:val="both"/>
        <w:textAlignment w:val="auto"/>
        <w:rPr>
          <w:rFonts w:hint="eastAsia" w:cs="Times New Roman"/>
          <w:snapToGrid/>
          <w:kern w:val="2"/>
          <w:lang w:eastAsia="zh-CN"/>
        </w:rPr>
      </w:pPr>
      <w:r>
        <w:rPr>
          <w:rFonts w:hint="eastAsia" w:cs="Times New Roman"/>
          <w:snapToGrid/>
          <w:kern w:val="2"/>
          <w:lang w:eastAsia="zh-CN"/>
        </w:rPr>
        <w:t>（一）标准编制原则</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本标准作为通用性技术标准，编写中主要遵循以下原则：</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统一性原则：本标准所提出的地震应急演练评估内容、方法和工作程序等，与《中华人民共和国突发事件应对法》《中华人民共和国防震减灾法》《国家突发事件总体应急预案》《国家地震应急预案》等相关法律法规及文件保持严格的统一性。</w:t>
      </w:r>
    </w:p>
    <w:p>
      <w:pPr>
        <w:pStyle w:val="62"/>
        <w:keepNext w:val="0"/>
        <w:keepLines w:val="0"/>
        <w:pageBreakBefore w:val="0"/>
        <w:widowControl w:val="0"/>
        <w:kinsoku/>
        <w:wordWrap/>
        <w:overflowPunct/>
        <w:topLinePunct w:val="0"/>
        <w:autoSpaceDE w:val="0"/>
        <w:autoSpaceDN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——适用性原则：紧密结合地震应急工作实际，充分考虑不同地区、不同行业、不同单位的特点和需求，使标准能够适用于各种地震应急演练场景，具有广泛的适用性和实用性。</w:t>
      </w:r>
    </w:p>
    <w:p>
      <w:pPr>
        <w:pStyle w:val="62"/>
        <w:keepNext w:val="0"/>
        <w:keepLines w:val="0"/>
        <w:pageBreakBefore w:val="0"/>
        <w:widowControl w:val="0"/>
        <w:kinsoku/>
        <w:wordWrap/>
        <w:overflowPunct/>
        <w:topLinePunct w:val="0"/>
        <w:autoSpaceDE w:val="0"/>
        <w:autoSpaceDN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——科学性原则：运用科学的评估方法和指标体系，对演练的各个环节进行客观、准确评价，确保评估结果能够真实反映演练的实际效果和存在的问题。</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——规范性原则：严格按照标准化工作导则的要求进行编写，确保标准的格式、结构、用语等规范统一，同时评估工作流程和方法也进行规范化，保障评估的严谨性和可靠性。</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——先进性原则：在总结现有经验的基础上，充分吸纳国内外先进的评估理念、技术和方法，使标准具有前瞻性，能够适应地震应急演练评估领域的发展趋势。</w:t>
      </w:r>
    </w:p>
    <w:p>
      <w:pPr>
        <w:pStyle w:val="61"/>
        <w:keepNext w:val="0"/>
        <w:keepLines w:val="0"/>
        <w:pageBreakBefore w:val="0"/>
        <w:widowControl w:val="0"/>
        <w:kinsoku/>
        <w:wordWrap/>
        <w:topLinePunct w:val="0"/>
        <w:autoSpaceDE/>
        <w:autoSpaceDN/>
        <w:bidi w:val="0"/>
        <w:ind w:firstLine="640"/>
        <w:jc w:val="both"/>
        <w:textAlignment w:val="auto"/>
        <w:rPr>
          <w:rFonts w:hint="eastAsia" w:cs="Times New Roman"/>
          <w:snapToGrid/>
          <w:kern w:val="2"/>
          <w:lang w:eastAsia="zh-CN"/>
        </w:rPr>
      </w:pPr>
      <w:r>
        <w:rPr>
          <w:rFonts w:hint="eastAsia" w:cs="Times New Roman"/>
          <w:snapToGrid/>
          <w:kern w:val="2"/>
          <w:lang w:eastAsia="zh-CN"/>
        </w:rPr>
        <w:t>（二）标准主要技术内容及确定依据</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本标准共分为范围、规范性引用文件、术语和定义、总体原则、演练评估准备、演练评估实施、演练评估总结、工作改进与资料归档等8个章节。</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rPr>
      </w:pPr>
      <w:r>
        <w:rPr>
          <w:rFonts w:hint="eastAsia" w:ascii="宋体" w:hAnsi="宋体" w:eastAsia="仿宋_GB2312"/>
        </w:rPr>
        <w:t>1.关于范围</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本章规定了文件适用的范围，文件</w:t>
      </w:r>
      <w:r>
        <w:rPr>
          <w:rFonts w:hint="eastAsia" w:eastAsia="仿宋_GB2312" w:cs="Times New Roman"/>
          <w:szCs w:val="32"/>
          <w:lang w:eastAsia="zh-CN"/>
        </w:rPr>
        <w:t>明确</w:t>
      </w:r>
      <w:r>
        <w:rPr>
          <w:rFonts w:hint="eastAsia" w:ascii="宋体" w:hAnsi="宋体" w:eastAsia="仿宋_GB2312" w:cs="Times New Roman"/>
          <w:szCs w:val="32"/>
        </w:rPr>
        <w:t>了地震应急演练评估的目的、内容、方法与工作程序，适用于针对地震应急演练所开展的评估活动。演练评估工作的组织及实施可根据演练内容、形式、规模和复杂程度参照本文件</w:t>
      </w:r>
      <w:r>
        <w:rPr>
          <w:rFonts w:hint="eastAsia" w:eastAsia="仿宋_GB2312" w:cs="Times New Roman"/>
          <w:szCs w:val="32"/>
          <w:lang w:eastAsia="zh-CN"/>
        </w:rPr>
        <w:t>开展</w:t>
      </w:r>
      <w:r>
        <w:rPr>
          <w:rFonts w:hint="eastAsia" w:ascii="宋体" w:hAnsi="宋体" w:eastAsia="仿宋_GB2312" w:cs="Times New Roman"/>
          <w:szCs w:val="32"/>
        </w:rPr>
        <w:t>。</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2.关于总体原则</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本章对地震应急演练评估的目的、依据、原则、程序以及评估组的构成和职责作了说明。</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3.关于演练评估准备</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本章对地震应急演练评估前的准备工作作了说明，主要包括成立评估机构和确定评估人员、演练评估需求分析、演练评估资料的收集、选择评估方式和方法、编写评估方案和评估标准、现场踏勘、培训评估人员、准备评估材料和器材等8项内容。</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（1）选择评估方式和方法</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本节介绍了演练评估工作的常用方式和方法。评估对象主要是演练活动或参演人员，利用客观证据来检验演练效果是否达到演练目标的要求。采用的评估方式和方法应不影响演</w:t>
      </w:r>
      <w:r>
        <w:rPr>
          <w:rFonts w:hint="eastAsia" w:eastAsia="仿宋_GB2312" w:cs="Times New Roman"/>
          <w:szCs w:val="32"/>
          <w:lang w:eastAsia="zh-CN"/>
        </w:rPr>
        <w:t>练</w:t>
      </w:r>
      <w:r>
        <w:rPr>
          <w:rFonts w:hint="eastAsia" w:ascii="宋体" w:hAnsi="宋体" w:eastAsia="仿宋_GB2312" w:cs="Times New Roman"/>
          <w:szCs w:val="32"/>
        </w:rPr>
        <w:t>的正常开展、可获取客观数据</w:t>
      </w:r>
      <w:r>
        <w:rPr>
          <w:rFonts w:hint="eastAsia" w:eastAsia="仿宋_GB2312" w:cs="Times New Roman"/>
          <w:szCs w:val="32"/>
          <w:lang w:eastAsia="zh-CN"/>
        </w:rPr>
        <w:t>，</w:t>
      </w:r>
      <w:r>
        <w:rPr>
          <w:rFonts w:hint="eastAsia" w:ascii="宋体" w:hAnsi="宋体" w:eastAsia="仿宋_GB2312" w:cs="Times New Roman"/>
          <w:szCs w:val="32"/>
        </w:rPr>
        <w:t>并具有可操作性。</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评估方式主要包括座谈、资料查阅和现场观察、提问、听对方陈述、检查、比对、验证、实测等。基于不同的演练目标，评估方法主要包括选择项、评分和定量测量等。</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（2）编写评估方案和评估标准</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本节对如何编写评估方案和评估标准作了说明。评估方案是评估工作开展的依据和指导，通常包括概述、目的依据、组织分工、内容与方法、评估实施、工作要求和附件等部分。评估方案的编制应全面详尽，覆盖评估工作的各方面和具体细节。</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评估标准一般由评估组牵头方或负责人</w:t>
      </w:r>
      <w:r>
        <w:rPr>
          <w:rFonts w:hint="eastAsia" w:eastAsia="仿宋_GB2312" w:cs="Times New Roman"/>
          <w:szCs w:val="32"/>
          <w:lang w:eastAsia="zh-CN"/>
        </w:rPr>
        <w:t>以及</w:t>
      </w:r>
      <w:r>
        <w:rPr>
          <w:rFonts w:hint="eastAsia" w:ascii="宋体" w:hAnsi="宋体" w:eastAsia="仿宋_GB2312" w:cs="Times New Roman"/>
          <w:szCs w:val="32"/>
        </w:rPr>
        <w:t>相关人员制定，具体评估标准依据演练目标、情景事件、演练流程和保障方案等具有差异性。如高寒高海拔地区演练评估应重点关注寒冷和缺氧环境的应对，高山峡谷地区演练评估应重点关注不利地形和高发地质灾害的应对。本文件附录A、B给出了演练目标、评估方法、评估标准和相关记录项等方面的表格示例，具体实施过程中可参考示例依据实际情况编制评估标准。</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（3）培训评估人员</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本节对评估人员培训作了说明。由于演练目标和情景事件等具有差异性，演练内容、流程及其评估工作不是一成不变的，因此需要对评估人员开展培训，使其了解演练的组织和实施、演练场地和人员，以及评估方案、标准等内容，掌握评估方式和方法。培训应在演练和评估开始前进行，并确保其有效性，以便科学高效地开展评估工作。</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4.关于演练评估实施</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本章对地震应急演练评估的实施作了说明，主要包括评估人员就位，座谈考察与资料抽查，观察记录和收集数据、信息和资料，演练评估等4项流程。</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（1）评估人员就位</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本节对不同岗位职责评估人员就位作出说明。评估人员来源多样、组成复杂，尤其是针对规模较大演练的评估，评估人员一般分级分岗设置。根据级别和岗位不同，其就位时间和地点也可不同，一般在提前就位，即在评估项目开始前到达评估项目地点并做好评估准备工作。</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（2）座谈考察与资料抽查</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本节对座谈考察与资料抽查作出说明。该项工作一般在演练正式开始前和结束后开展，通过交流、听取汇报和资料抽查等方式进行，重点关注评估对象的日常应急准备情况，为演练评估提供真实有效数据资料。</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（3）观察记录和收集数据、信息和资料</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本节对观察记录和收集数据、信息和资料作出说明。该项工作一般在演练正式开始后以及演练进行中开展，重点关注演练过程中评估对象在具体科目中的表现情况，为演练评估提供真实有效数据资料。</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评估人员应在不影响演练正常进行的情况下获取所需的数据资料。如根据演练安排给队伍注入突发事件信息，考察队伍应对突发事件的能力；队伍开展演练科目作业时，在旁观察并记录作业表现。</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（4）分析和评估</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本节对分析和评估作出说明。根据演练前后和演练现场收集到的数据资料，依据评估方案中制定的评估内容、方法和标准对演练逐项开展评估，并给出演练各项科目和综合评估结果。</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为确保评估资料的有效性和准确性，需要对收集的评估资料进行整理、校验和纠正，如通过联系评估人员和评估对象核实评估表里的异常数据。为确保评估结果客观公正，评估应严格依据评估方案和标准进行，确因不可抗力需要修改评估方案的，应根据实际情况执行并</w:t>
      </w:r>
      <w:r>
        <w:rPr>
          <w:rFonts w:hint="eastAsia" w:eastAsia="仿宋_GB2312" w:cs="Times New Roman"/>
          <w:szCs w:val="32"/>
          <w:lang w:eastAsia="zh-CN"/>
        </w:rPr>
        <w:t>作</w:t>
      </w:r>
      <w:r>
        <w:rPr>
          <w:rFonts w:hint="eastAsia" w:ascii="宋体" w:hAnsi="宋体" w:eastAsia="仿宋_GB2312" w:cs="Times New Roman"/>
          <w:szCs w:val="32"/>
        </w:rPr>
        <w:t>详细说明。</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5.关于演练评估总结</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本章对地震应急演练评估总结作了说明，主要包括演练点评、参演人员自评、评估组评估、编制演练评估报告等4项内容。</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（1）演练点评、参演人员自评、评估组评估</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第1、2</w:t>
      </w:r>
      <w:r>
        <w:rPr>
          <w:rFonts w:hint="eastAsia" w:eastAsia="仿宋_GB2312" w:cs="Times New Roman"/>
          <w:szCs w:val="32"/>
          <w:lang w:eastAsia="zh-CN"/>
        </w:rPr>
        <w:t>、</w:t>
      </w:r>
      <w:r>
        <w:rPr>
          <w:rFonts w:hint="eastAsia" w:ascii="宋体" w:hAnsi="宋体" w:eastAsia="仿宋_GB2312" w:cs="Times New Roman"/>
          <w:szCs w:val="32"/>
        </w:rPr>
        <w:t>3节对演练点评、参演人员自评、评估组评估作了说明，3项都是针对演练中存在的优点和不足开展评估。</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演练点评</w:t>
      </w:r>
      <w:r>
        <w:rPr>
          <w:rFonts w:hint="eastAsia" w:eastAsia="仿宋_GB2312" w:cs="Times New Roman"/>
          <w:szCs w:val="32"/>
          <w:lang w:eastAsia="zh-CN"/>
        </w:rPr>
        <w:t>，通常在</w:t>
      </w:r>
      <w:r>
        <w:rPr>
          <w:rFonts w:hint="eastAsia" w:ascii="宋体" w:hAnsi="宋体" w:eastAsia="仿宋_GB2312" w:cs="Times New Roman"/>
          <w:szCs w:val="32"/>
        </w:rPr>
        <w:t>演练结束后现场进行，点评人员可以是演练相关方的代表，包括演练组织人员、参演人员、评估人员或其他相关方人员。</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参演人员自评</w:t>
      </w:r>
      <w:r>
        <w:rPr>
          <w:rFonts w:hint="eastAsia" w:eastAsia="仿宋_GB2312" w:cs="Times New Roman"/>
          <w:szCs w:val="32"/>
          <w:lang w:eastAsia="zh-CN"/>
        </w:rPr>
        <w:t>，</w:t>
      </w:r>
      <w:r>
        <w:rPr>
          <w:rFonts w:hint="eastAsia" w:ascii="宋体" w:hAnsi="宋体" w:eastAsia="仿宋_GB2312" w:cs="Times New Roman"/>
          <w:szCs w:val="32"/>
        </w:rPr>
        <w:t>由演练单位组织参演人员进行，评估人员列席参加并做好记录，以为评估工作提供数据材料。</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评估组评估</w:t>
      </w:r>
      <w:r>
        <w:rPr>
          <w:rFonts w:hint="eastAsia" w:eastAsia="仿宋_GB2312" w:cs="Times New Roman"/>
          <w:szCs w:val="32"/>
          <w:lang w:eastAsia="zh-CN"/>
        </w:rPr>
        <w:t>，</w:t>
      </w:r>
      <w:r>
        <w:rPr>
          <w:rFonts w:hint="eastAsia" w:ascii="宋体" w:hAnsi="宋体" w:eastAsia="仿宋_GB2312" w:cs="Times New Roman"/>
          <w:szCs w:val="32"/>
        </w:rPr>
        <w:t>由演练评估组负责人组织召开，评估人员参加并根据评估工作开展情况发表意见，最终提出整改要求和措施等。</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（2）编制演练评估报告</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本节对评估报告编写要求和主要内容作了说明。</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演练现场评估工作结束后，评估组基于评估资料和标准对演练进行全过程科学分析和客观评价，并撰写评估报告。为及时总结演练优点及问题，</w:t>
      </w:r>
      <w:r>
        <w:rPr>
          <w:rFonts w:hint="eastAsia" w:eastAsia="仿宋_GB2312" w:cs="Times New Roman"/>
          <w:szCs w:val="32"/>
          <w:lang w:eastAsia="zh-CN"/>
        </w:rPr>
        <w:t>并</w:t>
      </w:r>
      <w:r>
        <w:rPr>
          <w:rFonts w:hint="eastAsia" w:ascii="宋体" w:hAnsi="宋体" w:eastAsia="仿宋_GB2312" w:cs="Times New Roman"/>
          <w:szCs w:val="32"/>
        </w:rPr>
        <w:t>针对性整改，确保演练的效果，评估报告的撰写一般应在演练结束后较短时间内完成，并向所有参演人员公示。</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报告主要内容</w:t>
      </w:r>
      <w:r>
        <w:rPr>
          <w:rFonts w:hint="eastAsia" w:eastAsia="仿宋_GB2312" w:cs="Times New Roman"/>
          <w:szCs w:val="32"/>
          <w:lang w:eastAsia="zh-CN"/>
        </w:rPr>
        <w:t>通常</w:t>
      </w:r>
      <w:r>
        <w:rPr>
          <w:rFonts w:hint="eastAsia" w:ascii="宋体" w:hAnsi="宋体" w:eastAsia="仿宋_GB2312" w:cs="Times New Roman"/>
          <w:szCs w:val="32"/>
        </w:rPr>
        <w:t>包括演练基本情况、评估过程、情况分析、改进意见和建议、评估结论等5部分内容。演练基本情况部分介绍演练组织方、承办方、参演方以及演练模拟事件的基本情况；评估过程部分介绍评估方的工作情况；演练情况分析部分依据收集的数据资料和评估结果分析演练各个环节的优缺点、演练目标的实现情况和成本效益；改进意见和建议部分针对演练中存在的问题和不足提出整改意见和建议；评估结论部分对演练进行综合评价，确定演练得分和等级，给出评估结果。</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6.关于演练评估工作改进与资料归档</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为</w:t>
      </w:r>
      <w:r>
        <w:rPr>
          <w:rFonts w:hint="eastAsia" w:eastAsia="仿宋_GB2312" w:cs="Times New Roman"/>
          <w:szCs w:val="32"/>
          <w:lang w:eastAsia="zh-CN"/>
        </w:rPr>
        <w:t>保障</w:t>
      </w:r>
      <w:r>
        <w:rPr>
          <w:rFonts w:hint="eastAsia" w:ascii="宋体" w:hAnsi="宋体" w:eastAsia="仿宋_GB2312" w:cs="Times New Roman"/>
          <w:szCs w:val="32"/>
        </w:rPr>
        <w:t>演练工作发挥实效，一般需要评估工作组与评估工作组织单位、演练组织单位及参与单位</w:t>
      </w:r>
      <w:r>
        <w:rPr>
          <w:rFonts w:hint="eastAsia" w:eastAsia="仿宋_GB2312" w:cs="Times New Roman"/>
          <w:szCs w:val="32"/>
          <w:lang w:eastAsia="zh-CN"/>
        </w:rPr>
        <w:t>进行</w:t>
      </w:r>
      <w:r>
        <w:rPr>
          <w:rFonts w:hint="eastAsia" w:ascii="宋体" w:hAnsi="宋体" w:eastAsia="仿宋_GB2312" w:cs="Times New Roman"/>
          <w:szCs w:val="32"/>
        </w:rPr>
        <w:t>沟通讨论，反馈评估结论及改进今后应急工作的相关建议，并制定明确的整改计划和措施。</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评估工作结束后，评估工作组织单位、演练组织单位</w:t>
      </w:r>
      <w:r>
        <w:rPr>
          <w:rFonts w:hint="eastAsia" w:eastAsia="仿宋_GB2312" w:cs="Times New Roman"/>
          <w:szCs w:val="32"/>
          <w:lang w:eastAsia="zh-CN"/>
        </w:rPr>
        <w:t>应当</w:t>
      </w:r>
      <w:r>
        <w:rPr>
          <w:rFonts w:hint="eastAsia" w:ascii="宋体" w:hAnsi="宋体" w:eastAsia="仿宋_GB2312" w:cs="Times New Roman"/>
          <w:szCs w:val="32"/>
        </w:rPr>
        <w:t>对相关资料进行归档。</w:t>
      </w:r>
    </w:p>
    <w:p>
      <w:pPr>
        <w:pStyle w:val="62"/>
        <w:keepNext w:val="0"/>
        <w:keepLines w:val="0"/>
        <w:pageBreakBefore w:val="0"/>
        <w:widowControl w:val="0"/>
        <w:numPr>
          <w:ilvl w:val="0"/>
          <w:numId w:val="21"/>
        </w:numPr>
        <w:kinsoku/>
        <w:wordWrap/>
        <w:overflowPunct w:val="0"/>
        <w:topLinePunct w:val="0"/>
        <w:autoSpaceDE/>
        <w:autoSpaceDN/>
        <w:bidi w:val="0"/>
        <w:adjustRightInd w:val="0"/>
        <w:snapToGrid w:val="0"/>
        <w:ind w:left="638" w:leftChars="304" w:firstLine="0" w:firstLineChars="0"/>
        <w:textAlignment w:val="auto"/>
        <w:rPr>
          <w:rFonts w:hint="eastAsia" w:ascii="宋体" w:hAnsi="宋体" w:eastAsia="楷体" w:cs="Times New Roman"/>
          <w:bCs/>
          <w:szCs w:val="28"/>
        </w:rPr>
      </w:pPr>
      <w:r>
        <w:rPr>
          <w:rFonts w:hint="eastAsia" w:ascii="宋体" w:hAnsi="宋体" w:eastAsia="楷体" w:cs="Times New Roman"/>
          <w:bCs/>
          <w:szCs w:val="28"/>
        </w:rPr>
        <w:t>标准修订变化及依据（仅修订标准需要列出）</w:t>
      </w:r>
    </w:p>
    <w:p>
      <w:pPr>
        <w:pStyle w:val="62"/>
        <w:keepNext w:val="0"/>
        <w:keepLines w:val="0"/>
        <w:pageBreakBefore w:val="0"/>
        <w:widowControl w:val="0"/>
        <w:kinsoku/>
        <w:wordWrap/>
        <w:overflowPunct w:val="0"/>
        <w:topLinePunct w:val="0"/>
        <w:autoSpaceDE/>
        <w:autoSpaceDN/>
        <w:bidi w:val="0"/>
        <w:adjustRightInd w:val="0"/>
        <w:snapToGrid w:val="0"/>
        <w:ind w:left="638" w:leftChars="304" w:firstLine="0" w:firstLineChars="0"/>
        <w:textAlignment w:val="auto"/>
        <w:rPr>
          <w:rFonts w:hint="eastAsia" w:ascii="方正仿宋_GB2312" w:hAnsi="方正仿宋_GB2312" w:cs="方正仿宋_GB2312"/>
          <w:szCs w:val="32"/>
        </w:rPr>
      </w:pPr>
      <w:r>
        <w:rPr>
          <w:rFonts w:hint="eastAsia" w:ascii="方正仿宋_GB2312" w:hAnsi="方正仿宋_GB2312" w:cs="方正仿宋_GB2312"/>
          <w:szCs w:val="32"/>
        </w:rPr>
        <w:t>无。</w:t>
      </w:r>
    </w:p>
    <w:p>
      <w:pPr>
        <w:keepNext w:val="0"/>
        <w:keepLines w:val="0"/>
        <w:pageBreakBefore w:val="0"/>
        <w:widowControl w:val="0"/>
        <w:kinsoku/>
        <w:wordWrap/>
        <w:topLinePunct w:val="0"/>
        <w:bidi w:val="0"/>
        <w:spacing w:line="560" w:lineRule="exact"/>
        <w:ind w:firstLine="641"/>
        <w:textAlignment w:val="auto"/>
        <w:rPr>
          <w:rFonts w:hint="eastAsia" w:ascii="宋体" w:hAnsi="宋体" w:eastAsia="黑体" w:cs="Times New Roman"/>
          <w:sz w:val="32"/>
          <w:szCs w:val="32"/>
        </w:rPr>
      </w:pPr>
      <w:r>
        <w:rPr>
          <w:rFonts w:hint="eastAsia" w:ascii="宋体" w:hAnsi="宋体" w:eastAsia="黑体" w:cs="Times New Roman"/>
          <w:sz w:val="32"/>
          <w:szCs w:val="32"/>
        </w:rPr>
        <w:t>三、试验验证的分析、综述报告、技术经济论证，预期的经济效益、社会效益和生态效益</w:t>
      </w:r>
    </w:p>
    <w:p>
      <w:pPr>
        <w:pStyle w:val="62"/>
        <w:keepNext w:val="0"/>
        <w:keepLines w:val="0"/>
        <w:pageBreakBefore w:val="0"/>
        <w:widowControl w:val="0"/>
        <w:kinsoku/>
        <w:wordWrap/>
        <w:topLinePunct w:val="0"/>
        <w:bidi w:val="0"/>
        <w:adjustRightInd w:val="0"/>
        <w:snapToGrid w:val="0"/>
        <w:ind w:firstLine="640"/>
        <w:textAlignment w:val="auto"/>
        <w:rPr>
          <w:rFonts w:hint="eastAsia" w:ascii="仿宋_GB2312" w:hAnsi="黑体" w:eastAsia="仿宋_GB2312"/>
        </w:rPr>
      </w:pPr>
      <w:r>
        <w:rPr>
          <w:rFonts w:hint="eastAsia" w:ascii="仿宋_GB2312" w:hAnsi="黑体" w:eastAsia="仿宋_GB2312"/>
        </w:rPr>
        <w:t>本标准的制定实施，能够有效提高地震应急演练的科学性和实效性，从而增强社会整体的地震应急能力，减少地震发生时的人员伤亡和财产损失，保障人民群众的生命财产安全。在经济效益方面，该标准有助于企业提高地震应急管理水平，降低因地震导致的生产经营中断风险，保障经济稳定运行。同时，通过标准的实施，可以促进相关产业的发展，如应急救援装备、培训服务等领域，推动经济转型升级。</w:t>
      </w:r>
    </w:p>
    <w:p>
      <w:pPr>
        <w:keepNext w:val="0"/>
        <w:keepLines w:val="0"/>
        <w:pageBreakBefore w:val="0"/>
        <w:widowControl w:val="0"/>
        <w:kinsoku/>
        <w:wordWrap/>
        <w:topLinePunct w:val="0"/>
        <w:bidi w:val="0"/>
        <w:spacing w:line="560" w:lineRule="exact"/>
        <w:ind w:firstLine="644" w:firstLineChars="200"/>
        <w:textAlignment w:val="auto"/>
        <w:outlineLvl w:val="2"/>
        <w:rPr>
          <w:rFonts w:hint="eastAsia" w:ascii="黑体" w:hAnsi="黑体" w:eastAsia="黑体" w:cs="黑体"/>
          <w:sz w:val="32"/>
          <w:szCs w:val="32"/>
        </w:rPr>
      </w:pPr>
      <w:r>
        <w:rPr>
          <w:rFonts w:ascii="黑体" w:hAnsi="黑体" w:eastAsia="黑体" w:cs="黑体"/>
          <w:spacing w:val="1"/>
          <w:sz w:val="32"/>
          <w:szCs w:val="32"/>
        </w:rPr>
        <w:t>四、与国际、国外同类标准技术内容的对比情况</w:t>
      </w:r>
    </w:p>
    <w:p>
      <w:pPr>
        <w:pStyle w:val="62"/>
        <w:keepNext w:val="0"/>
        <w:keepLines w:val="0"/>
        <w:pageBreakBefore w:val="0"/>
        <w:widowControl w:val="0"/>
        <w:kinsoku/>
        <w:wordWrap/>
        <w:topLinePunct w:val="0"/>
        <w:bidi w:val="0"/>
        <w:adjustRightInd w:val="0"/>
        <w:snapToGrid w:val="0"/>
        <w:ind w:firstLine="640"/>
        <w:textAlignment w:val="auto"/>
        <w:rPr>
          <w:rFonts w:hint="eastAsia" w:ascii="仿宋_GB2312" w:hAnsi="黑体" w:eastAsia="仿宋_GB2312"/>
        </w:rPr>
      </w:pPr>
      <w:r>
        <w:rPr>
          <w:rFonts w:hint="eastAsia" w:ascii="仿宋_GB2312" w:hAnsi="黑体" w:eastAsia="仿宋_GB2312"/>
        </w:rPr>
        <w:t>目前，</w:t>
      </w:r>
      <w:r>
        <w:rPr>
          <w:rFonts w:hint="eastAsia" w:ascii="仿宋_GB2312" w:hAnsi="黑体" w:eastAsia="仿宋_GB2312"/>
          <w:lang w:eastAsia="zh-CN"/>
        </w:rPr>
        <w:t>尚无国际、国外同类标准，</w:t>
      </w:r>
      <w:r>
        <w:rPr>
          <w:rFonts w:hint="eastAsia" w:ascii="仿宋_GB2312" w:hAnsi="黑体" w:eastAsia="仿宋_GB2312"/>
        </w:rPr>
        <w:t>国内已经制定的部分相关地方和行业标准，见表</w:t>
      </w:r>
      <w:r>
        <w:rPr>
          <w:rFonts w:hint="eastAsia" w:ascii="仿宋_GB2312" w:hAnsi="黑体" w:eastAsia="仿宋_GB2312"/>
          <w:lang w:val="en-US" w:eastAsia="zh-CN"/>
        </w:rPr>
        <w:t>1</w:t>
      </w:r>
      <w:r>
        <w:rPr>
          <w:rFonts w:hint="eastAsia" w:ascii="仿宋_GB2312" w:hAnsi="黑体" w:eastAsia="仿宋_GB2312"/>
        </w:rPr>
        <w:t>。</w:t>
      </w:r>
    </w:p>
    <w:p>
      <w:pPr>
        <w:keepNext w:val="0"/>
        <w:keepLines w:val="0"/>
        <w:pageBreakBefore w:val="0"/>
        <w:widowControl w:val="0"/>
        <w:kinsoku/>
        <w:wordWrap/>
        <w:topLinePunct w:val="0"/>
        <w:bidi w:val="0"/>
        <w:spacing w:before="192" w:line="334" w:lineRule="auto"/>
        <w:ind w:right="190"/>
        <w:jc w:val="center"/>
        <w:textAlignment w:val="auto"/>
        <w:rPr>
          <w:rFonts w:hint="eastAsia" w:ascii="宋体" w:hAnsi="宋体" w:eastAsia="仿宋_GB2312" w:cs="Times New Roman"/>
          <w:sz w:val="32"/>
          <w:szCs w:val="24"/>
        </w:rPr>
      </w:pPr>
      <w:r>
        <w:rPr>
          <w:rFonts w:hint="eastAsia" w:ascii="宋体" w:hAnsi="宋体" w:eastAsia="仿宋_GB2312" w:cs="Times New Roman"/>
          <w:sz w:val="32"/>
          <w:szCs w:val="24"/>
        </w:rPr>
        <w:t>表</w:t>
      </w:r>
      <w:r>
        <w:rPr>
          <w:rFonts w:hint="eastAsia" w:ascii="宋体" w:hAnsi="宋体" w:eastAsia="仿宋_GB2312" w:cs="Times New Roman"/>
          <w:sz w:val="32"/>
          <w:szCs w:val="24"/>
          <w:lang w:val="en-US" w:eastAsia="zh-CN"/>
        </w:rPr>
        <w:t>1</w:t>
      </w:r>
      <w:r>
        <w:rPr>
          <w:rFonts w:hint="eastAsia" w:ascii="宋体" w:hAnsi="宋体" w:eastAsia="仿宋_GB2312" w:cs="Times New Roman"/>
          <w:sz w:val="32"/>
          <w:szCs w:val="24"/>
        </w:rPr>
        <w:t xml:space="preserve">  已发布实施的演练评估类行业标准</w:t>
      </w:r>
    </w:p>
    <w:tbl>
      <w:tblPr>
        <w:tblStyle w:val="10"/>
        <w:tblW w:w="921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9"/>
        <w:gridCol w:w="1622"/>
        <w:gridCol w:w="3520"/>
        <w:gridCol w:w="1746"/>
        <w:gridCol w:w="144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879"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1622"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标准编号</w:t>
            </w:r>
          </w:p>
        </w:tc>
        <w:tc>
          <w:tcPr>
            <w:tcW w:w="3520"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标准名称</w:t>
            </w:r>
          </w:p>
        </w:tc>
        <w:tc>
          <w:tcPr>
            <w:tcW w:w="1746"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发布日期</w:t>
            </w:r>
          </w:p>
        </w:tc>
        <w:tc>
          <w:tcPr>
            <w:tcW w:w="1448"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实施日期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9"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1622"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DB15/T 3488—2024</w:t>
            </w:r>
          </w:p>
        </w:tc>
        <w:tc>
          <w:tcPr>
            <w:tcW w:w="3520"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辐射事故应急演练评估指南</w:t>
            </w:r>
          </w:p>
        </w:tc>
        <w:tc>
          <w:tcPr>
            <w:tcW w:w="1746"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2024-06-14</w:t>
            </w:r>
          </w:p>
        </w:tc>
        <w:tc>
          <w:tcPr>
            <w:tcW w:w="1448"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2024-07-14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9"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1622"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DB34/T 4710-2024</w:t>
            </w:r>
          </w:p>
        </w:tc>
        <w:tc>
          <w:tcPr>
            <w:tcW w:w="3520"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事故灾害应急演练评估指南</w:t>
            </w:r>
          </w:p>
        </w:tc>
        <w:tc>
          <w:tcPr>
            <w:tcW w:w="1746"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2024-01-11</w:t>
            </w:r>
          </w:p>
        </w:tc>
        <w:tc>
          <w:tcPr>
            <w:tcW w:w="1448"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2024-02-11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879"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1622"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DB32/T 4590-2023</w:t>
            </w:r>
          </w:p>
        </w:tc>
        <w:tc>
          <w:tcPr>
            <w:tcW w:w="3520"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突发事件应急演练评估规范</w:t>
            </w:r>
          </w:p>
        </w:tc>
        <w:tc>
          <w:tcPr>
            <w:tcW w:w="1746"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2023-10-24</w:t>
            </w:r>
          </w:p>
        </w:tc>
        <w:tc>
          <w:tcPr>
            <w:tcW w:w="1448"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2023-11-24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9"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1622"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DB4108/T 7-2022</w:t>
            </w:r>
          </w:p>
        </w:tc>
        <w:tc>
          <w:tcPr>
            <w:tcW w:w="3520"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突发环境事件应急演练实施及评估指南</w:t>
            </w:r>
          </w:p>
        </w:tc>
        <w:tc>
          <w:tcPr>
            <w:tcW w:w="1746"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2022-09-01</w:t>
            </w:r>
          </w:p>
        </w:tc>
        <w:tc>
          <w:tcPr>
            <w:tcW w:w="1448"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2022-09_20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9"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1622"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DB62/T 4539.2-2022</w:t>
            </w:r>
          </w:p>
        </w:tc>
        <w:tc>
          <w:tcPr>
            <w:tcW w:w="3520"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突发环境事件管理指南第2部分：应急演练评估</w:t>
            </w:r>
          </w:p>
        </w:tc>
        <w:tc>
          <w:tcPr>
            <w:tcW w:w="1746"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2022-06-30</w:t>
            </w:r>
          </w:p>
        </w:tc>
        <w:tc>
          <w:tcPr>
            <w:tcW w:w="1448"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2022-07-31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9"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w:t>
            </w:r>
          </w:p>
        </w:tc>
        <w:tc>
          <w:tcPr>
            <w:tcW w:w="1622"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DB11/T 1583-2018</w:t>
            </w:r>
          </w:p>
        </w:tc>
        <w:tc>
          <w:tcPr>
            <w:tcW w:w="3520"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生产安全事故应急演练实施与评估细则</w:t>
            </w:r>
          </w:p>
        </w:tc>
        <w:tc>
          <w:tcPr>
            <w:tcW w:w="1746"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2018-12-17</w:t>
            </w:r>
          </w:p>
        </w:tc>
        <w:tc>
          <w:tcPr>
            <w:tcW w:w="1448"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2019-07-01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9"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w:t>
            </w:r>
          </w:p>
        </w:tc>
        <w:tc>
          <w:tcPr>
            <w:tcW w:w="1622"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AQ/T 9009-2015</w:t>
            </w:r>
          </w:p>
        </w:tc>
        <w:tc>
          <w:tcPr>
            <w:tcW w:w="3520"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生产安全事故应急演练评估规范</w:t>
            </w:r>
          </w:p>
        </w:tc>
        <w:tc>
          <w:tcPr>
            <w:tcW w:w="1746"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2015-03-09</w:t>
            </w:r>
          </w:p>
        </w:tc>
        <w:tc>
          <w:tcPr>
            <w:tcW w:w="1448" w:type="dxa"/>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2015-09-01</w:t>
            </w:r>
          </w:p>
        </w:tc>
      </w:tr>
    </w:tbl>
    <w:p>
      <w:pPr>
        <w:keepNext w:val="0"/>
        <w:keepLines w:val="0"/>
        <w:pageBreakBefore w:val="0"/>
        <w:widowControl w:val="0"/>
        <w:kinsoku/>
        <w:wordWrap/>
        <w:topLinePunct w:val="0"/>
        <w:bidi w:val="0"/>
        <w:spacing w:line="560" w:lineRule="exact"/>
        <w:ind w:firstLine="640" w:firstLineChars="200"/>
        <w:textAlignment w:val="auto"/>
        <w:rPr>
          <w:rFonts w:hint="eastAsia" w:ascii="宋体" w:hAnsi="宋体" w:eastAsia="仿宋_GB2312" w:cs="Times New Roman"/>
          <w:sz w:val="32"/>
          <w:szCs w:val="24"/>
        </w:rPr>
      </w:pPr>
      <w:r>
        <w:rPr>
          <w:rFonts w:hint="eastAsia" w:ascii="宋体" w:hAnsi="宋体" w:eastAsia="仿宋_GB2312" w:cs="Times New Roman"/>
          <w:sz w:val="32"/>
          <w:szCs w:val="24"/>
        </w:rPr>
        <w:t>现行标准体系在指导地方及</w:t>
      </w:r>
      <w:r>
        <w:rPr>
          <w:rFonts w:hint="eastAsia" w:ascii="宋体" w:hAnsi="宋体" w:eastAsia="仿宋_GB2312" w:cs="Times New Roman"/>
          <w:sz w:val="32"/>
          <w:szCs w:val="24"/>
          <w:lang w:eastAsia="zh-CN"/>
        </w:rPr>
        <w:t>有关</w:t>
      </w:r>
      <w:r>
        <w:rPr>
          <w:rFonts w:hint="eastAsia" w:ascii="宋体" w:hAnsi="宋体" w:eastAsia="仿宋_GB2312" w:cs="Times New Roman"/>
          <w:sz w:val="32"/>
          <w:szCs w:val="24"/>
        </w:rPr>
        <w:t>行业应急演练评估工作中奠定了基础</w:t>
      </w:r>
      <w:r>
        <w:rPr>
          <w:rFonts w:hint="eastAsia" w:ascii="宋体" w:hAnsi="宋体" w:eastAsia="仿宋_GB2312" w:cs="Times New Roman"/>
          <w:sz w:val="32"/>
          <w:szCs w:val="24"/>
          <w:lang w:eastAsia="zh-CN"/>
        </w:rPr>
        <w:t>，</w:t>
      </w:r>
      <w:r>
        <w:rPr>
          <w:rFonts w:hint="eastAsia" w:ascii="宋体" w:hAnsi="宋体" w:eastAsia="仿宋_GB2312" w:cs="Times New Roman"/>
          <w:sz w:val="32"/>
          <w:szCs w:val="24"/>
        </w:rPr>
        <w:t>但多</w:t>
      </w:r>
      <w:r>
        <w:rPr>
          <w:rFonts w:hint="eastAsia" w:ascii="宋体" w:hAnsi="宋体" w:eastAsia="仿宋_GB2312" w:cs="Times New Roman"/>
          <w:sz w:val="32"/>
          <w:szCs w:val="24"/>
          <w:lang w:eastAsia="zh-CN"/>
        </w:rPr>
        <w:t>针对</w:t>
      </w:r>
      <w:r>
        <w:rPr>
          <w:rFonts w:hint="eastAsia" w:ascii="宋体" w:hAnsi="宋体" w:eastAsia="仿宋_GB2312" w:cs="Times New Roman"/>
          <w:sz w:val="32"/>
          <w:szCs w:val="24"/>
        </w:rPr>
        <w:t>辐射事故、</w:t>
      </w:r>
      <w:r>
        <w:rPr>
          <w:rFonts w:hint="eastAsia" w:ascii="宋体" w:hAnsi="宋体" w:eastAsia="仿宋_GB2312" w:cs="Times New Roman"/>
          <w:sz w:val="32"/>
          <w:szCs w:val="24"/>
          <w:lang w:eastAsia="zh-CN"/>
        </w:rPr>
        <w:t>突发</w:t>
      </w:r>
      <w:r>
        <w:rPr>
          <w:rFonts w:hint="eastAsia" w:ascii="宋体" w:hAnsi="宋体" w:eastAsia="仿宋_GB2312" w:cs="Times New Roman"/>
          <w:sz w:val="32"/>
          <w:szCs w:val="24"/>
        </w:rPr>
        <w:t>环境事件、生产安全事故等</w:t>
      </w:r>
      <w:r>
        <w:rPr>
          <w:rFonts w:hint="eastAsia" w:ascii="宋体" w:hAnsi="宋体" w:eastAsia="仿宋_GB2312" w:cs="Times New Roman"/>
          <w:sz w:val="32"/>
          <w:szCs w:val="24"/>
          <w:lang w:eastAsia="zh-CN"/>
        </w:rPr>
        <w:t>部分</w:t>
      </w:r>
      <w:r>
        <w:rPr>
          <w:rFonts w:hint="eastAsia" w:ascii="宋体" w:hAnsi="宋体" w:eastAsia="仿宋_GB2312" w:cs="Times New Roman"/>
          <w:sz w:val="32"/>
          <w:szCs w:val="24"/>
        </w:rPr>
        <w:t>专项领域，或聚焦于突发事件响应处置的共性要求。针对地震灾害</w:t>
      </w:r>
      <w:r>
        <w:rPr>
          <w:rFonts w:hint="eastAsia" w:ascii="宋体" w:hAnsi="宋体" w:eastAsia="仿宋_GB2312" w:cs="Times New Roman"/>
          <w:sz w:val="32"/>
          <w:szCs w:val="24"/>
          <w:lang w:eastAsia="zh-CN"/>
        </w:rPr>
        <w:t>领域的</w:t>
      </w:r>
      <w:r>
        <w:rPr>
          <w:rFonts w:hint="eastAsia" w:ascii="宋体" w:hAnsi="宋体" w:eastAsia="仿宋_GB2312" w:cs="Times New Roman"/>
          <w:sz w:val="32"/>
          <w:szCs w:val="24"/>
        </w:rPr>
        <w:t>应急演练</w:t>
      </w:r>
      <w:r>
        <w:rPr>
          <w:rFonts w:hint="eastAsia" w:ascii="宋体" w:hAnsi="宋体" w:eastAsia="仿宋_GB2312" w:cs="Times New Roman"/>
          <w:sz w:val="32"/>
          <w:szCs w:val="24"/>
          <w:lang w:eastAsia="zh-CN"/>
        </w:rPr>
        <w:t>及其</w:t>
      </w:r>
      <w:r>
        <w:rPr>
          <w:rFonts w:hint="eastAsia" w:ascii="宋体" w:hAnsi="宋体" w:eastAsia="仿宋_GB2312" w:cs="Times New Roman"/>
          <w:sz w:val="32"/>
          <w:szCs w:val="24"/>
        </w:rPr>
        <w:t>评估，目前存在</w:t>
      </w:r>
      <w:r>
        <w:rPr>
          <w:rFonts w:hint="eastAsia" w:ascii="宋体" w:hAnsi="宋体" w:eastAsia="仿宋_GB2312" w:cs="Times New Roman"/>
          <w:sz w:val="32"/>
          <w:szCs w:val="24"/>
          <w:lang w:eastAsia="zh-CN"/>
        </w:rPr>
        <w:t>行业</w:t>
      </w:r>
      <w:r>
        <w:rPr>
          <w:rFonts w:hint="eastAsia" w:ascii="宋体" w:hAnsi="宋体" w:eastAsia="仿宋_GB2312" w:cs="Times New Roman"/>
          <w:sz w:val="32"/>
          <w:szCs w:val="24"/>
        </w:rPr>
        <w:t>标准空白。我国亟须构建一套既能体现地震灾害特殊规律，又融合科学性与实战价值的地震应急演练评估标准体系。</w:t>
      </w:r>
    </w:p>
    <w:p>
      <w:pPr>
        <w:keepNext w:val="0"/>
        <w:keepLines w:val="0"/>
        <w:pageBreakBefore w:val="0"/>
        <w:widowControl w:val="0"/>
        <w:kinsoku/>
        <w:wordWrap/>
        <w:topLinePunct w:val="0"/>
        <w:bidi w:val="0"/>
        <w:spacing w:line="560" w:lineRule="exact"/>
        <w:ind w:firstLine="641"/>
        <w:textAlignment w:val="auto"/>
        <w:rPr>
          <w:rFonts w:hint="eastAsia" w:ascii="黑体" w:hAnsi="黑体" w:eastAsia="黑体" w:cs="黑体"/>
          <w:sz w:val="32"/>
          <w:szCs w:val="32"/>
        </w:rPr>
      </w:pPr>
      <w:r>
        <w:rPr>
          <w:rFonts w:ascii="黑体" w:hAnsi="黑体" w:eastAsia="黑体" w:cs="黑体"/>
          <w:spacing w:val="1"/>
          <w:sz w:val="32"/>
          <w:szCs w:val="32"/>
        </w:rPr>
        <w:t>五、以国际标准为基础的起草情况、是否合规引用或采用国</w:t>
      </w:r>
      <w:r>
        <w:rPr>
          <w:rFonts w:ascii="黑体" w:hAnsi="黑体" w:eastAsia="黑体" w:cs="黑体"/>
          <w:spacing w:val="5"/>
          <w:sz w:val="32"/>
          <w:szCs w:val="32"/>
        </w:rPr>
        <w:t>际国外标准以及未采用国际标准的原因</w:t>
      </w:r>
    </w:p>
    <w:p>
      <w:pPr>
        <w:keepNext w:val="0"/>
        <w:keepLines w:val="0"/>
        <w:pageBreakBefore w:val="0"/>
        <w:widowControl w:val="0"/>
        <w:kinsoku/>
        <w:wordWrap/>
        <w:topLinePunct w:val="0"/>
        <w:bidi w:val="0"/>
        <w:spacing w:line="560" w:lineRule="exact"/>
        <w:ind w:firstLine="640" w:firstLineChars="200"/>
        <w:textAlignment w:val="auto"/>
        <w:rPr>
          <w:rFonts w:hint="eastAsia" w:ascii="宋体" w:hAnsi="宋体" w:eastAsia="仿宋_GB2312" w:cs="Times New Roman"/>
          <w:sz w:val="32"/>
          <w:szCs w:val="24"/>
        </w:rPr>
      </w:pPr>
      <w:r>
        <w:rPr>
          <w:rFonts w:hint="eastAsia" w:ascii="宋体" w:hAnsi="宋体" w:eastAsia="仿宋_GB2312" w:cs="Times New Roman"/>
          <w:sz w:val="32"/>
          <w:szCs w:val="24"/>
        </w:rPr>
        <w:t>本标准未以特定的国际标准为基础起草。</w:t>
      </w:r>
    </w:p>
    <w:p>
      <w:pPr>
        <w:keepNext w:val="0"/>
        <w:keepLines w:val="0"/>
        <w:pageBreakBefore w:val="0"/>
        <w:widowControl w:val="0"/>
        <w:kinsoku/>
        <w:wordWrap/>
        <w:topLinePunct w:val="0"/>
        <w:bidi w:val="0"/>
        <w:spacing w:line="560" w:lineRule="exact"/>
        <w:ind w:firstLine="641"/>
        <w:textAlignment w:val="auto"/>
        <w:rPr>
          <w:rFonts w:hint="eastAsia" w:ascii="黑体" w:hAnsi="黑体" w:eastAsia="黑体" w:cs="黑体"/>
          <w:spacing w:val="1"/>
          <w:sz w:val="32"/>
          <w:szCs w:val="32"/>
        </w:rPr>
      </w:pPr>
      <w:r>
        <w:rPr>
          <w:rFonts w:ascii="黑体" w:hAnsi="黑体" w:eastAsia="黑体" w:cs="黑体"/>
          <w:spacing w:val="1"/>
          <w:sz w:val="32"/>
          <w:szCs w:val="32"/>
        </w:rPr>
        <w:t>六、与有关法律、行政法规及相关标准水平的关系</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rPr>
      </w:pPr>
      <w:r>
        <w:rPr>
          <w:rFonts w:hint="eastAsia" w:ascii="宋体" w:hAnsi="宋体" w:eastAsia="仿宋_GB2312" w:cs="Times New Roman"/>
        </w:rPr>
        <w:t>本标准的制定全面贯彻《中华人民共和国突发事件应对法》《中华人民共和国防震减灾法》等法律条款，严格遵循《国家突发事件总体应急预案》</w:t>
      </w:r>
      <w:r>
        <w:rPr>
          <w:rFonts w:hint="eastAsia" w:eastAsia="仿宋_GB2312" w:cs="Times New Roman"/>
          <w:lang w:eastAsia="zh-CN"/>
        </w:rPr>
        <w:t>《突发事件应急预案管理办法》《国家地震应急预案》</w:t>
      </w:r>
      <w:r>
        <w:rPr>
          <w:rFonts w:hint="eastAsia" w:ascii="宋体" w:hAnsi="宋体" w:eastAsia="仿宋_GB2312" w:cs="Times New Roman"/>
        </w:rPr>
        <w:t>《国家自然灾害救助应急预案》等政策规范要求。经系统性核查，文本内容未与任何现行强制性标准存在交叉或抵触情形，其技术指标和操作规范经专业论证，能够与现行国家标准、行业标准形成有效衔接与互补，充分体现了标准体系的协调性与科学性。</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rPr>
      </w:pPr>
      <w:r>
        <w:rPr>
          <w:rFonts w:hint="eastAsia" w:ascii="宋体" w:hAnsi="宋体" w:eastAsia="仿宋_GB2312" w:cs="Times New Roman"/>
        </w:rPr>
        <w:t>正在编制中的国家标准《突发事件应急演练评估指南》是本标准的核心编制依据。在技术框架层面，通过系统对标该指南的规范要求，实现评估流程与演练科目的有机衔接；在标准定位层面，本标准基于现行应急管理体系建设需求，对演练评估的操作规范、实施要点等要素进行专项拓展和深化，形成与上位标准的纵向协同关系。</w:t>
      </w:r>
    </w:p>
    <w:p>
      <w:pPr>
        <w:keepNext w:val="0"/>
        <w:keepLines w:val="0"/>
        <w:pageBreakBefore w:val="0"/>
        <w:widowControl w:val="0"/>
        <w:kinsoku/>
        <w:wordWrap/>
        <w:topLinePunct w:val="0"/>
        <w:bidi w:val="0"/>
        <w:spacing w:line="560" w:lineRule="exact"/>
        <w:ind w:firstLine="641"/>
        <w:textAlignment w:val="auto"/>
        <w:rPr>
          <w:rFonts w:hint="eastAsia" w:ascii="黑体" w:hAnsi="黑体" w:eastAsia="黑体" w:cs="黑体"/>
          <w:spacing w:val="1"/>
          <w:sz w:val="32"/>
          <w:szCs w:val="32"/>
        </w:rPr>
      </w:pPr>
      <w:r>
        <w:rPr>
          <w:rFonts w:ascii="黑体" w:hAnsi="黑体" w:eastAsia="黑体" w:cs="黑体"/>
          <w:spacing w:val="1"/>
          <w:sz w:val="32"/>
          <w:szCs w:val="32"/>
        </w:rPr>
        <w:t>七、重大分歧意见的处理过程及依据</w:t>
      </w:r>
    </w:p>
    <w:p>
      <w:pPr>
        <w:keepNext w:val="0"/>
        <w:keepLines w:val="0"/>
        <w:pageBreakBefore w:val="0"/>
        <w:widowControl w:val="0"/>
        <w:kinsoku/>
        <w:wordWrap/>
        <w:topLinePunct w:val="0"/>
        <w:bidi w:val="0"/>
        <w:spacing w:line="560" w:lineRule="exact"/>
        <w:ind w:firstLine="640" w:firstLineChars="200"/>
        <w:textAlignment w:val="auto"/>
        <w:rPr>
          <w:rFonts w:hint="eastAsia" w:ascii="宋体" w:hAnsi="宋体" w:eastAsia="仿宋_GB2312" w:cs="Times New Roman"/>
          <w:sz w:val="32"/>
        </w:rPr>
      </w:pPr>
      <w:r>
        <w:rPr>
          <w:rFonts w:hint="eastAsia" w:ascii="宋体" w:hAnsi="宋体" w:eastAsia="仿宋_GB2312" w:cs="Times New Roman"/>
          <w:sz w:val="32"/>
        </w:rPr>
        <w:t>无。</w:t>
      </w:r>
    </w:p>
    <w:p>
      <w:pPr>
        <w:keepNext w:val="0"/>
        <w:keepLines w:val="0"/>
        <w:pageBreakBefore w:val="0"/>
        <w:widowControl w:val="0"/>
        <w:kinsoku/>
        <w:wordWrap/>
        <w:topLinePunct w:val="0"/>
        <w:bidi w:val="0"/>
        <w:spacing w:line="560" w:lineRule="exact"/>
        <w:ind w:firstLine="641"/>
        <w:textAlignment w:val="auto"/>
        <w:rPr>
          <w:rFonts w:hint="eastAsia" w:ascii="黑体" w:hAnsi="黑体" w:eastAsia="黑体" w:cs="黑体"/>
          <w:spacing w:val="1"/>
          <w:sz w:val="32"/>
          <w:szCs w:val="32"/>
        </w:rPr>
      </w:pPr>
      <w:r>
        <w:rPr>
          <w:rFonts w:ascii="黑体" w:hAnsi="黑体" w:eastAsia="黑体" w:cs="黑体"/>
          <w:spacing w:val="1"/>
          <w:sz w:val="32"/>
          <w:szCs w:val="32"/>
        </w:rPr>
        <w:t>八、作为强制性标准或推荐性标准的建议及理由</w:t>
      </w:r>
    </w:p>
    <w:p>
      <w:pPr>
        <w:pStyle w:val="62"/>
        <w:keepNext w:val="0"/>
        <w:keepLines w:val="0"/>
        <w:pageBreakBefore w:val="0"/>
        <w:widowControl w:val="0"/>
        <w:numPr>
          <w:ilvl w:val="0"/>
          <w:numId w:val="0"/>
        </w:numPr>
        <w:kinsoku/>
        <w:wordWrap/>
        <w:topLinePunct w:val="0"/>
        <w:bidi w:val="0"/>
        <w:adjustRightInd w:val="0"/>
        <w:snapToGrid w:val="0"/>
        <w:ind w:firstLine="640" w:firstLineChars="200"/>
        <w:textAlignment w:val="auto"/>
        <w:rPr>
          <w:rFonts w:hint="eastAsia" w:ascii="宋体" w:hAnsi="宋体" w:eastAsia="仿宋_GB2312" w:cs="Times New Roman"/>
        </w:rPr>
      </w:pPr>
      <w:r>
        <w:rPr>
          <w:rFonts w:hint="eastAsia" w:ascii="宋体" w:hAnsi="宋体" w:eastAsia="仿宋_GB2312" w:cs="Times New Roman"/>
        </w:rPr>
        <w:t>《中华人民共和国标准化法》第二条及第十条对我国标准体系作出权威界定，</w:t>
      </w:r>
      <w:r>
        <w:rPr>
          <w:rFonts w:hint="eastAsia" w:eastAsia="仿宋_GB2312" w:cs="Times New Roman"/>
          <w:lang w:eastAsia="zh-CN"/>
        </w:rPr>
        <w:t>明</w:t>
      </w:r>
      <w:r>
        <w:rPr>
          <w:rFonts w:hint="eastAsia" w:ascii="宋体" w:hAnsi="宋体" w:eastAsia="仿宋_GB2312" w:cs="Times New Roman"/>
        </w:rPr>
        <w:t>确强制性与推荐性标准的分类</w:t>
      </w:r>
      <w:r>
        <w:rPr>
          <w:rFonts w:hint="eastAsia" w:eastAsia="仿宋_GB2312" w:cs="Times New Roman"/>
          <w:lang w:eastAsia="zh-CN"/>
        </w:rPr>
        <w:t>，</w:t>
      </w:r>
      <w:r>
        <w:rPr>
          <w:rFonts w:hint="eastAsia" w:ascii="宋体" w:hAnsi="宋体" w:eastAsia="仿宋_GB2312" w:cs="Times New Roman"/>
        </w:rPr>
        <w:t>其中特别明确限定涉及“人身健康、生命财产安全、国家安全、生态环境安全及经济社会管理基础需求”领域须执行强制性标准的刚性约束。本标准着力于指导全国范围内地震应急演练评估工作的规范化建设，通过统一技术指标和操作规范有效提升地震应急演练实效性。鉴于其适用范围和实施强度尚未具备纳入强制性标准体系的必要条件，作为推荐性技术标准更符合当前法制框架与实践需求。</w:t>
      </w:r>
    </w:p>
    <w:p>
      <w:pPr>
        <w:keepNext w:val="0"/>
        <w:keepLines w:val="0"/>
        <w:pageBreakBefore w:val="0"/>
        <w:widowControl w:val="0"/>
        <w:kinsoku/>
        <w:wordWrap/>
        <w:topLinePunct w:val="0"/>
        <w:bidi w:val="0"/>
        <w:spacing w:line="560" w:lineRule="exact"/>
        <w:ind w:firstLine="641"/>
        <w:textAlignment w:val="auto"/>
        <w:rPr>
          <w:rFonts w:hint="eastAsia" w:ascii="黑体" w:hAnsi="黑体" w:eastAsia="黑体" w:cs="黑体"/>
          <w:spacing w:val="1"/>
          <w:sz w:val="32"/>
          <w:szCs w:val="32"/>
        </w:rPr>
      </w:pPr>
      <w:r>
        <w:rPr>
          <w:rFonts w:ascii="黑体" w:hAnsi="黑体" w:eastAsia="黑体" w:cs="黑体"/>
          <w:spacing w:val="1"/>
          <w:sz w:val="32"/>
          <w:szCs w:val="32"/>
        </w:rPr>
        <w:t>九、标准自发布日期至实施日期的过渡期建议及理由</w:t>
      </w:r>
    </w:p>
    <w:p>
      <w:pPr>
        <w:pStyle w:val="62"/>
        <w:keepNext w:val="0"/>
        <w:keepLines w:val="0"/>
        <w:pageBreakBefore w:val="0"/>
        <w:widowControl w:val="0"/>
        <w:kinsoku/>
        <w:wordWrap/>
        <w:overflowPunct w:val="0"/>
        <w:topLinePunct w:val="0"/>
        <w:autoSpaceDE/>
        <w:autoSpaceDN/>
        <w:bidi w:val="0"/>
        <w:adjustRightInd w:val="0"/>
        <w:snapToGrid w:val="0"/>
        <w:ind w:firstLine="640"/>
        <w:textAlignment w:val="auto"/>
        <w:rPr>
          <w:rFonts w:hint="eastAsia" w:ascii="宋体" w:hAnsi="宋体" w:eastAsia="仿宋_GB2312"/>
          <w:szCs w:val="32"/>
        </w:rPr>
      </w:pPr>
      <w:r>
        <w:rPr>
          <w:rFonts w:hint="eastAsia" w:ascii="宋体" w:hAnsi="宋体" w:eastAsia="仿宋_GB2312"/>
          <w:szCs w:val="32"/>
        </w:rPr>
        <w:t>本文件正式颁布后，尚需对各级应急管理部门、地震部门及相关单位进行标准宣贯、培训工作，确保所有相关责任主体准确掌握标准要求，建议本文件在颁布之日起设置6个月过渡期，期满后正式施行。</w:t>
      </w:r>
    </w:p>
    <w:p>
      <w:pPr>
        <w:keepNext w:val="0"/>
        <w:keepLines w:val="0"/>
        <w:pageBreakBefore w:val="0"/>
        <w:widowControl w:val="0"/>
        <w:kinsoku/>
        <w:wordWrap/>
        <w:topLinePunct w:val="0"/>
        <w:bidi w:val="0"/>
        <w:spacing w:line="560" w:lineRule="exact"/>
        <w:ind w:firstLine="641"/>
        <w:textAlignment w:val="auto"/>
        <w:rPr>
          <w:rFonts w:hint="eastAsia" w:ascii="黑体" w:hAnsi="黑体" w:eastAsia="黑体" w:cs="黑体"/>
          <w:spacing w:val="1"/>
          <w:sz w:val="32"/>
          <w:szCs w:val="32"/>
        </w:rPr>
      </w:pPr>
      <w:r>
        <w:rPr>
          <w:rFonts w:ascii="黑体" w:hAnsi="黑体" w:eastAsia="黑体" w:cs="黑体"/>
          <w:spacing w:val="1"/>
          <w:sz w:val="32"/>
          <w:szCs w:val="32"/>
        </w:rPr>
        <w:t>十、与实施标准有关的政策措施</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hd w:val="clear" w:color="auto" w:fill="FFFFFF"/>
        </w:rPr>
      </w:pPr>
      <w:r>
        <w:rPr>
          <w:rFonts w:hint="eastAsia" w:ascii="宋体" w:hAnsi="宋体" w:eastAsia="仿宋_GB2312" w:cs="Times New Roman"/>
          <w:shd w:val="clear" w:color="auto" w:fill="FFFFFF"/>
        </w:rPr>
        <w:t>本标准正式实施后，将</w:t>
      </w:r>
      <w:r>
        <w:rPr>
          <w:rFonts w:hint="eastAsia" w:eastAsia="仿宋_GB2312" w:cs="Times New Roman"/>
          <w:shd w:val="clear" w:color="auto" w:fill="FFFFFF"/>
          <w:lang w:eastAsia="zh-CN"/>
        </w:rPr>
        <w:t>结合</w:t>
      </w:r>
      <w:r>
        <w:rPr>
          <w:rFonts w:hint="eastAsia" w:ascii="宋体" w:hAnsi="宋体" w:eastAsia="仿宋_GB2312" w:cs="Times New Roman"/>
          <w:shd w:val="clear" w:color="auto" w:fill="FFFFFF"/>
        </w:rPr>
        <w:t>“全国安全生产月”“全国防灾减灾日”等</w:t>
      </w:r>
      <w:r>
        <w:rPr>
          <w:rFonts w:hint="eastAsia" w:eastAsia="仿宋_GB2312" w:cs="Times New Roman"/>
          <w:shd w:val="clear" w:color="auto" w:fill="FFFFFF"/>
          <w:lang w:eastAsia="zh-CN"/>
        </w:rPr>
        <w:t>专项</w:t>
      </w:r>
      <w:r>
        <w:rPr>
          <w:rFonts w:hint="eastAsia" w:ascii="宋体" w:hAnsi="宋体" w:eastAsia="仿宋_GB2312" w:cs="Times New Roman"/>
          <w:shd w:val="clear" w:color="auto" w:fill="FFFFFF"/>
        </w:rPr>
        <w:t>活动，通过线上线下相结合、传统媒介与新兴媒体相补充的多层次宣</w:t>
      </w:r>
      <w:r>
        <w:rPr>
          <w:rFonts w:hint="eastAsia" w:eastAsia="仿宋_GB2312" w:cs="Times New Roman"/>
          <w:shd w:val="clear" w:color="auto" w:fill="FFFFFF"/>
          <w:lang w:eastAsia="zh-CN"/>
        </w:rPr>
        <w:t>传教育渠道</w:t>
      </w:r>
      <w:r>
        <w:rPr>
          <w:rFonts w:hint="eastAsia" w:ascii="宋体" w:hAnsi="宋体" w:eastAsia="仿宋_GB2312" w:cs="Times New Roman"/>
          <w:shd w:val="clear" w:color="auto" w:fill="FFFFFF"/>
        </w:rPr>
        <w:t>，重点阐释标准制定的</w:t>
      </w:r>
      <w:r>
        <w:rPr>
          <w:rFonts w:hint="eastAsia" w:eastAsia="仿宋_GB2312" w:cs="Times New Roman"/>
          <w:shd w:val="clear" w:color="auto" w:fill="FFFFFF"/>
          <w:lang w:eastAsia="zh-CN"/>
        </w:rPr>
        <w:t>意义</w:t>
      </w:r>
      <w:r>
        <w:rPr>
          <w:rFonts w:hint="eastAsia" w:ascii="宋体" w:hAnsi="宋体" w:eastAsia="仿宋_GB2312" w:cs="Times New Roman"/>
          <w:shd w:val="clear" w:color="auto" w:fill="FFFFFF"/>
        </w:rPr>
        <w:t>和实践价值，以生动案例诠释标准的</w:t>
      </w:r>
      <w:r>
        <w:rPr>
          <w:rFonts w:hint="eastAsia" w:eastAsia="仿宋_GB2312" w:cs="Times New Roman"/>
          <w:shd w:val="clear" w:color="auto" w:fill="FFFFFF"/>
          <w:lang w:eastAsia="zh-CN"/>
        </w:rPr>
        <w:t>主要内容</w:t>
      </w:r>
      <w:r>
        <w:rPr>
          <w:rFonts w:hint="eastAsia" w:ascii="宋体" w:hAnsi="宋体" w:eastAsia="仿宋_GB2312" w:cs="Times New Roman"/>
          <w:shd w:val="clear" w:color="auto" w:fill="FFFFFF"/>
        </w:rPr>
        <w:t>，营造全社会关注、全行业参与的浓厚氛围</w:t>
      </w:r>
      <w:r>
        <w:rPr>
          <w:rFonts w:hint="eastAsia" w:eastAsia="仿宋_GB2312" w:cs="Times New Roman"/>
          <w:shd w:val="clear" w:color="auto" w:fill="FFFFFF"/>
          <w:lang w:eastAsia="zh-CN"/>
        </w:rPr>
        <w:t>，</w:t>
      </w:r>
      <w:r>
        <w:rPr>
          <w:rFonts w:hint="eastAsia" w:ascii="宋体" w:hAnsi="宋体" w:eastAsia="仿宋_GB2312" w:cs="Times New Roman"/>
          <w:shd w:val="clear" w:color="auto" w:fill="FFFFFF"/>
        </w:rPr>
        <w:t>系统指导相关行业</w:t>
      </w:r>
      <w:r>
        <w:rPr>
          <w:rFonts w:hint="eastAsia" w:eastAsia="仿宋_GB2312" w:cs="Times New Roman"/>
          <w:shd w:val="clear" w:color="auto" w:fill="FFFFFF"/>
          <w:lang w:eastAsia="zh-CN"/>
        </w:rPr>
        <w:t>领域</w:t>
      </w:r>
      <w:r>
        <w:rPr>
          <w:rFonts w:hint="eastAsia" w:ascii="宋体" w:hAnsi="宋体" w:eastAsia="仿宋_GB2312" w:cs="Times New Roman"/>
          <w:shd w:val="clear" w:color="auto" w:fill="FFFFFF"/>
        </w:rPr>
        <w:t>规范实施，提升地震应急演练科学化水平。</w:t>
      </w:r>
    </w:p>
    <w:p>
      <w:pPr>
        <w:keepNext w:val="0"/>
        <w:keepLines w:val="0"/>
        <w:pageBreakBefore w:val="0"/>
        <w:widowControl w:val="0"/>
        <w:kinsoku/>
        <w:wordWrap/>
        <w:topLinePunct w:val="0"/>
        <w:bidi w:val="0"/>
        <w:spacing w:line="560" w:lineRule="exact"/>
        <w:ind w:firstLine="644" w:firstLineChars="200"/>
        <w:textAlignment w:val="auto"/>
        <w:rPr>
          <w:rFonts w:hint="eastAsia" w:ascii="黑体" w:hAnsi="黑体" w:eastAsia="黑体" w:cs="黑体"/>
          <w:spacing w:val="1"/>
          <w:sz w:val="32"/>
          <w:szCs w:val="32"/>
        </w:rPr>
      </w:pPr>
      <w:r>
        <w:rPr>
          <w:rFonts w:hint="eastAsia" w:ascii="黑体" w:hAnsi="黑体" w:eastAsia="黑体" w:cs="黑体"/>
          <w:spacing w:val="1"/>
          <w:sz w:val="32"/>
          <w:szCs w:val="32"/>
        </w:rPr>
        <w:t>十一、</w:t>
      </w:r>
      <w:r>
        <w:rPr>
          <w:rFonts w:ascii="黑体" w:hAnsi="黑体" w:eastAsia="黑体" w:cs="黑体"/>
          <w:spacing w:val="1"/>
          <w:sz w:val="32"/>
          <w:szCs w:val="32"/>
        </w:rPr>
        <w:t>是否需要对外通报的建议及理由</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hd w:val="clear" w:color="auto" w:fill="FFFFFF"/>
        </w:rPr>
      </w:pPr>
      <w:r>
        <w:rPr>
          <w:rFonts w:hint="eastAsia" w:ascii="宋体" w:hAnsi="宋体" w:eastAsia="仿宋_GB2312" w:cs="Times New Roman"/>
          <w:shd w:val="clear" w:color="auto" w:fill="FFFFFF"/>
        </w:rPr>
        <w:t>否。</w:t>
      </w:r>
    </w:p>
    <w:p>
      <w:pPr>
        <w:keepNext w:val="0"/>
        <w:keepLines w:val="0"/>
        <w:pageBreakBefore w:val="0"/>
        <w:widowControl w:val="0"/>
        <w:kinsoku/>
        <w:wordWrap/>
        <w:topLinePunct w:val="0"/>
        <w:bidi w:val="0"/>
        <w:spacing w:line="560" w:lineRule="exact"/>
        <w:ind w:firstLine="644" w:firstLineChars="200"/>
        <w:textAlignment w:val="auto"/>
        <w:rPr>
          <w:rFonts w:hint="eastAsia" w:ascii="黑体" w:hAnsi="黑体" w:eastAsia="黑体" w:cs="黑体"/>
          <w:spacing w:val="1"/>
          <w:sz w:val="32"/>
          <w:szCs w:val="32"/>
        </w:rPr>
      </w:pPr>
      <w:r>
        <w:rPr>
          <w:rFonts w:ascii="黑体" w:hAnsi="黑体" w:eastAsia="黑体" w:cs="黑体"/>
          <w:spacing w:val="1"/>
          <w:sz w:val="32"/>
          <w:szCs w:val="32"/>
        </w:rPr>
        <w:t>十二、废止现行有关标准的建议</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hd w:val="clear" w:color="auto" w:fill="FFFFFF"/>
        </w:rPr>
      </w:pPr>
      <w:r>
        <w:rPr>
          <w:rFonts w:hint="eastAsia" w:ascii="宋体" w:hAnsi="宋体" w:eastAsia="仿宋_GB2312" w:cs="Times New Roman"/>
          <w:shd w:val="clear" w:color="auto" w:fill="FFFFFF"/>
        </w:rPr>
        <w:t>无。</w:t>
      </w:r>
    </w:p>
    <w:p>
      <w:pPr>
        <w:keepNext w:val="0"/>
        <w:keepLines w:val="0"/>
        <w:pageBreakBefore w:val="0"/>
        <w:widowControl w:val="0"/>
        <w:kinsoku/>
        <w:wordWrap/>
        <w:topLinePunct w:val="0"/>
        <w:bidi w:val="0"/>
        <w:spacing w:line="560" w:lineRule="exact"/>
        <w:ind w:firstLine="644" w:firstLineChars="200"/>
        <w:textAlignment w:val="auto"/>
        <w:rPr>
          <w:rFonts w:hint="eastAsia" w:ascii="黑体" w:hAnsi="黑体" w:eastAsia="黑体" w:cs="黑体"/>
          <w:spacing w:val="1"/>
          <w:sz w:val="32"/>
          <w:szCs w:val="32"/>
        </w:rPr>
      </w:pPr>
      <w:r>
        <w:rPr>
          <w:rFonts w:ascii="黑体" w:hAnsi="黑体" w:eastAsia="黑体" w:cs="黑体"/>
          <w:spacing w:val="1"/>
          <w:sz w:val="32"/>
          <w:szCs w:val="32"/>
        </w:rPr>
        <w:t>十三、涉及专利的有关说明</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hd w:val="clear" w:color="auto" w:fill="FFFFFF"/>
        </w:rPr>
      </w:pPr>
      <w:r>
        <w:rPr>
          <w:rFonts w:hint="eastAsia" w:ascii="宋体" w:hAnsi="宋体" w:eastAsia="仿宋_GB2312" w:cs="Times New Roman"/>
          <w:shd w:val="clear" w:color="auto" w:fill="FFFFFF"/>
        </w:rPr>
        <w:t>无。</w:t>
      </w:r>
    </w:p>
    <w:p>
      <w:pPr>
        <w:keepNext w:val="0"/>
        <w:keepLines w:val="0"/>
        <w:pageBreakBefore w:val="0"/>
        <w:widowControl w:val="0"/>
        <w:kinsoku/>
        <w:wordWrap/>
        <w:topLinePunct w:val="0"/>
        <w:bidi w:val="0"/>
        <w:spacing w:line="560" w:lineRule="exact"/>
        <w:ind w:firstLine="644" w:firstLineChars="200"/>
        <w:textAlignment w:val="auto"/>
        <w:rPr>
          <w:rFonts w:hint="eastAsia" w:ascii="黑体" w:hAnsi="黑体" w:eastAsia="黑体" w:cs="黑体"/>
          <w:spacing w:val="1"/>
          <w:sz w:val="32"/>
          <w:szCs w:val="32"/>
        </w:rPr>
      </w:pPr>
      <w:r>
        <w:rPr>
          <w:rFonts w:ascii="黑体" w:hAnsi="黑体" w:eastAsia="黑体" w:cs="黑体"/>
          <w:spacing w:val="1"/>
          <w:sz w:val="32"/>
          <w:szCs w:val="32"/>
        </w:rPr>
        <w:t>十四、标准所涉及的产品、过程或者服务目录</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hd w:val="clear" w:color="auto" w:fill="FFFFFF"/>
        </w:rPr>
      </w:pPr>
      <w:r>
        <w:rPr>
          <w:rFonts w:hint="eastAsia" w:ascii="宋体" w:hAnsi="宋体" w:eastAsia="仿宋_GB2312" w:cs="Times New Roman"/>
          <w:shd w:val="clear" w:color="auto" w:fill="FFFFFF"/>
        </w:rPr>
        <w:t>无。</w:t>
      </w:r>
    </w:p>
    <w:p>
      <w:pPr>
        <w:keepNext w:val="0"/>
        <w:keepLines w:val="0"/>
        <w:pageBreakBefore w:val="0"/>
        <w:widowControl w:val="0"/>
        <w:kinsoku/>
        <w:wordWrap/>
        <w:topLinePunct w:val="0"/>
        <w:bidi w:val="0"/>
        <w:spacing w:line="560" w:lineRule="exact"/>
        <w:ind w:firstLine="644" w:firstLineChars="200"/>
        <w:textAlignment w:val="auto"/>
        <w:rPr>
          <w:rFonts w:hint="eastAsia" w:ascii="黑体" w:hAnsi="黑体" w:eastAsia="黑体" w:cs="黑体"/>
          <w:spacing w:val="1"/>
          <w:sz w:val="32"/>
          <w:szCs w:val="32"/>
        </w:rPr>
      </w:pPr>
      <w:r>
        <w:rPr>
          <w:rFonts w:ascii="黑体" w:hAnsi="黑体" w:eastAsia="黑体" w:cs="黑体"/>
          <w:spacing w:val="1"/>
          <w:sz w:val="32"/>
          <w:szCs w:val="32"/>
        </w:rPr>
        <w:t>十五、其他应予说明的事项</w:t>
      </w:r>
    </w:p>
    <w:p>
      <w:pPr>
        <w:pStyle w:val="62"/>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hd w:val="clear" w:color="auto" w:fill="FFFFFF"/>
        </w:rPr>
      </w:pPr>
      <w:r>
        <w:rPr>
          <w:rFonts w:hint="eastAsia" w:ascii="宋体" w:hAnsi="宋体" w:eastAsia="仿宋_GB2312" w:cs="Times New Roman"/>
          <w:shd w:val="clear" w:color="auto" w:fill="FFFFFF"/>
        </w:rPr>
        <w:t>无。</w:t>
      </w:r>
    </w:p>
    <w:p>
      <w:pPr>
        <w:adjustRightInd w:val="0"/>
        <w:spacing w:line="20" w:lineRule="exact"/>
        <w:jc w:val="center"/>
        <w:rPr>
          <w:rFonts w:hint="eastAsia" w:ascii="黑体" w:hAnsi="黑体" w:eastAsia="黑体" w:cs="Times New Roman"/>
          <w:sz w:val="32"/>
          <w:szCs w:val="32"/>
        </w:rPr>
      </w:pPr>
      <w:bookmarkStart w:id="234" w:name="BookMark4"/>
    </w:p>
    <w:p>
      <w:pPr>
        <w:adjustRightInd w:val="0"/>
        <w:spacing w:line="20" w:lineRule="exact"/>
        <w:jc w:val="center"/>
        <w:rPr>
          <w:rFonts w:hint="eastAsia" w:ascii="黑体" w:hAnsi="黑体" w:eastAsia="黑体" w:cs="Times New Roman"/>
          <w:sz w:val="32"/>
          <w:szCs w:val="32"/>
        </w:rPr>
      </w:pPr>
    </w:p>
    <w:bookmarkEnd w:id="234"/>
    <w:p>
      <w:pPr>
        <w:pStyle w:val="2"/>
        <w:rPr>
          <w:rFonts w:hint="eastAsia"/>
          <w:lang w:val="zh-CN"/>
        </w:rPr>
      </w:pPr>
    </w:p>
    <w:sectPr>
      <w:headerReference r:id="rId25" w:type="default"/>
      <w:footerReference r:id="rId26" w:type="default"/>
      <w:pgSz w:w="11906" w:h="16838"/>
      <w:pgMar w:top="1440" w:right="1800" w:bottom="1440" w:left="1800" w:header="851" w:footer="851"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D814547-2820-4B26-8887-01AA7E7D8FF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1339B37C-7792-4DEE-AB0B-AB305117C5C7}"/>
  </w:font>
  <w:font w:name="CG Times">
    <w:altName w:val="Times New Roman"/>
    <w:panose1 w:val="00000000000000000000"/>
    <w:charset w:val="00"/>
    <w:family w:val="roman"/>
    <w:pitch w:val="default"/>
    <w:sig w:usb0="00000000" w:usb1="00000000" w:usb2="00000000" w:usb3="00000000" w:csb0="00040001" w:csb1="00000000"/>
    <w:embedRegular r:id="rId3" w:fontKey="{D1E5CEC7-2DCE-413A-9503-77109A7E8078}"/>
  </w:font>
  <w:font w:name="楷体">
    <w:panose1 w:val="02010609060101010101"/>
    <w:charset w:val="86"/>
    <w:family w:val="modern"/>
    <w:pitch w:val="default"/>
    <w:sig w:usb0="800002BF" w:usb1="38CF7CFA" w:usb2="00000016" w:usb3="00000000" w:csb0="00040001" w:csb1="00000000"/>
    <w:embedRegular r:id="rId4" w:fontKey="{B275318B-2AA6-4DAE-AE1A-273877DDB7C8}"/>
  </w:font>
  <w:font w:name="方正仿宋_GB2312">
    <w:panose1 w:val="02000000000000000000"/>
    <w:charset w:val="86"/>
    <w:family w:val="auto"/>
    <w:pitch w:val="default"/>
    <w:sig w:usb0="A00002BF" w:usb1="184F6CFA" w:usb2="00000012" w:usb3="00000000" w:csb0="00040001" w:csb1="00000000"/>
    <w:embedRegular r:id="rId5" w:fontKey="{B8866C50-C67A-44E5-BD8A-631288E716EF}"/>
  </w:font>
  <w:font w:name="方正公文黑体">
    <w:panose1 w:val="02000500000000000000"/>
    <w:charset w:val="86"/>
    <w:family w:val="auto"/>
    <w:pitch w:val="default"/>
    <w:sig w:usb0="A00002BF" w:usb1="38CF7CFA" w:usb2="00000016" w:usb3="00000000" w:csb0="00040001" w:csb1="00000000"/>
    <w:embedRegular r:id="rId6" w:fontKey="{AF545B09-0E43-4475-B4C4-34BD3756D3FD}"/>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7" w:fontKey="{76712B49-B5F6-476B-B45D-7199963266C3}"/>
  </w:font>
  <w:font w:name="Segoe UI Symbol">
    <w:panose1 w:val="020B0502040204020203"/>
    <w:charset w:val="00"/>
    <w:family w:val="swiss"/>
    <w:pitch w:val="default"/>
    <w:sig w:usb0="800001E3" w:usb1="1200FFEF" w:usb2="00040000" w:usb3="04000000" w:csb0="00000001" w:csb1="40000000"/>
    <w:embedRegular r:id="rId8" w:fontKey="{F09CA936-DB1E-4468-A51A-1BD4276E770A}"/>
  </w:font>
  <w:font w:name="仿宋_GB2312">
    <w:panose1 w:val="02010609030101010101"/>
    <w:charset w:val="86"/>
    <w:family w:val="modern"/>
    <w:pitch w:val="default"/>
    <w:sig w:usb0="00000001" w:usb1="080E0000" w:usb2="00000000" w:usb3="00000000" w:csb0="00040000" w:csb1="00000000"/>
    <w:embedRegular r:id="rId9" w:fontKey="{A5B96528-2691-4384-B12F-ADF11E063824}"/>
  </w:font>
  <w:font w:name="方正仿宋_GBK">
    <w:panose1 w:val="02000000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hint="eastAsia"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hint="eastAsia"/>
      </w:rPr>
    </w:pPr>
    <w:r>
      <w:fldChar w:fldCharType="begin"/>
    </w:r>
    <w:r>
      <w:instrText xml:space="preserve">PAGE   \* MERGEFORMAT</w:instrText>
    </w:r>
    <w:r>
      <w:fldChar w:fldCharType="separate"/>
    </w:r>
    <w:r>
      <w:rPr>
        <w:lang w:val="zh-CN"/>
      </w:rPr>
      <w:t>2</w:t>
    </w:r>
    <w: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rPr>
    </w:pPr>
    <w:r>
      <w:fldChar w:fldCharType="begin"/>
    </w:r>
    <w:r>
      <w:instrText xml:space="preserve">PAGE   \* MERGEFORMAT</w:instrText>
    </w:r>
    <w:r>
      <w:fldChar w:fldCharType="separate"/>
    </w:r>
    <w:r>
      <w:rPr>
        <w:lang w:val="zh-CN"/>
      </w:rPr>
      <w:t>2</w:t>
    </w:r>
    <w: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rPr>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hint="eastAsia"/>
      </w:rPr>
    </w:pPr>
    <w:bookmarkStart w:id="238" w:name="OLE_LINK8"/>
    <w:bookmarkEnd w:id="238"/>
    <w:bookmarkStart w:id="239" w:name="OLE_LINK9"/>
    <w:bookmarkEnd w:id="239"/>
    <w:bookmarkStart w:id="240" w:name="_Hlk200121320"/>
    <w:bookmarkEnd w:id="240"/>
    <w:r>
      <w:fldChar w:fldCharType="begin"/>
    </w:r>
    <w:r>
      <w:instrText xml:space="preserve">PAGE   \* MERGEFORMAT</w:instrText>
    </w:r>
    <w:r>
      <w:fldChar w:fldCharType="separate"/>
    </w:r>
    <w:r>
      <w:rPr>
        <w:lang w:val="zh-CN"/>
      </w:rPr>
      <w:t>2</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hint="eastAsia"/>
      </w:rPr>
    </w:pPr>
    <w:r>
      <w:fldChar w:fldCharType="begin"/>
    </w:r>
    <w:r>
      <w:instrText xml:space="preserve">PAGE   \* MERGEFORMAT</w:instrText>
    </w:r>
    <w:r>
      <w:fldChar w:fldCharType="separate"/>
    </w:r>
    <w:r>
      <w:rPr>
        <w:lang w:val="zh-CN"/>
      </w:rPr>
      <w:t>2</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hint="eastAsia"/>
      </w:rPr>
    </w:pPr>
    <w:r>
      <w:fldChar w:fldCharType="begin"/>
    </w:r>
    <w:r>
      <w:instrText xml:space="preserve">PAGE   \* MERGEFORMAT</w:instrText>
    </w:r>
    <w:r>
      <w:fldChar w:fldCharType="separate"/>
    </w:r>
    <w:r>
      <w:rPr>
        <w:lang w:val="zh-CN"/>
      </w:rPr>
      <w:t>2</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hint="eastAsia"/>
      </w:rPr>
    </w:pPr>
    <w:r>
      <w:fldChar w:fldCharType="begin"/>
    </w:r>
    <w:r>
      <w:instrText xml:space="preserve">PAGE   \* MERGEFORMAT</w:instrText>
    </w:r>
    <w:r>
      <w:fldChar w:fldCharType="separate"/>
    </w:r>
    <w:r>
      <w:rPr>
        <w:lang w:val="zh-CN"/>
      </w:rPr>
      <w:t>2</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rPr>
    </w:pPr>
    <w:r>
      <mc:AlternateContent>
        <mc:Choice Requires="wps">
          <w:drawing>
            <wp:anchor distT="0" distB="0" distL="114300" distR="114300" simplePos="0" relativeHeight="251659264" behindDoc="0" locked="0" layoutInCell="1" allowOverlap="1">
              <wp:simplePos x="0" y="0"/>
              <wp:positionH relativeFrom="page">
                <wp:posOffset>719455</wp:posOffset>
              </wp:positionH>
              <wp:positionV relativeFrom="page">
                <wp:posOffset>863600</wp:posOffset>
              </wp:positionV>
              <wp:extent cx="1828800" cy="1828800"/>
              <wp:effectExtent l="0" t="0" r="0" b="0"/>
              <wp:wrapNone/>
              <wp:docPr id="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eaVert" wrap="none" lIns="0" tIns="0" rIns="0" bIns="0" numCol="1" spcCol="0" rtlCol="0" fromWordArt="0" anchor="b" anchorCtr="0" forceAA="0" compatLnSpc="1">
                      <a:spAutoFit/>
                    </wps:bodyPr>
                  </wps:wsp>
                </a:graphicData>
              </a:graphic>
            </wp:anchor>
          </w:drawing>
        </mc:Choice>
        <mc:Fallback>
          <w:pict>
            <v:shape id="文本框 3" o:spid="_x0000_s1026" o:spt="202" type="#_x0000_t202" style="position:absolute;left:0pt;margin-left:56.65pt;margin-top:68pt;height:144pt;width:144pt;mso-position-horizontal-relative:page;mso-position-vertical-relative:page;mso-wrap-style:none;z-index:251659264;v-text-anchor:bottom;mso-width-relative:page;mso-height-relative:page;" filled="f" stroked="f" coordsize="21600,21600" o:gfxdata="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IGITl1gAAAAsBAAAPAAAAAAAAAAEAIAAAACIAAABkcnMvZG93bnJldi54&#10;bWxQSwECFAAUAAAACACHTuJAAN2d3DUCAABlBAAADgAAAAAAAAABACAAAAAlAQAAZHJzL2Uyb0Rv&#10;Yy54bWxQSwUGAAAAAAYABgBZAQAAzAUAAAAA&#10;">
              <v:fill on="f" focussize="0,0"/>
              <v:stroke on="f" weight="0.5pt"/>
              <v:imagedata o:title=""/>
              <o:lock v:ext="edit" aspectratio="f"/>
              <v:textbox inset="0mm,0mm,0mm,0mm" style="layout-flow:vertical-ideographic;mso-fit-shape-to-text:t;">
                <w:txbxContent>
                  <w:p>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hint="eastAsia"/>
      </w:rPr>
    </w:pPr>
    <w:r>
      <w:fldChar w:fldCharType="begin"/>
    </w:r>
    <w:r>
      <w:instrText xml:space="preserve">PAGE   \* MERGEFORMAT</w:instrText>
    </w:r>
    <w:r>
      <w:fldChar w:fldCharType="separate"/>
    </w:r>
    <w:r>
      <w:rPr>
        <w:lang w:val="zh-CN"/>
      </w:rPr>
      <w:t>2</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rPr>
    </w:pPr>
    <w:r>
      <w:fldChar w:fldCharType="begin"/>
    </w:r>
    <w:r>
      <w:instrText xml:space="preserve">PAGE   \* MERGEFORMAT</w:instrText>
    </w:r>
    <w:r>
      <w:fldChar w:fldCharType="separate"/>
    </w:r>
    <w:r>
      <w:rPr>
        <w:lang w:val="zh-CN"/>
      </w:rPr>
      <w:t>2</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r>
      <w:fldChar w:fldCharType="begin"/>
    </w:r>
    <w:r>
      <w:instrText xml:space="preserve"> STYLEREF  标准文件_文件编号  \* MERGEFORMAT </w:instrText>
    </w:r>
    <w:r>
      <w:fldChar w:fldCharType="separate"/>
    </w:r>
    <w:r>
      <w:t>YJ/T XXXXX—XXXX</w:t>
    </w:r>
    <w: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top w:val="none" w:color="auto" w:sz="0" w:space="0"/>
        <w:left w:val="none" w:color="auto" w:sz="0" w:space="0"/>
        <w:bottom w:val="none" w:color="auto" w:sz="0" w:space="1"/>
        <w:right w:val="none" w:color="auto" w:sz="0" w:space="0"/>
        <w:between w:val="none" w:color="auto" w:sz="0" w:space="0"/>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top w:val="none" w:color="auto" w:sz="0" w:space="0"/>
        <w:left w:val="none" w:color="auto" w:sz="0" w:space="0"/>
        <w:bottom w:val="none" w:color="auto" w:sz="0" w:space="1"/>
        <w:right w:val="none" w:color="auto" w:sz="0" w:space="0"/>
        <w:between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rPr>
        <w:sz w:val="2"/>
        <w:szCs w:val="2"/>
      </w:rPr>
    </w:pPr>
    <w:bookmarkStart w:id="235" w:name="OLE_LINK7"/>
    <w:bookmarkEnd w:id="235"/>
    <w:bookmarkStart w:id="236" w:name="_Hlk200120435"/>
    <w:bookmarkEnd w:id="236"/>
    <w:bookmarkStart w:id="237" w:name="OLE_LINK6"/>
    <w:bookmarkEnd w:id="23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rPr>
        <w:rFonts w:hint="eastAsia"/>
      </w:rPr>
    </w:pPr>
    <w:r>
      <w:fldChar w:fldCharType="begin"/>
    </w:r>
    <w:r>
      <w:instrText xml:space="preserve"> STYLEREF  标准文件_文件编号  \* MERGEFORMAT </w:instrText>
    </w:r>
    <w:r>
      <w:fldChar w:fldCharType="separate"/>
    </w:r>
    <w:r>
      <w:t>YJ/T XXXXX—XXXX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r>
      <w:fldChar w:fldCharType="begin"/>
    </w:r>
    <w:r>
      <w:instrText xml:space="preserve"> STYLEREF  标准文件_文件编号  \* MERGEFORMAT </w:instrText>
    </w:r>
    <w:r>
      <w:fldChar w:fldCharType="separate"/>
    </w:r>
    <w:r>
      <w:t>YJ/T XXXXX—XXXX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rPr>
        <w:rFonts w:hint="eastAsia"/>
      </w:rPr>
    </w:pPr>
    <w:r>
      <mc:AlternateContent>
        <mc:Choice Requires="wps">
          <w:drawing>
            <wp:anchor distT="0" distB="0" distL="114300" distR="114300" simplePos="0" relativeHeight="251661312" behindDoc="0" locked="0" layoutInCell="1" allowOverlap="1">
              <wp:simplePos x="0" y="0"/>
              <wp:positionH relativeFrom="page">
                <wp:posOffset>9539605</wp:posOffset>
              </wp:positionH>
              <wp:positionV relativeFrom="page">
                <wp:posOffset>4513580</wp:posOffset>
              </wp:positionV>
              <wp:extent cx="1828800" cy="1828800"/>
              <wp:effectExtent l="0" t="0" r="0" b="0"/>
              <wp:wrapNone/>
              <wp:docPr id="7"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4"/>
                            <w:ind w:firstLine="420"/>
                          </w:pPr>
                          <w:r>
                            <w:fldChar w:fldCharType="begin"/>
                          </w:r>
                          <w:r>
                            <w:instrText xml:space="preserve"> STYLEREF  标准文件_文件编号  \* MERGEFORMAT </w:instrText>
                          </w:r>
                          <w:r>
                            <w:fldChar w:fldCharType="separate"/>
                          </w:r>
                          <w:r>
                            <w:t>YJ/T XXXXX—XXXX</w:t>
                          </w:r>
                          <w:r>
                            <w:fldChar w:fldCharType="end"/>
                          </w:r>
                        </w:p>
                      </w:txbxContent>
                    </wps:txbx>
                    <wps:bodyPr rot="0" spcFirstLastPara="0" vertOverflow="overflow" horzOverflow="overflow" vert="eaVert" wrap="none" lIns="91440" tIns="45720" rIns="91440" bIns="45720" numCol="1" spcCol="0" rtlCol="0" fromWordArt="0" anchor="b" anchorCtr="0" forceAA="0" compatLnSpc="1">
                      <a:spAutoFit/>
                    </wps:bodyPr>
                  </wps:wsp>
                </a:graphicData>
              </a:graphic>
            </wp:anchor>
          </w:drawing>
        </mc:Choice>
        <mc:Fallback>
          <w:pict>
            <v:shape id="文本框 6" o:spid="_x0000_s1026" o:spt="202" type="#_x0000_t202" style="position:absolute;left:0pt;margin-left:751.15pt;margin-top:355.4pt;height:144pt;width:144pt;mso-position-horizontal-relative:page;mso-position-vertical-relative:page;mso-wrap-style:none;z-index:251661312;v-text-anchor:bottom;mso-width-relative:page;mso-height-relative:page;" filled="f" stroked="f" coordsize="21600,21600" o:gfxdata="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BIILl2wAAAA0BAAAPAAAAAAAAAAEAIAAAACIA&#10;AABkcnMvZG93bnJldi54bWxQSwECFAAUAAAACACHTuJA4h1wKz8CAAB1BAAADgAAAAAAAAABACAA&#10;AAAqAQAAZHJzL2Uyb0RvYy54bWxQSwUGAAAAAAYABgBZAQAA2wUAAAAA&#10;">
              <v:fill on="f" focussize="0,0"/>
              <v:stroke on="f" weight="0.5pt"/>
              <v:imagedata o:title=""/>
              <o:lock v:ext="edit" aspectratio="f"/>
              <v:textbox style="layout-flow:vertical-ideographic;mso-fit-shape-to-text:t;">
                <w:txbxContent>
                  <w:p>
                    <w:pPr>
                      <w:pStyle w:val="64"/>
                      <w:ind w:firstLine="420"/>
                    </w:pPr>
                    <w:r>
                      <w:fldChar w:fldCharType="begin"/>
                    </w:r>
                    <w:r>
                      <w:instrText xml:space="preserve"> STYLEREF  标准文件_文件编号  \* MERGEFORMAT </w:instrText>
                    </w:r>
                    <w:r>
                      <w:fldChar w:fldCharType="separate"/>
                    </w:r>
                    <w:r>
                      <w:t>YJ/T XXXXX—XXXX</w:t>
                    </w:r>
                    <w:r>
                      <w:fldChar w:fldCharType="end"/>
                    </w:r>
                  </w:p>
                </w:txbxContent>
              </v:textbox>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5"/>
      <w:rPr>
        <w:rFonts w:hint="eastAsia"/>
      </w:rPr>
    </w:pPr>
    <w:r>
      <mc:AlternateContent>
        <mc:Choice Requires="wps">
          <w:drawing>
            <wp:anchor distT="0" distB="0" distL="114300" distR="114300" simplePos="0" relativeHeight="251660288" behindDoc="0" locked="0" layoutInCell="1" allowOverlap="1">
              <wp:simplePos x="0" y="0"/>
              <wp:positionH relativeFrom="page">
                <wp:posOffset>9719945</wp:posOffset>
              </wp:positionH>
              <wp:positionV relativeFrom="page">
                <wp:posOffset>899795</wp:posOffset>
              </wp:positionV>
              <wp:extent cx="1828800" cy="1828800"/>
              <wp:effectExtent l="0" t="0" r="0" b="0"/>
              <wp:wrapNone/>
              <wp:docPr id="6"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6"/>
                            <w:ind w:firstLine="420"/>
                          </w:pPr>
                          <w:r>
                            <w:fldChar w:fldCharType="begin"/>
                          </w:r>
                          <w:r>
                            <w:instrText xml:space="preserve"> STYLEREF  标准文件_文件编号 \* MERGEFORMAT </w:instrText>
                          </w:r>
                          <w:r>
                            <w:fldChar w:fldCharType="separate"/>
                          </w:r>
                          <w:r>
                            <w:t>YJ/T XXXXX—XXXX</w:t>
                          </w:r>
                          <w:r>
                            <w:fldChar w:fldCharType="end"/>
                          </w:r>
                        </w:p>
                      </w:txbxContent>
                    </wps:txbx>
                    <wps:bodyPr rot="0" spcFirstLastPara="0" vertOverflow="overflow" horzOverflow="overflow" vert="eaVert" wrap="none" lIns="0" tIns="0" rIns="0" bIns="0" numCol="1" spcCol="0" rtlCol="0" fromWordArt="0" anchor="b" anchorCtr="0" forceAA="0" compatLnSpc="1">
                      <a:spAutoFit/>
                    </wps:bodyPr>
                  </wps:wsp>
                </a:graphicData>
              </a:graphic>
            </wp:anchor>
          </w:drawing>
        </mc:Choice>
        <mc:Fallback>
          <w:pict>
            <v:shape id="文本框 4" o:spid="_x0000_s1026" o:spt="202" type="#_x0000_t202" style="position:absolute;left:0pt;margin-left:765.35pt;margin-top:70.85pt;height:144pt;width:144pt;mso-position-horizontal-relative:page;mso-position-vertical-relative:page;mso-wrap-style:none;z-index:251660288;v-text-anchor:bottom;mso-width-relative:page;mso-height-relative:page;" filled="f" stroked="f" coordsize="21600,21600" o:gfxdata="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Esi7HNkAAAANAQAADwAAAAAAAAABACAAAAAiAAAAZHJzL2Rvd25yZXYu&#10;eG1sUEsBAhQAFAAAAAgAh07iQCOcyDszAgAAZQQAAA4AAAAAAAAAAQAgAAAAKAEAAGRycy9lMm9E&#10;b2MueG1sUEsFBgAAAAAGAAYAWQEAAM0FAAAAAA==&#10;">
              <v:fill on="f" focussize="0,0"/>
              <v:stroke on="f" weight="0.5pt"/>
              <v:imagedata o:title=""/>
              <o:lock v:ext="edit" aspectratio="f"/>
              <v:textbox inset="0mm,0mm,0mm,0mm" style="layout-flow:vertical-ideographic;mso-fit-shape-to-text:t;">
                <w:txbxContent>
                  <w:p>
                    <w:pPr>
                      <w:pStyle w:val="66"/>
                      <w:ind w:firstLine="420"/>
                    </w:pPr>
                    <w:r>
                      <w:fldChar w:fldCharType="begin"/>
                    </w:r>
                    <w:r>
                      <w:instrText xml:space="preserve"> STYLEREF  标准文件_文件编号 \* MERGEFORMAT </w:instrText>
                    </w:r>
                    <w:r>
                      <w:fldChar w:fldCharType="separate"/>
                    </w:r>
                    <w:r>
                      <w:t>YJ/T XXXXX—XXXX</w:t>
                    </w:r>
                    <w:r>
                      <w:fldChar w:fldCharType="end"/>
                    </w:r>
                  </w:p>
                </w:txbxContent>
              </v:textbox>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rPr>
        <w:rFonts w:hint="eastAsia"/>
      </w:rPr>
    </w:pPr>
    <w:r>
      <w:fldChar w:fldCharType="begin"/>
    </w:r>
    <w:r>
      <w:instrText xml:space="preserve"> STYLEREF  标准文件_文件编号  \* MERGEFORMAT </w:instrText>
    </w:r>
    <w:r>
      <w:fldChar w:fldCharType="separate"/>
    </w:r>
    <w:r>
      <w:t>YJ/T XXXXX—XXXX</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r>
      <w:fldChar w:fldCharType="begin"/>
    </w:r>
    <w:r>
      <w:instrText xml:space="preserve"> STYLEREF  标准文件_文件编号  \* MERGEFORMAT </w:instrText>
    </w:r>
    <w:r>
      <w:fldChar w:fldCharType="separate"/>
    </w:r>
    <w:r>
      <w:t>YJ/T XXXXX—XXXX</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rPr>
        <w:rFonts w:hint="eastAsia"/>
      </w:rPr>
    </w:pPr>
    <w:r>
      <w:fldChar w:fldCharType="begin"/>
    </w:r>
    <w:r>
      <w:instrText xml:space="preserve"> STYLEREF  标准文件_文件编号  \* MERGEFORMAT </w:instrText>
    </w:r>
    <w:r>
      <w:fldChar w:fldCharType="separate"/>
    </w:r>
    <w:r>
      <w:t>YJ/T XXXXX—XXXX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A54F2A"/>
    <w:multiLevelType w:val="multilevel"/>
    <w:tmpl w:val="10A54F2A"/>
    <w:lvl w:ilvl="0" w:tentative="0">
      <w:start w:val="1"/>
      <w:numFmt w:val="lowerLetter"/>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
    <w:nsid w:val="2A3F77FE"/>
    <w:multiLevelType w:val="multilevel"/>
    <w:tmpl w:val="2A3F77FE"/>
    <w:lvl w:ilvl="0" w:tentative="0">
      <w:start w:val="1"/>
      <w:numFmt w:val="bullet"/>
      <w:lvlText w:val=""/>
      <w:lvlJc w:val="left"/>
      <w:pPr>
        <w:ind w:left="1055" w:hanging="420"/>
      </w:pPr>
      <w:rPr>
        <w:rFonts w:hint="default" w:ascii="Wingdings" w:hAnsi="Wingdings"/>
      </w:rPr>
    </w:lvl>
    <w:lvl w:ilvl="1" w:tentative="0">
      <w:start w:val="1"/>
      <w:numFmt w:val="bullet"/>
      <w:lvlText w:val=""/>
      <w:lvlJc w:val="left"/>
      <w:pPr>
        <w:ind w:left="1475" w:hanging="420"/>
      </w:pPr>
      <w:rPr>
        <w:rFonts w:hint="default" w:ascii="Wingdings" w:hAnsi="Wingdings"/>
      </w:rPr>
    </w:lvl>
    <w:lvl w:ilvl="2" w:tentative="0">
      <w:start w:val="1"/>
      <w:numFmt w:val="bullet"/>
      <w:lvlText w:val=""/>
      <w:lvlJc w:val="left"/>
      <w:pPr>
        <w:ind w:left="1895" w:hanging="420"/>
      </w:pPr>
      <w:rPr>
        <w:rFonts w:hint="default" w:ascii="Wingdings" w:hAnsi="Wingdings"/>
      </w:rPr>
    </w:lvl>
    <w:lvl w:ilvl="3" w:tentative="0">
      <w:start w:val="1"/>
      <w:numFmt w:val="bullet"/>
      <w:lvlText w:val=""/>
      <w:lvlJc w:val="left"/>
      <w:pPr>
        <w:ind w:left="2315" w:hanging="420"/>
      </w:pPr>
      <w:rPr>
        <w:rFonts w:hint="default" w:ascii="Wingdings" w:hAnsi="Wingdings"/>
      </w:rPr>
    </w:lvl>
    <w:lvl w:ilvl="4" w:tentative="0">
      <w:start w:val="1"/>
      <w:numFmt w:val="bullet"/>
      <w:lvlText w:val=""/>
      <w:lvlJc w:val="left"/>
      <w:pPr>
        <w:ind w:left="2735" w:hanging="420"/>
      </w:pPr>
      <w:rPr>
        <w:rFonts w:hint="default" w:ascii="Wingdings" w:hAnsi="Wingdings"/>
      </w:rPr>
    </w:lvl>
    <w:lvl w:ilvl="5" w:tentative="0">
      <w:start w:val="1"/>
      <w:numFmt w:val="bullet"/>
      <w:lvlText w:val=""/>
      <w:lvlJc w:val="left"/>
      <w:pPr>
        <w:ind w:left="3155" w:hanging="420"/>
      </w:pPr>
      <w:rPr>
        <w:rFonts w:hint="default" w:ascii="Wingdings" w:hAnsi="Wingdings"/>
      </w:rPr>
    </w:lvl>
    <w:lvl w:ilvl="6" w:tentative="0">
      <w:start w:val="1"/>
      <w:numFmt w:val="bullet"/>
      <w:lvlText w:val=""/>
      <w:lvlJc w:val="left"/>
      <w:pPr>
        <w:ind w:left="3575" w:hanging="420"/>
      </w:pPr>
      <w:rPr>
        <w:rFonts w:hint="default" w:ascii="Wingdings" w:hAnsi="Wingdings"/>
      </w:rPr>
    </w:lvl>
    <w:lvl w:ilvl="7" w:tentative="0">
      <w:start w:val="1"/>
      <w:numFmt w:val="bullet"/>
      <w:lvlText w:val=""/>
      <w:lvlJc w:val="left"/>
      <w:pPr>
        <w:ind w:left="3995" w:hanging="420"/>
      </w:pPr>
      <w:rPr>
        <w:rFonts w:hint="default" w:ascii="Wingdings" w:hAnsi="Wingdings"/>
      </w:rPr>
    </w:lvl>
    <w:lvl w:ilvl="8" w:tentative="0">
      <w:start w:val="1"/>
      <w:numFmt w:val="bullet"/>
      <w:lvlText w:val=""/>
      <w:lvlJc w:val="left"/>
      <w:pPr>
        <w:ind w:left="4415" w:hanging="420"/>
      </w:pPr>
      <w:rPr>
        <w:rFonts w:hint="default" w:ascii="Wingdings" w:hAnsi="Wingdings"/>
      </w:rPr>
    </w:lvl>
  </w:abstractNum>
  <w:abstractNum w:abstractNumId="2">
    <w:nsid w:val="314869AF"/>
    <w:multiLevelType w:val="singleLevel"/>
    <w:tmpl w:val="314869AF"/>
    <w:lvl w:ilvl="0" w:tentative="0">
      <w:start w:val="3"/>
      <w:numFmt w:val="chineseCounting"/>
      <w:suff w:val="nothing"/>
      <w:lvlText w:val="（%1）"/>
      <w:lvlJc w:val="left"/>
      <w:rPr>
        <w:rFonts w:hint="eastAsia"/>
      </w:rPr>
    </w:lvl>
  </w:abstractNum>
  <w:abstractNum w:abstractNumId="3">
    <w:nsid w:val="44C50F90"/>
    <w:multiLevelType w:val="multilevel"/>
    <w:tmpl w:val="44C50F90"/>
    <w:lvl w:ilvl="0" w:tentative="0">
      <w:start w:val="1"/>
      <w:numFmt w:val="lowerLetter"/>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4">
    <w:nsid w:val="48802D1C"/>
    <w:multiLevelType w:val="multilevel"/>
    <w:tmpl w:val="48802D1C"/>
    <w:lvl w:ilvl="0" w:tentative="0">
      <w:start w:val="1"/>
      <w:numFmt w:val="upperLetter"/>
      <w:lvlText w:val="%1"/>
      <w:lvlJc w:val="left"/>
      <w:pPr>
        <w:ind w:left="420" w:hanging="420"/>
      </w:pPr>
      <w:rPr>
        <w:rFonts w:hint="eastAsia"/>
      </w:rPr>
    </w:lvl>
    <w:lvl w:ilvl="1" w:tentative="0">
      <w:start w:val="1"/>
      <w:numFmt w:val="decimal"/>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5603797C"/>
    <w:multiLevelType w:val="multilevel"/>
    <w:tmpl w:val="5603797C"/>
    <w:lvl w:ilvl="0" w:tentative="0">
      <w:start w:val="1"/>
      <w:numFmt w:val="upperLetter"/>
      <w:suff w:val="space"/>
      <w:lvlText w:val="%1"/>
      <w:lvlJc w:val="left"/>
      <w:pPr>
        <w:ind w:left="425" w:hanging="425"/>
      </w:pPr>
      <w:rPr>
        <w:rFonts w:hint="eastAsia"/>
      </w:rPr>
    </w:lvl>
    <w:lvl w:ilvl="1" w:tentative="0">
      <w:start w:val="1"/>
      <w:numFmt w:val="decimal"/>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6">
    <w:nsid w:val="5B0C1998"/>
    <w:multiLevelType w:val="multilevel"/>
    <w:tmpl w:val="5B0C1998"/>
    <w:lvl w:ilvl="0" w:tentative="0">
      <w:start w:val="1"/>
      <w:numFmt w:val="lowerLetter"/>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7">
    <w:nsid w:val="5FD24517"/>
    <w:multiLevelType w:val="multilevel"/>
    <w:tmpl w:val="5FD24517"/>
    <w:lvl w:ilvl="0" w:tentative="0">
      <w:start w:val="1"/>
      <w:numFmt w:val="lowerLetter"/>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8">
    <w:nsid w:val="657D3FBC"/>
    <w:multiLevelType w:val="multilevel"/>
    <w:tmpl w:val="657D3FBC"/>
    <w:lvl w:ilvl="0" w:tentative="0">
      <w:start w:val="1"/>
      <w:numFmt w:val="upperLetter"/>
      <w:suff w:val="nothing"/>
      <w:lvlText w:val="附录%1"/>
      <w:lvlJc w:val="left"/>
      <w:pPr>
        <w:ind w:left="0" w:firstLine="0"/>
      </w:pPr>
      <w:rPr>
        <w:rFonts w:hint="eastAsia"/>
        <w:spacing w:val="100"/>
      </w:rPr>
    </w:lvl>
    <w:lvl w:ilvl="1" w:tentative="0">
      <w:start w:val="1"/>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eastAsia="黑体"/>
        <w:b w:val="0"/>
        <w:i w:val="0"/>
        <w:sz w:val="21"/>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0">
    <w:nsid w:val="6DBF04F4"/>
    <w:multiLevelType w:val="multilevel"/>
    <w:tmpl w:val="6DBF04F4"/>
    <w:lvl w:ilvl="0" w:tentative="0">
      <w:start w:val="1"/>
      <w:numFmt w:val="none"/>
      <w:pStyle w:val="48"/>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10"/>
  </w:num>
  <w:num w:numId="2">
    <w:abstractNumId w:val="9"/>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7"/>
  </w:num>
  <w:num w:numId="7">
    <w:abstractNumId w:val="6"/>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5"/>
  </w:num>
  <w:num w:numId="17">
    <w:abstractNumId w:val="8"/>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dit="trackedChanges" w:enforcement="0"/>
  <w:defaultTabStop w:val="420"/>
  <w:hyphenationZone w:val="360"/>
  <w:drawingGridHorizontalSpacing w:val="105"/>
  <w:drawingGridVerticalSpacing w:val="156"/>
  <w:displayHorizontalDrawingGridEvery w:val="2"/>
  <w:displayVerticalDrawingGridEvery w:val="2"/>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ViMzQ5M2ZlYTk3N2UxYjU3MDlmMDQwNmI3MjNiYWIifQ=="/>
    <w:docVar w:name="KSO_WPS_MARK_KEY" w:val="1e2d8258-287b-49fc-b6b9-e56125315cde"/>
  </w:docVars>
  <w:rsids>
    <w:rsidRoot w:val="00FE4640"/>
    <w:rsid w:val="000006D2"/>
    <w:rsid w:val="00000BE8"/>
    <w:rsid w:val="000067DB"/>
    <w:rsid w:val="000137DF"/>
    <w:rsid w:val="00017ADB"/>
    <w:rsid w:val="00017EA3"/>
    <w:rsid w:val="000236BF"/>
    <w:rsid w:val="00031CB1"/>
    <w:rsid w:val="000341EC"/>
    <w:rsid w:val="00035029"/>
    <w:rsid w:val="00044475"/>
    <w:rsid w:val="00044D3F"/>
    <w:rsid w:val="00046262"/>
    <w:rsid w:val="0004716F"/>
    <w:rsid w:val="00052D88"/>
    <w:rsid w:val="0005744D"/>
    <w:rsid w:val="00061CCF"/>
    <w:rsid w:val="000624A7"/>
    <w:rsid w:val="00062CF4"/>
    <w:rsid w:val="0006359B"/>
    <w:rsid w:val="00065D30"/>
    <w:rsid w:val="0006761A"/>
    <w:rsid w:val="00077D42"/>
    <w:rsid w:val="00080D62"/>
    <w:rsid w:val="000827A4"/>
    <w:rsid w:val="00083729"/>
    <w:rsid w:val="00084D18"/>
    <w:rsid w:val="0008547B"/>
    <w:rsid w:val="00085BE1"/>
    <w:rsid w:val="0008618F"/>
    <w:rsid w:val="00093E40"/>
    <w:rsid w:val="000940AC"/>
    <w:rsid w:val="000952C9"/>
    <w:rsid w:val="00097E9B"/>
    <w:rsid w:val="000A3BDC"/>
    <w:rsid w:val="000A649E"/>
    <w:rsid w:val="000B2D72"/>
    <w:rsid w:val="000B31C7"/>
    <w:rsid w:val="000B502C"/>
    <w:rsid w:val="000B50D2"/>
    <w:rsid w:val="000C0055"/>
    <w:rsid w:val="000C11A7"/>
    <w:rsid w:val="000C291E"/>
    <w:rsid w:val="000C3D2B"/>
    <w:rsid w:val="000D2CF3"/>
    <w:rsid w:val="000D3604"/>
    <w:rsid w:val="000D42EB"/>
    <w:rsid w:val="000D48FA"/>
    <w:rsid w:val="000D4F73"/>
    <w:rsid w:val="000E2F1C"/>
    <w:rsid w:val="000E3BA4"/>
    <w:rsid w:val="000E3C6B"/>
    <w:rsid w:val="000E4BE4"/>
    <w:rsid w:val="000E512F"/>
    <w:rsid w:val="000F456A"/>
    <w:rsid w:val="00104719"/>
    <w:rsid w:val="001140F2"/>
    <w:rsid w:val="00116430"/>
    <w:rsid w:val="00116F44"/>
    <w:rsid w:val="00120E1D"/>
    <w:rsid w:val="0012126F"/>
    <w:rsid w:val="00121C2F"/>
    <w:rsid w:val="00130423"/>
    <w:rsid w:val="001456B3"/>
    <w:rsid w:val="001529FF"/>
    <w:rsid w:val="00157D40"/>
    <w:rsid w:val="00160E92"/>
    <w:rsid w:val="001613B0"/>
    <w:rsid w:val="0016190E"/>
    <w:rsid w:val="00162B5C"/>
    <w:rsid w:val="00165C65"/>
    <w:rsid w:val="0017461C"/>
    <w:rsid w:val="00176983"/>
    <w:rsid w:val="0017758E"/>
    <w:rsid w:val="00180460"/>
    <w:rsid w:val="0018225E"/>
    <w:rsid w:val="00182C66"/>
    <w:rsid w:val="0018409E"/>
    <w:rsid w:val="001841A7"/>
    <w:rsid w:val="001923D1"/>
    <w:rsid w:val="00194B50"/>
    <w:rsid w:val="001A0791"/>
    <w:rsid w:val="001A55A9"/>
    <w:rsid w:val="001A6084"/>
    <w:rsid w:val="001B0A44"/>
    <w:rsid w:val="001B0E3D"/>
    <w:rsid w:val="001C04A5"/>
    <w:rsid w:val="001C464A"/>
    <w:rsid w:val="001C475A"/>
    <w:rsid w:val="001C4FCA"/>
    <w:rsid w:val="001C5C25"/>
    <w:rsid w:val="001D4949"/>
    <w:rsid w:val="001D6A65"/>
    <w:rsid w:val="001E2A50"/>
    <w:rsid w:val="001E5FD3"/>
    <w:rsid w:val="001E6DE6"/>
    <w:rsid w:val="001F0CB6"/>
    <w:rsid w:val="001F2379"/>
    <w:rsid w:val="001F2B9C"/>
    <w:rsid w:val="001F2EA9"/>
    <w:rsid w:val="001F3951"/>
    <w:rsid w:val="001F3DA9"/>
    <w:rsid w:val="00200B9D"/>
    <w:rsid w:val="0020197F"/>
    <w:rsid w:val="0020292D"/>
    <w:rsid w:val="00203131"/>
    <w:rsid w:val="00210B74"/>
    <w:rsid w:val="0021131A"/>
    <w:rsid w:val="0021157D"/>
    <w:rsid w:val="00217261"/>
    <w:rsid w:val="002211C5"/>
    <w:rsid w:val="002232E4"/>
    <w:rsid w:val="00224FAC"/>
    <w:rsid w:val="00232E4C"/>
    <w:rsid w:val="00233FFD"/>
    <w:rsid w:val="0024274C"/>
    <w:rsid w:val="00253FCC"/>
    <w:rsid w:val="00254224"/>
    <w:rsid w:val="00260C6D"/>
    <w:rsid w:val="0026676D"/>
    <w:rsid w:val="0027330E"/>
    <w:rsid w:val="00276D59"/>
    <w:rsid w:val="00277888"/>
    <w:rsid w:val="0028369D"/>
    <w:rsid w:val="00285E47"/>
    <w:rsid w:val="00291392"/>
    <w:rsid w:val="00293604"/>
    <w:rsid w:val="002959E3"/>
    <w:rsid w:val="00297E47"/>
    <w:rsid w:val="002B4902"/>
    <w:rsid w:val="002B5BE6"/>
    <w:rsid w:val="002B71F4"/>
    <w:rsid w:val="002B7EAB"/>
    <w:rsid w:val="002C350B"/>
    <w:rsid w:val="002D1557"/>
    <w:rsid w:val="002D2706"/>
    <w:rsid w:val="002E36A2"/>
    <w:rsid w:val="002E626A"/>
    <w:rsid w:val="002E7074"/>
    <w:rsid w:val="002F1CDA"/>
    <w:rsid w:val="002F2FF0"/>
    <w:rsid w:val="002F5A00"/>
    <w:rsid w:val="002F5F75"/>
    <w:rsid w:val="003010AB"/>
    <w:rsid w:val="0030635D"/>
    <w:rsid w:val="003073B9"/>
    <w:rsid w:val="003074A5"/>
    <w:rsid w:val="00311F0C"/>
    <w:rsid w:val="00314187"/>
    <w:rsid w:val="00316DD2"/>
    <w:rsid w:val="0032228A"/>
    <w:rsid w:val="00323B93"/>
    <w:rsid w:val="00324F28"/>
    <w:rsid w:val="00330BC3"/>
    <w:rsid w:val="003410BD"/>
    <w:rsid w:val="00341549"/>
    <w:rsid w:val="003462E8"/>
    <w:rsid w:val="003466C2"/>
    <w:rsid w:val="00346FE6"/>
    <w:rsid w:val="003478D9"/>
    <w:rsid w:val="003507FC"/>
    <w:rsid w:val="00351B1D"/>
    <w:rsid w:val="00366C86"/>
    <w:rsid w:val="0037275D"/>
    <w:rsid w:val="00373250"/>
    <w:rsid w:val="00380557"/>
    <w:rsid w:val="003808B4"/>
    <w:rsid w:val="0038090F"/>
    <w:rsid w:val="00387E2D"/>
    <w:rsid w:val="00390373"/>
    <w:rsid w:val="003910AD"/>
    <w:rsid w:val="003A0167"/>
    <w:rsid w:val="003A2314"/>
    <w:rsid w:val="003A4E14"/>
    <w:rsid w:val="003B3759"/>
    <w:rsid w:val="003B3AEC"/>
    <w:rsid w:val="003B688B"/>
    <w:rsid w:val="003C224B"/>
    <w:rsid w:val="003C3CB2"/>
    <w:rsid w:val="003C73E9"/>
    <w:rsid w:val="003D4929"/>
    <w:rsid w:val="003D5322"/>
    <w:rsid w:val="003D54DE"/>
    <w:rsid w:val="003D676E"/>
    <w:rsid w:val="003E4529"/>
    <w:rsid w:val="003E606C"/>
    <w:rsid w:val="003E7A92"/>
    <w:rsid w:val="003F528D"/>
    <w:rsid w:val="003F5822"/>
    <w:rsid w:val="003F660D"/>
    <w:rsid w:val="00407914"/>
    <w:rsid w:val="00413D1B"/>
    <w:rsid w:val="0041479F"/>
    <w:rsid w:val="0042436D"/>
    <w:rsid w:val="00426CF6"/>
    <w:rsid w:val="00433F6F"/>
    <w:rsid w:val="00435A06"/>
    <w:rsid w:val="00440A2F"/>
    <w:rsid w:val="00447E70"/>
    <w:rsid w:val="00452389"/>
    <w:rsid w:val="00453845"/>
    <w:rsid w:val="0045550E"/>
    <w:rsid w:val="00455F68"/>
    <w:rsid w:val="004629B8"/>
    <w:rsid w:val="004701EC"/>
    <w:rsid w:val="00470936"/>
    <w:rsid w:val="0047145B"/>
    <w:rsid w:val="00472230"/>
    <w:rsid w:val="00473ED6"/>
    <w:rsid w:val="00474109"/>
    <w:rsid w:val="00480A8E"/>
    <w:rsid w:val="004846B0"/>
    <w:rsid w:val="00486990"/>
    <w:rsid w:val="00491A92"/>
    <w:rsid w:val="00492197"/>
    <w:rsid w:val="00493791"/>
    <w:rsid w:val="0049778E"/>
    <w:rsid w:val="004A0FA0"/>
    <w:rsid w:val="004A3337"/>
    <w:rsid w:val="004A3A1F"/>
    <w:rsid w:val="004A5471"/>
    <w:rsid w:val="004A6402"/>
    <w:rsid w:val="004A64D9"/>
    <w:rsid w:val="004B0D66"/>
    <w:rsid w:val="004B66F3"/>
    <w:rsid w:val="004B77BB"/>
    <w:rsid w:val="004C6043"/>
    <w:rsid w:val="004C6636"/>
    <w:rsid w:val="004D2CFB"/>
    <w:rsid w:val="004D2D49"/>
    <w:rsid w:val="004D566A"/>
    <w:rsid w:val="004D57EB"/>
    <w:rsid w:val="004D647E"/>
    <w:rsid w:val="004D725D"/>
    <w:rsid w:val="00503DFB"/>
    <w:rsid w:val="00506C3A"/>
    <w:rsid w:val="005102A9"/>
    <w:rsid w:val="00511B73"/>
    <w:rsid w:val="00516C26"/>
    <w:rsid w:val="0052326E"/>
    <w:rsid w:val="0052604A"/>
    <w:rsid w:val="0053033D"/>
    <w:rsid w:val="00530A80"/>
    <w:rsid w:val="00531BAF"/>
    <w:rsid w:val="0053305A"/>
    <w:rsid w:val="00533452"/>
    <w:rsid w:val="00533A7E"/>
    <w:rsid w:val="00536729"/>
    <w:rsid w:val="005378E7"/>
    <w:rsid w:val="0054701A"/>
    <w:rsid w:val="005508C7"/>
    <w:rsid w:val="00553A35"/>
    <w:rsid w:val="00566B4B"/>
    <w:rsid w:val="00571443"/>
    <w:rsid w:val="005749D6"/>
    <w:rsid w:val="00574CE8"/>
    <w:rsid w:val="00575FE4"/>
    <w:rsid w:val="00581A6C"/>
    <w:rsid w:val="005851C3"/>
    <w:rsid w:val="00591C38"/>
    <w:rsid w:val="005A02CF"/>
    <w:rsid w:val="005A089F"/>
    <w:rsid w:val="005A4BBB"/>
    <w:rsid w:val="005A5E3A"/>
    <w:rsid w:val="005C0452"/>
    <w:rsid w:val="005C2052"/>
    <w:rsid w:val="005C4149"/>
    <w:rsid w:val="005E0203"/>
    <w:rsid w:val="005E4420"/>
    <w:rsid w:val="005F1A0B"/>
    <w:rsid w:val="005F33A4"/>
    <w:rsid w:val="005F7903"/>
    <w:rsid w:val="00600CC2"/>
    <w:rsid w:val="0060130C"/>
    <w:rsid w:val="00601C19"/>
    <w:rsid w:val="00603F63"/>
    <w:rsid w:val="0060488F"/>
    <w:rsid w:val="0060552A"/>
    <w:rsid w:val="00605C73"/>
    <w:rsid w:val="006060BC"/>
    <w:rsid w:val="00606233"/>
    <w:rsid w:val="006100BB"/>
    <w:rsid w:val="00610257"/>
    <w:rsid w:val="0061283A"/>
    <w:rsid w:val="006144DD"/>
    <w:rsid w:val="00617349"/>
    <w:rsid w:val="006209D9"/>
    <w:rsid w:val="00622425"/>
    <w:rsid w:val="00623112"/>
    <w:rsid w:val="006259E9"/>
    <w:rsid w:val="00633474"/>
    <w:rsid w:val="00633905"/>
    <w:rsid w:val="006411C5"/>
    <w:rsid w:val="00641C9E"/>
    <w:rsid w:val="00642925"/>
    <w:rsid w:val="0065174F"/>
    <w:rsid w:val="00654895"/>
    <w:rsid w:val="00654EEF"/>
    <w:rsid w:val="006551A6"/>
    <w:rsid w:val="006578E2"/>
    <w:rsid w:val="00660977"/>
    <w:rsid w:val="006651D6"/>
    <w:rsid w:val="00665FF2"/>
    <w:rsid w:val="006662B5"/>
    <w:rsid w:val="00667515"/>
    <w:rsid w:val="006739A4"/>
    <w:rsid w:val="00674EE9"/>
    <w:rsid w:val="00680B2B"/>
    <w:rsid w:val="00682744"/>
    <w:rsid w:val="00684E87"/>
    <w:rsid w:val="00690BA5"/>
    <w:rsid w:val="00691000"/>
    <w:rsid w:val="00692ED1"/>
    <w:rsid w:val="00694835"/>
    <w:rsid w:val="00695007"/>
    <w:rsid w:val="006A1EC7"/>
    <w:rsid w:val="006A2BFB"/>
    <w:rsid w:val="006B2919"/>
    <w:rsid w:val="006B4206"/>
    <w:rsid w:val="006B439B"/>
    <w:rsid w:val="006B7A29"/>
    <w:rsid w:val="006C379D"/>
    <w:rsid w:val="006E32C5"/>
    <w:rsid w:val="006E416F"/>
    <w:rsid w:val="006E417C"/>
    <w:rsid w:val="006E5A37"/>
    <w:rsid w:val="006E7012"/>
    <w:rsid w:val="006E7518"/>
    <w:rsid w:val="006F3E7E"/>
    <w:rsid w:val="006F6690"/>
    <w:rsid w:val="00703BC5"/>
    <w:rsid w:val="00706224"/>
    <w:rsid w:val="00707E38"/>
    <w:rsid w:val="00713872"/>
    <w:rsid w:val="00713CE2"/>
    <w:rsid w:val="00714740"/>
    <w:rsid w:val="0071483B"/>
    <w:rsid w:val="00723EBE"/>
    <w:rsid w:val="00730422"/>
    <w:rsid w:val="00730808"/>
    <w:rsid w:val="007309E2"/>
    <w:rsid w:val="00731EA8"/>
    <w:rsid w:val="00733D6C"/>
    <w:rsid w:val="00734858"/>
    <w:rsid w:val="00735F94"/>
    <w:rsid w:val="00736341"/>
    <w:rsid w:val="00737A6C"/>
    <w:rsid w:val="00740363"/>
    <w:rsid w:val="00744FDF"/>
    <w:rsid w:val="00750CC3"/>
    <w:rsid w:val="0075389B"/>
    <w:rsid w:val="00757728"/>
    <w:rsid w:val="007604CF"/>
    <w:rsid w:val="007634FF"/>
    <w:rsid w:val="007636AF"/>
    <w:rsid w:val="007643F1"/>
    <w:rsid w:val="00772ADD"/>
    <w:rsid w:val="00772DE9"/>
    <w:rsid w:val="00773601"/>
    <w:rsid w:val="00775DEF"/>
    <w:rsid w:val="00777926"/>
    <w:rsid w:val="00781875"/>
    <w:rsid w:val="00782700"/>
    <w:rsid w:val="0078453B"/>
    <w:rsid w:val="00786C91"/>
    <w:rsid w:val="00786D31"/>
    <w:rsid w:val="00792418"/>
    <w:rsid w:val="0079301D"/>
    <w:rsid w:val="00793E90"/>
    <w:rsid w:val="0079453B"/>
    <w:rsid w:val="007A4A48"/>
    <w:rsid w:val="007A563C"/>
    <w:rsid w:val="007A6E29"/>
    <w:rsid w:val="007B07A3"/>
    <w:rsid w:val="007B56B3"/>
    <w:rsid w:val="007B680A"/>
    <w:rsid w:val="007B6CFB"/>
    <w:rsid w:val="007B6DC3"/>
    <w:rsid w:val="007C4E08"/>
    <w:rsid w:val="007C5366"/>
    <w:rsid w:val="007D04A8"/>
    <w:rsid w:val="007D349D"/>
    <w:rsid w:val="007D4CE6"/>
    <w:rsid w:val="007E1DB4"/>
    <w:rsid w:val="00800978"/>
    <w:rsid w:val="00801171"/>
    <w:rsid w:val="00801489"/>
    <w:rsid w:val="00803A2C"/>
    <w:rsid w:val="0080577F"/>
    <w:rsid w:val="00807CDA"/>
    <w:rsid w:val="00810912"/>
    <w:rsid w:val="00811A37"/>
    <w:rsid w:val="00817B50"/>
    <w:rsid w:val="00826666"/>
    <w:rsid w:val="00826C54"/>
    <w:rsid w:val="00832E1D"/>
    <w:rsid w:val="00837221"/>
    <w:rsid w:val="008411E8"/>
    <w:rsid w:val="008416C7"/>
    <w:rsid w:val="0084609D"/>
    <w:rsid w:val="00854673"/>
    <w:rsid w:val="00857C2A"/>
    <w:rsid w:val="008623D3"/>
    <w:rsid w:val="00870E4D"/>
    <w:rsid w:val="00870E71"/>
    <w:rsid w:val="00874F32"/>
    <w:rsid w:val="00874F4C"/>
    <w:rsid w:val="008753DC"/>
    <w:rsid w:val="00875D46"/>
    <w:rsid w:val="00877019"/>
    <w:rsid w:val="008813B2"/>
    <w:rsid w:val="00883509"/>
    <w:rsid w:val="008847A1"/>
    <w:rsid w:val="00884934"/>
    <w:rsid w:val="00884C77"/>
    <w:rsid w:val="008903C3"/>
    <w:rsid w:val="008914F1"/>
    <w:rsid w:val="0089166E"/>
    <w:rsid w:val="00893CDA"/>
    <w:rsid w:val="008A266E"/>
    <w:rsid w:val="008A3CDB"/>
    <w:rsid w:val="008A7252"/>
    <w:rsid w:val="008B19A1"/>
    <w:rsid w:val="008B3DE2"/>
    <w:rsid w:val="008B6925"/>
    <w:rsid w:val="008B7051"/>
    <w:rsid w:val="008C0FAD"/>
    <w:rsid w:val="008C108D"/>
    <w:rsid w:val="008C3863"/>
    <w:rsid w:val="008D1804"/>
    <w:rsid w:val="008D1C25"/>
    <w:rsid w:val="008D3683"/>
    <w:rsid w:val="008D61AE"/>
    <w:rsid w:val="008D672A"/>
    <w:rsid w:val="008E7FE4"/>
    <w:rsid w:val="008F2BCB"/>
    <w:rsid w:val="008F4EDA"/>
    <w:rsid w:val="00903B0E"/>
    <w:rsid w:val="00906607"/>
    <w:rsid w:val="0091088C"/>
    <w:rsid w:val="00912680"/>
    <w:rsid w:val="0091562A"/>
    <w:rsid w:val="00916D65"/>
    <w:rsid w:val="00920043"/>
    <w:rsid w:val="00923FAA"/>
    <w:rsid w:val="00924022"/>
    <w:rsid w:val="009262A1"/>
    <w:rsid w:val="009269C2"/>
    <w:rsid w:val="00933CDF"/>
    <w:rsid w:val="00940BEB"/>
    <w:rsid w:val="00944C25"/>
    <w:rsid w:val="0094670C"/>
    <w:rsid w:val="00957419"/>
    <w:rsid w:val="0096064C"/>
    <w:rsid w:val="00961540"/>
    <w:rsid w:val="00970694"/>
    <w:rsid w:val="009727B3"/>
    <w:rsid w:val="00976122"/>
    <w:rsid w:val="009849FF"/>
    <w:rsid w:val="00985C56"/>
    <w:rsid w:val="00985FFF"/>
    <w:rsid w:val="009919BD"/>
    <w:rsid w:val="00991E6F"/>
    <w:rsid w:val="00992FE0"/>
    <w:rsid w:val="009932C6"/>
    <w:rsid w:val="009933E4"/>
    <w:rsid w:val="00993C5B"/>
    <w:rsid w:val="00995C82"/>
    <w:rsid w:val="009A6305"/>
    <w:rsid w:val="009A7457"/>
    <w:rsid w:val="009B26AA"/>
    <w:rsid w:val="009B2B53"/>
    <w:rsid w:val="009C03A2"/>
    <w:rsid w:val="009C0954"/>
    <w:rsid w:val="009C12C0"/>
    <w:rsid w:val="009C1EF9"/>
    <w:rsid w:val="009C46E8"/>
    <w:rsid w:val="009C481F"/>
    <w:rsid w:val="009C73B5"/>
    <w:rsid w:val="009D3356"/>
    <w:rsid w:val="009D4776"/>
    <w:rsid w:val="009E0563"/>
    <w:rsid w:val="009E36FA"/>
    <w:rsid w:val="009E6E2C"/>
    <w:rsid w:val="009E78AB"/>
    <w:rsid w:val="009F0C11"/>
    <w:rsid w:val="009F25F9"/>
    <w:rsid w:val="009F485A"/>
    <w:rsid w:val="009F612A"/>
    <w:rsid w:val="009F6B66"/>
    <w:rsid w:val="009F6DB3"/>
    <w:rsid w:val="009F6F0E"/>
    <w:rsid w:val="00A00702"/>
    <w:rsid w:val="00A052A5"/>
    <w:rsid w:val="00A06459"/>
    <w:rsid w:val="00A06F2A"/>
    <w:rsid w:val="00A1133B"/>
    <w:rsid w:val="00A22A0F"/>
    <w:rsid w:val="00A267B8"/>
    <w:rsid w:val="00A30E37"/>
    <w:rsid w:val="00A31889"/>
    <w:rsid w:val="00A338CB"/>
    <w:rsid w:val="00A4697C"/>
    <w:rsid w:val="00A51EBB"/>
    <w:rsid w:val="00A532D3"/>
    <w:rsid w:val="00A57013"/>
    <w:rsid w:val="00A62BA4"/>
    <w:rsid w:val="00A66CB5"/>
    <w:rsid w:val="00A709AF"/>
    <w:rsid w:val="00A712F5"/>
    <w:rsid w:val="00A7280F"/>
    <w:rsid w:val="00A72EC9"/>
    <w:rsid w:val="00A77926"/>
    <w:rsid w:val="00A85AF3"/>
    <w:rsid w:val="00A87057"/>
    <w:rsid w:val="00A9551F"/>
    <w:rsid w:val="00A95CB9"/>
    <w:rsid w:val="00A96BDC"/>
    <w:rsid w:val="00A979E5"/>
    <w:rsid w:val="00AA1115"/>
    <w:rsid w:val="00AA1DDB"/>
    <w:rsid w:val="00AA3959"/>
    <w:rsid w:val="00AA5312"/>
    <w:rsid w:val="00AA66F5"/>
    <w:rsid w:val="00AB2F29"/>
    <w:rsid w:val="00AB5179"/>
    <w:rsid w:val="00AB6211"/>
    <w:rsid w:val="00AC0410"/>
    <w:rsid w:val="00AC0D0E"/>
    <w:rsid w:val="00AC2139"/>
    <w:rsid w:val="00AC2B4C"/>
    <w:rsid w:val="00AC7B78"/>
    <w:rsid w:val="00AD16FC"/>
    <w:rsid w:val="00AD58C5"/>
    <w:rsid w:val="00AE23E7"/>
    <w:rsid w:val="00AE2826"/>
    <w:rsid w:val="00AE43DB"/>
    <w:rsid w:val="00AE5B65"/>
    <w:rsid w:val="00AF2728"/>
    <w:rsid w:val="00B06708"/>
    <w:rsid w:val="00B07EEB"/>
    <w:rsid w:val="00B16407"/>
    <w:rsid w:val="00B26773"/>
    <w:rsid w:val="00B2787B"/>
    <w:rsid w:val="00B325D3"/>
    <w:rsid w:val="00B364E2"/>
    <w:rsid w:val="00B47327"/>
    <w:rsid w:val="00B552FC"/>
    <w:rsid w:val="00B6011F"/>
    <w:rsid w:val="00B61357"/>
    <w:rsid w:val="00B624C2"/>
    <w:rsid w:val="00B645D7"/>
    <w:rsid w:val="00B72AA8"/>
    <w:rsid w:val="00B75E0D"/>
    <w:rsid w:val="00B80164"/>
    <w:rsid w:val="00B828B8"/>
    <w:rsid w:val="00B85CA3"/>
    <w:rsid w:val="00BA29D9"/>
    <w:rsid w:val="00BA3CB9"/>
    <w:rsid w:val="00BA46A3"/>
    <w:rsid w:val="00BA6CAA"/>
    <w:rsid w:val="00BD0746"/>
    <w:rsid w:val="00BE0474"/>
    <w:rsid w:val="00BE2650"/>
    <w:rsid w:val="00BE4790"/>
    <w:rsid w:val="00BE4E40"/>
    <w:rsid w:val="00BF15D8"/>
    <w:rsid w:val="00BF163B"/>
    <w:rsid w:val="00BF5CC5"/>
    <w:rsid w:val="00BF757B"/>
    <w:rsid w:val="00C01C1E"/>
    <w:rsid w:val="00C02B6E"/>
    <w:rsid w:val="00C03FB0"/>
    <w:rsid w:val="00C13520"/>
    <w:rsid w:val="00C13E00"/>
    <w:rsid w:val="00C15C4A"/>
    <w:rsid w:val="00C2058F"/>
    <w:rsid w:val="00C22954"/>
    <w:rsid w:val="00C243ED"/>
    <w:rsid w:val="00C24642"/>
    <w:rsid w:val="00C2693B"/>
    <w:rsid w:val="00C30C61"/>
    <w:rsid w:val="00C3258B"/>
    <w:rsid w:val="00C36121"/>
    <w:rsid w:val="00C379E7"/>
    <w:rsid w:val="00C4264A"/>
    <w:rsid w:val="00C530B7"/>
    <w:rsid w:val="00C56ED7"/>
    <w:rsid w:val="00C6600E"/>
    <w:rsid w:val="00C6715A"/>
    <w:rsid w:val="00C7205F"/>
    <w:rsid w:val="00C729E3"/>
    <w:rsid w:val="00C74EA7"/>
    <w:rsid w:val="00C75DE1"/>
    <w:rsid w:val="00C81F55"/>
    <w:rsid w:val="00C8295F"/>
    <w:rsid w:val="00C85063"/>
    <w:rsid w:val="00C85BBA"/>
    <w:rsid w:val="00C90265"/>
    <w:rsid w:val="00C90A99"/>
    <w:rsid w:val="00C9356B"/>
    <w:rsid w:val="00C945AA"/>
    <w:rsid w:val="00C96603"/>
    <w:rsid w:val="00CA0339"/>
    <w:rsid w:val="00CA29FD"/>
    <w:rsid w:val="00CA2FBC"/>
    <w:rsid w:val="00CB2882"/>
    <w:rsid w:val="00CB6A31"/>
    <w:rsid w:val="00CB7DF3"/>
    <w:rsid w:val="00CC226A"/>
    <w:rsid w:val="00CC2425"/>
    <w:rsid w:val="00CC2DB8"/>
    <w:rsid w:val="00CD0C4A"/>
    <w:rsid w:val="00CD435E"/>
    <w:rsid w:val="00CD5143"/>
    <w:rsid w:val="00CD6084"/>
    <w:rsid w:val="00CE16DA"/>
    <w:rsid w:val="00CE1B8B"/>
    <w:rsid w:val="00CE4F2A"/>
    <w:rsid w:val="00CF3277"/>
    <w:rsid w:val="00CF335D"/>
    <w:rsid w:val="00CF6274"/>
    <w:rsid w:val="00CF6FF7"/>
    <w:rsid w:val="00CF73E4"/>
    <w:rsid w:val="00D01ECB"/>
    <w:rsid w:val="00D05AB4"/>
    <w:rsid w:val="00D158B8"/>
    <w:rsid w:val="00D17A4F"/>
    <w:rsid w:val="00D21539"/>
    <w:rsid w:val="00D21743"/>
    <w:rsid w:val="00D22D91"/>
    <w:rsid w:val="00D22FDE"/>
    <w:rsid w:val="00D25B4D"/>
    <w:rsid w:val="00D356FD"/>
    <w:rsid w:val="00D370BA"/>
    <w:rsid w:val="00D44C4A"/>
    <w:rsid w:val="00D44C75"/>
    <w:rsid w:val="00D5009C"/>
    <w:rsid w:val="00D60FC2"/>
    <w:rsid w:val="00D61A15"/>
    <w:rsid w:val="00D61C01"/>
    <w:rsid w:val="00D652E0"/>
    <w:rsid w:val="00D746BD"/>
    <w:rsid w:val="00D81764"/>
    <w:rsid w:val="00D83054"/>
    <w:rsid w:val="00D83DDE"/>
    <w:rsid w:val="00D840A9"/>
    <w:rsid w:val="00D86E57"/>
    <w:rsid w:val="00D948B4"/>
    <w:rsid w:val="00D94C6D"/>
    <w:rsid w:val="00DA13F8"/>
    <w:rsid w:val="00DA2CF6"/>
    <w:rsid w:val="00DA403A"/>
    <w:rsid w:val="00DA437E"/>
    <w:rsid w:val="00DA4629"/>
    <w:rsid w:val="00DB1EC9"/>
    <w:rsid w:val="00DB3723"/>
    <w:rsid w:val="00DC266C"/>
    <w:rsid w:val="00DC2EEF"/>
    <w:rsid w:val="00DC4B5B"/>
    <w:rsid w:val="00DC5CC7"/>
    <w:rsid w:val="00DC6193"/>
    <w:rsid w:val="00DD2E23"/>
    <w:rsid w:val="00DD6B6F"/>
    <w:rsid w:val="00DE4DD1"/>
    <w:rsid w:val="00DE542F"/>
    <w:rsid w:val="00E04582"/>
    <w:rsid w:val="00E05E24"/>
    <w:rsid w:val="00E1608E"/>
    <w:rsid w:val="00E2015D"/>
    <w:rsid w:val="00E23A5F"/>
    <w:rsid w:val="00E249BE"/>
    <w:rsid w:val="00E317B1"/>
    <w:rsid w:val="00E32200"/>
    <w:rsid w:val="00E4170E"/>
    <w:rsid w:val="00E4672B"/>
    <w:rsid w:val="00E4722A"/>
    <w:rsid w:val="00E554EA"/>
    <w:rsid w:val="00E6051F"/>
    <w:rsid w:val="00E6176C"/>
    <w:rsid w:val="00E64052"/>
    <w:rsid w:val="00E74573"/>
    <w:rsid w:val="00E775BC"/>
    <w:rsid w:val="00E837DD"/>
    <w:rsid w:val="00E84C05"/>
    <w:rsid w:val="00E871AC"/>
    <w:rsid w:val="00E91FA2"/>
    <w:rsid w:val="00E9369B"/>
    <w:rsid w:val="00EA0FB9"/>
    <w:rsid w:val="00EA3EDA"/>
    <w:rsid w:val="00EB06D7"/>
    <w:rsid w:val="00EB1246"/>
    <w:rsid w:val="00EB1D35"/>
    <w:rsid w:val="00EB6456"/>
    <w:rsid w:val="00EC5476"/>
    <w:rsid w:val="00EC5820"/>
    <w:rsid w:val="00EC5D76"/>
    <w:rsid w:val="00EC664C"/>
    <w:rsid w:val="00EC72D8"/>
    <w:rsid w:val="00ED776F"/>
    <w:rsid w:val="00EE341A"/>
    <w:rsid w:val="00EE6B51"/>
    <w:rsid w:val="00EE7ED0"/>
    <w:rsid w:val="00EF120F"/>
    <w:rsid w:val="00EF51D7"/>
    <w:rsid w:val="00EF7C15"/>
    <w:rsid w:val="00F02B49"/>
    <w:rsid w:val="00F045A4"/>
    <w:rsid w:val="00F07315"/>
    <w:rsid w:val="00F11134"/>
    <w:rsid w:val="00F131D5"/>
    <w:rsid w:val="00F1600B"/>
    <w:rsid w:val="00F22BB3"/>
    <w:rsid w:val="00F23C13"/>
    <w:rsid w:val="00F24537"/>
    <w:rsid w:val="00F30962"/>
    <w:rsid w:val="00F32D8A"/>
    <w:rsid w:val="00F340D4"/>
    <w:rsid w:val="00F405B8"/>
    <w:rsid w:val="00F4188D"/>
    <w:rsid w:val="00F42709"/>
    <w:rsid w:val="00F42D2F"/>
    <w:rsid w:val="00F5586F"/>
    <w:rsid w:val="00F55AA3"/>
    <w:rsid w:val="00F568F5"/>
    <w:rsid w:val="00F57831"/>
    <w:rsid w:val="00F66905"/>
    <w:rsid w:val="00F74021"/>
    <w:rsid w:val="00F7651E"/>
    <w:rsid w:val="00F76EB3"/>
    <w:rsid w:val="00F80046"/>
    <w:rsid w:val="00F82ABF"/>
    <w:rsid w:val="00F9206A"/>
    <w:rsid w:val="00F962D5"/>
    <w:rsid w:val="00FA0186"/>
    <w:rsid w:val="00FA1989"/>
    <w:rsid w:val="00FB0ABA"/>
    <w:rsid w:val="00FB2B5A"/>
    <w:rsid w:val="00FB7258"/>
    <w:rsid w:val="00FC1D36"/>
    <w:rsid w:val="00FC3350"/>
    <w:rsid w:val="00FC7DDF"/>
    <w:rsid w:val="00FD2906"/>
    <w:rsid w:val="00FD56D6"/>
    <w:rsid w:val="00FE19F1"/>
    <w:rsid w:val="00FE2F53"/>
    <w:rsid w:val="00FE4640"/>
    <w:rsid w:val="00FE50C7"/>
    <w:rsid w:val="00FE755C"/>
    <w:rsid w:val="00FF1C94"/>
    <w:rsid w:val="00FF30E0"/>
    <w:rsid w:val="00FF6146"/>
    <w:rsid w:val="00FF758C"/>
    <w:rsid w:val="016C457E"/>
    <w:rsid w:val="01FA0BE5"/>
    <w:rsid w:val="042B7683"/>
    <w:rsid w:val="0A1B42C2"/>
    <w:rsid w:val="0B702FF3"/>
    <w:rsid w:val="0C0A2757"/>
    <w:rsid w:val="0E7F1286"/>
    <w:rsid w:val="0ED71C53"/>
    <w:rsid w:val="0FFD3600"/>
    <w:rsid w:val="10001078"/>
    <w:rsid w:val="111B6EE5"/>
    <w:rsid w:val="15810543"/>
    <w:rsid w:val="17C261B5"/>
    <w:rsid w:val="18F62E88"/>
    <w:rsid w:val="1B2E7086"/>
    <w:rsid w:val="1DA24920"/>
    <w:rsid w:val="1DBDA139"/>
    <w:rsid w:val="1DFF4659"/>
    <w:rsid w:val="1E3A616C"/>
    <w:rsid w:val="1EDE189F"/>
    <w:rsid w:val="1F08077A"/>
    <w:rsid w:val="20FF01FD"/>
    <w:rsid w:val="23C30DB2"/>
    <w:rsid w:val="24AA5318"/>
    <w:rsid w:val="28EFE8DA"/>
    <w:rsid w:val="2B927731"/>
    <w:rsid w:val="2BEB947F"/>
    <w:rsid w:val="2C067DDB"/>
    <w:rsid w:val="2CCF7456"/>
    <w:rsid w:val="2D5B6789"/>
    <w:rsid w:val="2DFC02B0"/>
    <w:rsid w:val="2E3C7269"/>
    <w:rsid w:val="2E4D4B2A"/>
    <w:rsid w:val="2E8B66B0"/>
    <w:rsid w:val="2ED12E7C"/>
    <w:rsid w:val="2ED659C6"/>
    <w:rsid w:val="2F2336D4"/>
    <w:rsid w:val="31321A0D"/>
    <w:rsid w:val="326FD2BD"/>
    <w:rsid w:val="32F373CD"/>
    <w:rsid w:val="33F4073B"/>
    <w:rsid w:val="36271BC5"/>
    <w:rsid w:val="36F7C357"/>
    <w:rsid w:val="39F8E0DE"/>
    <w:rsid w:val="39FFA6FD"/>
    <w:rsid w:val="3BDD2FE8"/>
    <w:rsid w:val="3C576C65"/>
    <w:rsid w:val="3CE30B70"/>
    <w:rsid w:val="3D8C1DA5"/>
    <w:rsid w:val="3DD3A68C"/>
    <w:rsid w:val="3EA70148"/>
    <w:rsid w:val="3F69893E"/>
    <w:rsid w:val="3FBF30DC"/>
    <w:rsid w:val="3FCF6A4F"/>
    <w:rsid w:val="3FDB3157"/>
    <w:rsid w:val="3FEECF02"/>
    <w:rsid w:val="3FFD058C"/>
    <w:rsid w:val="4297770A"/>
    <w:rsid w:val="434FD87A"/>
    <w:rsid w:val="435A7AE5"/>
    <w:rsid w:val="453B1DF9"/>
    <w:rsid w:val="473365EB"/>
    <w:rsid w:val="4DCB0454"/>
    <w:rsid w:val="4ED743E9"/>
    <w:rsid w:val="50E32CCE"/>
    <w:rsid w:val="510C67F5"/>
    <w:rsid w:val="51607B33"/>
    <w:rsid w:val="534C5048"/>
    <w:rsid w:val="55221D4D"/>
    <w:rsid w:val="57652E0E"/>
    <w:rsid w:val="57D021EF"/>
    <w:rsid w:val="57EF374D"/>
    <w:rsid w:val="5A587370"/>
    <w:rsid w:val="5B194418"/>
    <w:rsid w:val="5BEF493F"/>
    <w:rsid w:val="5C115035"/>
    <w:rsid w:val="5C5A18B9"/>
    <w:rsid w:val="5D7F4057"/>
    <w:rsid w:val="5DEB4063"/>
    <w:rsid w:val="5EEB55C3"/>
    <w:rsid w:val="5EEFF3EC"/>
    <w:rsid w:val="5EF70CDD"/>
    <w:rsid w:val="5F2C0736"/>
    <w:rsid w:val="5F9514C8"/>
    <w:rsid w:val="5FBBEA55"/>
    <w:rsid w:val="5FEF6C0A"/>
    <w:rsid w:val="5FF6D355"/>
    <w:rsid w:val="60064A77"/>
    <w:rsid w:val="607D43F9"/>
    <w:rsid w:val="64B556C9"/>
    <w:rsid w:val="65C59F9E"/>
    <w:rsid w:val="65C854C3"/>
    <w:rsid w:val="66456786"/>
    <w:rsid w:val="67D7BAB8"/>
    <w:rsid w:val="6811503F"/>
    <w:rsid w:val="69CE04C4"/>
    <w:rsid w:val="69FB3892"/>
    <w:rsid w:val="6AF336C3"/>
    <w:rsid w:val="6B434CDC"/>
    <w:rsid w:val="6BE96571"/>
    <w:rsid w:val="6C8833CB"/>
    <w:rsid w:val="6CAD0F6F"/>
    <w:rsid w:val="6D52592B"/>
    <w:rsid w:val="6E5E3770"/>
    <w:rsid w:val="6EAE1D35"/>
    <w:rsid w:val="6EB76BBC"/>
    <w:rsid w:val="6EBA3C96"/>
    <w:rsid w:val="6F4EC7BC"/>
    <w:rsid w:val="6FFF735C"/>
    <w:rsid w:val="70CA4E83"/>
    <w:rsid w:val="72F8D928"/>
    <w:rsid w:val="73377E50"/>
    <w:rsid w:val="750839A0"/>
    <w:rsid w:val="75CD53AE"/>
    <w:rsid w:val="75FD5233"/>
    <w:rsid w:val="775FE479"/>
    <w:rsid w:val="77DDAD91"/>
    <w:rsid w:val="77EF5E42"/>
    <w:rsid w:val="79100AF4"/>
    <w:rsid w:val="79293BFB"/>
    <w:rsid w:val="7CFF86B7"/>
    <w:rsid w:val="7DB574C3"/>
    <w:rsid w:val="7DF1DF54"/>
    <w:rsid w:val="7E3F5CD8"/>
    <w:rsid w:val="7F78C1D8"/>
    <w:rsid w:val="7F7F5559"/>
    <w:rsid w:val="7FB7FA36"/>
    <w:rsid w:val="7FBA5E44"/>
    <w:rsid w:val="7FD62520"/>
    <w:rsid w:val="85EE40BB"/>
    <w:rsid w:val="8A4F5C0B"/>
    <w:rsid w:val="A716E285"/>
    <w:rsid w:val="AE3BFC3D"/>
    <w:rsid w:val="AEBB1C0C"/>
    <w:rsid w:val="B7DD79F2"/>
    <w:rsid w:val="B9DBCE6A"/>
    <w:rsid w:val="BD7B64EB"/>
    <w:rsid w:val="BDEDF36C"/>
    <w:rsid w:val="BDFB8B36"/>
    <w:rsid w:val="BDFF3D4A"/>
    <w:rsid w:val="BEDB3D10"/>
    <w:rsid w:val="BF3F767C"/>
    <w:rsid w:val="BF5EA211"/>
    <w:rsid w:val="BFD1A761"/>
    <w:rsid w:val="BFEFF045"/>
    <w:rsid w:val="BFFBFC53"/>
    <w:rsid w:val="C3D75FEC"/>
    <w:rsid w:val="C3EFF14D"/>
    <w:rsid w:val="CDFD3709"/>
    <w:rsid w:val="CFFCC499"/>
    <w:rsid w:val="D3CF9BAE"/>
    <w:rsid w:val="D43F9BC0"/>
    <w:rsid w:val="D7FF83DF"/>
    <w:rsid w:val="DDCE36F3"/>
    <w:rsid w:val="DDF88A80"/>
    <w:rsid w:val="DF69F987"/>
    <w:rsid w:val="DFFE60FB"/>
    <w:rsid w:val="E7CDBB5B"/>
    <w:rsid w:val="E7EF25B9"/>
    <w:rsid w:val="EAEE82C0"/>
    <w:rsid w:val="EF7A2D8D"/>
    <w:rsid w:val="F1F6C530"/>
    <w:rsid w:val="F257E844"/>
    <w:rsid w:val="F3CF4921"/>
    <w:rsid w:val="F752F377"/>
    <w:rsid w:val="F75BD0DA"/>
    <w:rsid w:val="F7710CED"/>
    <w:rsid w:val="F7CE17CE"/>
    <w:rsid w:val="F7DF952A"/>
    <w:rsid w:val="F7EF51AE"/>
    <w:rsid w:val="FAFC5825"/>
    <w:rsid w:val="FB17C372"/>
    <w:rsid w:val="FBA6C68D"/>
    <w:rsid w:val="FBCF03AF"/>
    <w:rsid w:val="FDBE2D5C"/>
    <w:rsid w:val="FDF98169"/>
    <w:rsid w:val="FE3B181E"/>
    <w:rsid w:val="FE7FA8D0"/>
    <w:rsid w:val="FEDC8452"/>
    <w:rsid w:val="FEE6747A"/>
    <w:rsid w:val="FEE6B9AC"/>
    <w:rsid w:val="FEE92DAE"/>
    <w:rsid w:val="FF5591CC"/>
    <w:rsid w:val="FF5D1265"/>
    <w:rsid w:val="FF7F84EC"/>
    <w:rsid w:val="FFBB8420"/>
    <w:rsid w:val="FFCA2300"/>
    <w:rsid w:val="FFCBE651"/>
    <w:rsid w:val="FFD73A3C"/>
    <w:rsid w:val="FFDBB945"/>
    <w:rsid w:val="FFDF9589"/>
    <w:rsid w:val="FFDFE5A5"/>
    <w:rsid w:val="FFEF1036"/>
    <w:rsid w:val="FFF7CEA7"/>
    <w:rsid w:val="FFFD8B6B"/>
    <w:rsid w:val="FFFFF85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12">
    <w:name w:val="Default Paragraph Font"/>
    <w:autoRedefine/>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Body Text"/>
    <w:basedOn w:val="1"/>
    <w:autoRedefine/>
    <w:qFormat/>
    <w:uiPriority w:val="99"/>
    <w:pPr>
      <w:spacing w:after="120"/>
    </w:pPr>
  </w:style>
  <w:style w:type="paragraph" w:styleId="3">
    <w:name w:val="Date"/>
    <w:basedOn w:val="1"/>
    <w:next w:val="1"/>
    <w:link w:val="14"/>
    <w:autoRedefine/>
    <w:unhideWhenUsed/>
    <w:qFormat/>
    <w:uiPriority w:val="99"/>
    <w:pPr>
      <w:ind w:left="100" w:leftChars="2500"/>
    </w:pPr>
  </w:style>
  <w:style w:type="paragraph" w:styleId="4">
    <w:name w:val="Balloon Text"/>
    <w:basedOn w:val="1"/>
    <w:link w:val="15"/>
    <w:unhideWhenUsed/>
    <w:qFormat/>
    <w:uiPriority w:val="99"/>
    <w:rPr>
      <w:sz w:val="18"/>
      <w:szCs w:val="18"/>
    </w:rPr>
  </w:style>
  <w:style w:type="paragraph" w:styleId="5">
    <w:name w:val="footer"/>
    <w:basedOn w:val="1"/>
    <w:link w:val="16"/>
    <w:autoRedefine/>
    <w:unhideWhenUsed/>
    <w:qFormat/>
    <w:uiPriority w:val="99"/>
    <w:pPr>
      <w:tabs>
        <w:tab w:val="center" w:pos="4153"/>
        <w:tab w:val="right" w:pos="8306"/>
      </w:tabs>
      <w:snapToGrid w:val="0"/>
      <w:jc w:val="left"/>
    </w:pPr>
    <w:rPr>
      <w:sz w:val="18"/>
      <w:szCs w:val="18"/>
    </w:rPr>
  </w:style>
  <w:style w:type="paragraph" w:styleId="6">
    <w:name w:val="header"/>
    <w:basedOn w:val="1"/>
    <w:link w:val="1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autoRedefine/>
    <w:unhideWhenUsed/>
    <w:qFormat/>
    <w:uiPriority w:val="39"/>
    <w:pPr>
      <w:adjustRightInd w:val="0"/>
      <w:spacing w:line="400" w:lineRule="exact"/>
    </w:pPr>
    <w:rPr>
      <w:rFonts w:ascii="宋体" w:hAnsi="Calibri" w:eastAsia="宋体" w:cs="Times New Roman"/>
      <w:szCs w:val="21"/>
    </w:rPr>
  </w:style>
  <w:style w:type="paragraph" w:styleId="8">
    <w:name w:val="toc 2"/>
    <w:basedOn w:val="1"/>
    <w:next w:val="1"/>
    <w:autoRedefine/>
    <w:unhideWhenUsed/>
    <w:qFormat/>
    <w:uiPriority w:val="39"/>
    <w:pPr>
      <w:tabs>
        <w:tab w:val="right" w:leader="dot" w:pos="9344"/>
      </w:tabs>
      <w:adjustRightInd w:val="0"/>
      <w:spacing w:line="300" w:lineRule="exact"/>
      <w:ind w:left="210"/>
    </w:pPr>
    <w:rPr>
      <w:rFonts w:ascii="宋体" w:hAnsi="Calibri" w:eastAsia="宋体" w:cs="Times New Roman"/>
      <w:szCs w:val="21"/>
    </w:rPr>
  </w:style>
  <w:style w:type="paragraph" w:styleId="9">
    <w:name w:val="Normal (Web)"/>
    <w:basedOn w:val="1"/>
    <w:autoRedefine/>
    <w:qFormat/>
    <w:uiPriority w:val="99"/>
    <w:pPr>
      <w:widowControl/>
      <w:spacing w:before="100" w:beforeAutospacing="1" w:after="100" w:afterAutospacing="1"/>
      <w:jc w:val="left"/>
    </w:pPr>
    <w:rPr>
      <w:rFonts w:ascii="宋体" w:hAnsi="宋体" w:eastAsia="宋体" w:cs="宋体"/>
      <w:color w:val="000000"/>
      <w:kern w:val="0"/>
      <w:szCs w:val="21"/>
    </w:rPr>
  </w:style>
  <w:style w:type="table" w:styleId="11">
    <w:name w:val="Table Grid"/>
    <w:basedOn w:val="10"/>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autoRedefine/>
    <w:qFormat/>
    <w:uiPriority w:val="99"/>
    <w:rPr>
      <w:rFonts w:ascii="宋体" w:hAnsi="Times New Roman" w:eastAsia="宋体"/>
      <w:color w:val="auto"/>
      <w:spacing w:val="0"/>
      <w:w w:val="100"/>
      <w:position w:val="0"/>
      <w:sz w:val="21"/>
      <w:u w:val="none"/>
      <w:vertAlign w:val="baseline"/>
    </w:rPr>
  </w:style>
  <w:style w:type="character" w:customStyle="1" w:styleId="14">
    <w:name w:val="日期 字符"/>
    <w:link w:val="3"/>
    <w:autoRedefine/>
    <w:semiHidden/>
    <w:qFormat/>
    <w:uiPriority w:val="99"/>
  </w:style>
  <w:style w:type="character" w:customStyle="1" w:styleId="15">
    <w:name w:val="批注框文本 字符"/>
    <w:link w:val="4"/>
    <w:autoRedefine/>
    <w:semiHidden/>
    <w:qFormat/>
    <w:uiPriority w:val="99"/>
    <w:rPr>
      <w:sz w:val="18"/>
      <w:szCs w:val="18"/>
    </w:rPr>
  </w:style>
  <w:style w:type="character" w:customStyle="1" w:styleId="16">
    <w:name w:val="页脚 字符"/>
    <w:link w:val="5"/>
    <w:autoRedefine/>
    <w:qFormat/>
    <w:uiPriority w:val="99"/>
    <w:rPr>
      <w:sz w:val="18"/>
      <w:szCs w:val="18"/>
    </w:rPr>
  </w:style>
  <w:style w:type="character" w:customStyle="1" w:styleId="17">
    <w:name w:val="页眉 字符"/>
    <w:link w:val="6"/>
    <w:autoRedefine/>
    <w:qFormat/>
    <w:uiPriority w:val="99"/>
    <w:rPr>
      <w:sz w:val="18"/>
      <w:szCs w:val="18"/>
    </w:rPr>
  </w:style>
  <w:style w:type="character" w:customStyle="1" w:styleId="18">
    <w:name w:val="NormalCharacter"/>
    <w:autoRedefine/>
    <w:qFormat/>
    <w:uiPriority w:val="0"/>
  </w:style>
  <w:style w:type="paragraph" w:styleId="19">
    <w:name w:val="List Paragraph"/>
    <w:basedOn w:val="1"/>
    <w:autoRedefine/>
    <w:qFormat/>
    <w:uiPriority w:val="34"/>
    <w:pPr>
      <w:ind w:firstLine="420" w:firstLineChars="200"/>
    </w:pPr>
  </w:style>
  <w:style w:type="paragraph" w:customStyle="1" w:styleId="20">
    <w:name w:val="Footer"/>
    <w:basedOn w:val="1"/>
    <w:autoRedefine/>
    <w:qFormat/>
    <w:uiPriority w:val="0"/>
    <w:pPr>
      <w:tabs>
        <w:tab w:val="center" w:pos="4153"/>
        <w:tab w:val="right" w:pos="8306"/>
      </w:tabs>
      <w:snapToGrid w:val="0"/>
      <w:jc w:val="left"/>
    </w:pPr>
    <w:rPr>
      <w:rFonts w:ascii="Times New Roman" w:hAnsi="Times New Roman"/>
      <w:kern w:val="0"/>
      <w:sz w:val="18"/>
      <w:szCs w:val="18"/>
    </w:rPr>
  </w:style>
  <w:style w:type="paragraph" w:customStyle="1" w:styleId="21">
    <w:name w:val="Body Text First Indent 2"/>
    <w:basedOn w:val="1"/>
    <w:next w:val="1"/>
    <w:autoRedefine/>
    <w:qFormat/>
    <w:uiPriority w:val="0"/>
    <w:pPr>
      <w:suppressAutoHyphens/>
      <w:spacing w:line="600" w:lineRule="atLeast"/>
      <w:ind w:firstLine="420" w:firstLineChars="200"/>
    </w:pPr>
    <w:rPr>
      <w:rFonts w:ascii="Times New Roman" w:hAnsi="Times New Roman"/>
      <w:b/>
      <w:bCs/>
      <w:sz w:val="30"/>
      <w:szCs w:val="30"/>
    </w:rPr>
  </w:style>
  <w:style w:type="paragraph" w:customStyle="1" w:styleId="22">
    <w:name w:val="HtmlPre"/>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table" w:customStyle="1" w:styleId="23">
    <w:name w:val="网格型浅色2"/>
    <w:basedOn w:val="10"/>
    <w:autoRedefine/>
    <w:qFormat/>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24">
    <w:name w:val="网格型浅色1"/>
    <w:basedOn w:val="10"/>
    <w:autoRedefine/>
    <w:qFormat/>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25">
    <w:name w:val="网格型1"/>
    <w:basedOn w:val="10"/>
    <w:autoRedefine/>
    <w:unhideWhenUsed/>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6">
    <w:name w:val="标准标志"/>
    <w:next w:val="1"/>
    <w:autoRedefine/>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27">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28">
    <w:name w:val="标准文件_文件编号"/>
    <w:basedOn w:val="29"/>
    <w:autoRedefine/>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29">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0">
    <w:name w:val="标准文件_替换文件编号"/>
    <w:basedOn w:val="28"/>
    <w:autoRedefine/>
    <w:qFormat/>
    <w:uiPriority w:val="0"/>
    <w:pPr>
      <w:spacing w:before="57"/>
    </w:pPr>
    <w:rPr>
      <w:sz w:val="21"/>
    </w:rPr>
  </w:style>
  <w:style w:type="paragraph" w:customStyle="1" w:styleId="31">
    <w:name w:val="标准文件_文件名称"/>
    <w:basedOn w:val="29"/>
    <w:next w:val="29"/>
    <w:autoRedefine/>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32">
    <w:name w:val="封面标准英文名称"/>
    <w:autoRedefine/>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33">
    <w:name w:val="其他发布日期"/>
    <w:basedOn w:val="34"/>
    <w:autoRedefine/>
    <w:qFormat/>
    <w:uiPriority w:val="0"/>
    <w:pPr>
      <w:framePr w:w="3997" w:h="471" w:hRule="exact" w:hSpace="0" w:vSpace="181" w:wrap="around" w:vAnchor="page" w:hAnchor="page" w:x="1419" w:y="14097"/>
    </w:pPr>
  </w:style>
  <w:style w:type="paragraph" w:customStyle="1" w:styleId="34">
    <w:name w:val="发布日期"/>
    <w:autoRedefine/>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35">
    <w:name w:val="其他实施日期"/>
    <w:basedOn w:val="36"/>
    <w:autoRedefine/>
    <w:qFormat/>
    <w:uiPriority w:val="0"/>
    <w:pPr>
      <w:framePr w:w="3997" w:h="471" w:hRule="exact" w:vSpace="181" w:wrap="around" w:vAnchor="page" w:hAnchor="page" w:x="7089" w:y="14097"/>
    </w:pPr>
  </w:style>
  <w:style w:type="paragraph" w:customStyle="1" w:styleId="36">
    <w:name w:val="实施日期"/>
    <w:basedOn w:val="34"/>
    <w:autoRedefine/>
    <w:qFormat/>
    <w:uiPriority w:val="0"/>
    <w:pPr>
      <w:framePr w:hSpace="0" w:wrap="around" w:xAlign="right"/>
      <w:jc w:val="right"/>
    </w:pPr>
  </w:style>
  <w:style w:type="paragraph" w:customStyle="1" w:styleId="37">
    <w:name w:val="其他发布部门"/>
    <w:basedOn w:val="38"/>
    <w:autoRedefine/>
    <w:qFormat/>
    <w:uiPriority w:val="0"/>
    <w:pPr>
      <w:framePr w:wrap="around"/>
      <w:spacing w:line="0" w:lineRule="atLeast"/>
    </w:pPr>
    <w:rPr>
      <w:rFonts w:ascii="黑体" w:eastAsia="黑体"/>
      <w:b w:val="0"/>
    </w:rPr>
  </w:style>
  <w:style w:type="paragraph" w:customStyle="1" w:styleId="38">
    <w:name w:val="发布部门"/>
    <w:next w:val="29"/>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character" w:customStyle="1" w:styleId="39">
    <w:name w:val="发布"/>
    <w:basedOn w:val="12"/>
    <w:autoRedefine/>
    <w:qFormat/>
    <w:uiPriority w:val="0"/>
    <w:rPr>
      <w:rFonts w:ascii="黑体" w:eastAsia="黑体"/>
      <w:spacing w:val="85"/>
      <w:w w:val="100"/>
      <w:position w:val="3"/>
      <w:sz w:val="28"/>
      <w:szCs w:val="28"/>
    </w:rPr>
  </w:style>
  <w:style w:type="paragraph" w:customStyle="1" w:styleId="40">
    <w:name w:val="标准文件_目录标题"/>
    <w:basedOn w:val="1"/>
    <w:autoRedefine/>
    <w:qFormat/>
    <w:uiPriority w:val="0"/>
    <w:pPr>
      <w:adjustRightInd w:val="0"/>
      <w:spacing w:before="480" w:after="150" w:afterLines="150"/>
      <w:jc w:val="center"/>
    </w:pPr>
    <w:rPr>
      <w:rFonts w:ascii="黑体" w:hAnsi="Calibri" w:eastAsia="黑体" w:cs="Times New Roman"/>
      <w:sz w:val="32"/>
      <w:szCs w:val="21"/>
    </w:rPr>
  </w:style>
  <w:style w:type="paragraph" w:customStyle="1" w:styleId="41">
    <w:name w:val="标准文件_前言、引言标题"/>
    <w:next w:val="1"/>
    <w:autoRedefine/>
    <w:qFormat/>
    <w:uiPriority w:val="0"/>
    <w:pPr>
      <w:shd w:val="clear" w:color="FFFFFF" w:fill="FFFFFF"/>
      <w:spacing w:before="480" w:after="150" w:afterLines="150"/>
      <w:ind w:left="425" w:hanging="425"/>
      <w:jc w:val="center"/>
      <w:outlineLvl w:val="0"/>
    </w:pPr>
    <w:rPr>
      <w:rFonts w:ascii="黑体" w:hAnsi="Times New Roman" w:eastAsia="黑体" w:cs="Times New Roman"/>
      <w:sz w:val="32"/>
      <w:lang w:val="en-US" w:eastAsia="zh-CN" w:bidi="ar-SA"/>
    </w:rPr>
  </w:style>
  <w:style w:type="paragraph" w:customStyle="1" w:styleId="42">
    <w:name w:val="标准文件_正文标准名称"/>
    <w:autoRedefine/>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43">
    <w:name w:val="标准文件_章标题"/>
    <w:next w:val="29"/>
    <w:autoRedefine/>
    <w:qFormat/>
    <w:uiPriority w:val="0"/>
    <w:p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44">
    <w:name w:val="段"/>
    <w:autoRedefine/>
    <w:qFormat/>
    <w:uiPriority w:val="0"/>
    <w:pPr>
      <w:autoSpaceDE w:val="0"/>
      <w:autoSpaceDN w:val="0"/>
      <w:ind w:firstLine="200"/>
      <w:jc w:val="both"/>
    </w:pPr>
    <w:rPr>
      <w:rFonts w:ascii="宋体" w:hAnsi="Times New Roman" w:eastAsia="宋体" w:cs="CG Times"/>
      <w:sz w:val="21"/>
      <w:szCs w:val="22"/>
      <w:lang w:val="en-US" w:eastAsia="zh-CN" w:bidi="ar-SA"/>
    </w:rPr>
  </w:style>
  <w:style w:type="paragraph" w:customStyle="1" w:styleId="45">
    <w:name w:val="标准文件_术语条一"/>
    <w:basedOn w:val="46"/>
    <w:next w:val="29"/>
    <w:autoRedefine/>
    <w:qFormat/>
    <w:uiPriority w:val="0"/>
  </w:style>
  <w:style w:type="paragraph" w:customStyle="1" w:styleId="46">
    <w:name w:val="标准文件_一级无标题"/>
    <w:basedOn w:val="47"/>
    <w:autoRedefine/>
    <w:qFormat/>
    <w:uiPriority w:val="0"/>
    <w:pPr>
      <w:spacing w:before="0" w:beforeLines="0" w:after="0" w:afterLines="0"/>
      <w:outlineLvl w:val="9"/>
    </w:pPr>
    <w:rPr>
      <w:rFonts w:ascii="宋体" w:eastAsia="宋体"/>
    </w:rPr>
  </w:style>
  <w:style w:type="paragraph" w:customStyle="1" w:styleId="47">
    <w:name w:val="标准文件_一级条标题"/>
    <w:basedOn w:val="43"/>
    <w:next w:val="29"/>
    <w:autoRedefine/>
    <w:qFormat/>
    <w:uiPriority w:val="0"/>
    <w:pPr>
      <w:spacing w:before="50" w:beforeLines="50" w:after="50" w:afterLines="50"/>
      <w:outlineLvl w:val="1"/>
    </w:pPr>
  </w:style>
  <w:style w:type="paragraph" w:customStyle="1" w:styleId="48">
    <w:name w:val="标准文件_注："/>
    <w:next w:val="29"/>
    <w:autoRedefine/>
    <w:qFormat/>
    <w:uiPriority w:val="0"/>
    <w:pPr>
      <w:widowControl w:val="0"/>
      <w:numPr>
        <w:ilvl w:val="0"/>
        <w:numId w:val="1"/>
      </w:numPr>
      <w:autoSpaceDE w:val="0"/>
      <w:autoSpaceDN w:val="0"/>
      <w:jc w:val="both"/>
    </w:pPr>
    <w:rPr>
      <w:rFonts w:ascii="宋体" w:hAnsi="Times New Roman" w:eastAsia="宋体" w:cs="Times New Roman"/>
      <w:sz w:val="18"/>
      <w:szCs w:val="18"/>
      <w:lang w:val="en-US" w:eastAsia="zh-CN" w:bidi="ar-SA"/>
    </w:rPr>
  </w:style>
  <w:style w:type="paragraph" w:customStyle="1" w:styleId="49">
    <w:name w:val="标准文件_二级无标题"/>
    <w:basedOn w:val="50"/>
    <w:autoRedefine/>
    <w:qFormat/>
    <w:uiPriority w:val="0"/>
    <w:pPr>
      <w:spacing w:before="0" w:beforeLines="0" w:after="0" w:afterLines="0"/>
      <w:outlineLvl w:val="9"/>
    </w:pPr>
    <w:rPr>
      <w:rFonts w:ascii="宋体" w:eastAsia="宋体"/>
    </w:rPr>
  </w:style>
  <w:style w:type="paragraph" w:customStyle="1" w:styleId="50">
    <w:name w:val="标准文件_二级条标题"/>
    <w:next w:val="29"/>
    <w:autoRedefine/>
    <w:qFormat/>
    <w:uiPriority w:val="0"/>
    <w:pPr>
      <w:widowControl w:val="0"/>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51">
    <w:name w:val="标准文件_字母编号列项（一级）"/>
    <w:autoRedefine/>
    <w:qFormat/>
    <w:uiPriority w:val="0"/>
    <w:pPr>
      <w:tabs>
        <w:tab w:val="left" w:pos="851"/>
      </w:tabs>
      <w:ind w:left="851" w:hanging="426"/>
      <w:jc w:val="both"/>
    </w:pPr>
    <w:rPr>
      <w:rFonts w:ascii="宋体" w:hAnsi="Times New Roman" w:eastAsia="宋体" w:cs="Times New Roman"/>
      <w:sz w:val="21"/>
      <w:lang w:val="en-US" w:eastAsia="zh-CN" w:bidi="ar-SA"/>
    </w:rPr>
  </w:style>
  <w:style w:type="paragraph" w:customStyle="1" w:styleId="52">
    <w:name w:val="标准文件_附录图标号"/>
    <w:basedOn w:val="29"/>
    <w:next w:val="29"/>
    <w:autoRedefine/>
    <w:qFormat/>
    <w:uiPriority w:val="0"/>
    <w:pPr>
      <w:spacing w:line="14" w:lineRule="exact"/>
      <w:ind w:left="425" w:firstLine="0" w:firstLineChars="0"/>
      <w:jc w:val="center"/>
    </w:pPr>
    <w:rPr>
      <w:rFonts w:ascii="黑体" w:hAnsi="黑体" w:eastAsia="黑体"/>
      <w:vanish/>
      <w:sz w:val="2"/>
      <w:szCs w:val="21"/>
    </w:rPr>
  </w:style>
  <w:style w:type="paragraph" w:customStyle="1" w:styleId="53">
    <w:name w:val="标准文件_附录表标号"/>
    <w:basedOn w:val="29"/>
    <w:next w:val="29"/>
    <w:qFormat/>
    <w:uiPriority w:val="0"/>
    <w:pPr>
      <w:spacing w:line="14" w:lineRule="exact"/>
      <w:ind w:left="425" w:firstLine="0" w:firstLineChars="0"/>
      <w:jc w:val="center"/>
    </w:pPr>
    <w:rPr>
      <w:rFonts w:eastAsia="黑体"/>
      <w:vanish/>
      <w:sz w:val="2"/>
    </w:rPr>
  </w:style>
  <w:style w:type="paragraph" w:customStyle="1" w:styleId="54">
    <w:name w:val="标准文件_附录标识"/>
    <w:next w:val="29"/>
    <w:autoRedefine/>
    <w:qFormat/>
    <w:uiPriority w:val="0"/>
    <w:p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55">
    <w:name w:val="标准文件_附录表标题"/>
    <w:next w:val="29"/>
    <w:autoRedefine/>
    <w:qFormat/>
    <w:uiPriority w:val="0"/>
    <w:p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56">
    <w:name w:val="标准文件_表格"/>
    <w:basedOn w:val="29"/>
    <w:autoRedefine/>
    <w:qFormat/>
    <w:uiPriority w:val="0"/>
    <w:pPr>
      <w:ind w:firstLine="0" w:firstLineChars="0"/>
      <w:jc w:val="center"/>
    </w:pPr>
    <w:rPr>
      <w:sz w:val="18"/>
    </w:rPr>
  </w:style>
  <w:style w:type="paragraph" w:customStyle="1" w:styleId="57">
    <w:name w:val="标准文件_附录一级条标题"/>
    <w:next w:val="29"/>
    <w:autoRedefine/>
    <w:qFormat/>
    <w:uiPriority w:val="0"/>
    <w:pPr>
      <w:widowControl w:val="0"/>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58">
    <w:name w:val="标准文件_参考文献标题"/>
    <w:basedOn w:val="1"/>
    <w:next w:val="1"/>
    <w:autoRedefine/>
    <w:qFormat/>
    <w:uiPriority w:val="0"/>
    <w:pPr>
      <w:widowControl/>
      <w:shd w:val="clear" w:color="FFFFFF" w:fill="FFFFFF"/>
      <w:spacing w:before="560" w:after="50" w:afterLines="50"/>
      <w:jc w:val="center"/>
      <w:outlineLvl w:val="0"/>
    </w:pPr>
    <w:rPr>
      <w:rFonts w:ascii="黑体" w:hAnsi="Calibri" w:eastAsia="黑体" w:cs="Times New Roman"/>
      <w:kern w:val="0"/>
      <w:szCs w:val="21"/>
    </w:rPr>
  </w:style>
  <w:style w:type="paragraph" w:customStyle="1" w:styleId="59">
    <w:name w:val="标准文件_标准正文"/>
    <w:basedOn w:val="1"/>
    <w:next w:val="29"/>
    <w:autoRedefine/>
    <w:qFormat/>
    <w:uiPriority w:val="0"/>
    <w:pPr>
      <w:adjustRightInd w:val="0"/>
      <w:snapToGrid w:val="0"/>
      <w:spacing w:line="400" w:lineRule="exact"/>
      <w:ind w:firstLine="200" w:firstLineChars="200"/>
    </w:pPr>
    <w:rPr>
      <w:rFonts w:ascii="Calibri" w:hAnsi="Calibri" w:eastAsia="宋体" w:cs="Times New Roman"/>
      <w:kern w:val="0"/>
      <w:szCs w:val="21"/>
    </w:rPr>
  </w:style>
  <w:style w:type="paragraph" w:customStyle="1" w:styleId="60">
    <w:name w:val="1111111111111111111111111"/>
    <w:basedOn w:val="1"/>
    <w:autoRedefine/>
    <w:qFormat/>
    <w:uiPriority w:val="0"/>
    <w:pPr>
      <w:widowControl/>
      <w:kinsoku w:val="0"/>
      <w:autoSpaceDE w:val="0"/>
      <w:autoSpaceDN w:val="0"/>
      <w:adjustRightInd w:val="0"/>
      <w:snapToGrid w:val="0"/>
      <w:spacing w:line="560" w:lineRule="exact"/>
      <w:ind w:firstLine="200" w:firstLineChars="200"/>
      <w:jc w:val="left"/>
      <w:textAlignment w:val="baseline"/>
      <w:outlineLvl w:val="0"/>
    </w:pPr>
    <w:rPr>
      <w:rFonts w:ascii="黑体" w:hAnsi="黑体" w:eastAsia="黑体" w:cs="Arial"/>
      <w:snapToGrid w:val="0"/>
      <w:color w:val="000000"/>
      <w:kern w:val="0"/>
      <w:sz w:val="32"/>
      <w:szCs w:val="32"/>
      <w:lang w:eastAsia="en-US"/>
    </w:rPr>
  </w:style>
  <w:style w:type="paragraph" w:customStyle="1" w:styleId="61">
    <w:name w:val="222222222222222222222222222222222"/>
    <w:basedOn w:val="1"/>
    <w:autoRedefine/>
    <w:qFormat/>
    <w:uiPriority w:val="0"/>
    <w:pPr>
      <w:widowControl/>
      <w:kinsoku w:val="0"/>
      <w:autoSpaceDE w:val="0"/>
      <w:autoSpaceDN w:val="0"/>
      <w:adjustRightInd w:val="0"/>
      <w:snapToGrid w:val="0"/>
      <w:spacing w:line="560" w:lineRule="exact"/>
      <w:ind w:firstLine="200" w:firstLineChars="200"/>
      <w:jc w:val="left"/>
      <w:textAlignment w:val="baseline"/>
      <w:outlineLvl w:val="1"/>
    </w:pPr>
    <w:rPr>
      <w:rFonts w:ascii="宋体" w:hAnsi="宋体" w:eastAsia="楷体" w:cs="Arial"/>
      <w:bCs/>
      <w:snapToGrid w:val="0"/>
      <w:color w:val="000000"/>
      <w:kern w:val="0"/>
      <w:sz w:val="32"/>
      <w:szCs w:val="28"/>
      <w:lang w:eastAsia="en-US"/>
    </w:rPr>
  </w:style>
  <w:style w:type="paragraph" w:customStyle="1" w:styleId="62">
    <w:name w:val="ZZZZZZZZZZZZZZZZZ"/>
    <w:basedOn w:val="44"/>
    <w:autoRedefine/>
    <w:qFormat/>
    <w:uiPriority w:val="0"/>
    <w:pPr>
      <w:tabs>
        <w:tab w:val="center" w:pos="4201"/>
        <w:tab w:val="right" w:leader="dot" w:pos="9298"/>
      </w:tabs>
      <w:spacing w:line="560" w:lineRule="exact"/>
      <w:ind w:firstLineChars="200"/>
    </w:pPr>
    <w:rPr>
      <w:rFonts w:ascii="宋体" w:hAnsi="宋体" w:eastAsia="方正仿宋_GB2312" w:cs="宋体"/>
      <w:sz w:val="32"/>
      <w:szCs w:val="24"/>
    </w:rPr>
  </w:style>
  <w:style w:type="paragraph" w:customStyle="1" w:styleId="63">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4">
    <w:name w:val="标准文件_页脚奇数页"/>
    <w:autoRedefine/>
    <w:qFormat/>
    <w:uiPriority w:val="0"/>
    <w:pPr>
      <w:ind w:right="227"/>
      <w:jc w:val="right"/>
    </w:pPr>
    <w:rPr>
      <w:rFonts w:ascii="宋体" w:hAnsi="Times New Roman" w:eastAsia="宋体" w:cs="Times New Roman"/>
      <w:sz w:val="18"/>
      <w:lang w:val="en-US" w:eastAsia="zh-CN" w:bidi="ar-SA"/>
    </w:rPr>
  </w:style>
  <w:style w:type="paragraph" w:customStyle="1" w:styleId="65">
    <w:name w:val="标准文件_页眉偶数页"/>
    <w:basedOn w:val="63"/>
    <w:next w:val="1"/>
    <w:autoRedefine/>
    <w:qFormat/>
    <w:uiPriority w:val="0"/>
    <w:pPr>
      <w:jc w:val="left"/>
    </w:pPr>
  </w:style>
  <w:style w:type="paragraph" w:customStyle="1" w:styleId="66">
    <w:name w:val="标准书眉一"/>
    <w:autoRedefine/>
    <w:qFormat/>
    <w:uiPriority w:val="0"/>
    <w:pPr>
      <w:jc w:val="both"/>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1.jpeg"/><Relationship Id="rId27" Type="http://schemas.openxmlformats.org/officeDocument/2006/relationships/theme" Target="theme/theme1.xml"/><Relationship Id="rId26" Type="http://schemas.openxmlformats.org/officeDocument/2006/relationships/footer" Target="footer12.xml"/><Relationship Id="rId25" Type="http://schemas.openxmlformats.org/officeDocument/2006/relationships/header" Target="header12.xml"/><Relationship Id="rId24" Type="http://schemas.openxmlformats.org/officeDocument/2006/relationships/header" Target="header11.xml"/><Relationship Id="rId23" Type="http://schemas.openxmlformats.org/officeDocument/2006/relationships/footer" Target="footer11.xml"/><Relationship Id="rId22" Type="http://schemas.openxmlformats.org/officeDocument/2006/relationships/footer" Target="footer10.xml"/><Relationship Id="rId21" Type="http://schemas.openxmlformats.org/officeDocument/2006/relationships/header" Target="head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38</Pages>
  <Words>2273</Words>
  <Characters>2635</Characters>
  <Lines>3</Lines>
  <Paragraphs>1</Paragraphs>
  <TotalTime>0</TotalTime>
  <ScaleCrop>false</ScaleCrop>
  <LinksUpToDate>false</LinksUpToDate>
  <CharactersWithSpaces>2813</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2025-06-25T16:05:00Z</dcterms:created>
  <dc:creator>pc-06</dc:creator>
  <cp:lastModifiedBy>王耀</cp:lastModifiedBy>
  <cp:lastPrinted>2025-07-09T16:11:00Z</cp:lastPrinted>
  <dcterms:modified xsi:type="dcterms:W3CDTF">2025-07-18T09:29:39Z</dcterms:modified>
  <dc:title> </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9BE416E028E846D0BE56F755BB12AAF3_13</vt:lpwstr>
  </property>
  <property fmtid="{D5CDD505-2E9C-101B-9397-08002B2CF9AE}" pid="4" name="hmcheck_markmode">
    <vt:r8>0</vt:r8>
  </property>
  <property fmtid="{D5CDD505-2E9C-101B-9397-08002B2CF9AE}" pid="5" name="KSOTemplateDocerSaveRecord">
    <vt:lpwstr>eyJoZGlkIjoiZTczYWFkOThlMjE5ZWRmZmFmNDdiOTQxNWJkZDk3YTgiLCJ1c2VySWQiOiI0Mzg5NTM3MzUifQ==</vt:lpwstr>
  </property>
</Properties>
</file>