
<file path=[Content_Types].xml><?xml version="1.0" encoding="utf-8"?>
<Types xmlns="http://schemas.openxmlformats.org/package/2006/content-types">
  <Default Extension="xml" ContentType="application/xml"/>
  <Default Extension="png" ContentType="image/png"/>
  <Default Extension="tiff" ContentType="image/tif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236"/>
        <w:gridCol w:w="8118"/>
      </w:tblGrid>
      <w:tr w14:paraId="6F75B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236" w:type="dxa"/>
          </w:tcPr>
          <w:p w14:paraId="77B112DC">
            <w:pPr>
              <w:pStyle w:val="19"/>
              <w:framePr w:wrap="notBeside" w:vAnchor="page" w:hAnchor="page" w:x="1372" w:y="568"/>
              <w:tabs>
                <w:tab w:val="clear" w:pos="4153"/>
                <w:tab w:val="clear" w:pos="8306"/>
              </w:tabs>
              <w:spacing w:line="240" w:lineRule="auto"/>
              <w:jc w:val="left"/>
              <w:rPr>
                <w:rFonts w:hint="eastAsia" w:ascii="黑体" w:hAnsi="黑体" w:eastAsia="黑体"/>
                <w:sz w:val="21"/>
                <w:szCs w:val="21"/>
              </w:rPr>
            </w:pPr>
            <w:r>
              <w:rPr>
                <w:rFonts w:ascii="Times New Roman" w:hAnsi="Times New Roman" w:eastAsia="黑体"/>
                <w:sz w:val="21"/>
                <w:szCs w:val="21"/>
              </w:rPr>
              <w:t>ICS</w:t>
            </w:r>
            <w:r>
              <w:rPr>
                <w:rFonts w:hint="eastAsia" w:ascii="Times New Roman" w:hAnsi="Times New Roman" w:eastAsia="黑体"/>
                <w:sz w:val="21"/>
                <w:szCs w:val="21"/>
                <w:lang w:val="en-US" w:eastAsia="zh-CN"/>
              </w:rPr>
              <w:t xml:space="preserve"> 13.220.01</w:t>
            </w:r>
            <w:r>
              <w:rPr>
                <w:rFonts w:ascii="黑体" w:hAnsi="黑体" w:eastAsia="黑体"/>
                <w:sz w:val="21"/>
                <w:szCs w:val="21"/>
              </w:rPr>
              <w:t xml:space="preserve">  </w:t>
            </w:r>
          </w:p>
        </w:tc>
        <w:tc>
          <w:tcPr>
            <w:tcW w:w="8118" w:type="dxa"/>
          </w:tcPr>
          <w:p w14:paraId="5F2D7F33">
            <w:pPr>
              <w:pStyle w:val="19"/>
              <w:framePr w:wrap="notBeside" w:vAnchor="page" w:hAnchor="page" w:x="1372" w:y="568"/>
              <w:tabs>
                <w:tab w:val="clear" w:pos="4153"/>
                <w:tab w:val="clear" w:pos="8306"/>
              </w:tabs>
              <w:spacing w:line="240" w:lineRule="auto"/>
              <w:ind w:left="3"/>
              <w:jc w:val="both"/>
              <w:rPr>
                <w:rFonts w:hint="eastAsia" w:ascii="黑体" w:hAnsi="黑体" w:eastAsia="黑体"/>
                <w:sz w:val="21"/>
                <w:szCs w:val="21"/>
              </w:rPr>
            </w:pPr>
          </w:p>
        </w:tc>
      </w:tr>
      <w:tr w14:paraId="755B5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236" w:type="dxa"/>
          </w:tcPr>
          <w:p w14:paraId="12C73644">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 xml:space="preserve">CCS </w:t>
            </w:r>
            <w:r>
              <w:rPr>
                <w:rFonts w:hint="eastAsia" w:ascii="Times New Roman" w:hAnsi="Times New Roman" w:eastAsia="黑体"/>
                <w:sz w:val="21"/>
                <w:szCs w:val="21"/>
                <w:lang w:val="en-US" w:eastAsia="zh-CN"/>
              </w:rPr>
              <w:t>C 80</w:t>
            </w:r>
            <w:r>
              <w:rPr>
                <w:rFonts w:ascii="黑体" w:hAnsi="黑体" w:eastAsia="黑体"/>
                <w:sz w:val="21"/>
                <w:szCs w:val="21"/>
              </w:rPr>
              <w:t xml:space="preserve"> </w:t>
            </w:r>
          </w:p>
        </w:tc>
        <w:tc>
          <w:tcPr>
            <w:tcW w:w="8118" w:type="dxa"/>
          </w:tcPr>
          <w:p w14:paraId="7F798E77">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p>
        </w:tc>
      </w:tr>
    </w:tbl>
    <w:p w14:paraId="4CC58F36">
      <w:pPr>
        <w:pStyle w:val="52"/>
        <w:framePr w:w="9639" w:h="624" w:hRule="exact" w:hSpace="181" w:vSpace="181" w:wrap="around" w:hAnchor="page" w:x="1305" w:y="2269"/>
      </w:pPr>
      <w:bookmarkStart w:id="0" w:name="_Hlk26473981"/>
      <w:r>
        <w:rPr>
          <w:rFonts w:hint="eastAsia"/>
        </w:rPr>
        <w:t>中华人民共和国国家标准</w:t>
      </w:r>
    </w:p>
    <w:bookmarkEnd w:id="0"/>
    <w:p w14:paraId="51E124EA">
      <w:pPr>
        <w:pStyle w:val="197"/>
        <w:framePr w:y="3269"/>
        <w:rPr>
          <w:rFonts w:hint="default" w:eastAsia="黑体"/>
          <w:shd w:val="clear" w:color="auto" w:fill="auto"/>
          <w:lang w:val="en-US" w:eastAsia="zh-CN"/>
        </w:rPr>
      </w:pPr>
      <w:r>
        <w:rPr>
          <w:rFonts w:hint="eastAsia"/>
          <w:shd w:val="clear" w:color="auto" w:fill="auto"/>
          <w:lang w:val="en-US" w:eastAsia="zh-CN"/>
        </w:rPr>
        <w:t>GB/T XXXX</w:t>
      </w:r>
      <w:r>
        <w:rPr>
          <w:rFonts w:hAnsi="黑体"/>
          <w:shd w:val="clear" w:color="auto" w:fill="auto"/>
          <w:lang w:val="fr-FR"/>
        </w:rPr>
        <w:t>—</w:t>
      </w:r>
      <w:r>
        <w:rPr>
          <w:rFonts w:hint="eastAsia" w:hAnsi="黑体"/>
          <w:shd w:val="clear" w:color="auto" w:fill="auto"/>
          <w:lang w:val="en-US" w:eastAsia="zh-CN"/>
        </w:rPr>
        <w:t>XXXX</w:t>
      </w:r>
    </w:p>
    <w:p w14:paraId="4551FC60">
      <w:pPr>
        <w:pStyle w:val="198"/>
        <w:framePr w:y="3269"/>
        <w:rPr>
          <w:rFonts w:hint="eastAsia" w:hAnsi="黑体"/>
          <w:shd w:val="clear" w:color="auto" w:fill="auto"/>
        </w:rPr>
      </w:pPr>
    </w:p>
    <w:p w14:paraId="1C19288C">
      <w:pPr>
        <w:pBdr>
          <w:top w:val="none" w:color="auto" w:sz="0" w:space="0"/>
          <w:left w:val="none" w:color="auto" w:sz="0" w:space="0"/>
          <w:bottom w:val="none" w:color="auto" w:sz="0" w:space="0"/>
          <w:right w:val="none" w:color="auto" w:sz="0" w:space="0"/>
        </w:pBdr>
        <w:spacing w:line="240" w:lineRule="auto"/>
        <w:ind w:left="8080"/>
        <w:rPr>
          <w:rFonts w:hint="eastAsia" w:ascii="黑体" w:hAnsi="黑体" w:eastAsia="黑体"/>
          <w:kern w:val="0"/>
          <w:sz w:val="52"/>
          <w:szCs w:val="20"/>
        </w:rPr>
      </w:pPr>
      <w:bookmarkStart w:id="117" w:name="_GoBack"/>
      <w:bookmarkEnd w:id="117"/>
      <w:r>
        <w:rPr>
          <w:rFonts w:ascii="黑体" w:hAnsi="黑体" w:eastAsia="黑体"/>
          <w:kern w:val="0"/>
          <w:sz w:val="52"/>
          <w:szCs w:val="20"/>
        </w:rPr>
        <mc:AlternateContent>
          <mc:Choice Requires="wps">
            <w:drawing>
              <wp:anchor distT="0" distB="0" distL="114300" distR="114300" simplePos="0" relativeHeight="251661312"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61312;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r>
        <w:rPr>
          <w:rFonts w:ascii="黑体" w:hAnsi="黑体" w:eastAsia="黑体"/>
          <w:kern w:val="0"/>
          <w:sz w:val="52"/>
          <w:szCs w:val="20"/>
        </w:rPr>
        <w:drawing>
          <wp:anchor distT="0" distB="0" distL="114300" distR="114300" simplePos="0" relativeHeight="251660288" behindDoc="0" locked="0" layoutInCell="1" allowOverlap="0">
            <wp:simplePos x="0" y="0"/>
            <wp:positionH relativeFrom="page">
              <wp:posOffset>5004435</wp:posOffset>
            </wp:positionH>
            <wp:positionV relativeFrom="page">
              <wp:posOffset>466725</wp:posOffset>
            </wp:positionV>
            <wp:extent cx="1447165" cy="732790"/>
            <wp:effectExtent l="0" t="0" r="635"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447200" cy="732960"/>
                    </a:xfrm>
                    <a:prstGeom prst="rect">
                      <a:avLst/>
                    </a:prstGeom>
                    <a:noFill/>
                    <a:ln>
                      <a:noFill/>
                    </a:ln>
                  </pic:spPr>
                </pic:pic>
              </a:graphicData>
            </a:graphic>
          </wp:anchor>
        </w:drawing>
      </w:r>
    </w:p>
    <w:p w14:paraId="0C353703">
      <w:pPr>
        <w:pStyle w:val="52"/>
        <w:framePr w:w="9639" w:h="6976" w:hRule="exact" w:hSpace="0" w:vSpace="0" w:wrap="around" w:hAnchor="page" w:y="6408"/>
        <w:jc w:val="center"/>
        <w:rPr>
          <w:rFonts w:hint="eastAsia" w:ascii="黑体" w:hAnsi="黑体" w:eastAsia="黑体"/>
          <w:b w:val="0"/>
          <w:bCs w:val="0"/>
          <w:w w:val="100"/>
        </w:rPr>
      </w:pPr>
      <w:r>
        <w:rPr>
          <w:rFonts w:ascii="宋体" w:hAnsi="宋体"/>
        </w:rPr>
        <mc:AlternateContent>
          <mc:Choice Requires="wps">
            <w:drawing>
              <wp:anchor distT="0" distB="0" distL="114935" distR="114935" simplePos="0" relativeHeight="251664384" behindDoc="0" locked="1" layoutInCell="1" allowOverlap="1">
                <wp:simplePos x="0" y="0"/>
                <wp:positionH relativeFrom="margin">
                  <wp:posOffset>-46355</wp:posOffset>
                </wp:positionH>
                <wp:positionV relativeFrom="margin">
                  <wp:posOffset>3512185</wp:posOffset>
                </wp:positionV>
                <wp:extent cx="5969000" cy="4453890"/>
                <wp:effectExtent l="0" t="0" r="635" b="4445"/>
                <wp:wrapNone/>
                <wp:docPr id="18" name="文本框 18"/>
                <wp:cNvGraphicFramePr/>
                <a:graphic xmlns:a="http://schemas.openxmlformats.org/drawingml/2006/main">
                  <a:graphicData uri="http://schemas.microsoft.com/office/word/2010/wordprocessingShape">
                    <wps:wsp>
                      <wps:cNvSpPr txBox="1"/>
                      <wps:spPr>
                        <a:xfrm>
                          <a:off x="0" y="0"/>
                          <a:ext cx="5969000" cy="4453890"/>
                        </a:xfrm>
                        <a:prstGeom prst="rect">
                          <a:avLst/>
                        </a:prstGeom>
                        <a:solidFill>
                          <a:srgbClr val="FFFFFF"/>
                        </a:solidFill>
                        <a:ln>
                          <a:noFill/>
                        </a:ln>
                      </wps:spPr>
                      <wps:txbx>
                        <w:txbxContent>
                          <w:p w14:paraId="4874B873">
                            <w:pPr>
                              <w:pStyle w:val="128"/>
                              <w:rPr>
                                <w:rFonts w:hint="eastAsia"/>
                                <w:b/>
                                <w:bCs/>
                                <w:sz w:val="52"/>
                                <w:lang w:val="en-US" w:eastAsia="zh-CN"/>
                              </w:rPr>
                            </w:pPr>
                            <w:r>
                              <w:rPr>
                                <w:rFonts w:hint="eastAsia"/>
                                <w:b/>
                                <w:bCs/>
                                <w:sz w:val="52"/>
                                <w:lang w:val="en-US" w:eastAsia="zh-CN"/>
                              </w:rPr>
                              <w:t>森林草原火险多因子评价技术指南</w:t>
                            </w:r>
                          </w:p>
                          <w:p w14:paraId="3A6FC469">
                            <w:pPr>
                              <w:pStyle w:val="128"/>
                              <w:rPr>
                                <w:rFonts w:hint="eastAsia" w:ascii="Times New Roman"/>
                                <w:b w:val="0"/>
                                <w:bCs/>
                              </w:rPr>
                            </w:pPr>
                            <w:r>
                              <w:rPr>
                                <w:rFonts w:hint="eastAsia" w:ascii="Times New Roman"/>
                                <w:b w:val="0"/>
                                <w:bCs/>
                              </w:rPr>
                              <w:t>Guidance for multi-factor assessment of forest and grassland fire risk</w:t>
                            </w:r>
                          </w:p>
                          <w:p w14:paraId="52D75C18">
                            <w:pPr>
                              <w:pStyle w:val="128"/>
                            </w:pPr>
                            <w:r>
                              <w:rPr>
                                <w:rFonts w:hint="eastAsia"/>
                              </w:rPr>
                              <w:t>(征求意见稿)</w:t>
                            </w:r>
                          </w:p>
                          <w:p w14:paraId="3E1AA070">
                            <w:pPr>
                              <w:pStyle w:val="125"/>
                            </w:pPr>
                          </w:p>
                        </w:txbxContent>
                      </wps:txbx>
                      <wps:bodyPr lIns="0" tIns="0" rIns="0" bIns="0" upright="1">
                        <a:noAutofit/>
                      </wps:bodyPr>
                    </wps:wsp>
                  </a:graphicData>
                </a:graphic>
              </wp:anchor>
            </w:drawing>
          </mc:Choice>
          <mc:Fallback>
            <w:pict>
              <v:shape id="_x0000_s1026" o:spid="_x0000_s1026" o:spt="202" type="#_x0000_t202" style="position:absolute;left:0pt;margin-left:-3.65pt;margin-top:276.55pt;height:350.7pt;width:470pt;mso-position-horizontal-relative:margin;mso-position-vertical-relative:margin;z-index:251664384;mso-width-relative:page;mso-height-relative:page;" fillcolor="#FFFFFF" filled="t" stroked="f" coordsize="21600,21600" o:gfxdata="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A0F6CjbAAAACwEA&#10;AA8AAAAAAAAAAQAgAAAAIgAAAGRycy9kb3ducmV2LnhtbFBLAQIUABQAAAAIAIdO4kCyGaAM3gEA&#10;ALgDAAAOAAAAAAAAAAEAIAAAACoBAABkcnMvZTJvRG9jLnhtbFBLBQYAAAAABgAGAFkBAAB6BQAA&#10;AAA=&#10;">
                <v:fill on="t" focussize="0,0"/>
                <v:stroke on="f"/>
                <v:imagedata o:title=""/>
                <o:lock v:ext="edit" aspectratio="f"/>
                <v:textbox inset="0mm,0mm,0mm,0mm">
                  <w:txbxContent>
                    <w:p w14:paraId="4874B873">
                      <w:pPr>
                        <w:pStyle w:val="128"/>
                        <w:rPr>
                          <w:rFonts w:hint="eastAsia"/>
                          <w:b/>
                          <w:bCs/>
                          <w:sz w:val="52"/>
                          <w:lang w:val="en-US" w:eastAsia="zh-CN"/>
                        </w:rPr>
                      </w:pPr>
                      <w:r>
                        <w:rPr>
                          <w:rFonts w:hint="eastAsia"/>
                          <w:b/>
                          <w:bCs/>
                          <w:sz w:val="52"/>
                          <w:lang w:val="en-US" w:eastAsia="zh-CN"/>
                        </w:rPr>
                        <w:t>森林草原火险多因子评价技术指南</w:t>
                      </w:r>
                    </w:p>
                    <w:p w14:paraId="3A6FC469">
                      <w:pPr>
                        <w:pStyle w:val="128"/>
                        <w:rPr>
                          <w:rFonts w:hint="eastAsia" w:ascii="Times New Roman"/>
                          <w:b w:val="0"/>
                          <w:bCs/>
                        </w:rPr>
                      </w:pPr>
                      <w:r>
                        <w:rPr>
                          <w:rFonts w:hint="eastAsia" w:ascii="Times New Roman"/>
                          <w:b w:val="0"/>
                          <w:bCs/>
                        </w:rPr>
                        <w:t>Guidance for multi-factor assessment of forest and grassland fire risk</w:t>
                      </w:r>
                    </w:p>
                    <w:p w14:paraId="52D75C18">
                      <w:pPr>
                        <w:pStyle w:val="128"/>
                      </w:pPr>
                      <w:r>
                        <w:rPr>
                          <w:rFonts w:hint="eastAsia"/>
                        </w:rPr>
                        <w:t>(征求意见稿)</w:t>
                      </w:r>
                    </w:p>
                    <w:p w14:paraId="3E1AA070">
                      <w:pPr>
                        <w:pStyle w:val="125"/>
                      </w:pPr>
                    </w:p>
                  </w:txbxContent>
                </v:textbox>
                <w10:anchorlock/>
              </v:shape>
            </w:pict>
          </mc:Fallback>
        </mc:AlternateContent>
      </w:r>
    </w:p>
    <w:p w14:paraId="0D184B64">
      <w:pPr>
        <w:pStyle w:val="195"/>
        <w:framePr w:wrap="around" w:y="14161"/>
        <w:pBdr>
          <w:top w:val="none" w:sz="0" w:space="0"/>
          <w:left w:val="none" w:sz="0" w:space="0"/>
          <w:bottom w:val="none" w:sz="0" w:space="0"/>
          <w:right w:val="none" w:sz="0" w:space="0"/>
        </w:pBdr>
        <w:rPr>
          <w:rFonts w:hint="eastAsia" w:ascii="黑体" w:hAnsi="黑体" w:eastAsia="黑体" w:cs="黑体"/>
        </w:rPr>
      </w:pPr>
      <w:r>
        <w:rPr>
          <w:rFonts w:hint="eastAsia" w:ascii="黑体" w:hAnsi="黑体" w:eastAsia="黑体" w:cs="黑体"/>
          <w:lang w:val="en-US" w:eastAsia="zh-CN"/>
        </w:rPr>
        <w:t>XXXX-XX-XX</w:t>
      </w:r>
      <w:r>
        <w:rPr>
          <w:rFonts w:hint="eastAsia" w:ascii="黑体" w:hAnsi="黑体" w:eastAsia="黑体" w:cs="黑体"/>
        </w:rPr>
        <w:t>发布</w:t>
      </w:r>
    </w:p>
    <w:p w14:paraId="7810E403">
      <w:pPr>
        <w:pStyle w:val="196"/>
        <w:framePr w:wrap="around" w:y="14176"/>
        <w:jc w:val="right"/>
        <w:rPr>
          <w:rFonts w:hint="eastAsia" w:ascii="黑体" w:hAnsi="黑体" w:eastAsia="黑体" w:cs="黑体"/>
        </w:rPr>
      </w:pPr>
      <w:r>
        <w:rPr>
          <w:rFonts w:hint="eastAsia" w:ascii="黑体" w:hAnsi="黑体" w:eastAsia="黑体" w:cs="黑体"/>
          <w:lang w:val="en-US" w:eastAsia="zh-CN"/>
        </w:rPr>
        <w:t>XXXX-XX-XX</w:t>
      </w:r>
      <w:r>
        <w:rPr>
          <w:rFonts w:hint="eastAsia" w:ascii="黑体" w:hAnsi="黑体" w:eastAsia="黑体" w:cs="黑体"/>
        </w:rPr>
        <w:t>实施</w:t>
      </w:r>
    </w:p>
    <w:p w14:paraId="631E973B">
      <w:pPr>
        <w:rPr>
          <w:rFonts w:hint="eastAsia" w:ascii="宋体" w:hAnsi="宋体"/>
          <w:sz w:val="28"/>
          <w:szCs w:val="28"/>
        </w:rPr>
        <w:sectPr>
          <w:headerReference r:id="rId7" w:type="first"/>
          <w:footerReference r:id="rId9" w:type="first"/>
          <w:headerReference r:id="rId5" w:type="default"/>
          <w:headerReference r:id="rId6" w:type="even"/>
          <w:footerReference r:id="rId8" w:type="even"/>
          <w:type w:val="continuous"/>
          <w:pgSz w:w="11906" w:h="16838"/>
          <w:pgMar w:top="-338" w:right="1134" w:bottom="1021" w:left="1134" w:header="0" w:footer="0" w:gutter="284"/>
          <w:pgBorders>
            <w:top w:val="none" w:sz="0" w:space="0"/>
            <w:left w:val="none" w:sz="0" w:space="0"/>
            <w:bottom w:val="none" w:sz="0" w:space="0"/>
            <w:right w:val="none" w:sz="0" w:space="0"/>
          </w:pgBorders>
          <w:cols w:space="425" w:num="1"/>
          <w:titlePg/>
          <w:docGrid w:linePitch="312" w:charSpace="0"/>
        </w:sectPr>
      </w:pPr>
      <w:r>
        <w:rPr>
          <w:rFonts w:hint="eastAsia" w:ascii="宋体" w:hAnsi="宋体"/>
          <w:sz w:val="28"/>
          <w:szCs w:val="28"/>
        </w:rPr>
        <w:drawing>
          <wp:anchor distT="0" distB="0" distL="114300" distR="114300" simplePos="0" relativeHeight="251663360" behindDoc="0" locked="0" layoutInCell="1" allowOverlap="1">
            <wp:simplePos x="0" y="0"/>
            <wp:positionH relativeFrom="column">
              <wp:posOffset>1610360</wp:posOffset>
            </wp:positionH>
            <wp:positionV relativeFrom="paragraph">
              <wp:posOffset>8281035</wp:posOffset>
            </wp:positionV>
            <wp:extent cx="2868930" cy="545465"/>
            <wp:effectExtent l="0" t="0" r="0" b="762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68840" cy="545400"/>
                    </a:xfrm>
                    <a:prstGeom prst="rect">
                      <a:avLst/>
                    </a:prstGeom>
                  </pic:spPr>
                </pic:pic>
              </a:graphicData>
            </a:graphic>
          </wp:anchor>
        </w:drawing>
      </w:r>
      <w:r>
        <w:rPr>
          <w:rFonts w:hint="eastAsia" w:ascii="宋体" w:hAnsi="宋体"/>
          <w:sz w:val="28"/>
          <w:szCs w:val="28"/>
        </w:rPr>
        <mc:AlternateContent>
          <mc:Choice Requires="wps">
            <w:drawing>
              <wp:anchor distT="0" distB="0" distL="114300" distR="114300" simplePos="0" relativeHeight="251662336"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2336;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r>
        <w:rPr>
          <w:rFonts w:hint="eastAsia" w:ascii="宋体" w:hAnsi="宋体"/>
          <w:sz w:val="28"/>
          <w:szCs w:val="28"/>
        </w:rPr>
        <w:t>`</w:t>
      </w:r>
    </w:p>
    <w:p w14:paraId="279C95CA">
      <w:pPr>
        <w:pStyle w:val="93"/>
        <w:spacing w:after="468"/>
      </w:pPr>
      <w:bookmarkStart w:id="1" w:name="BookMark1"/>
      <w:bookmarkStart w:id="2" w:name="_Toc199680182"/>
      <w:bookmarkStart w:id="3" w:name="_Toc201339629"/>
      <w:r>
        <w:rPr>
          <w:rFonts w:hint="eastAsia"/>
          <w:spacing w:val="320"/>
        </w:rPr>
        <w:t>目</w:t>
      </w:r>
      <w:r>
        <w:rPr>
          <w:rFonts w:hint="eastAsia"/>
        </w:rPr>
        <w:t>次</w:t>
      </w:r>
    </w:p>
    <w:p w14:paraId="3D2B3AAD">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TOC \o "1-1" \h \t "标准文件_一级条标题,2,标准文件_附录一级条标题,2," </w:instrText>
      </w:r>
      <w:r>
        <w:fldChar w:fldCharType="separate"/>
      </w:r>
      <w:r>
        <w:fldChar w:fldCharType="begin"/>
      </w:r>
      <w:r>
        <w:instrText xml:space="preserve"> HYPERLINK \l "_Toc204068645" </w:instrText>
      </w:r>
      <w:r>
        <w:fldChar w:fldCharType="separate"/>
      </w:r>
      <w:r>
        <w:rPr>
          <w:rStyle w:val="34"/>
          <w:rFonts w:hint="eastAsia"/>
        </w:rPr>
        <w:t>前言</w:t>
      </w:r>
      <w:r>
        <w:rPr>
          <w:rFonts w:hint="eastAsia"/>
        </w:rPr>
        <w:tab/>
      </w:r>
      <w:r>
        <w:rPr>
          <w:rFonts w:hint="eastAsia"/>
        </w:rPr>
        <w:fldChar w:fldCharType="begin"/>
      </w:r>
      <w:r>
        <w:rPr>
          <w:rFonts w:hint="eastAsia"/>
        </w:rPr>
        <w:instrText xml:space="preserve"> </w:instrText>
      </w:r>
      <w:r>
        <w:instrText xml:space="preserve">PAGEREF _Toc204068645 \h</w:instrText>
      </w:r>
      <w:r>
        <w:rPr>
          <w:rFonts w:hint="eastAsia"/>
        </w:rPr>
        <w:instrText xml:space="preserve"> </w:instrText>
      </w:r>
      <w:r>
        <w:rPr>
          <w:rFonts w:hint="eastAsia"/>
        </w:rPr>
        <w:fldChar w:fldCharType="separate"/>
      </w:r>
      <w:r>
        <w:t>II</w:t>
      </w:r>
      <w:r>
        <w:rPr>
          <w:rFonts w:hint="eastAsia"/>
        </w:rPr>
        <w:fldChar w:fldCharType="end"/>
      </w:r>
      <w:r>
        <w:rPr>
          <w:rFonts w:hint="eastAsia"/>
        </w:rPr>
        <w:fldChar w:fldCharType="end"/>
      </w:r>
    </w:p>
    <w:p w14:paraId="3E76E5F3">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"_Toc204068646" </w:instrText>
      </w:r>
      <w:r>
        <w:fldChar w:fldCharType="separate"/>
      </w:r>
      <w:r>
        <w:rPr>
          <w:rStyle w:val="34"/>
          <w:rFonts w:hint="eastAsia"/>
        </w:rPr>
        <w:t>1</w:t>
      </w:r>
      <w:r>
        <w:rPr>
          <w:rStyle w:val="34"/>
        </w:rPr>
        <w:t xml:space="preserve"> </w:t>
      </w:r>
      <w:r>
        <w:rPr>
          <w:rStyle w:val="34"/>
          <w:rFonts w:hint="eastAsia"/>
        </w:rPr>
        <w:t xml:space="preserve"> 范围</w:t>
      </w:r>
      <w:r>
        <w:rPr>
          <w:rFonts w:hint="eastAsia"/>
        </w:rPr>
        <w:tab/>
      </w:r>
      <w:r>
        <w:rPr>
          <w:rFonts w:hint="eastAsia"/>
        </w:rPr>
        <w:fldChar w:fldCharType="begin"/>
      </w:r>
      <w:r>
        <w:rPr>
          <w:rFonts w:hint="eastAsia"/>
        </w:rPr>
        <w:instrText xml:space="preserve"> </w:instrText>
      </w:r>
      <w:r>
        <w:instrText xml:space="preserve">PAGEREF _Toc204068646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726072B7">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"_Toc204068647" </w:instrText>
      </w:r>
      <w:r>
        <w:fldChar w:fldCharType="separate"/>
      </w:r>
      <w:r>
        <w:rPr>
          <w:rStyle w:val="34"/>
          <w:rFonts w:hint="eastAsia"/>
        </w:rPr>
        <w:t>2</w:t>
      </w:r>
      <w:r>
        <w:rPr>
          <w:rStyle w:val="34"/>
        </w:rPr>
        <w:t xml:space="preserve"> </w:t>
      </w:r>
      <w:r>
        <w:rPr>
          <w:rStyle w:val="34"/>
          <w:rFonts w:hint="eastAsia"/>
        </w:rPr>
        <w:t xml:space="preserve"> 规范性引用文件</w:t>
      </w:r>
      <w:r>
        <w:rPr>
          <w:rFonts w:hint="eastAsia"/>
        </w:rPr>
        <w:tab/>
      </w:r>
      <w:r>
        <w:rPr>
          <w:rFonts w:hint="eastAsia"/>
        </w:rPr>
        <w:fldChar w:fldCharType="begin"/>
      </w:r>
      <w:r>
        <w:rPr>
          <w:rFonts w:hint="eastAsia"/>
        </w:rPr>
        <w:instrText xml:space="preserve"> </w:instrText>
      </w:r>
      <w:r>
        <w:instrText xml:space="preserve">PAGEREF _Toc204068647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791DD5B5">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"_Toc204068648" </w:instrText>
      </w:r>
      <w:r>
        <w:fldChar w:fldCharType="separate"/>
      </w:r>
      <w:r>
        <w:rPr>
          <w:rStyle w:val="34"/>
          <w:rFonts w:hint="eastAsia"/>
        </w:rPr>
        <w:t>3</w:t>
      </w:r>
      <w:r>
        <w:rPr>
          <w:rStyle w:val="34"/>
        </w:rPr>
        <w:t xml:space="preserve"> </w:t>
      </w:r>
      <w:r>
        <w:rPr>
          <w:rStyle w:val="34"/>
          <w:rFonts w:hint="eastAsia"/>
        </w:rPr>
        <w:t xml:space="preserve"> 术语和定义</w:t>
      </w:r>
      <w:r>
        <w:rPr>
          <w:rFonts w:hint="eastAsia"/>
        </w:rPr>
        <w:tab/>
      </w:r>
      <w:r>
        <w:rPr>
          <w:rFonts w:hint="eastAsia"/>
        </w:rPr>
        <w:fldChar w:fldCharType="begin"/>
      </w:r>
      <w:r>
        <w:rPr>
          <w:rFonts w:hint="eastAsia"/>
        </w:rPr>
        <w:instrText xml:space="preserve"> </w:instrText>
      </w:r>
      <w:r>
        <w:instrText xml:space="preserve">PAGEREF _Toc204068648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089C6B15">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"_Toc204068649" </w:instrText>
      </w:r>
      <w:r>
        <w:fldChar w:fldCharType="separate"/>
      </w:r>
      <w:r>
        <w:rPr>
          <w:rStyle w:val="34"/>
          <w:rFonts w:hint="eastAsia"/>
        </w:rPr>
        <w:t>4</w:t>
      </w:r>
      <w:r>
        <w:rPr>
          <w:rStyle w:val="34"/>
        </w:rPr>
        <w:t xml:space="preserve"> </w:t>
      </w:r>
      <w:r>
        <w:rPr>
          <w:rStyle w:val="34"/>
          <w:rFonts w:hint="eastAsia"/>
        </w:rPr>
        <w:t xml:space="preserve"> 评价指标</w:t>
      </w:r>
      <w:r>
        <w:rPr>
          <w:rFonts w:hint="eastAsia"/>
        </w:rPr>
        <w:tab/>
      </w:r>
      <w:r>
        <w:rPr>
          <w:rFonts w:hint="eastAsia"/>
        </w:rPr>
        <w:fldChar w:fldCharType="begin"/>
      </w:r>
      <w:r>
        <w:rPr>
          <w:rFonts w:hint="eastAsia"/>
        </w:rPr>
        <w:instrText xml:space="preserve"> </w:instrText>
      </w:r>
      <w:r>
        <w:instrText xml:space="preserve">PAGEREF _Toc204068649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73C4AE83">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"_Toc204068650" </w:instrText>
      </w:r>
      <w:r>
        <w:fldChar w:fldCharType="separate"/>
      </w:r>
      <w:r>
        <w:rPr>
          <w:rStyle w:val="34"/>
          <w:rFonts w:hint="eastAsia"/>
          <w14:scene3d>
            <w14:lightRig w14:rig="threePt" w14:dir="t">
              <w14:rot w14:lat="0" w14:lon="0" w14:rev="0"/>
            </w14:lightRig>
          </w14:scene3d>
        </w:rPr>
        <w:t>4.1</w:t>
      </w:r>
      <w:r>
        <w:rPr>
          <w:rStyle w:val="34"/>
          <w14:scene3d>
            <w14:lightRig w14:rig="threePt" w14:dir="t">
              <w14:rot w14:lat="0" w14:lon="0" w14:rev="0"/>
            </w14:lightRig>
          </w14:scene3d>
        </w:rPr>
        <w:t xml:space="preserve"> </w:t>
      </w:r>
      <w:r>
        <w:rPr>
          <w:rStyle w:val="34"/>
          <w:rFonts w:hint="eastAsia"/>
        </w:rPr>
        <w:t xml:space="preserve"> 气象因子</w:t>
      </w:r>
      <w:r>
        <w:rPr>
          <w:rFonts w:hint="eastAsia"/>
        </w:rPr>
        <w:tab/>
      </w:r>
      <w:r>
        <w:rPr>
          <w:rFonts w:hint="eastAsia"/>
        </w:rPr>
        <w:fldChar w:fldCharType="begin"/>
      </w:r>
      <w:r>
        <w:rPr>
          <w:rFonts w:hint="eastAsia"/>
        </w:rPr>
        <w:instrText xml:space="preserve"> </w:instrText>
      </w:r>
      <w:r>
        <w:instrText xml:space="preserve">PAGEREF _Toc204068650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B67C608">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"_Toc204068651" </w:instrText>
      </w:r>
      <w:r>
        <w:fldChar w:fldCharType="separate"/>
      </w:r>
      <w:r>
        <w:rPr>
          <w:rStyle w:val="34"/>
          <w:rFonts w:hint="eastAsia"/>
          <w14:scene3d>
            <w14:lightRig w14:rig="threePt" w14:dir="t">
              <w14:rot w14:lat="0" w14:lon="0" w14:rev="0"/>
            </w14:lightRig>
          </w14:scene3d>
        </w:rPr>
        <w:t>4.2</w:t>
      </w:r>
      <w:r>
        <w:rPr>
          <w:rStyle w:val="34"/>
          <w14:scene3d>
            <w14:lightRig w14:rig="threePt" w14:dir="t">
              <w14:rot w14:lat="0" w14:lon="0" w14:rev="0"/>
            </w14:lightRig>
          </w14:scene3d>
        </w:rPr>
        <w:t xml:space="preserve"> </w:t>
      </w:r>
      <w:r>
        <w:rPr>
          <w:rStyle w:val="34"/>
          <w:rFonts w:hint="eastAsia"/>
        </w:rPr>
        <w:t xml:space="preserve"> 可燃物因子</w:t>
      </w:r>
      <w:r>
        <w:rPr>
          <w:rFonts w:hint="eastAsia"/>
        </w:rPr>
        <w:tab/>
      </w:r>
      <w:r>
        <w:rPr>
          <w:rFonts w:hint="eastAsia"/>
        </w:rPr>
        <w:fldChar w:fldCharType="begin"/>
      </w:r>
      <w:r>
        <w:rPr>
          <w:rFonts w:hint="eastAsia"/>
        </w:rPr>
        <w:instrText xml:space="preserve"> </w:instrText>
      </w:r>
      <w:r>
        <w:instrText xml:space="preserve">PAGEREF _Toc204068651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37251738">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"_Toc204068652" </w:instrText>
      </w:r>
      <w:r>
        <w:fldChar w:fldCharType="separate"/>
      </w:r>
      <w:r>
        <w:rPr>
          <w:rStyle w:val="34"/>
          <w:rFonts w:hint="eastAsia"/>
          <w14:scene3d>
            <w14:lightRig w14:rig="threePt" w14:dir="t">
              <w14:rot w14:lat="0" w14:lon="0" w14:rev="0"/>
            </w14:lightRig>
          </w14:scene3d>
        </w:rPr>
        <w:t>4.3</w:t>
      </w:r>
      <w:r>
        <w:rPr>
          <w:rStyle w:val="34"/>
          <w14:scene3d>
            <w14:lightRig w14:rig="threePt" w14:dir="t">
              <w14:rot w14:lat="0" w14:lon="0" w14:rev="0"/>
            </w14:lightRig>
          </w14:scene3d>
        </w:rPr>
        <w:t xml:space="preserve"> </w:t>
      </w:r>
      <w:r>
        <w:rPr>
          <w:rStyle w:val="34"/>
          <w:rFonts w:hint="eastAsia"/>
        </w:rPr>
        <w:t xml:space="preserve"> 物候因子</w:t>
      </w:r>
      <w:r>
        <w:rPr>
          <w:rFonts w:hint="eastAsia"/>
        </w:rPr>
        <w:tab/>
      </w:r>
      <w:r>
        <w:rPr>
          <w:rFonts w:hint="eastAsia"/>
        </w:rPr>
        <w:fldChar w:fldCharType="begin"/>
      </w:r>
      <w:r>
        <w:rPr>
          <w:rFonts w:hint="eastAsia"/>
        </w:rPr>
        <w:instrText xml:space="preserve"> </w:instrText>
      </w:r>
      <w:r>
        <w:instrText xml:space="preserve">PAGEREF _Toc204068652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24F891EB">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"_Toc204068653" </w:instrText>
      </w:r>
      <w:r>
        <w:fldChar w:fldCharType="separate"/>
      </w:r>
      <w:r>
        <w:rPr>
          <w:rStyle w:val="34"/>
          <w:rFonts w:hint="eastAsia"/>
          <w14:scene3d>
            <w14:lightRig w14:rig="threePt" w14:dir="t">
              <w14:rot w14:lat="0" w14:lon="0" w14:rev="0"/>
            </w14:lightRig>
          </w14:scene3d>
        </w:rPr>
        <w:t>4.4</w:t>
      </w:r>
      <w:r>
        <w:rPr>
          <w:rStyle w:val="34"/>
          <w14:scene3d>
            <w14:lightRig w14:rig="threePt" w14:dir="t">
              <w14:rot w14:lat="0" w14:lon="0" w14:rev="0"/>
            </w14:lightRig>
          </w14:scene3d>
        </w:rPr>
        <w:t xml:space="preserve"> </w:t>
      </w:r>
      <w:r>
        <w:rPr>
          <w:rStyle w:val="34"/>
          <w:rFonts w:hint="eastAsia"/>
        </w:rPr>
        <w:t xml:space="preserve"> 土壤因子</w:t>
      </w:r>
      <w:r>
        <w:rPr>
          <w:rFonts w:hint="eastAsia"/>
        </w:rPr>
        <w:tab/>
      </w:r>
      <w:r>
        <w:rPr>
          <w:rFonts w:hint="eastAsia"/>
        </w:rPr>
        <w:fldChar w:fldCharType="begin"/>
      </w:r>
      <w:r>
        <w:rPr>
          <w:rFonts w:hint="eastAsia"/>
        </w:rPr>
        <w:instrText xml:space="preserve"> </w:instrText>
      </w:r>
      <w:r>
        <w:instrText xml:space="preserve">PAGEREF _Toc204068653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6F029E4A">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"_Toc204068654" </w:instrText>
      </w:r>
      <w:r>
        <w:fldChar w:fldCharType="separate"/>
      </w:r>
      <w:r>
        <w:rPr>
          <w:rStyle w:val="34"/>
          <w:rFonts w:hint="eastAsia"/>
          <w14:scene3d>
            <w14:lightRig w14:rig="threePt" w14:dir="t">
              <w14:rot w14:lat="0" w14:lon="0" w14:rev="0"/>
            </w14:lightRig>
          </w14:scene3d>
        </w:rPr>
        <w:t>4.5</w:t>
      </w:r>
      <w:r>
        <w:rPr>
          <w:rStyle w:val="34"/>
          <w14:scene3d>
            <w14:lightRig w14:rig="threePt" w14:dir="t">
              <w14:rot w14:lat="0" w14:lon="0" w14:rev="0"/>
            </w14:lightRig>
          </w14:scene3d>
        </w:rPr>
        <w:t xml:space="preserve"> </w:t>
      </w:r>
      <w:r>
        <w:rPr>
          <w:rStyle w:val="34"/>
          <w:rFonts w:hint="eastAsia"/>
        </w:rPr>
        <w:t xml:space="preserve"> 社会经济因子</w:t>
      </w:r>
      <w:r>
        <w:rPr>
          <w:rFonts w:hint="eastAsia"/>
        </w:rPr>
        <w:tab/>
      </w:r>
      <w:r>
        <w:rPr>
          <w:rFonts w:hint="eastAsia"/>
        </w:rPr>
        <w:fldChar w:fldCharType="begin"/>
      </w:r>
      <w:r>
        <w:rPr>
          <w:rFonts w:hint="eastAsia"/>
        </w:rPr>
        <w:instrText xml:space="preserve"> </w:instrText>
      </w:r>
      <w:r>
        <w:instrText xml:space="preserve">PAGEREF _Toc204068654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27F6662">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"_Toc204068655" </w:instrText>
      </w:r>
      <w:r>
        <w:fldChar w:fldCharType="separate"/>
      </w:r>
      <w:r>
        <w:rPr>
          <w:rStyle w:val="34"/>
          <w:rFonts w:hint="eastAsia"/>
          <w14:scene3d>
            <w14:lightRig w14:rig="threePt" w14:dir="t">
              <w14:rot w14:lat="0" w14:lon="0" w14:rev="0"/>
            </w14:lightRig>
          </w14:scene3d>
        </w:rPr>
        <w:t>4.6</w:t>
      </w:r>
      <w:r>
        <w:rPr>
          <w:rStyle w:val="34"/>
          <w14:scene3d>
            <w14:lightRig w14:rig="threePt" w14:dir="t">
              <w14:rot w14:lat="0" w14:lon="0" w14:rev="0"/>
            </w14:lightRig>
          </w14:scene3d>
        </w:rPr>
        <w:t xml:space="preserve"> </w:t>
      </w:r>
      <w:r>
        <w:rPr>
          <w:rStyle w:val="34"/>
          <w:rFonts w:hint="eastAsia"/>
        </w:rPr>
        <w:t xml:space="preserve"> 火源因子</w:t>
      </w:r>
      <w:r>
        <w:rPr>
          <w:rFonts w:hint="eastAsia"/>
        </w:rPr>
        <w:tab/>
      </w:r>
      <w:r>
        <w:rPr>
          <w:rFonts w:hint="eastAsia"/>
        </w:rPr>
        <w:fldChar w:fldCharType="begin"/>
      </w:r>
      <w:r>
        <w:rPr>
          <w:rFonts w:hint="eastAsia"/>
        </w:rPr>
        <w:instrText xml:space="preserve"> </w:instrText>
      </w:r>
      <w:r>
        <w:instrText xml:space="preserve">PAGEREF _Toc204068655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7C878DD9">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"_Toc204068656" </w:instrText>
      </w:r>
      <w:r>
        <w:fldChar w:fldCharType="separate"/>
      </w:r>
      <w:r>
        <w:rPr>
          <w:rStyle w:val="34"/>
          <w:rFonts w:hint="eastAsia"/>
        </w:rPr>
        <w:t>5</w:t>
      </w:r>
      <w:r>
        <w:rPr>
          <w:rStyle w:val="34"/>
        </w:rPr>
        <w:t xml:space="preserve"> </w:t>
      </w:r>
      <w:r>
        <w:rPr>
          <w:rStyle w:val="34"/>
          <w:rFonts w:hint="eastAsia"/>
        </w:rPr>
        <w:t xml:space="preserve"> 评价方法</w:t>
      </w:r>
      <w:r>
        <w:rPr>
          <w:rFonts w:hint="eastAsia"/>
        </w:rPr>
        <w:tab/>
      </w:r>
      <w:r>
        <w:rPr>
          <w:rFonts w:hint="eastAsia"/>
        </w:rPr>
        <w:fldChar w:fldCharType="begin"/>
      </w:r>
      <w:r>
        <w:rPr>
          <w:rFonts w:hint="eastAsia"/>
        </w:rPr>
        <w:instrText xml:space="preserve"> </w:instrText>
      </w:r>
      <w:r>
        <w:instrText xml:space="preserve">PAGEREF _Toc204068656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7759AC46">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"_Toc204068657" </w:instrText>
      </w:r>
      <w:r>
        <w:fldChar w:fldCharType="separate"/>
      </w:r>
      <w:r>
        <w:rPr>
          <w:rStyle w:val="34"/>
          <w:rFonts w:hint="eastAsia"/>
          <w14:scene3d>
            <w14:lightRig w14:rig="threePt" w14:dir="t">
              <w14:rot w14:lat="0" w14:lon="0" w14:rev="0"/>
            </w14:lightRig>
          </w14:scene3d>
        </w:rPr>
        <w:t>5.1</w:t>
      </w:r>
      <w:r>
        <w:rPr>
          <w:rStyle w:val="34"/>
          <w14:scene3d>
            <w14:lightRig w14:rig="threePt" w14:dir="t">
              <w14:rot w14:lat="0" w14:lon="0" w14:rev="0"/>
            </w14:lightRig>
          </w14:scene3d>
        </w:rPr>
        <w:t xml:space="preserve"> </w:t>
      </w:r>
      <w:r>
        <w:rPr>
          <w:rStyle w:val="34"/>
          <w:rFonts w:hint="eastAsia"/>
        </w:rPr>
        <w:t xml:space="preserve"> 火险指数计算</w:t>
      </w:r>
      <w:r>
        <w:rPr>
          <w:rFonts w:hint="eastAsia"/>
        </w:rPr>
        <w:tab/>
      </w:r>
      <w:r>
        <w:rPr>
          <w:rFonts w:hint="eastAsia"/>
        </w:rPr>
        <w:fldChar w:fldCharType="begin"/>
      </w:r>
      <w:r>
        <w:rPr>
          <w:rFonts w:hint="eastAsia"/>
        </w:rPr>
        <w:instrText xml:space="preserve"> </w:instrText>
      </w:r>
      <w:r>
        <w:instrText xml:space="preserve">PAGEREF _Toc204068657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4632EFBE">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"_Toc204068658" </w:instrText>
      </w:r>
      <w:r>
        <w:fldChar w:fldCharType="separate"/>
      </w:r>
      <w:r>
        <w:rPr>
          <w:rStyle w:val="34"/>
          <w:rFonts w:hint="eastAsia"/>
          <w14:scene3d>
            <w14:lightRig w14:rig="threePt" w14:dir="t">
              <w14:rot w14:lat="0" w14:lon="0" w14:rev="0"/>
            </w14:lightRig>
          </w14:scene3d>
        </w:rPr>
        <w:t>5.2</w:t>
      </w:r>
      <w:r>
        <w:rPr>
          <w:rStyle w:val="34"/>
          <w14:scene3d>
            <w14:lightRig w14:rig="threePt" w14:dir="t">
              <w14:rot w14:lat="0" w14:lon="0" w14:rev="0"/>
            </w14:lightRig>
          </w14:scene3d>
        </w:rPr>
        <w:t xml:space="preserve"> </w:t>
      </w:r>
      <w:r>
        <w:rPr>
          <w:rStyle w:val="34"/>
          <w:rFonts w:hint="eastAsia"/>
        </w:rPr>
        <w:t xml:space="preserve"> 评价得分</w:t>
      </w:r>
      <w:r>
        <w:rPr>
          <w:rFonts w:hint="eastAsia"/>
        </w:rPr>
        <w:tab/>
      </w:r>
      <w:r>
        <w:rPr>
          <w:rFonts w:hint="eastAsia"/>
        </w:rPr>
        <w:fldChar w:fldCharType="begin"/>
      </w:r>
      <w:r>
        <w:rPr>
          <w:rFonts w:hint="eastAsia"/>
        </w:rPr>
        <w:instrText xml:space="preserve"> </w:instrText>
      </w:r>
      <w:r>
        <w:instrText xml:space="preserve">PAGEREF _Toc204068658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2B241EAC">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"_Toc204068659" </w:instrText>
      </w:r>
      <w:r>
        <w:fldChar w:fldCharType="separate"/>
      </w:r>
      <w:r>
        <w:rPr>
          <w:rStyle w:val="34"/>
          <w:rFonts w:hint="eastAsia"/>
        </w:rPr>
        <w:t>6</w:t>
      </w:r>
      <w:r>
        <w:rPr>
          <w:rStyle w:val="34"/>
        </w:rPr>
        <w:t xml:space="preserve"> </w:t>
      </w:r>
      <w:r>
        <w:rPr>
          <w:rStyle w:val="34"/>
          <w:rFonts w:hint="eastAsia"/>
        </w:rPr>
        <w:t xml:space="preserve"> 评价结果</w:t>
      </w:r>
      <w:r>
        <w:rPr>
          <w:rFonts w:hint="eastAsia"/>
        </w:rPr>
        <w:tab/>
      </w:r>
      <w:r>
        <w:rPr>
          <w:rFonts w:hint="eastAsia"/>
        </w:rPr>
        <w:fldChar w:fldCharType="begin"/>
      </w:r>
      <w:r>
        <w:rPr>
          <w:rFonts w:hint="eastAsia"/>
        </w:rPr>
        <w:instrText xml:space="preserve"> </w:instrText>
      </w:r>
      <w:r>
        <w:instrText xml:space="preserve">PAGEREF _Toc204068659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23B96D60">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"_Toc204068660" </w:instrText>
      </w:r>
      <w:r>
        <w:fldChar w:fldCharType="separate"/>
      </w:r>
      <w:r>
        <w:rPr>
          <w:rStyle w:val="34"/>
          <w:rFonts w:hint="eastAsia"/>
        </w:rPr>
        <w:t>参考文献</w:t>
      </w:r>
      <w:r>
        <w:rPr>
          <w:rFonts w:hint="eastAsia"/>
        </w:rPr>
        <w:tab/>
      </w:r>
      <w:r>
        <w:rPr>
          <w:rFonts w:hint="eastAsia"/>
        </w:rPr>
        <w:fldChar w:fldCharType="begin"/>
      </w:r>
      <w:r>
        <w:rPr>
          <w:rFonts w:hint="eastAsia"/>
        </w:rPr>
        <w:instrText xml:space="preserve"> </w:instrText>
      </w:r>
      <w:r>
        <w:instrText xml:space="preserve">PAGEREF _Toc204068660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1BA5BAE4">
      <w:pPr>
        <w:pStyle w:val="93"/>
        <w:spacing w:after="468"/>
        <w:sectPr>
          <w:headerReference r:id="rId10" w:type="default"/>
          <w:footerReference r:id="rId12" w:type="default"/>
          <w:headerReference r:id="rId11" w:type="even"/>
          <w:pgSz w:w="11906" w:h="16838"/>
          <w:pgMar w:top="1928" w:right="1134" w:bottom="1134" w:left="1134" w:header="1418" w:footer="1134" w:gutter="284"/>
          <w:pgBorders>
            <w:top w:val="none" w:sz="0" w:space="0"/>
            <w:left w:val="none" w:sz="0" w:space="0"/>
            <w:bottom w:val="none" w:sz="0" w:space="0"/>
            <w:right w:val="none" w:sz="0" w:space="0"/>
          </w:pgBorders>
          <w:pgNumType w:fmt="upperRoman" w:start="1"/>
          <w:cols w:space="425" w:num="1"/>
          <w:formProt w:val="0"/>
          <w:docGrid w:type="lines" w:linePitch="312" w:charSpace="0"/>
        </w:sectPr>
      </w:pPr>
      <w:r>
        <w:fldChar w:fldCharType="end"/>
      </w:r>
    </w:p>
    <w:bookmarkEnd w:id="1"/>
    <w:p w14:paraId="3FFF8D74">
      <w:pPr>
        <w:pStyle w:val="91"/>
        <w:spacing w:before="900" w:after="468"/>
      </w:pPr>
      <w:bookmarkStart w:id="4" w:name="_Toc204068645"/>
      <w:bookmarkStart w:id="5" w:name="BookMark2"/>
      <w:r>
        <w:rPr>
          <w:spacing w:val="320"/>
        </w:rPr>
        <w:t>前</w:t>
      </w:r>
      <w:r>
        <w:t>言</w:t>
      </w:r>
      <w:bookmarkEnd w:id="2"/>
      <w:bookmarkEnd w:id="3"/>
      <w:bookmarkEnd w:id="4"/>
    </w:p>
    <w:p w14:paraId="49E25FB3">
      <w:pPr>
        <w:pStyle w:val="58"/>
        <w:ind w:firstLine="420"/>
      </w:pPr>
      <w:r>
        <w:rPr>
          <w:rFonts w:hint="eastAsia"/>
        </w:rPr>
        <w:t>本文件按照GB/T 1.1—2020《标准化工作导则  第1部分：标准化文件的结构和起草规则》的规定起草。</w:t>
      </w:r>
    </w:p>
    <w:p w14:paraId="0C7E3796">
      <w:pPr>
        <w:pStyle w:val="58"/>
        <w:ind w:firstLine="420"/>
      </w:pPr>
      <w:r>
        <w:rPr>
          <w:rFonts w:hint="eastAsia"/>
        </w:rPr>
        <w:t>请注意本文件的某些内容可能涉及专利。本文件的发布机构不承担识别专利的责任。</w:t>
      </w:r>
    </w:p>
    <w:p w14:paraId="61273BFF">
      <w:pPr>
        <w:pStyle w:val="58"/>
        <w:ind w:firstLine="420"/>
      </w:pPr>
      <w:r>
        <w:rPr>
          <w:rFonts w:hint="eastAsia"/>
        </w:rPr>
        <w:t>本文件由应急管理部风险监测和火灾综合防治司提出。</w:t>
      </w:r>
    </w:p>
    <w:p w14:paraId="3935A2EB">
      <w:pPr>
        <w:pStyle w:val="58"/>
        <w:ind w:firstLine="420"/>
      </w:pPr>
      <w:r>
        <w:rPr>
          <w:rFonts w:hint="eastAsia"/>
        </w:rPr>
        <w:t>本文件由</w:t>
      </w:r>
      <w:bookmarkStart w:id="6" w:name="_Hlk166248555"/>
      <w:r>
        <w:rPr>
          <w:rFonts w:hint="eastAsia"/>
        </w:rPr>
        <w:t>全国应急管理与减灾救灾标准化技术委员会（S</w:t>
      </w:r>
      <w:r>
        <w:t>AC/</w:t>
      </w:r>
      <w:r>
        <w:rPr>
          <w:rFonts w:hint="eastAsia"/>
        </w:rPr>
        <w:t>T</w:t>
      </w:r>
      <w:r>
        <w:t xml:space="preserve">C </w:t>
      </w:r>
      <w:r>
        <w:rPr>
          <w:rFonts w:hint="eastAsia"/>
        </w:rPr>
        <w:t>307）</w:t>
      </w:r>
      <w:bookmarkEnd w:id="6"/>
      <w:r>
        <w:rPr>
          <w:rFonts w:hint="eastAsia"/>
        </w:rPr>
        <w:t>技术归口。</w:t>
      </w:r>
    </w:p>
    <w:p w14:paraId="59B7DFD2">
      <w:pPr>
        <w:pStyle w:val="58"/>
        <w:ind w:firstLine="420"/>
      </w:pPr>
      <w:r>
        <w:rPr>
          <w:rFonts w:hint="eastAsia"/>
        </w:rPr>
        <w:t>本文件起草单位：</w:t>
      </w:r>
      <w:bookmarkStart w:id="7" w:name="_Hlk186440116"/>
      <w:r>
        <w:rPr>
          <w:rFonts w:hint="eastAsia"/>
        </w:rPr>
        <w:t>应急管理部国家自然灾害防治研究院、</w:t>
      </w:r>
      <w:bookmarkStart w:id="8" w:name="OLE_LINK1"/>
      <w:r>
        <w:rPr>
          <w:rFonts w:hint="eastAsia"/>
        </w:rPr>
        <w:t>应急管理部森林防火预警监测信息中心、国家林业和草原局产业发展规划院、东北林业大学、北京林业大学、国家林业和草原局西南调查规划院、中国科学技术大学</w:t>
      </w:r>
      <w:bookmarkEnd w:id="7"/>
      <w:bookmarkEnd w:id="8"/>
      <w:r>
        <w:rPr>
          <w:rFonts w:hint="eastAsia"/>
        </w:rPr>
        <w:t>。</w:t>
      </w:r>
    </w:p>
    <w:p w14:paraId="7E125BF1">
      <w:pPr>
        <w:pStyle w:val="58"/>
        <w:ind w:firstLine="420"/>
      </w:pPr>
      <w:r>
        <w:rPr>
          <w:rFonts w:hint="eastAsia"/>
        </w:rPr>
        <w:t>本文件主要起草人：</w:t>
      </w:r>
    </w:p>
    <w:p w14:paraId="215E38E5">
      <w:pPr>
        <w:pStyle w:val="58"/>
        <w:ind w:firstLine="420"/>
      </w:pPr>
    </w:p>
    <w:p w14:paraId="36B964E9">
      <w:pPr>
        <w:pStyle w:val="58"/>
        <w:ind w:firstLine="420"/>
        <w:sectPr>
          <w:pgSz w:w="11906" w:h="16838"/>
          <w:pgMar w:top="1928" w:right="1134" w:bottom="1134" w:left="1134" w:header="1418" w:footer="1134" w:gutter="284"/>
          <w:pgBorders>
            <w:top w:val="none" w:sz="0" w:space="0"/>
            <w:left w:val="none" w:sz="0" w:space="0"/>
            <w:bottom w:val="none" w:sz="0" w:space="0"/>
            <w:right w:val="none" w:sz="0" w:space="0"/>
          </w:pgBorders>
          <w:pgNumType w:fmt="upperRoman"/>
          <w:cols w:space="425" w:num="1"/>
          <w:formProt w:val="0"/>
          <w:docGrid w:type="lines" w:linePitch="312" w:charSpace="0"/>
        </w:sectPr>
      </w:pPr>
    </w:p>
    <w:bookmarkEnd w:id="5"/>
    <w:p w14:paraId="01610F92">
      <w:pPr>
        <w:spacing w:line="20" w:lineRule="exact"/>
        <w:jc w:val="center"/>
        <w:rPr>
          <w:rFonts w:hint="eastAsia" w:ascii="黑体" w:hAnsi="黑体" w:eastAsia="黑体"/>
          <w:sz w:val="32"/>
          <w:szCs w:val="32"/>
        </w:rPr>
      </w:pPr>
      <w:bookmarkStart w:id="9" w:name="BookMark4"/>
    </w:p>
    <w:p w14:paraId="039F0E1D">
      <w:pPr>
        <w:spacing w:line="20" w:lineRule="exact"/>
        <w:jc w:val="center"/>
        <w:rPr>
          <w:rFonts w:hint="eastAsia" w:ascii="黑体" w:hAnsi="黑体" w:eastAsia="黑体"/>
          <w:sz w:val="32"/>
          <w:szCs w:val="32"/>
        </w:rPr>
      </w:pPr>
    </w:p>
    <w:sdt>
      <w:sdtPr>
        <w:tag w:val="NEW_STAND_NAME"/>
        <w:id w:val="595910757"/>
        <w:lock w:val="sdtLocked"/>
        <w:placeholder>
          <w:docPart w:val="A63FC45203A64275A76C150A0FCCD033"/>
        </w:placeholder>
      </w:sdtPr>
      <w:sdtContent>
        <w:p w14:paraId="07ED1940">
          <w:pPr>
            <w:pStyle w:val="179"/>
            <w:spacing w:before="312" w:beforeLines="100" w:after="686" w:afterLines="220"/>
            <w:rPr>
              <w:rFonts w:hint="eastAsia"/>
            </w:rPr>
          </w:pPr>
          <w:bookmarkStart w:id="10" w:name="NEW_STAND_NAME"/>
          <w:r>
            <w:rPr>
              <w:rFonts w:hint="eastAsia"/>
            </w:rPr>
            <w:t>森林草原火险多因子评价技术指南</w:t>
          </w:r>
        </w:p>
      </w:sdtContent>
    </w:sdt>
    <w:bookmarkEnd w:id="10"/>
    <w:p w14:paraId="2DEE5964">
      <w:pPr>
        <w:pStyle w:val="106"/>
        <w:spacing w:before="312" w:after="312"/>
      </w:pPr>
      <w:bookmarkStart w:id="11" w:name="_Toc24884211"/>
      <w:bookmarkStart w:id="12" w:name="_Toc165363336"/>
      <w:bookmarkStart w:id="13" w:name="_Toc201339630"/>
      <w:bookmarkStart w:id="14" w:name="_Toc26986530"/>
      <w:bookmarkStart w:id="15" w:name="_Toc199680183"/>
      <w:bookmarkStart w:id="16" w:name="_Toc24884218"/>
      <w:bookmarkStart w:id="17" w:name="_Toc204068646"/>
      <w:bookmarkStart w:id="18" w:name="_Toc17233333"/>
      <w:bookmarkStart w:id="19" w:name="_Toc26648465"/>
      <w:bookmarkStart w:id="20" w:name="_Toc97190718"/>
      <w:bookmarkStart w:id="21" w:name="_Toc26986771"/>
      <w:bookmarkStart w:id="22" w:name="_Toc26718930"/>
      <w:bookmarkStart w:id="23" w:name="_Toc17233325"/>
      <w:r>
        <w:rPr>
          <w:rFonts w:hint="eastAsia"/>
        </w:rPr>
        <w:t>范围</w:t>
      </w:r>
      <w:bookmarkEnd w:id="11"/>
      <w:bookmarkEnd w:id="12"/>
      <w:bookmarkEnd w:id="13"/>
      <w:bookmarkEnd w:id="14"/>
      <w:bookmarkEnd w:id="15"/>
      <w:bookmarkEnd w:id="16"/>
      <w:bookmarkEnd w:id="17"/>
      <w:bookmarkEnd w:id="18"/>
      <w:bookmarkEnd w:id="19"/>
      <w:bookmarkEnd w:id="20"/>
      <w:bookmarkEnd w:id="21"/>
      <w:bookmarkEnd w:id="22"/>
      <w:bookmarkEnd w:id="23"/>
    </w:p>
    <w:p w14:paraId="2BE8212F">
      <w:pPr>
        <w:pStyle w:val="58"/>
        <w:ind w:firstLine="420"/>
      </w:pPr>
      <w:bookmarkStart w:id="24" w:name="_Toc24884219"/>
      <w:bookmarkStart w:id="25" w:name="_Toc26648466"/>
      <w:bookmarkStart w:id="26" w:name="_Toc24884212"/>
      <w:bookmarkStart w:id="27" w:name="_Toc17233334"/>
      <w:bookmarkStart w:id="28" w:name="_Toc17233326"/>
      <w:r>
        <w:rPr>
          <w:rFonts w:hint="eastAsia"/>
        </w:rPr>
        <w:t>本文件提供了森林草原火险多因子评价技术的指导，以及火险评价指标选取、火险指数计算方法和火险等级划分等方面的建议，并给出了相关信息。</w:t>
      </w:r>
    </w:p>
    <w:p w14:paraId="034DDB8C">
      <w:pPr>
        <w:pStyle w:val="58"/>
        <w:ind w:firstLine="420"/>
      </w:pPr>
      <w:bookmarkStart w:id="29" w:name="_Hlk165380086"/>
      <w:r>
        <w:rPr>
          <w:rFonts w:hint="eastAsia"/>
        </w:rPr>
        <w:t>本文件适用于全国森林草原火灾风险等级的</w:t>
      </w:r>
      <w:bookmarkEnd w:id="29"/>
      <w:r>
        <w:rPr>
          <w:rFonts w:hint="eastAsia"/>
        </w:rPr>
        <w:t>评价。</w:t>
      </w:r>
    </w:p>
    <w:p w14:paraId="5CEC4AAC">
      <w:pPr>
        <w:pStyle w:val="106"/>
        <w:spacing w:before="312" w:after="312"/>
      </w:pPr>
      <w:bookmarkStart w:id="30" w:name="_Toc165363337"/>
      <w:bookmarkStart w:id="31" w:name="_Toc26986772"/>
      <w:bookmarkStart w:id="32" w:name="_Toc26986531"/>
      <w:bookmarkStart w:id="33" w:name="_Toc201339631"/>
      <w:bookmarkStart w:id="34" w:name="_Toc204068647"/>
      <w:bookmarkStart w:id="35" w:name="_Toc97190719"/>
      <w:bookmarkStart w:id="36" w:name="_Toc199680184"/>
      <w:bookmarkStart w:id="37" w:name="_Toc26718931"/>
      <w:r>
        <w:rPr>
          <w:rFonts w:hint="eastAsia"/>
        </w:rPr>
        <w:t>规范性引用文件</w:t>
      </w:r>
      <w:bookmarkEnd w:id="24"/>
      <w:bookmarkEnd w:id="25"/>
      <w:bookmarkEnd w:id="26"/>
      <w:bookmarkEnd w:id="27"/>
      <w:bookmarkEnd w:id="28"/>
      <w:bookmarkEnd w:id="30"/>
      <w:bookmarkEnd w:id="31"/>
      <w:bookmarkEnd w:id="32"/>
      <w:bookmarkEnd w:id="33"/>
      <w:bookmarkEnd w:id="34"/>
      <w:bookmarkEnd w:id="35"/>
      <w:bookmarkEnd w:id="36"/>
      <w:bookmarkEnd w:id="37"/>
    </w:p>
    <w:sdt>
      <w:sdtPr>
        <w:rPr>
          <w:rFonts w:hint="eastAsia"/>
        </w:rPr>
        <w:id w:val="715848253"/>
        <w:placeholder>
          <w:docPart w:val="E686EDF717AD4F268CB19F0259F69971"/>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6FF986E5">
          <w:pPr>
            <w:pStyle w:val="58"/>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52B8EAF0">
      <w:pPr>
        <w:pStyle w:val="58"/>
        <w:ind w:firstLine="420"/>
      </w:pPr>
      <w:r>
        <w:rPr>
          <w:rFonts w:hint="eastAsia"/>
        </w:rPr>
        <w:t>GB/T 36743</w:t>
      </w:r>
      <w:bookmarkStart w:id="38" w:name="OLE_LINK2"/>
      <w:r>
        <w:rPr>
          <w:rFonts w:hint="eastAsia"/>
        </w:rPr>
        <w:t>-2018</w:t>
      </w:r>
      <w:bookmarkEnd w:id="38"/>
      <w:r>
        <w:rPr>
          <w:rFonts w:hint="eastAsia"/>
        </w:rPr>
        <w:t xml:space="preserve">  森林火险气象等级</w:t>
      </w:r>
    </w:p>
    <w:p w14:paraId="1B19DAD2">
      <w:pPr>
        <w:pStyle w:val="58"/>
        <w:ind w:firstLine="420"/>
      </w:pPr>
      <w:r>
        <w:rPr>
          <w:rFonts w:hint="eastAsia"/>
        </w:rPr>
        <w:t>LY/T 1172-1995  全国森林火险天气等级</w:t>
      </w:r>
    </w:p>
    <w:p w14:paraId="49EC77C4">
      <w:pPr>
        <w:pStyle w:val="58"/>
        <w:ind w:firstLine="420"/>
      </w:pPr>
      <w:r>
        <w:rPr>
          <w:rFonts w:hint="eastAsia"/>
        </w:rPr>
        <w:t>LY/T 2579-2016  森林火险监测站技术规范</w:t>
      </w:r>
    </w:p>
    <w:p w14:paraId="0FBB6D01">
      <w:pPr>
        <w:pStyle w:val="58"/>
        <w:ind w:firstLine="420"/>
      </w:pPr>
      <w:r>
        <w:rPr>
          <w:rFonts w:hint="eastAsia"/>
        </w:rPr>
        <w:t>LY/T 2665-2016  森林火险因子采集站建设及采集技术规范</w:t>
      </w:r>
    </w:p>
    <w:p w14:paraId="245167D4">
      <w:pPr>
        <w:pStyle w:val="58"/>
        <w:ind w:firstLine="420"/>
      </w:pPr>
      <w:r>
        <w:rPr>
          <w:rFonts w:hint="eastAsia"/>
        </w:rPr>
        <w:t>QX/T 75-2007  土壤湿度的微波炉测定</w:t>
      </w:r>
    </w:p>
    <w:p w14:paraId="6208E6C9">
      <w:pPr>
        <w:pStyle w:val="106"/>
        <w:spacing w:before="312" w:after="312"/>
      </w:pPr>
      <w:bookmarkStart w:id="39" w:name="_Toc204068648"/>
      <w:bookmarkStart w:id="40" w:name="_Toc97190720"/>
      <w:bookmarkStart w:id="41" w:name="_Toc199680185"/>
      <w:bookmarkStart w:id="42" w:name="_Toc201339632"/>
      <w:bookmarkStart w:id="43" w:name="_Toc165363338"/>
      <w:r>
        <w:rPr>
          <w:rFonts w:hint="eastAsia"/>
          <w:szCs w:val="21"/>
        </w:rPr>
        <w:t>术语和定义</w:t>
      </w:r>
      <w:bookmarkEnd w:id="39"/>
      <w:bookmarkEnd w:id="40"/>
      <w:bookmarkEnd w:id="41"/>
      <w:bookmarkEnd w:id="42"/>
      <w:bookmarkEnd w:id="43"/>
    </w:p>
    <w:sdt>
      <w:sdtPr>
        <w:id w:val="-1909835108"/>
        <w:placeholder>
          <w:docPart w:val="E686EDF717AD4F268CB19F0259F69971"/>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0A8AA4C2">
          <w:pPr>
            <w:pStyle w:val="58"/>
            <w:ind w:firstLine="420"/>
          </w:pPr>
          <w:bookmarkStart w:id="44" w:name="_Toc26986532"/>
          <w:bookmarkEnd w:id="44"/>
          <w:r>
            <w:t>下列术语和定义适用于本文件。</w:t>
          </w:r>
        </w:p>
      </w:sdtContent>
    </w:sdt>
    <w:p w14:paraId="03DF63FF">
      <w:pPr>
        <w:pStyle w:val="225"/>
        <w:ind w:left="420" w:hanging="420" w:hangingChars="200"/>
        <w:rPr>
          <w:rFonts w:hint="eastAsia" w:ascii="黑体" w:hAnsi="黑体" w:eastAsia="黑体"/>
        </w:rPr>
      </w:pPr>
      <w:bookmarkStart w:id="45" w:name="_Toc204068649"/>
      <w:bookmarkStart w:id="46" w:name="_Toc201339633"/>
      <w:r>
        <w:rPr>
          <w:rFonts w:ascii="黑体" w:hAnsi="黑体" w:eastAsia="黑体"/>
        </w:rPr>
        <w:br w:type="textWrapping"/>
      </w:r>
      <w:r>
        <w:rPr>
          <w:rFonts w:hint="eastAsia" w:ascii="黑体" w:hAnsi="黑体" w:eastAsia="黑体"/>
        </w:rPr>
        <w:t>森林草原火险等级 forest and grassland fire risk ratings</w:t>
      </w:r>
    </w:p>
    <w:p w14:paraId="2C0BE5FC">
      <w:pPr>
        <w:pStyle w:val="58"/>
        <w:ind w:firstLine="420"/>
      </w:pPr>
      <w:r>
        <w:rPr>
          <w:rFonts w:hint="eastAsia"/>
        </w:rPr>
        <w:t>表示森林草原火灾发生危险程度的指标，根据森林草原可燃物的易燃程度和火蔓延程度进行分级。</w:t>
      </w:r>
    </w:p>
    <w:p w14:paraId="5F82BECD">
      <w:pPr>
        <w:pStyle w:val="225"/>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森林草原火险多因子 multi-factors of forest and grassland fire risk ratings</w:t>
      </w:r>
    </w:p>
    <w:p w14:paraId="35DE988A">
      <w:pPr>
        <w:pStyle w:val="58"/>
        <w:ind w:firstLine="420"/>
      </w:pPr>
      <w:r>
        <w:rPr>
          <w:rFonts w:hint="eastAsia"/>
        </w:rPr>
        <w:t>影响森林草原火灾发生、发展及蔓延的多种自然和人为因素的综合，通常包括气象因子、可燃物特性、地形条件以及人类活动等。</w:t>
      </w:r>
    </w:p>
    <w:p w14:paraId="378EA659">
      <w:pPr>
        <w:pStyle w:val="106"/>
        <w:spacing w:before="312" w:after="312"/>
      </w:pPr>
      <w:r>
        <w:rPr>
          <w:rFonts w:hint="eastAsia"/>
        </w:rPr>
        <w:t>评价原则</w:t>
      </w:r>
    </w:p>
    <w:p w14:paraId="7690715B">
      <w:pPr>
        <w:pStyle w:val="107"/>
        <w:spacing w:before="156" w:after="156"/>
      </w:pPr>
      <w:r>
        <w:rPr>
          <w:rFonts w:hint="eastAsia"/>
        </w:rPr>
        <w:t>科学性</w:t>
      </w:r>
    </w:p>
    <w:p w14:paraId="1E59A5C6">
      <w:pPr>
        <w:pStyle w:val="58"/>
        <w:ind w:firstLine="420"/>
      </w:pPr>
      <w:r>
        <w:rPr>
          <w:rFonts w:hint="eastAsia"/>
        </w:rPr>
        <w:t>评价以气象、植被、物候、社会经济、火源等多源数据为基础，采用定量与定性相结合的方法。</w:t>
      </w:r>
    </w:p>
    <w:p w14:paraId="70395E31">
      <w:pPr>
        <w:pStyle w:val="107"/>
        <w:spacing w:before="156" w:after="156"/>
      </w:pPr>
      <w:r>
        <w:rPr>
          <w:rFonts w:hint="eastAsia"/>
        </w:rPr>
        <w:t>动态性</w:t>
      </w:r>
    </w:p>
    <w:p w14:paraId="63DF5FA8">
      <w:pPr>
        <w:pStyle w:val="58"/>
        <w:ind w:firstLine="420"/>
      </w:pPr>
      <w:r>
        <w:rPr>
          <w:rFonts w:hint="eastAsia"/>
        </w:rPr>
        <w:t>评价随气候变化、植被生长状况、人类活动等因素动态调整，风险等级反映当前实际情况。</w:t>
      </w:r>
    </w:p>
    <w:p w14:paraId="0B659291">
      <w:pPr>
        <w:pStyle w:val="107"/>
        <w:spacing w:before="156" w:after="156"/>
      </w:pPr>
      <w:r>
        <w:rPr>
          <w:rFonts w:hint="eastAsia"/>
        </w:rPr>
        <w:t>数据可靠性</w:t>
      </w:r>
    </w:p>
    <w:p w14:paraId="52B472AE">
      <w:pPr>
        <w:pStyle w:val="58"/>
        <w:ind w:firstLine="420"/>
      </w:pPr>
      <w:r>
        <w:rPr>
          <w:rFonts w:hint="eastAsia"/>
        </w:rPr>
        <w:t>采用权威数据源（如气象站、遥感监测、调查统计等），数据真实、准确、及时。</w:t>
      </w:r>
    </w:p>
    <w:p w14:paraId="6FA06B47">
      <w:pPr>
        <w:pStyle w:val="107"/>
        <w:spacing w:before="156" w:after="156"/>
      </w:pPr>
      <w:r>
        <w:rPr>
          <w:rFonts w:hint="eastAsia"/>
        </w:rPr>
        <w:t>区域适用性</w:t>
      </w:r>
    </w:p>
    <w:p w14:paraId="78407C79">
      <w:pPr>
        <w:pStyle w:val="58"/>
        <w:ind w:firstLine="420"/>
      </w:pPr>
      <w:r>
        <w:rPr>
          <w:rFonts w:hint="eastAsia"/>
        </w:rPr>
        <w:t>考虑不同地区的地形、气候、植被类型和社会经济差异，制定适应性评价方法。</w:t>
      </w:r>
    </w:p>
    <w:p w14:paraId="5CF42D8F">
      <w:pPr>
        <w:pStyle w:val="106"/>
        <w:spacing w:before="312" w:after="312"/>
      </w:pPr>
      <w:r>
        <w:rPr>
          <w:rFonts w:hint="eastAsia"/>
        </w:rPr>
        <w:t>评价指标</w:t>
      </w:r>
      <w:bookmarkEnd w:id="45"/>
      <w:bookmarkEnd w:id="46"/>
    </w:p>
    <w:p w14:paraId="1E84ADAE">
      <w:pPr>
        <w:pStyle w:val="107"/>
        <w:spacing w:before="156" w:after="156"/>
      </w:pPr>
      <w:bookmarkStart w:id="47" w:name="_Toc199680187"/>
      <w:bookmarkStart w:id="48" w:name="_Toc204068650"/>
      <w:bookmarkStart w:id="49" w:name="_Toc201339634"/>
      <w:bookmarkStart w:id="50" w:name="_Toc165363340"/>
      <w:bookmarkStart w:id="51" w:name="_Toc164703650"/>
      <w:r>
        <w:rPr>
          <w:rFonts w:hint="eastAsia"/>
        </w:rPr>
        <w:t>气象因子</w:t>
      </w:r>
      <w:bookmarkEnd w:id="47"/>
      <w:bookmarkEnd w:id="48"/>
      <w:bookmarkEnd w:id="49"/>
      <w:bookmarkEnd w:id="50"/>
      <w:bookmarkEnd w:id="51"/>
    </w:p>
    <w:p w14:paraId="6307A0CF">
      <w:pPr>
        <w:pStyle w:val="58"/>
        <w:ind w:firstLine="420"/>
      </w:pPr>
      <w:r>
        <w:rPr>
          <w:rFonts w:hint="eastAsia"/>
        </w:rPr>
        <w:t>评价指标主要考虑温度、相对湿度、风速、持续无降水日数、降水量和雪深等，数据采集技术宜按LY/T 2579的规定执行。</w:t>
      </w:r>
    </w:p>
    <w:p w14:paraId="36B112AC">
      <w:pPr>
        <w:pStyle w:val="107"/>
        <w:spacing w:before="156" w:after="156"/>
      </w:pPr>
      <w:bookmarkStart w:id="52" w:name="_Toc165363341"/>
      <w:bookmarkStart w:id="53" w:name="_Toc204068651"/>
      <w:bookmarkStart w:id="54" w:name="_Toc201339635"/>
      <w:bookmarkStart w:id="55" w:name="_Toc199680188"/>
      <w:bookmarkStart w:id="56" w:name="_Toc164703651"/>
      <w:r>
        <w:rPr>
          <w:rFonts w:hint="eastAsia"/>
        </w:rPr>
        <w:t>可燃物因子</w:t>
      </w:r>
      <w:bookmarkEnd w:id="52"/>
      <w:bookmarkEnd w:id="53"/>
      <w:bookmarkEnd w:id="54"/>
      <w:bookmarkEnd w:id="55"/>
      <w:bookmarkEnd w:id="56"/>
    </w:p>
    <w:p w14:paraId="4226126C">
      <w:pPr>
        <w:pStyle w:val="58"/>
        <w:ind w:firstLine="420"/>
      </w:pPr>
      <w:r>
        <w:rPr>
          <w:rFonts w:hint="eastAsia"/>
        </w:rPr>
        <w:t>评价指标主要考虑凋落物含水率、腐殖质含水率以及归一化植被指数，凋落物和腐殖质含水率数据采集技术宜按LY/T 2665的规定执行，归一化植被指数获取自卫星产品。</w:t>
      </w:r>
    </w:p>
    <w:p w14:paraId="499D8D14">
      <w:pPr>
        <w:pStyle w:val="107"/>
        <w:spacing w:before="156" w:after="156"/>
      </w:pPr>
      <w:bookmarkStart w:id="57" w:name="_Toc164703652"/>
      <w:bookmarkStart w:id="58" w:name="_Toc165363342"/>
      <w:bookmarkStart w:id="59" w:name="_Toc199680189"/>
      <w:bookmarkStart w:id="60" w:name="_Toc204068652"/>
      <w:bookmarkStart w:id="61" w:name="_Toc201339636"/>
      <w:r>
        <w:rPr>
          <w:rFonts w:hint="eastAsia"/>
        </w:rPr>
        <w:t>物候因子</w:t>
      </w:r>
      <w:bookmarkEnd w:id="57"/>
      <w:bookmarkEnd w:id="58"/>
      <w:bookmarkEnd w:id="59"/>
      <w:bookmarkEnd w:id="60"/>
      <w:bookmarkEnd w:id="61"/>
    </w:p>
    <w:p w14:paraId="3C3A1BEC">
      <w:pPr>
        <w:pStyle w:val="58"/>
        <w:ind w:firstLine="420"/>
      </w:pPr>
      <w:r>
        <w:rPr>
          <w:rFonts w:hint="eastAsia"/>
        </w:rPr>
        <w:t>评价指标主要考虑生物及非生物物候季节的影响，数据采集技术宜按LY/T 1172的规定执行。</w:t>
      </w:r>
    </w:p>
    <w:p w14:paraId="1C4DF68B">
      <w:pPr>
        <w:pStyle w:val="107"/>
        <w:spacing w:before="156" w:after="156"/>
      </w:pPr>
      <w:bookmarkStart w:id="62" w:name="_Toc201339637"/>
      <w:bookmarkStart w:id="63" w:name="_Toc165363343"/>
      <w:bookmarkStart w:id="64" w:name="_Toc164703653"/>
      <w:bookmarkStart w:id="65" w:name="_Toc199680190"/>
      <w:bookmarkStart w:id="66" w:name="_Toc204068653"/>
      <w:r>
        <w:rPr>
          <w:rFonts w:hint="eastAsia"/>
        </w:rPr>
        <w:t>土壤因子</w:t>
      </w:r>
      <w:bookmarkEnd w:id="62"/>
      <w:bookmarkEnd w:id="63"/>
      <w:bookmarkEnd w:id="64"/>
      <w:bookmarkEnd w:id="65"/>
      <w:bookmarkEnd w:id="66"/>
    </w:p>
    <w:p w14:paraId="75F7E2BF">
      <w:pPr>
        <w:pStyle w:val="58"/>
        <w:ind w:firstLine="420"/>
      </w:pPr>
      <w:r>
        <w:rPr>
          <w:rFonts w:hint="eastAsia"/>
        </w:rPr>
        <w:t>评价指标主要考虑土壤湿度，数据采集技术宜按QX/T 75的规定执行。</w:t>
      </w:r>
    </w:p>
    <w:p w14:paraId="41C2B8B1">
      <w:pPr>
        <w:pStyle w:val="107"/>
        <w:spacing w:before="156" w:after="156"/>
      </w:pPr>
      <w:bookmarkStart w:id="67" w:name="_Toc201339638"/>
      <w:bookmarkStart w:id="68" w:name="_Toc199680191"/>
      <w:bookmarkStart w:id="69" w:name="_Toc164703654"/>
      <w:bookmarkStart w:id="70" w:name="_Toc204068654"/>
      <w:bookmarkStart w:id="71" w:name="_Toc165363344"/>
      <w:r>
        <w:rPr>
          <w:rFonts w:hint="eastAsia"/>
        </w:rPr>
        <w:t>社会经济因子</w:t>
      </w:r>
      <w:bookmarkEnd w:id="67"/>
      <w:bookmarkEnd w:id="68"/>
      <w:bookmarkEnd w:id="69"/>
      <w:bookmarkEnd w:id="70"/>
      <w:bookmarkEnd w:id="71"/>
    </w:p>
    <w:p w14:paraId="66342927">
      <w:pPr>
        <w:pStyle w:val="58"/>
        <w:ind w:firstLine="420"/>
      </w:pPr>
      <w:r>
        <w:rPr>
          <w:rFonts w:hint="eastAsia"/>
        </w:rPr>
        <w:t>评价指标考虑到公路或铁路的距离、到居民区的距离、人均国内生产总值、人口密度、人类足迹和森林-城镇交界域情况，公路、铁路和居民区数据宜采用国家基础地理数据库的数据，人均国民生产总值和人口密度宜采用国家统计局的数据，人类足迹数据</w:t>
      </w:r>
      <w:bookmarkStart w:id="72" w:name="_Hlk165372833"/>
      <w:r>
        <w:rPr>
          <w:rFonts w:hint="eastAsia"/>
        </w:rPr>
        <w:t>宜采用社会经济数据应用中心</w:t>
      </w:r>
      <w:bookmarkEnd w:id="72"/>
      <w:r>
        <w:rPr>
          <w:rFonts w:hint="eastAsia"/>
        </w:rPr>
        <w:t>的数据。</w:t>
      </w:r>
    </w:p>
    <w:p w14:paraId="7A1BA89D">
      <w:pPr>
        <w:pStyle w:val="107"/>
        <w:spacing w:before="156" w:after="156"/>
      </w:pPr>
      <w:bookmarkStart w:id="73" w:name="_Toc204068655"/>
      <w:bookmarkStart w:id="74" w:name="_Toc199680192"/>
      <w:bookmarkStart w:id="75" w:name="_Toc201339639"/>
      <w:bookmarkStart w:id="76" w:name="_Toc165363345"/>
      <w:r>
        <w:rPr>
          <w:rFonts w:hint="eastAsia"/>
        </w:rPr>
        <w:t>火源因子</w:t>
      </w:r>
      <w:bookmarkEnd w:id="73"/>
      <w:bookmarkEnd w:id="74"/>
      <w:bookmarkEnd w:id="75"/>
      <w:bookmarkEnd w:id="76"/>
    </w:p>
    <w:p w14:paraId="12207B03">
      <w:pPr>
        <w:pStyle w:val="58"/>
        <w:ind w:firstLine="420"/>
      </w:pPr>
      <w:r>
        <w:rPr>
          <w:rFonts w:hint="eastAsia"/>
        </w:rPr>
        <w:t>评价指标主要考虑监测区域24h内空间分辨率为2km的热点数量，数据采集尽可能采用空天地一体化技术。</w:t>
      </w:r>
    </w:p>
    <w:p w14:paraId="031BCBD4">
      <w:pPr>
        <w:pStyle w:val="106"/>
        <w:spacing w:before="312" w:after="312"/>
      </w:pPr>
      <w:bookmarkStart w:id="77" w:name="_Toc201339640"/>
      <w:bookmarkStart w:id="78" w:name="_Toc199680193"/>
      <w:bookmarkStart w:id="79" w:name="_Toc165363346"/>
      <w:bookmarkStart w:id="80" w:name="_Toc164703655"/>
      <w:bookmarkStart w:id="81" w:name="_Toc204068656"/>
      <w:r>
        <w:rPr>
          <w:rFonts w:hint="eastAsia"/>
        </w:rPr>
        <w:t>评价</w:t>
      </w:r>
      <w:bookmarkEnd w:id="77"/>
      <w:bookmarkEnd w:id="78"/>
      <w:bookmarkEnd w:id="79"/>
      <w:bookmarkEnd w:id="80"/>
      <w:r>
        <w:rPr>
          <w:rFonts w:hint="eastAsia"/>
        </w:rPr>
        <w:t>方法</w:t>
      </w:r>
      <w:bookmarkEnd w:id="81"/>
    </w:p>
    <w:p w14:paraId="5C673E29">
      <w:pPr>
        <w:pStyle w:val="107"/>
        <w:spacing w:before="156" w:after="156"/>
      </w:pPr>
      <w:bookmarkStart w:id="82" w:name="_Toc204068657"/>
      <w:r>
        <w:rPr>
          <w:rFonts w:hint="eastAsia"/>
        </w:rPr>
        <w:t>火险指数计算</w:t>
      </w:r>
      <w:bookmarkEnd w:id="82"/>
    </w:p>
    <w:p w14:paraId="7FC882EF">
      <w:pPr>
        <w:pStyle w:val="67"/>
        <w:spacing w:before="156" w:after="156"/>
      </w:pPr>
      <w:bookmarkStart w:id="83" w:name="_Toc201339641"/>
      <w:bookmarkStart w:id="84" w:name="_Toc164703656"/>
      <w:bookmarkStart w:id="85" w:name="_Toc165363347"/>
      <w:bookmarkStart w:id="86" w:name="_Toc199680194"/>
      <w:r>
        <w:rPr>
          <w:rFonts w:hint="eastAsia"/>
        </w:rPr>
        <w:t>气象因子指数</w:t>
      </w:r>
      <w:bookmarkEnd w:id="83"/>
      <w:bookmarkEnd w:id="84"/>
      <w:bookmarkEnd w:id="85"/>
      <w:bookmarkEnd w:id="86"/>
    </w:p>
    <w:p w14:paraId="4A540C13">
      <w:pPr>
        <w:pStyle w:val="58"/>
        <w:ind w:firstLine="420"/>
      </w:pPr>
      <w:r>
        <w:rPr>
          <w:rFonts w:hint="eastAsia"/>
        </w:rPr>
        <w:t>根据气象因子监测指标，计算出温度、相对湿度、风速、持续无降水日数、降水量和雪深等单因子指数，再计算出综合的气象因子指数，具体方法宜按GB/T 36743的规定执行。</w:t>
      </w:r>
    </w:p>
    <w:p w14:paraId="15601B7B">
      <w:pPr>
        <w:pStyle w:val="67"/>
        <w:spacing w:before="156" w:after="156"/>
      </w:pPr>
      <w:bookmarkStart w:id="87" w:name="_Toc201339642"/>
      <w:bookmarkStart w:id="88" w:name="_Toc164703657"/>
      <w:bookmarkStart w:id="89" w:name="_Toc199680195"/>
      <w:bookmarkStart w:id="90" w:name="_Toc165363348"/>
      <w:r>
        <w:rPr>
          <w:rFonts w:hint="eastAsia"/>
        </w:rPr>
        <w:t>可燃物因子指数</w:t>
      </w:r>
      <w:bookmarkEnd w:id="87"/>
      <w:bookmarkEnd w:id="88"/>
      <w:bookmarkEnd w:id="89"/>
      <w:bookmarkEnd w:id="90"/>
    </w:p>
    <w:p w14:paraId="230B0AB6">
      <w:pPr>
        <w:pStyle w:val="96"/>
        <w:spacing w:before="156" w:after="156"/>
        <w:rPr>
          <w:rFonts w:ascii="宋体" w:eastAsia="宋体"/>
        </w:rPr>
      </w:pPr>
      <w:r>
        <w:rPr>
          <w:rFonts w:hint="eastAsia" w:ascii="宋体" w:eastAsia="宋体"/>
        </w:rPr>
        <w:t>根据可燃物因子监测指标，计算出凋落物含水率指数，具体方法宜按表1的规定执行。</w:t>
      </w:r>
    </w:p>
    <w:p w14:paraId="79A6B777">
      <w:pPr>
        <w:pStyle w:val="114"/>
        <w:spacing w:before="156" w:after="156"/>
      </w:pPr>
      <w:r>
        <w:rPr>
          <w:rFonts w:hint="eastAsia"/>
        </w:rPr>
        <w:t>凋落物含水率指数</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3110"/>
        <w:gridCol w:w="3112"/>
        <w:gridCol w:w="3112"/>
      </w:tblGrid>
      <w:tr w14:paraId="6B5F7A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3110" w:type="dxa"/>
            <w:tcBorders>
              <w:top w:val="single" w:color="auto" w:sz="8" w:space="0"/>
              <w:bottom w:val="single" w:color="auto" w:sz="8" w:space="0"/>
            </w:tcBorders>
            <w:vAlign w:val="center"/>
          </w:tcPr>
          <w:p w14:paraId="0BD937C9">
            <w:pPr>
              <w:pStyle w:val="180"/>
            </w:pPr>
            <w:r>
              <w:rPr>
                <w:rFonts w:hint="eastAsia"/>
              </w:rPr>
              <w:t>等级</w:t>
            </w:r>
          </w:p>
        </w:tc>
        <w:tc>
          <w:tcPr>
            <w:tcW w:w="3112" w:type="dxa"/>
            <w:tcBorders>
              <w:top w:val="single" w:color="auto" w:sz="8" w:space="0"/>
              <w:bottom w:val="single" w:color="auto" w:sz="8" w:space="0"/>
            </w:tcBorders>
            <w:vAlign w:val="center"/>
          </w:tcPr>
          <w:p w14:paraId="273DCEB2">
            <w:pPr>
              <w:pStyle w:val="180"/>
            </w:pPr>
            <w:r>
              <w:rPr>
                <w:rFonts w:hint="eastAsia"/>
              </w:rPr>
              <w:t xml:space="preserve">凋落物含水率 </w:t>
            </w:r>
          </w:p>
          <w:p w14:paraId="092F50BE">
            <w:pPr>
              <w:pStyle w:val="180"/>
            </w:pPr>
            <w:r>
              <w:rPr>
                <w:rFonts w:hint="eastAsia"/>
              </w:rPr>
              <w:t>%</w:t>
            </w:r>
          </w:p>
        </w:tc>
        <w:tc>
          <w:tcPr>
            <w:tcW w:w="3112" w:type="dxa"/>
            <w:tcBorders>
              <w:top w:val="single" w:color="auto" w:sz="8" w:space="0"/>
              <w:bottom w:val="single" w:color="auto" w:sz="8" w:space="0"/>
            </w:tcBorders>
            <w:vAlign w:val="center"/>
          </w:tcPr>
          <w:p w14:paraId="773946D6">
            <w:pPr>
              <w:pStyle w:val="180"/>
            </w:pPr>
            <w:r>
              <w:rPr>
                <w:rFonts w:hint="eastAsia"/>
              </w:rPr>
              <w:t xml:space="preserve">指数 </w:t>
            </w:r>
            <w:r>
              <w:rPr>
                <w:rFonts w:hint="eastAsia"/>
                <w:i/>
                <w:iCs/>
              </w:rPr>
              <w:t>L</w:t>
            </w:r>
          </w:p>
        </w:tc>
      </w:tr>
      <w:tr w14:paraId="5A2D72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Borders>
              <w:top w:val="single" w:color="auto" w:sz="8" w:space="0"/>
            </w:tcBorders>
          </w:tcPr>
          <w:p w14:paraId="48E4A249">
            <w:pPr>
              <w:pStyle w:val="180"/>
            </w:pPr>
            <w:r>
              <w:rPr>
                <w:rFonts w:hint="eastAsia"/>
              </w:rPr>
              <w:t>一</w:t>
            </w:r>
          </w:p>
        </w:tc>
        <w:tc>
          <w:tcPr>
            <w:tcW w:w="3112" w:type="dxa"/>
            <w:tcBorders>
              <w:top w:val="single" w:color="auto" w:sz="8" w:space="0"/>
            </w:tcBorders>
          </w:tcPr>
          <w:p w14:paraId="0632A629">
            <w:pPr>
              <w:pStyle w:val="180"/>
            </w:pPr>
            <w:r>
              <w:rPr>
                <w:rFonts w:hint="eastAsia"/>
              </w:rPr>
              <w:t>＞25</w:t>
            </w:r>
          </w:p>
        </w:tc>
        <w:tc>
          <w:tcPr>
            <w:tcW w:w="3112" w:type="dxa"/>
            <w:tcBorders>
              <w:top w:val="single" w:color="auto" w:sz="8" w:space="0"/>
            </w:tcBorders>
          </w:tcPr>
          <w:p w14:paraId="601D2BFD">
            <w:pPr>
              <w:pStyle w:val="180"/>
            </w:pPr>
            <w:r>
              <w:rPr>
                <w:rFonts w:hint="eastAsia"/>
              </w:rPr>
              <w:t>6</w:t>
            </w:r>
          </w:p>
        </w:tc>
      </w:tr>
      <w:tr w14:paraId="2A0DD8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1C8DD644">
            <w:pPr>
              <w:pStyle w:val="180"/>
            </w:pPr>
            <w:r>
              <w:rPr>
                <w:rFonts w:hint="eastAsia"/>
              </w:rPr>
              <w:t>二</w:t>
            </w:r>
          </w:p>
        </w:tc>
        <w:tc>
          <w:tcPr>
            <w:tcW w:w="3112" w:type="dxa"/>
          </w:tcPr>
          <w:p w14:paraId="0861B2AB">
            <w:pPr>
              <w:pStyle w:val="180"/>
            </w:pPr>
            <w:r>
              <w:rPr>
                <w:rFonts w:hint="eastAsia"/>
              </w:rPr>
              <w:t>20～25</w:t>
            </w:r>
          </w:p>
        </w:tc>
        <w:tc>
          <w:tcPr>
            <w:tcW w:w="3112" w:type="dxa"/>
          </w:tcPr>
          <w:p w14:paraId="270FF3EF">
            <w:pPr>
              <w:pStyle w:val="180"/>
            </w:pPr>
            <w:r>
              <w:rPr>
                <w:rFonts w:hint="eastAsia"/>
              </w:rPr>
              <w:t>13</w:t>
            </w:r>
          </w:p>
        </w:tc>
      </w:tr>
      <w:tr w14:paraId="00DF40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7048431B">
            <w:pPr>
              <w:pStyle w:val="180"/>
            </w:pPr>
            <w:r>
              <w:rPr>
                <w:rFonts w:hint="eastAsia"/>
              </w:rPr>
              <w:t>三</w:t>
            </w:r>
          </w:p>
        </w:tc>
        <w:tc>
          <w:tcPr>
            <w:tcW w:w="3112" w:type="dxa"/>
          </w:tcPr>
          <w:p w14:paraId="1F434D6F">
            <w:pPr>
              <w:pStyle w:val="180"/>
            </w:pPr>
            <w:r>
              <w:rPr>
                <w:rFonts w:hint="eastAsia"/>
              </w:rPr>
              <w:t>15～20</w:t>
            </w:r>
          </w:p>
        </w:tc>
        <w:tc>
          <w:tcPr>
            <w:tcW w:w="3112" w:type="dxa"/>
          </w:tcPr>
          <w:p w14:paraId="73FE6114">
            <w:pPr>
              <w:pStyle w:val="180"/>
            </w:pPr>
            <w:r>
              <w:rPr>
                <w:rFonts w:hint="eastAsia"/>
              </w:rPr>
              <w:t>20</w:t>
            </w:r>
          </w:p>
        </w:tc>
      </w:tr>
      <w:tr w14:paraId="27C916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0FBDB24E">
            <w:pPr>
              <w:pStyle w:val="180"/>
            </w:pPr>
            <w:r>
              <w:rPr>
                <w:rFonts w:hint="eastAsia"/>
              </w:rPr>
              <w:t>四</w:t>
            </w:r>
          </w:p>
        </w:tc>
        <w:tc>
          <w:tcPr>
            <w:tcW w:w="3112" w:type="dxa"/>
          </w:tcPr>
          <w:p w14:paraId="7B6E1ED1">
            <w:pPr>
              <w:pStyle w:val="180"/>
            </w:pPr>
            <w:r>
              <w:rPr>
                <w:rFonts w:hint="eastAsia"/>
              </w:rPr>
              <w:t>10～15</w:t>
            </w:r>
          </w:p>
        </w:tc>
        <w:tc>
          <w:tcPr>
            <w:tcW w:w="3112" w:type="dxa"/>
          </w:tcPr>
          <w:p w14:paraId="4AA14461">
            <w:pPr>
              <w:pStyle w:val="180"/>
            </w:pPr>
            <w:r>
              <w:rPr>
                <w:rFonts w:hint="eastAsia"/>
              </w:rPr>
              <w:t>27</w:t>
            </w:r>
          </w:p>
        </w:tc>
      </w:tr>
      <w:tr w14:paraId="288425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Borders>
              <w:bottom w:val="single" w:color="auto" w:sz="8" w:space="0"/>
            </w:tcBorders>
          </w:tcPr>
          <w:p w14:paraId="6875ECB6">
            <w:pPr>
              <w:pStyle w:val="180"/>
            </w:pPr>
            <w:r>
              <w:rPr>
                <w:rFonts w:hint="eastAsia"/>
              </w:rPr>
              <w:t>五</w:t>
            </w:r>
          </w:p>
        </w:tc>
        <w:tc>
          <w:tcPr>
            <w:tcW w:w="3112" w:type="dxa"/>
            <w:tcBorders>
              <w:bottom w:val="single" w:color="auto" w:sz="8" w:space="0"/>
            </w:tcBorders>
          </w:tcPr>
          <w:p w14:paraId="0F06F43C">
            <w:pPr>
              <w:pStyle w:val="180"/>
            </w:pPr>
            <w:r>
              <w:rPr>
                <w:rFonts w:hint="eastAsia"/>
              </w:rPr>
              <w:t>≤10</w:t>
            </w:r>
          </w:p>
        </w:tc>
        <w:tc>
          <w:tcPr>
            <w:tcW w:w="3112" w:type="dxa"/>
            <w:tcBorders>
              <w:bottom w:val="single" w:color="auto" w:sz="8" w:space="0"/>
            </w:tcBorders>
          </w:tcPr>
          <w:p w14:paraId="18D46DC7">
            <w:pPr>
              <w:pStyle w:val="180"/>
            </w:pPr>
            <w:r>
              <w:rPr>
                <w:rFonts w:hint="eastAsia"/>
              </w:rPr>
              <w:t>34</w:t>
            </w:r>
          </w:p>
        </w:tc>
      </w:tr>
      <w:tr w14:paraId="7C1E08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334" w:type="dxa"/>
            <w:gridSpan w:val="3"/>
            <w:tcBorders>
              <w:top w:val="single" w:color="auto" w:sz="8" w:space="0"/>
              <w:bottom w:val="single" w:color="auto" w:sz="8" w:space="0"/>
            </w:tcBorders>
            <w:vAlign w:val="center"/>
          </w:tcPr>
          <w:p w14:paraId="70AB7114">
            <w:pPr>
              <w:pStyle w:val="181"/>
            </w:pPr>
            <w:r>
              <w:rPr>
                <w:rFonts w:hint="eastAsia"/>
              </w:rPr>
              <w:t>所有表格中小数不包含本数，大数包含本数。</w:t>
            </w:r>
          </w:p>
        </w:tc>
      </w:tr>
    </w:tbl>
    <w:p w14:paraId="27303096">
      <w:pPr>
        <w:pStyle w:val="96"/>
        <w:spacing w:before="156" w:after="156"/>
        <w:rPr>
          <w:rFonts w:ascii="宋体" w:eastAsia="宋体"/>
        </w:rPr>
      </w:pPr>
      <w:r>
        <w:rPr>
          <w:rFonts w:hint="eastAsia" w:ascii="宋体" w:eastAsia="宋体"/>
        </w:rPr>
        <w:t>根据可燃物因子监测指标，计算出腐殖质含水率指数，具体方法宜按表2的规定执行。</w:t>
      </w:r>
    </w:p>
    <w:p w14:paraId="7EC4A528">
      <w:pPr>
        <w:pStyle w:val="114"/>
        <w:spacing w:before="156" w:after="156"/>
      </w:pPr>
      <w:r>
        <w:rPr>
          <w:rFonts w:hint="eastAsia"/>
        </w:rPr>
        <w:t>腐殖质含水率指数</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3110"/>
        <w:gridCol w:w="3112"/>
        <w:gridCol w:w="3112"/>
      </w:tblGrid>
      <w:tr w14:paraId="20E60B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3110" w:type="dxa"/>
            <w:tcBorders>
              <w:top w:val="single" w:color="auto" w:sz="8" w:space="0"/>
              <w:bottom w:val="single" w:color="auto" w:sz="8" w:space="0"/>
            </w:tcBorders>
            <w:vAlign w:val="center"/>
          </w:tcPr>
          <w:p w14:paraId="5900F859">
            <w:pPr>
              <w:pStyle w:val="180"/>
            </w:pPr>
            <w:r>
              <w:rPr>
                <w:rFonts w:hint="eastAsia"/>
              </w:rPr>
              <w:t>等级</w:t>
            </w:r>
          </w:p>
        </w:tc>
        <w:tc>
          <w:tcPr>
            <w:tcW w:w="3112" w:type="dxa"/>
            <w:tcBorders>
              <w:top w:val="single" w:color="auto" w:sz="8" w:space="0"/>
              <w:bottom w:val="single" w:color="auto" w:sz="8" w:space="0"/>
            </w:tcBorders>
            <w:vAlign w:val="center"/>
          </w:tcPr>
          <w:p w14:paraId="15446240">
            <w:pPr>
              <w:pStyle w:val="180"/>
            </w:pPr>
            <w:r>
              <w:rPr>
                <w:rFonts w:hint="eastAsia"/>
              </w:rPr>
              <w:t>腐殖质含水率</w:t>
            </w:r>
          </w:p>
          <w:p w14:paraId="7B79E4A6">
            <w:pPr>
              <w:pStyle w:val="180"/>
            </w:pPr>
            <w:r>
              <w:rPr>
                <w:rFonts w:hint="eastAsia"/>
              </w:rPr>
              <w:t>%</w:t>
            </w:r>
          </w:p>
        </w:tc>
        <w:tc>
          <w:tcPr>
            <w:tcW w:w="3112" w:type="dxa"/>
            <w:tcBorders>
              <w:top w:val="single" w:color="auto" w:sz="8" w:space="0"/>
              <w:bottom w:val="single" w:color="auto" w:sz="8" w:space="0"/>
            </w:tcBorders>
            <w:vAlign w:val="center"/>
          </w:tcPr>
          <w:p w14:paraId="0E45A560">
            <w:pPr>
              <w:pStyle w:val="180"/>
            </w:pPr>
            <w:r>
              <w:rPr>
                <w:rFonts w:hint="eastAsia"/>
              </w:rPr>
              <w:t>指数</w:t>
            </w:r>
            <w:r>
              <w:rPr>
                <w:rFonts w:hint="eastAsia"/>
                <w:i/>
                <w:iCs/>
              </w:rPr>
              <w:t xml:space="preserve"> H</w:t>
            </w:r>
          </w:p>
        </w:tc>
      </w:tr>
      <w:tr w14:paraId="5CBF95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Borders>
              <w:top w:val="single" w:color="auto" w:sz="8" w:space="0"/>
            </w:tcBorders>
          </w:tcPr>
          <w:p w14:paraId="344492E7">
            <w:pPr>
              <w:pStyle w:val="180"/>
            </w:pPr>
            <w:r>
              <w:rPr>
                <w:rFonts w:hint="eastAsia"/>
              </w:rPr>
              <w:t>一</w:t>
            </w:r>
          </w:p>
        </w:tc>
        <w:tc>
          <w:tcPr>
            <w:tcW w:w="3112" w:type="dxa"/>
            <w:tcBorders>
              <w:top w:val="single" w:color="auto" w:sz="8" w:space="0"/>
            </w:tcBorders>
          </w:tcPr>
          <w:p w14:paraId="45C47312">
            <w:pPr>
              <w:pStyle w:val="180"/>
            </w:pPr>
            <w:r>
              <w:rPr>
                <w:rFonts w:hint="eastAsia"/>
              </w:rPr>
              <w:t>＞24</w:t>
            </w:r>
          </w:p>
        </w:tc>
        <w:tc>
          <w:tcPr>
            <w:tcW w:w="3112" w:type="dxa"/>
            <w:tcBorders>
              <w:top w:val="single" w:color="auto" w:sz="8" w:space="0"/>
            </w:tcBorders>
          </w:tcPr>
          <w:p w14:paraId="1C7F5A80">
            <w:pPr>
              <w:pStyle w:val="180"/>
            </w:pPr>
            <w:r>
              <w:rPr>
                <w:rFonts w:hint="eastAsia"/>
              </w:rPr>
              <w:t>5</w:t>
            </w:r>
          </w:p>
        </w:tc>
      </w:tr>
      <w:tr w14:paraId="6B5835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3CDBECA6">
            <w:pPr>
              <w:pStyle w:val="180"/>
            </w:pPr>
            <w:r>
              <w:rPr>
                <w:rFonts w:hint="eastAsia"/>
              </w:rPr>
              <w:t>二</w:t>
            </w:r>
          </w:p>
        </w:tc>
        <w:tc>
          <w:tcPr>
            <w:tcW w:w="3112" w:type="dxa"/>
          </w:tcPr>
          <w:p w14:paraId="5C1267C2">
            <w:pPr>
              <w:pStyle w:val="180"/>
            </w:pPr>
            <w:r>
              <w:rPr>
                <w:rFonts w:hint="eastAsia"/>
              </w:rPr>
              <w:t>19～24</w:t>
            </w:r>
          </w:p>
        </w:tc>
        <w:tc>
          <w:tcPr>
            <w:tcW w:w="3112" w:type="dxa"/>
          </w:tcPr>
          <w:p w14:paraId="492353F2">
            <w:pPr>
              <w:pStyle w:val="180"/>
            </w:pPr>
            <w:r>
              <w:rPr>
                <w:rFonts w:hint="eastAsia"/>
              </w:rPr>
              <w:t>12</w:t>
            </w:r>
          </w:p>
        </w:tc>
      </w:tr>
      <w:tr w14:paraId="374784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32194B65">
            <w:pPr>
              <w:pStyle w:val="180"/>
            </w:pPr>
            <w:r>
              <w:rPr>
                <w:rFonts w:hint="eastAsia"/>
              </w:rPr>
              <w:t>三</w:t>
            </w:r>
          </w:p>
        </w:tc>
        <w:tc>
          <w:tcPr>
            <w:tcW w:w="3112" w:type="dxa"/>
          </w:tcPr>
          <w:p w14:paraId="0F6E1F10">
            <w:pPr>
              <w:pStyle w:val="180"/>
            </w:pPr>
            <w:r>
              <w:rPr>
                <w:rFonts w:hint="eastAsia"/>
              </w:rPr>
              <w:t>14～19</w:t>
            </w:r>
          </w:p>
        </w:tc>
        <w:tc>
          <w:tcPr>
            <w:tcW w:w="3112" w:type="dxa"/>
          </w:tcPr>
          <w:p w14:paraId="0EAA533A">
            <w:pPr>
              <w:pStyle w:val="180"/>
            </w:pPr>
            <w:r>
              <w:rPr>
                <w:rFonts w:hint="eastAsia"/>
              </w:rPr>
              <w:t>19</w:t>
            </w:r>
          </w:p>
        </w:tc>
      </w:tr>
      <w:tr w14:paraId="58D01D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4DA79834">
            <w:pPr>
              <w:pStyle w:val="180"/>
            </w:pPr>
            <w:r>
              <w:rPr>
                <w:rFonts w:hint="eastAsia"/>
              </w:rPr>
              <w:t>四</w:t>
            </w:r>
          </w:p>
        </w:tc>
        <w:tc>
          <w:tcPr>
            <w:tcW w:w="3112" w:type="dxa"/>
          </w:tcPr>
          <w:p w14:paraId="3186F083">
            <w:pPr>
              <w:pStyle w:val="180"/>
            </w:pPr>
            <w:r>
              <w:rPr>
                <w:rFonts w:hint="eastAsia"/>
              </w:rPr>
              <w:t>9～14</w:t>
            </w:r>
          </w:p>
        </w:tc>
        <w:tc>
          <w:tcPr>
            <w:tcW w:w="3112" w:type="dxa"/>
          </w:tcPr>
          <w:p w14:paraId="20C5A177">
            <w:pPr>
              <w:pStyle w:val="180"/>
            </w:pPr>
            <w:r>
              <w:rPr>
                <w:rFonts w:hint="eastAsia"/>
              </w:rPr>
              <w:t>26</w:t>
            </w:r>
          </w:p>
        </w:tc>
      </w:tr>
      <w:tr w14:paraId="33E3AF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Borders>
              <w:bottom w:val="single" w:color="auto" w:sz="8" w:space="0"/>
            </w:tcBorders>
          </w:tcPr>
          <w:p w14:paraId="431558C8">
            <w:pPr>
              <w:pStyle w:val="180"/>
            </w:pPr>
            <w:r>
              <w:rPr>
                <w:rFonts w:hint="eastAsia"/>
              </w:rPr>
              <w:t>五</w:t>
            </w:r>
          </w:p>
        </w:tc>
        <w:tc>
          <w:tcPr>
            <w:tcW w:w="3112" w:type="dxa"/>
            <w:tcBorders>
              <w:bottom w:val="single" w:color="auto" w:sz="8" w:space="0"/>
            </w:tcBorders>
          </w:tcPr>
          <w:p w14:paraId="24FBD9C8">
            <w:pPr>
              <w:pStyle w:val="180"/>
            </w:pPr>
            <w:r>
              <w:rPr>
                <w:rFonts w:hint="eastAsia"/>
              </w:rPr>
              <w:t>≤9</w:t>
            </w:r>
          </w:p>
        </w:tc>
        <w:tc>
          <w:tcPr>
            <w:tcW w:w="3112" w:type="dxa"/>
            <w:tcBorders>
              <w:bottom w:val="single" w:color="auto" w:sz="8" w:space="0"/>
            </w:tcBorders>
          </w:tcPr>
          <w:p w14:paraId="6CDEA16C">
            <w:pPr>
              <w:pStyle w:val="180"/>
            </w:pPr>
            <w:r>
              <w:rPr>
                <w:rFonts w:hint="eastAsia"/>
              </w:rPr>
              <w:t>33</w:t>
            </w:r>
          </w:p>
        </w:tc>
      </w:tr>
    </w:tbl>
    <w:p w14:paraId="40C85185">
      <w:pPr>
        <w:pStyle w:val="96"/>
        <w:spacing w:before="156" w:after="156"/>
      </w:pPr>
      <w:r>
        <w:rPr>
          <w:rFonts w:hint="eastAsia" w:ascii="宋体" w:eastAsia="宋体"/>
        </w:rPr>
        <w:t>根据可燃物因子监测指标，计算出植被覆盖度，宜按式（1）计算。</w:t>
      </w:r>
    </w:p>
    <w:p w14:paraId="5FEC3887">
      <w:pPr>
        <w:pStyle w:val="115"/>
        <w:rPr>
          <w:rFonts w:hint="eastAsia"/>
        </w:rPr>
      </w:pPr>
      <w:r>
        <w:tab/>
      </w:r>
      <m:oMath>
        <m:r>
          <m:rPr/>
          <w:rPr>
            <w:rFonts w:ascii="Cambria Math" w:hAnsi="Cambria Math"/>
          </w:rPr>
          <m:t>FVC=(NDVI−</m:t>
        </m:r>
        <m:sSub>
          <m:sSubPr>
            <m:ctrlPr>
              <w:rPr>
                <w:rFonts w:ascii="Cambria Math" w:hAnsi="Cambria Math"/>
              </w:rPr>
            </m:ctrlPr>
          </m:sSubPr>
          <m:e>
            <m:r>
              <m:rPr/>
              <w:rPr>
                <w:rFonts w:ascii="Cambria Math" w:hAnsi="Cambria Math"/>
              </w:rPr>
              <m:t>NDVI</m:t>
            </m:r>
            <m:ctrlPr>
              <w:rPr>
                <w:rFonts w:ascii="Cambria Math" w:hAnsi="Cambria Math"/>
              </w:rPr>
            </m:ctrlPr>
          </m:e>
          <m:sub>
            <m:r>
              <m:rPr/>
              <w:rPr>
                <w:rFonts w:ascii="Cambria Math" w:hAnsi="Cambria Math"/>
              </w:rPr>
              <m:t>soil</m:t>
            </m:r>
            <m:ctrlPr>
              <w:rPr>
                <w:rFonts w:ascii="Cambria Math" w:hAnsi="Cambria Math"/>
              </w:rPr>
            </m:ctrlPr>
          </m:sub>
        </m:sSub>
        <m:r>
          <m:rPr/>
          <w:rPr>
            <w:rFonts w:ascii="Cambria Math" w:hAnsi="Cambria Math"/>
          </w:rPr>
          <m:t>)/(</m:t>
        </m:r>
        <m:sSub>
          <m:sSubPr>
            <m:ctrlPr>
              <w:rPr>
                <w:rFonts w:ascii="Cambria Math" w:hAnsi="Cambria Math"/>
              </w:rPr>
            </m:ctrlPr>
          </m:sSubPr>
          <m:e>
            <m:r>
              <m:rPr/>
              <w:rPr>
                <w:rFonts w:ascii="Cambria Math" w:hAnsi="Cambria Math"/>
              </w:rPr>
              <m:t>NDVI</m:t>
            </m:r>
            <m:ctrlPr>
              <w:rPr>
                <w:rFonts w:ascii="Cambria Math" w:hAnsi="Cambria Math"/>
              </w:rPr>
            </m:ctrlPr>
          </m:e>
          <m:sub>
            <m:r>
              <m:rPr/>
              <w:rPr>
                <w:rFonts w:hint="eastAsia" w:ascii="Cambria Math" w:hAnsi="Cambria Math"/>
              </w:rPr>
              <m:t>veg</m:t>
            </m:r>
            <m:ctrlPr>
              <w:rPr>
                <w:rFonts w:ascii="Cambria Math" w:hAnsi="Cambria Math"/>
              </w:rPr>
            </m:ctrlPr>
          </m:sub>
        </m:sSub>
        <m:r>
          <m:rPr/>
          <w:rPr>
            <w:rFonts w:ascii="Cambria Math" w:hAnsi="Cambria Math"/>
          </w:rPr>
          <m:t>−</m:t>
        </m:r>
        <m:sSub>
          <m:sSubPr>
            <m:ctrlPr>
              <w:rPr>
                <w:rFonts w:ascii="Cambria Math" w:hAnsi="Cambria Math"/>
              </w:rPr>
            </m:ctrlPr>
          </m:sSubPr>
          <m:e>
            <m:r>
              <m:rPr/>
              <w:rPr>
                <w:rFonts w:ascii="Cambria Math" w:hAnsi="Cambria Math"/>
              </w:rPr>
              <m:t>NDVI</m:t>
            </m:r>
            <m:ctrlPr>
              <w:rPr>
                <w:rFonts w:ascii="Cambria Math" w:hAnsi="Cambria Math"/>
              </w:rPr>
            </m:ctrlPr>
          </m:e>
          <m:sub>
            <m:r>
              <m:rPr/>
              <w:rPr>
                <w:rFonts w:ascii="Cambria Math" w:hAnsi="Cambria Math"/>
              </w:rPr>
              <m:t>soil</m:t>
            </m:r>
            <m:ctrlPr>
              <w:rPr>
                <w:rFonts w:ascii="Cambria Math" w:hAnsi="Cambria Math"/>
              </w:rPr>
            </m:ctrlPr>
          </m:sub>
        </m:sSub>
        <m:r>
          <m:rPr/>
          <w:rPr>
            <w:rFonts w:ascii="Cambria Math" w:hAnsi="Cambria Math"/>
          </w:rPr>
          <m:t>)</m:t>
        </m:r>
      </m:oMath>
      <w:r>
        <w:rPr>
          <w:rFonts w:ascii="微软雅黑" w:hAnsi="微软雅黑" w:eastAsia="微软雅黑"/>
        </w:rPr>
        <w:tab/>
      </w:r>
      <w:r>
        <w:t>(</w:t>
      </w:r>
      <w:r>
        <w:fldChar w:fldCharType="begin"/>
      </w:r>
      <w:r>
        <w:instrText xml:space="preserve"> AUTONUM </w:instrText>
      </w:r>
      <w:r>
        <w:fldChar w:fldCharType="end"/>
      </w:r>
      <w:r>
        <w:t>)</w:t>
      </w:r>
    </w:p>
    <w:p w14:paraId="04416B63">
      <w:pPr>
        <w:pStyle w:val="57"/>
        <w:ind w:firstLine="420"/>
      </w:pPr>
      <w:r>
        <w:rPr>
          <w:rFonts w:hint="eastAsia"/>
        </w:rPr>
        <w:t>式中：</w:t>
      </w:r>
    </w:p>
    <w:p w14:paraId="5CC16E5C">
      <w:pPr>
        <w:pStyle w:val="57"/>
        <w:spacing w:line="240" w:lineRule="auto"/>
        <w:ind w:firstLine="420"/>
      </w:pPr>
      <m:oMath>
        <m:r>
          <m:rPr/>
          <w:rPr>
            <w:rFonts w:ascii="Cambria Math" w:hAnsi="Cambria Math"/>
          </w:rPr>
          <m:t>FVC</m:t>
        </m:r>
      </m:oMath>
      <w:r>
        <w:rPr>
          <w:rFonts w:hint="eastAsia"/>
        </w:rPr>
        <w:t>——植被覆盖度；</w:t>
      </w:r>
    </w:p>
    <w:p w14:paraId="03B39E83">
      <w:pPr>
        <w:pStyle w:val="57"/>
        <w:spacing w:line="240" w:lineRule="auto"/>
        <w:ind w:firstLine="420"/>
      </w:pPr>
      <m:oMath>
        <m:r>
          <m:rPr/>
          <w:rPr>
            <w:rFonts w:ascii="Cambria Math" w:hAnsi="Cambria Math"/>
          </w:rPr>
          <m:t>NDVI</m:t>
        </m:r>
      </m:oMath>
      <w:r>
        <w:rPr>
          <w:rFonts w:hint="eastAsia"/>
        </w:rPr>
        <w:t>——归一化植被指数；</w:t>
      </w:r>
    </w:p>
    <w:p w14:paraId="1CD4A7F6">
      <w:pPr>
        <w:pStyle w:val="57"/>
        <w:spacing w:line="240" w:lineRule="auto"/>
        <w:ind w:firstLine="420"/>
      </w:pPr>
      <m:oMath>
        <m:sSub>
          <m:sSubPr>
            <m:ctrlPr>
              <w:rPr>
                <w:rFonts w:ascii="Cambria Math" w:hAnsi="Cambria Math"/>
                <w:i/>
                <w:kern w:val="2"/>
              </w:rPr>
            </m:ctrlPr>
          </m:sSubPr>
          <m:e>
            <m:r>
              <m:rPr/>
              <w:rPr>
                <w:rFonts w:ascii="Cambria Math" w:hAnsi="Cambria Math"/>
              </w:rPr>
              <m:t>NDVI</m:t>
            </m:r>
            <m:ctrlPr>
              <w:rPr>
                <w:rFonts w:ascii="Cambria Math" w:hAnsi="Cambria Math"/>
                <w:i/>
                <w:kern w:val="2"/>
              </w:rPr>
            </m:ctrlPr>
          </m:e>
          <m:sub>
            <m:r>
              <m:rPr/>
              <w:rPr>
                <w:rFonts w:ascii="Cambria Math" w:hAnsi="Cambria Math"/>
              </w:rPr>
              <m:t>soil</m:t>
            </m:r>
            <m:ctrlPr>
              <w:rPr>
                <w:rFonts w:ascii="Cambria Math" w:hAnsi="Cambria Math"/>
                <w:i/>
                <w:kern w:val="2"/>
              </w:rPr>
            </m:ctrlPr>
          </m:sub>
        </m:sSub>
      </m:oMath>
      <w:r>
        <w:rPr>
          <w:rFonts w:hint="eastAsia"/>
        </w:rPr>
        <w:t>——裸露地表的归一化植被指数；</w:t>
      </w:r>
    </w:p>
    <w:p w14:paraId="253C4DD4">
      <w:pPr>
        <w:pStyle w:val="58"/>
        <w:ind w:firstLine="420"/>
      </w:pPr>
      <m:oMath>
        <m:sSub>
          <m:sSubPr>
            <m:ctrlPr>
              <w:rPr>
                <w:rFonts w:ascii="Cambria Math" w:hAnsi="Cambria Math"/>
                <w:i/>
                <w:kern w:val="2"/>
              </w:rPr>
            </m:ctrlPr>
          </m:sSubPr>
          <m:e>
            <m:r>
              <m:rPr/>
              <w:rPr>
                <w:rFonts w:ascii="Cambria Math" w:hAnsi="Cambria Math"/>
              </w:rPr>
              <m:t>NDVI</m:t>
            </m:r>
            <m:ctrlPr>
              <w:rPr>
                <w:rFonts w:ascii="Cambria Math" w:hAnsi="Cambria Math"/>
                <w:i/>
                <w:kern w:val="2"/>
              </w:rPr>
            </m:ctrlPr>
          </m:e>
          <m:sub>
            <m:r>
              <m:rPr/>
              <w:rPr>
                <w:rFonts w:hint="eastAsia" w:ascii="Cambria Math" w:hAnsi="Cambria Math"/>
              </w:rPr>
              <m:t>veg</m:t>
            </m:r>
            <m:ctrlPr>
              <w:rPr>
                <w:rFonts w:ascii="Cambria Math" w:hAnsi="Cambria Math"/>
                <w:i/>
                <w:kern w:val="2"/>
              </w:rPr>
            </m:ctrlPr>
          </m:sub>
        </m:sSub>
      </m:oMath>
      <w:r>
        <w:rPr>
          <w:rFonts w:hint="eastAsia"/>
        </w:rPr>
        <w:t>——茂密植被冠层的归一化植被指数。</w:t>
      </w:r>
    </w:p>
    <w:p w14:paraId="1582801B">
      <w:pPr>
        <w:pStyle w:val="58"/>
        <w:ind w:firstLine="420"/>
      </w:pPr>
      <w:r>
        <w:rPr>
          <w:rFonts w:hint="eastAsia"/>
        </w:rPr>
        <w:t>植被覆盖度指数宜按表3的规定执行。</w:t>
      </w:r>
    </w:p>
    <w:p w14:paraId="4A79473A">
      <w:pPr>
        <w:pStyle w:val="114"/>
        <w:spacing w:before="156" w:after="156"/>
      </w:pPr>
      <w:r>
        <w:rPr>
          <w:rFonts w:hint="eastAsia"/>
        </w:rPr>
        <w:t>植被覆盖度指数</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3110"/>
        <w:gridCol w:w="3112"/>
        <w:gridCol w:w="3112"/>
      </w:tblGrid>
      <w:tr w14:paraId="5A0085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3110" w:type="dxa"/>
            <w:tcBorders>
              <w:top w:val="single" w:color="auto" w:sz="8" w:space="0"/>
              <w:bottom w:val="single" w:color="auto" w:sz="8" w:space="0"/>
            </w:tcBorders>
            <w:vAlign w:val="center"/>
          </w:tcPr>
          <w:p w14:paraId="29AE577C">
            <w:pPr>
              <w:pStyle w:val="180"/>
            </w:pPr>
            <w:r>
              <w:rPr>
                <w:rFonts w:hint="eastAsia"/>
              </w:rPr>
              <w:t>等级</w:t>
            </w:r>
          </w:p>
        </w:tc>
        <w:tc>
          <w:tcPr>
            <w:tcW w:w="3112" w:type="dxa"/>
            <w:tcBorders>
              <w:top w:val="single" w:color="auto" w:sz="8" w:space="0"/>
              <w:bottom w:val="single" w:color="auto" w:sz="8" w:space="0"/>
            </w:tcBorders>
            <w:vAlign w:val="center"/>
          </w:tcPr>
          <w:p w14:paraId="205EFA9A">
            <w:pPr>
              <w:pStyle w:val="180"/>
            </w:pPr>
            <w:r>
              <w:rPr>
                <w:rFonts w:hint="eastAsia"/>
              </w:rPr>
              <w:t>植被覆盖度</w:t>
            </w:r>
          </w:p>
        </w:tc>
        <w:tc>
          <w:tcPr>
            <w:tcW w:w="3112" w:type="dxa"/>
            <w:tcBorders>
              <w:top w:val="single" w:color="auto" w:sz="8" w:space="0"/>
              <w:bottom w:val="single" w:color="auto" w:sz="8" w:space="0"/>
            </w:tcBorders>
            <w:vAlign w:val="center"/>
          </w:tcPr>
          <w:p w14:paraId="76C0B584">
            <w:pPr>
              <w:pStyle w:val="180"/>
            </w:pPr>
            <w:r>
              <w:rPr>
                <w:rFonts w:hint="eastAsia"/>
              </w:rPr>
              <w:t>指数</w:t>
            </w:r>
            <w:r>
              <w:rPr>
                <w:rFonts w:hint="eastAsia"/>
                <w:i/>
                <w:iCs/>
              </w:rPr>
              <w:t xml:space="preserve"> FVC</w:t>
            </w:r>
          </w:p>
        </w:tc>
      </w:tr>
      <w:tr w14:paraId="02D5A0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Borders>
              <w:top w:val="single" w:color="auto" w:sz="8" w:space="0"/>
            </w:tcBorders>
          </w:tcPr>
          <w:p w14:paraId="610ADBBE">
            <w:pPr>
              <w:pStyle w:val="180"/>
            </w:pPr>
            <w:r>
              <w:rPr>
                <w:rFonts w:hint="eastAsia"/>
              </w:rPr>
              <w:t>一</w:t>
            </w:r>
          </w:p>
        </w:tc>
        <w:tc>
          <w:tcPr>
            <w:tcW w:w="3112" w:type="dxa"/>
            <w:tcBorders>
              <w:top w:val="single" w:color="auto" w:sz="8" w:space="0"/>
            </w:tcBorders>
          </w:tcPr>
          <w:p w14:paraId="789CF69D">
            <w:pPr>
              <w:pStyle w:val="180"/>
            </w:pPr>
            <w:r>
              <w:rPr>
                <w:rFonts w:hint="eastAsia"/>
              </w:rPr>
              <w:t>≤0.2</w:t>
            </w:r>
          </w:p>
        </w:tc>
        <w:tc>
          <w:tcPr>
            <w:tcW w:w="3112" w:type="dxa"/>
            <w:tcBorders>
              <w:top w:val="single" w:color="auto" w:sz="8" w:space="0"/>
            </w:tcBorders>
            <w:vAlign w:val="center"/>
          </w:tcPr>
          <w:p w14:paraId="38ADE922">
            <w:pPr>
              <w:pStyle w:val="180"/>
            </w:pPr>
            <w:r>
              <w:rPr>
                <w:rFonts w:hint="eastAsia"/>
              </w:rPr>
              <w:t>5</w:t>
            </w:r>
          </w:p>
        </w:tc>
      </w:tr>
      <w:tr w14:paraId="1600E1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586EF4F4">
            <w:pPr>
              <w:pStyle w:val="180"/>
            </w:pPr>
            <w:r>
              <w:rPr>
                <w:rFonts w:hint="eastAsia"/>
              </w:rPr>
              <w:t>二</w:t>
            </w:r>
          </w:p>
        </w:tc>
        <w:tc>
          <w:tcPr>
            <w:tcW w:w="3112" w:type="dxa"/>
          </w:tcPr>
          <w:p w14:paraId="33B8123B">
            <w:pPr>
              <w:pStyle w:val="180"/>
            </w:pPr>
            <w:r>
              <w:rPr>
                <w:rFonts w:hint="eastAsia"/>
              </w:rPr>
              <w:t>0.2～0.3</w:t>
            </w:r>
          </w:p>
        </w:tc>
        <w:tc>
          <w:tcPr>
            <w:tcW w:w="3112" w:type="dxa"/>
            <w:vAlign w:val="center"/>
          </w:tcPr>
          <w:p w14:paraId="37A026E5">
            <w:pPr>
              <w:pStyle w:val="180"/>
            </w:pPr>
            <w:r>
              <w:rPr>
                <w:rFonts w:hint="eastAsia"/>
              </w:rPr>
              <w:t>12</w:t>
            </w:r>
          </w:p>
        </w:tc>
      </w:tr>
      <w:tr w14:paraId="2B2726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3ACF4293">
            <w:pPr>
              <w:pStyle w:val="180"/>
            </w:pPr>
            <w:r>
              <w:rPr>
                <w:rFonts w:hint="eastAsia"/>
              </w:rPr>
              <w:t>三</w:t>
            </w:r>
          </w:p>
        </w:tc>
        <w:tc>
          <w:tcPr>
            <w:tcW w:w="3112" w:type="dxa"/>
          </w:tcPr>
          <w:p w14:paraId="3C39DCD1">
            <w:pPr>
              <w:pStyle w:val="180"/>
            </w:pPr>
            <w:r>
              <w:rPr>
                <w:rFonts w:hint="eastAsia"/>
              </w:rPr>
              <w:t>0.3～0.4</w:t>
            </w:r>
          </w:p>
        </w:tc>
        <w:tc>
          <w:tcPr>
            <w:tcW w:w="3112" w:type="dxa"/>
            <w:vAlign w:val="center"/>
          </w:tcPr>
          <w:p w14:paraId="12D9087C">
            <w:pPr>
              <w:pStyle w:val="180"/>
            </w:pPr>
            <w:r>
              <w:rPr>
                <w:rFonts w:hint="eastAsia"/>
              </w:rPr>
              <w:t>19</w:t>
            </w:r>
          </w:p>
        </w:tc>
      </w:tr>
      <w:tr w14:paraId="778594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17F38812">
            <w:pPr>
              <w:pStyle w:val="180"/>
            </w:pPr>
            <w:r>
              <w:rPr>
                <w:rFonts w:hint="eastAsia"/>
              </w:rPr>
              <w:t>四</w:t>
            </w:r>
          </w:p>
        </w:tc>
        <w:tc>
          <w:tcPr>
            <w:tcW w:w="3112" w:type="dxa"/>
          </w:tcPr>
          <w:p w14:paraId="74B7E910">
            <w:pPr>
              <w:pStyle w:val="180"/>
            </w:pPr>
            <w:r>
              <w:rPr>
                <w:rFonts w:hint="eastAsia"/>
              </w:rPr>
              <w:t>0.4～0.5</w:t>
            </w:r>
          </w:p>
        </w:tc>
        <w:tc>
          <w:tcPr>
            <w:tcW w:w="3112" w:type="dxa"/>
            <w:vAlign w:val="center"/>
          </w:tcPr>
          <w:p w14:paraId="4E74F270">
            <w:pPr>
              <w:pStyle w:val="180"/>
            </w:pPr>
            <w:r>
              <w:rPr>
                <w:rFonts w:hint="eastAsia"/>
              </w:rPr>
              <w:t>26</w:t>
            </w:r>
          </w:p>
        </w:tc>
      </w:tr>
      <w:tr w14:paraId="14AE09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5AA35ABF">
            <w:pPr>
              <w:pStyle w:val="180"/>
            </w:pPr>
            <w:r>
              <w:rPr>
                <w:rFonts w:hint="eastAsia"/>
              </w:rPr>
              <w:t>五</w:t>
            </w:r>
          </w:p>
        </w:tc>
        <w:tc>
          <w:tcPr>
            <w:tcW w:w="3112" w:type="dxa"/>
            <w:vAlign w:val="center"/>
          </w:tcPr>
          <w:p w14:paraId="47DD3A36">
            <w:pPr>
              <w:pStyle w:val="180"/>
            </w:pPr>
            <w:r>
              <w:rPr>
                <w:rFonts w:hint="eastAsia"/>
              </w:rPr>
              <w:t>＞0.5</w:t>
            </w:r>
          </w:p>
        </w:tc>
        <w:tc>
          <w:tcPr>
            <w:tcW w:w="3112" w:type="dxa"/>
            <w:vAlign w:val="center"/>
          </w:tcPr>
          <w:p w14:paraId="0D0F07E1">
            <w:pPr>
              <w:pStyle w:val="180"/>
            </w:pPr>
            <w:r>
              <w:rPr>
                <w:rFonts w:hint="eastAsia"/>
              </w:rPr>
              <w:t>33</w:t>
            </w:r>
          </w:p>
        </w:tc>
      </w:tr>
    </w:tbl>
    <w:p w14:paraId="73B10C49">
      <w:pPr>
        <w:pStyle w:val="67"/>
        <w:spacing w:before="156" w:after="156"/>
      </w:pPr>
      <w:bookmarkStart w:id="91" w:name="_Toc165363349"/>
      <w:bookmarkStart w:id="92" w:name="_Toc199680196"/>
      <w:bookmarkStart w:id="93" w:name="_Toc201339643"/>
      <w:r>
        <w:rPr>
          <w:rFonts w:hint="eastAsia"/>
        </w:rPr>
        <w:t>物候因子指数</w:t>
      </w:r>
      <w:bookmarkEnd w:id="91"/>
      <w:bookmarkEnd w:id="92"/>
      <w:bookmarkEnd w:id="93"/>
    </w:p>
    <w:p w14:paraId="6A3130D9">
      <w:pPr>
        <w:pStyle w:val="58"/>
        <w:ind w:firstLine="420"/>
      </w:pPr>
      <w:r>
        <w:rPr>
          <w:rFonts w:hint="eastAsia"/>
        </w:rPr>
        <w:t>根据物候因子监测指标，计算出物候因子指数，具体方法宜按LY/T 1172的规定执行。</w:t>
      </w:r>
    </w:p>
    <w:p w14:paraId="7C2BD70F">
      <w:pPr>
        <w:pStyle w:val="67"/>
        <w:spacing w:before="156" w:after="156"/>
      </w:pPr>
      <w:bookmarkStart w:id="94" w:name="_Toc164703659"/>
      <w:bookmarkStart w:id="95" w:name="_Toc201339644"/>
      <w:bookmarkStart w:id="96" w:name="_Toc199680197"/>
      <w:bookmarkStart w:id="97" w:name="_Toc165363350"/>
      <w:r>
        <w:rPr>
          <w:rFonts w:hint="eastAsia"/>
        </w:rPr>
        <w:t>土壤因子指数</w:t>
      </w:r>
      <w:bookmarkEnd w:id="94"/>
      <w:bookmarkEnd w:id="95"/>
      <w:bookmarkEnd w:id="96"/>
      <w:bookmarkEnd w:id="97"/>
    </w:p>
    <w:p w14:paraId="38E65FAC">
      <w:pPr>
        <w:pStyle w:val="58"/>
        <w:ind w:firstLine="420"/>
      </w:pPr>
      <w:r>
        <w:rPr>
          <w:rFonts w:hint="eastAsia"/>
        </w:rPr>
        <w:t>根据土壤因子监测指标，计算出土壤湿度指数，具体方法宜按表4的规定执行。</w:t>
      </w:r>
    </w:p>
    <w:p w14:paraId="78F121D2">
      <w:pPr>
        <w:pStyle w:val="114"/>
        <w:spacing w:before="156" w:after="156"/>
      </w:pPr>
      <w:r>
        <w:rPr>
          <w:rFonts w:hint="eastAsia"/>
        </w:rPr>
        <w:t>土壤湿度指数</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3110"/>
        <w:gridCol w:w="3112"/>
        <w:gridCol w:w="3112"/>
      </w:tblGrid>
      <w:tr w14:paraId="5E9003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3110" w:type="dxa"/>
            <w:tcBorders>
              <w:top w:val="single" w:color="auto" w:sz="8" w:space="0"/>
              <w:bottom w:val="single" w:color="auto" w:sz="8" w:space="0"/>
            </w:tcBorders>
            <w:vAlign w:val="center"/>
          </w:tcPr>
          <w:p w14:paraId="55AB7B69">
            <w:pPr>
              <w:pStyle w:val="180"/>
            </w:pPr>
            <w:r>
              <w:rPr>
                <w:rFonts w:hint="eastAsia"/>
              </w:rPr>
              <w:t>等级</w:t>
            </w:r>
          </w:p>
        </w:tc>
        <w:tc>
          <w:tcPr>
            <w:tcW w:w="3112" w:type="dxa"/>
            <w:tcBorders>
              <w:top w:val="single" w:color="auto" w:sz="8" w:space="0"/>
              <w:bottom w:val="single" w:color="auto" w:sz="8" w:space="0"/>
            </w:tcBorders>
            <w:vAlign w:val="center"/>
          </w:tcPr>
          <w:p w14:paraId="2EAA4A61">
            <w:pPr>
              <w:pStyle w:val="180"/>
            </w:pPr>
            <w:r>
              <w:rPr>
                <w:rFonts w:hint="eastAsia"/>
              </w:rPr>
              <w:t>土壤湿度</w:t>
            </w:r>
          </w:p>
          <w:p w14:paraId="55F43FE8">
            <w:pPr>
              <w:pStyle w:val="180"/>
            </w:pPr>
            <w:r>
              <w:rPr>
                <w:rFonts w:hint="eastAsia"/>
              </w:rPr>
              <w:t>%</w:t>
            </w:r>
          </w:p>
        </w:tc>
        <w:tc>
          <w:tcPr>
            <w:tcW w:w="3112" w:type="dxa"/>
            <w:tcBorders>
              <w:top w:val="single" w:color="auto" w:sz="8" w:space="0"/>
              <w:bottom w:val="single" w:color="auto" w:sz="8" w:space="0"/>
            </w:tcBorders>
            <w:vAlign w:val="center"/>
          </w:tcPr>
          <w:p w14:paraId="16448ADD">
            <w:pPr>
              <w:pStyle w:val="180"/>
            </w:pPr>
            <w:r>
              <w:rPr>
                <w:rFonts w:hint="eastAsia"/>
              </w:rPr>
              <w:t xml:space="preserve">指数 </w:t>
            </w:r>
            <w:r>
              <w:rPr>
                <w:rFonts w:hint="eastAsia"/>
                <w:i/>
                <w:iCs/>
              </w:rPr>
              <w:t>S</w:t>
            </w:r>
          </w:p>
        </w:tc>
      </w:tr>
      <w:tr w14:paraId="2F9A3C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Borders>
              <w:top w:val="single" w:color="auto" w:sz="8" w:space="0"/>
            </w:tcBorders>
          </w:tcPr>
          <w:p w14:paraId="55D49700">
            <w:pPr>
              <w:pStyle w:val="180"/>
            </w:pPr>
            <w:r>
              <w:rPr>
                <w:rFonts w:hint="eastAsia"/>
              </w:rPr>
              <w:t>一</w:t>
            </w:r>
          </w:p>
        </w:tc>
        <w:tc>
          <w:tcPr>
            <w:tcW w:w="3112" w:type="dxa"/>
            <w:tcBorders>
              <w:top w:val="single" w:color="auto" w:sz="8" w:space="0"/>
            </w:tcBorders>
          </w:tcPr>
          <w:p w14:paraId="57B1B390">
            <w:pPr>
              <w:pStyle w:val="180"/>
            </w:pPr>
            <w:r>
              <w:rPr>
                <w:rFonts w:hint="eastAsia"/>
              </w:rPr>
              <w:t>＞20</w:t>
            </w:r>
          </w:p>
        </w:tc>
        <w:tc>
          <w:tcPr>
            <w:tcW w:w="3112" w:type="dxa"/>
            <w:tcBorders>
              <w:top w:val="single" w:color="auto" w:sz="8" w:space="0"/>
            </w:tcBorders>
          </w:tcPr>
          <w:p w14:paraId="57428FFA">
            <w:pPr>
              <w:pStyle w:val="180"/>
            </w:pPr>
            <w:r>
              <w:rPr>
                <w:rFonts w:hint="eastAsia"/>
              </w:rPr>
              <w:t>0</w:t>
            </w:r>
          </w:p>
        </w:tc>
      </w:tr>
      <w:tr w14:paraId="3A6E9E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4B11685A">
            <w:pPr>
              <w:pStyle w:val="180"/>
            </w:pPr>
            <w:r>
              <w:rPr>
                <w:rFonts w:hint="eastAsia"/>
              </w:rPr>
              <w:t>二</w:t>
            </w:r>
          </w:p>
        </w:tc>
        <w:tc>
          <w:tcPr>
            <w:tcW w:w="3112" w:type="dxa"/>
          </w:tcPr>
          <w:p w14:paraId="75DD25F3">
            <w:pPr>
              <w:pStyle w:val="180"/>
            </w:pPr>
            <w:r>
              <w:rPr>
                <w:rFonts w:hint="eastAsia"/>
              </w:rPr>
              <w:t>15～20</w:t>
            </w:r>
          </w:p>
        </w:tc>
        <w:tc>
          <w:tcPr>
            <w:tcW w:w="3112" w:type="dxa"/>
          </w:tcPr>
          <w:p w14:paraId="4005D2A3">
            <w:pPr>
              <w:pStyle w:val="180"/>
            </w:pPr>
            <w:r>
              <w:rPr>
                <w:rFonts w:hint="eastAsia"/>
              </w:rPr>
              <w:t>4</w:t>
            </w:r>
          </w:p>
        </w:tc>
      </w:tr>
      <w:tr w14:paraId="000E7A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40CAC039">
            <w:pPr>
              <w:pStyle w:val="180"/>
            </w:pPr>
            <w:r>
              <w:rPr>
                <w:rFonts w:hint="eastAsia"/>
              </w:rPr>
              <w:t>三</w:t>
            </w:r>
          </w:p>
        </w:tc>
        <w:tc>
          <w:tcPr>
            <w:tcW w:w="3112" w:type="dxa"/>
          </w:tcPr>
          <w:p w14:paraId="3D3D0EF8">
            <w:pPr>
              <w:pStyle w:val="180"/>
            </w:pPr>
            <w:r>
              <w:rPr>
                <w:rFonts w:hint="eastAsia"/>
              </w:rPr>
              <w:t>10～15</w:t>
            </w:r>
          </w:p>
        </w:tc>
        <w:tc>
          <w:tcPr>
            <w:tcW w:w="3112" w:type="dxa"/>
          </w:tcPr>
          <w:p w14:paraId="6A7405C6">
            <w:pPr>
              <w:pStyle w:val="180"/>
            </w:pPr>
            <w:r>
              <w:rPr>
                <w:rFonts w:hint="eastAsia"/>
              </w:rPr>
              <w:t>6</w:t>
            </w:r>
          </w:p>
        </w:tc>
      </w:tr>
      <w:tr w14:paraId="6BEC55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Pr>
          <w:p w14:paraId="467617F0">
            <w:pPr>
              <w:pStyle w:val="180"/>
            </w:pPr>
            <w:r>
              <w:rPr>
                <w:rFonts w:hint="eastAsia"/>
              </w:rPr>
              <w:t>四</w:t>
            </w:r>
          </w:p>
        </w:tc>
        <w:tc>
          <w:tcPr>
            <w:tcW w:w="3112" w:type="dxa"/>
          </w:tcPr>
          <w:p w14:paraId="3B812EBA">
            <w:pPr>
              <w:pStyle w:val="180"/>
            </w:pPr>
            <w:r>
              <w:rPr>
                <w:rFonts w:hint="eastAsia"/>
              </w:rPr>
              <w:t>5～10</w:t>
            </w:r>
          </w:p>
        </w:tc>
        <w:tc>
          <w:tcPr>
            <w:tcW w:w="3112" w:type="dxa"/>
          </w:tcPr>
          <w:p w14:paraId="65EA6332">
            <w:pPr>
              <w:pStyle w:val="180"/>
            </w:pPr>
            <w:r>
              <w:rPr>
                <w:rFonts w:hint="eastAsia"/>
              </w:rPr>
              <w:t>8</w:t>
            </w:r>
          </w:p>
        </w:tc>
      </w:tr>
      <w:tr w14:paraId="07046F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Borders>
              <w:bottom w:val="single" w:color="auto" w:sz="8" w:space="0"/>
            </w:tcBorders>
            <w:vAlign w:val="center"/>
          </w:tcPr>
          <w:p w14:paraId="64A81F23">
            <w:pPr>
              <w:pStyle w:val="180"/>
            </w:pPr>
            <w:r>
              <w:rPr>
                <w:rFonts w:hint="eastAsia"/>
              </w:rPr>
              <w:t>五</w:t>
            </w:r>
          </w:p>
        </w:tc>
        <w:tc>
          <w:tcPr>
            <w:tcW w:w="3112" w:type="dxa"/>
            <w:tcBorders>
              <w:bottom w:val="single" w:color="auto" w:sz="8" w:space="0"/>
            </w:tcBorders>
            <w:vAlign w:val="center"/>
          </w:tcPr>
          <w:p w14:paraId="20BF5FC1">
            <w:pPr>
              <w:pStyle w:val="180"/>
            </w:pPr>
            <w:r>
              <w:rPr>
                <w:rFonts w:hint="eastAsia"/>
              </w:rPr>
              <w:t>≤5</w:t>
            </w:r>
          </w:p>
        </w:tc>
        <w:tc>
          <w:tcPr>
            <w:tcW w:w="3112" w:type="dxa"/>
            <w:tcBorders>
              <w:bottom w:val="single" w:color="auto" w:sz="8" w:space="0"/>
            </w:tcBorders>
            <w:vAlign w:val="center"/>
          </w:tcPr>
          <w:p w14:paraId="68C92103">
            <w:pPr>
              <w:pStyle w:val="180"/>
            </w:pPr>
            <w:r>
              <w:rPr>
                <w:rFonts w:hint="eastAsia"/>
              </w:rPr>
              <w:t>10</w:t>
            </w:r>
          </w:p>
        </w:tc>
      </w:tr>
    </w:tbl>
    <w:p w14:paraId="502C80BA">
      <w:pPr>
        <w:pStyle w:val="67"/>
        <w:spacing w:before="156" w:after="156"/>
      </w:pPr>
      <w:bookmarkStart w:id="98" w:name="_Toc199680198"/>
      <w:bookmarkStart w:id="99" w:name="_Toc201339645"/>
      <w:bookmarkStart w:id="100" w:name="_Toc165363351"/>
      <w:r>
        <w:rPr>
          <w:rFonts w:hint="eastAsia"/>
        </w:rPr>
        <w:t>社会经济因子指数</w:t>
      </w:r>
      <w:bookmarkEnd w:id="98"/>
      <w:bookmarkEnd w:id="99"/>
      <w:bookmarkEnd w:id="100"/>
    </w:p>
    <w:p w14:paraId="56534C4A">
      <w:pPr>
        <w:pStyle w:val="58"/>
        <w:ind w:firstLine="420"/>
      </w:pPr>
      <w:r>
        <w:rPr>
          <w:rFonts w:hint="eastAsia"/>
        </w:rPr>
        <w:t>根据公路、铁路和居民区数据计算火险监测点到公路或铁路的距离</w:t>
      </w:r>
      <m:oMath>
        <m:r>
          <m:rPr/>
          <w:rPr>
            <w:rFonts w:ascii="Cambria Math" w:hAnsi="Cambria Math"/>
          </w:rPr>
          <m:t>Dr</m:t>
        </m:r>
      </m:oMath>
      <w:r>
        <w:rPr>
          <w:rFonts w:hint="eastAsia"/>
        </w:rPr>
        <w:t>、监测点到居民区的距离</w:t>
      </w:r>
      <m:oMath>
        <m:r>
          <m:rPr/>
          <w:rPr>
            <w:rFonts w:ascii="Cambria Math" w:hAnsi="Cambria Math"/>
          </w:rPr>
          <m:t>Ds</m:t>
        </m:r>
      </m:oMath>
      <w:r>
        <w:rPr>
          <w:rFonts w:hint="eastAsia"/>
        </w:rPr>
        <w:t>，根据国家统计数据提取监测点所在县的人均国内生产总值</w:t>
      </w:r>
      <m:oMath>
        <m:r>
          <m:rPr/>
          <w:rPr>
            <w:rFonts w:ascii="Cambria Math" w:hAnsi="Cambria Math"/>
          </w:rPr>
          <m:t>GDP</m:t>
        </m:r>
      </m:oMath>
      <w:r>
        <w:rPr>
          <w:rFonts w:hint="eastAsia"/>
        </w:rPr>
        <w:t>和人口密度</w:t>
      </w:r>
      <m:oMath>
        <m:r>
          <m:rPr/>
          <w:rPr>
            <w:rFonts w:ascii="Cambria Math" w:hAnsi="Cambria Math"/>
          </w:rPr>
          <m:t>Pop</m:t>
        </m:r>
      </m:oMath>
      <w:r>
        <w:rPr>
          <w:rFonts w:hint="eastAsia"/>
        </w:rPr>
        <w:t>，从社会经济数据应用中心提取监测点1km</w:t>
      </w:r>
      <w:r>
        <w:rPr>
          <w:rFonts w:hint="eastAsia"/>
          <w:vertAlign w:val="superscript"/>
        </w:rPr>
        <w:t>2</w:t>
      </w:r>
      <w:r>
        <w:rPr>
          <w:rFonts w:hint="eastAsia"/>
        </w:rPr>
        <w:t>范围内的人类足迹</w:t>
      </w:r>
      <m:oMath>
        <m:r>
          <m:rPr/>
          <w:rPr>
            <w:rFonts w:ascii="Cambria Math" w:hAnsi="Cambria Math"/>
          </w:rPr>
          <m:t>Hfp</m:t>
        </m:r>
      </m:oMath>
      <w:r>
        <w:rPr>
          <w:rFonts w:hint="eastAsia"/>
        </w:rPr>
        <w:t>，森林-城镇交界域</w:t>
      </w:r>
      <m:oMath>
        <m:r>
          <m:rPr/>
          <w:rPr>
            <w:rFonts w:ascii="Cambria Math" w:hAnsi="Cambria Math"/>
          </w:rPr>
          <m:t>WUI</m:t>
        </m:r>
      </m:oMath>
      <w:r>
        <w:rPr>
          <w:rFonts w:hint="eastAsia"/>
        </w:rPr>
        <w:t>，宜按式（2）计算社会经济因子指数。</w:t>
      </w:r>
    </w:p>
    <w:p w14:paraId="54A2A23A">
      <w:pPr>
        <w:pStyle w:val="115"/>
        <w:rPr>
          <w:rFonts w:hint="eastAsia"/>
        </w:rPr>
      </w:pPr>
      <w:r>
        <w:tab/>
      </w:r>
      <m:oMath>
        <m:r>
          <m:rPr/>
          <w:rPr>
            <w:rFonts w:ascii="Cambria Math" w:hAnsi="Cambria Math"/>
          </w:rPr>
          <m:t>SE=f</m:t>
        </m:r>
        <m:d>
          <m:dPr>
            <m:ctrlPr>
              <w:rPr>
                <w:rFonts w:ascii="Cambria Math" w:hAnsi="Cambria Math"/>
              </w:rPr>
            </m:ctrlPr>
          </m:dPr>
          <m:e>
            <m:r>
              <m:rPr/>
              <w:rPr>
                <w:rFonts w:ascii="Cambria Math" w:hAnsi="Cambria Math"/>
              </w:rPr>
              <m:t>Dr</m:t>
            </m:r>
            <m:ctrlPr>
              <w:rPr>
                <w:rFonts w:ascii="Cambria Math" w:hAnsi="Cambria Math"/>
              </w:rPr>
            </m:ctrlPr>
          </m:e>
        </m:d>
        <m:r>
          <m:rPr/>
          <w:rPr>
            <w:rFonts w:ascii="Cambria Math" w:hAnsi="Cambria Math"/>
          </w:rPr>
          <m:t>+f</m:t>
        </m:r>
        <m:d>
          <m:dPr>
            <m:ctrlPr>
              <w:rPr>
                <w:rFonts w:ascii="Cambria Math" w:hAnsi="Cambria Math"/>
              </w:rPr>
            </m:ctrlPr>
          </m:dPr>
          <m:e>
            <m:r>
              <m:rPr/>
              <w:rPr>
                <w:rFonts w:ascii="Cambria Math" w:hAnsi="Cambria Math"/>
              </w:rPr>
              <m:t>Ds</m:t>
            </m:r>
            <m:ctrlPr>
              <w:rPr>
                <w:rFonts w:ascii="Cambria Math" w:hAnsi="Cambria Math"/>
              </w:rPr>
            </m:ctrlPr>
          </m:e>
        </m:d>
        <m:r>
          <m:rPr/>
          <w:rPr>
            <w:rFonts w:ascii="Cambria Math" w:hAnsi="Cambria Math"/>
          </w:rPr>
          <m:t>+f</m:t>
        </m:r>
        <m:d>
          <m:dPr>
            <m:ctrlPr>
              <w:rPr>
                <w:rFonts w:ascii="Cambria Math" w:hAnsi="Cambria Math"/>
              </w:rPr>
            </m:ctrlPr>
          </m:dPr>
          <m:e>
            <m:r>
              <m:rPr/>
              <w:rPr>
                <w:rFonts w:ascii="Cambria Math" w:hAnsi="Cambria Math"/>
              </w:rPr>
              <m:t>GDP</m:t>
            </m:r>
            <m:ctrlPr>
              <w:rPr>
                <w:rFonts w:ascii="Cambria Math" w:hAnsi="Cambria Math"/>
              </w:rPr>
            </m:ctrlPr>
          </m:e>
        </m:d>
        <m:r>
          <m:rPr/>
          <w:rPr>
            <w:rFonts w:ascii="Cambria Math" w:hAnsi="Cambria Math"/>
          </w:rPr>
          <m:t>+f</m:t>
        </m:r>
        <m:d>
          <m:dPr>
            <m:ctrlPr>
              <w:rPr>
                <w:rFonts w:ascii="Cambria Math" w:hAnsi="Cambria Math"/>
              </w:rPr>
            </m:ctrlPr>
          </m:dPr>
          <m:e>
            <m:r>
              <m:rPr/>
              <w:rPr>
                <w:rFonts w:ascii="Cambria Math" w:hAnsi="Cambria Math"/>
              </w:rPr>
              <m:t>Pop</m:t>
            </m:r>
            <m:ctrlPr>
              <w:rPr>
                <w:rFonts w:ascii="Cambria Math" w:hAnsi="Cambria Math"/>
              </w:rPr>
            </m:ctrlPr>
          </m:e>
        </m:d>
        <m:r>
          <m:rPr/>
          <w:rPr>
            <w:rFonts w:ascii="Cambria Math" w:hAnsi="Cambria Math"/>
          </w:rPr>
          <m:t>+f</m:t>
        </m:r>
        <m:d>
          <m:dPr>
            <m:ctrlPr>
              <w:rPr>
                <w:rFonts w:ascii="Cambria Math" w:hAnsi="Cambria Math"/>
              </w:rPr>
            </m:ctrlPr>
          </m:dPr>
          <m:e>
            <m:r>
              <m:rPr/>
              <w:rPr>
                <w:rFonts w:ascii="Cambria Math" w:hAnsi="Cambria Math"/>
              </w:rPr>
              <m:t>Hfp</m:t>
            </m:r>
            <m:ctrlPr>
              <w:rPr>
                <w:rFonts w:ascii="Cambria Math" w:hAnsi="Cambria Math"/>
              </w:rPr>
            </m:ctrlPr>
          </m:e>
        </m:d>
        <m:r>
          <m:rPr/>
          <w:rPr>
            <w:rFonts w:ascii="Cambria Math" w:hAnsi="Cambria Math"/>
          </w:rPr>
          <m:t>+f(WUI)</m:t>
        </m:r>
      </m:oMath>
      <w:r>
        <w:rPr>
          <w:rFonts w:ascii="微软雅黑" w:hAnsi="微软雅黑" w:eastAsia="微软雅黑"/>
        </w:rPr>
        <w:tab/>
      </w:r>
      <w:r>
        <w:t>(</w:t>
      </w:r>
      <w:r>
        <w:fldChar w:fldCharType="begin"/>
      </w:r>
      <w:r>
        <w:instrText xml:space="preserve"> AUTONUM </w:instrText>
      </w:r>
      <w:r>
        <w:fldChar w:fldCharType="end"/>
      </w:r>
      <w:r>
        <w:t>)</w:t>
      </w:r>
    </w:p>
    <w:p w14:paraId="7E3661C2">
      <w:pPr>
        <w:pStyle w:val="57"/>
        <w:ind w:firstLine="420"/>
      </w:pPr>
      <w:r>
        <w:rPr>
          <w:rFonts w:hint="eastAsia"/>
        </w:rPr>
        <w:t>式中：</w:t>
      </w:r>
    </w:p>
    <w:p w14:paraId="075155C0">
      <w:pPr>
        <w:pStyle w:val="57"/>
        <w:spacing w:line="240" w:lineRule="auto"/>
        <w:ind w:firstLine="420"/>
      </w:pPr>
      <m:oMath>
        <m:r>
          <m:rPr/>
          <w:rPr>
            <w:rFonts w:ascii="Cambria Math" w:hAnsi="Cambria Math"/>
          </w:rPr>
          <m:t>SE</m:t>
        </m:r>
      </m:oMath>
      <w:r>
        <w:rPr>
          <w:rFonts w:hint="eastAsia"/>
        </w:rPr>
        <w:t>——社会经济因子指数的函数表达式；</w:t>
      </w:r>
    </w:p>
    <w:p w14:paraId="56536D68">
      <w:pPr>
        <w:pStyle w:val="58"/>
        <w:ind w:firstLine="420"/>
      </w:pPr>
      <m:oMath>
        <m:r>
          <m:rPr/>
          <w:rPr>
            <w:rFonts w:ascii="Cambria Math" w:hAnsi="Cambria Math"/>
          </w:rPr>
          <m:t>D</m:t>
        </m:r>
        <m:r>
          <m:rPr/>
          <w:rPr>
            <w:rFonts w:hint="eastAsia" w:ascii="Cambria Math" w:hAnsi="Cambria Math"/>
          </w:rPr>
          <m:t>r</m:t>
        </m:r>
      </m:oMath>
      <w:r>
        <w:rPr>
          <w:rFonts w:hint="eastAsia"/>
        </w:rPr>
        <w:t>——到公路或铁路的距离；</w:t>
      </w:r>
    </w:p>
    <w:p w14:paraId="599913A2">
      <w:pPr>
        <w:pStyle w:val="58"/>
        <w:ind w:firstLine="420"/>
      </w:pPr>
      <m:oMath>
        <m:r>
          <m:rPr/>
          <w:rPr>
            <w:rFonts w:ascii="Cambria Math" w:hAnsi="Cambria Math"/>
          </w:rPr>
          <m:t>D</m:t>
        </m:r>
        <m:r>
          <m:rPr/>
          <w:rPr>
            <w:rFonts w:hint="eastAsia" w:ascii="Cambria Math" w:hAnsi="Cambria Math"/>
          </w:rPr>
          <m:t>s</m:t>
        </m:r>
      </m:oMath>
      <w:r>
        <w:rPr>
          <w:rFonts w:hint="eastAsia"/>
        </w:rPr>
        <w:t>——到居民区的距离；</w:t>
      </w:r>
    </w:p>
    <w:p w14:paraId="60931A6C">
      <w:pPr>
        <w:pStyle w:val="58"/>
        <w:ind w:firstLine="420"/>
      </w:pPr>
      <m:oMath>
        <m:r>
          <m:rPr/>
          <w:rPr>
            <w:rFonts w:ascii="Cambria Math" w:hAnsi="Cambria Math"/>
          </w:rPr>
          <m:t>GDP</m:t>
        </m:r>
      </m:oMath>
      <w:r>
        <w:rPr>
          <w:rFonts w:hint="eastAsia"/>
        </w:rPr>
        <w:t>——国民生产总值；</w:t>
      </w:r>
    </w:p>
    <w:p w14:paraId="066982A5">
      <w:pPr>
        <w:pStyle w:val="58"/>
        <w:ind w:firstLine="420"/>
      </w:pPr>
      <m:oMath>
        <m:r>
          <m:rPr/>
          <w:rPr>
            <w:rFonts w:ascii="Cambria Math" w:hAnsi="Cambria Math"/>
          </w:rPr>
          <m:t>P</m:t>
        </m:r>
        <m:r>
          <m:rPr/>
          <w:rPr>
            <w:rFonts w:hint="eastAsia" w:ascii="Cambria Math" w:hAnsi="Cambria Math"/>
          </w:rPr>
          <m:t>op</m:t>
        </m:r>
      </m:oMath>
      <w:r>
        <w:rPr>
          <w:rFonts w:hint="eastAsia"/>
        </w:rPr>
        <w:t>——人口密度；</w:t>
      </w:r>
    </w:p>
    <w:p w14:paraId="18C5AC84">
      <w:pPr>
        <w:pStyle w:val="58"/>
        <w:ind w:firstLine="420"/>
      </w:pPr>
      <m:oMath>
        <m:r>
          <m:rPr/>
          <w:rPr>
            <w:rFonts w:ascii="Cambria Math" w:hAnsi="Cambria Math"/>
          </w:rPr>
          <m:t>Hfp</m:t>
        </m:r>
      </m:oMath>
      <w:r>
        <w:rPr>
          <w:rFonts w:hint="eastAsia"/>
        </w:rPr>
        <w:t>——人类足迹；</w:t>
      </w:r>
    </w:p>
    <w:p w14:paraId="7277FCBF">
      <w:pPr>
        <w:pStyle w:val="58"/>
        <w:ind w:firstLine="420"/>
      </w:pPr>
      <m:oMath>
        <m:r>
          <m:rPr/>
          <w:rPr>
            <w:rFonts w:ascii="Cambria Math" w:hAnsi="Cambria Math"/>
          </w:rPr>
          <m:t>WUI</m:t>
        </m:r>
      </m:oMath>
      <w:r>
        <w:rPr>
          <w:rFonts w:hint="eastAsia"/>
        </w:rPr>
        <w:t>——森林-城镇交界域。</w:t>
      </w:r>
    </w:p>
    <w:p w14:paraId="00281F74">
      <w:pPr>
        <w:pStyle w:val="58"/>
        <w:ind w:firstLine="420"/>
      </w:pPr>
      <w:r>
        <w:rPr>
          <w:rFonts w:hint="eastAsia"/>
        </w:rPr>
        <w:t>式（2）中WUI为布尔值，监测点处于森林-城镇交界域时取值为15，反之取值为0。其它因子的区间范围及其对应取值宜参考表5～表9执行。</w:t>
      </w:r>
    </w:p>
    <w:p w14:paraId="1E4B668E">
      <w:pPr>
        <w:pStyle w:val="114"/>
        <w:spacing w:before="156" w:after="156"/>
      </w:pPr>
      <w:r>
        <w:rPr>
          <w:rFonts w:hint="eastAsia"/>
        </w:rPr>
        <w:t>到公路或铁路的距离及其函数值查对表</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332"/>
        <w:gridCol w:w="1333"/>
        <w:gridCol w:w="1333"/>
        <w:gridCol w:w="1334"/>
        <w:gridCol w:w="1334"/>
        <w:gridCol w:w="1334"/>
        <w:gridCol w:w="1334"/>
      </w:tblGrid>
      <w:tr w14:paraId="022FE3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332" w:type="dxa"/>
            <w:tcBorders>
              <w:top w:val="single" w:color="auto" w:sz="8" w:space="0"/>
              <w:bottom w:val="single" w:color="auto" w:sz="8" w:space="0"/>
            </w:tcBorders>
            <w:vAlign w:val="center"/>
          </w:tcPr>
          <w:p w14:paraId="4DAA1F04">
            <w:pPr>
              <w:pStyle w:val="180"/>
              <w:rPr>
                <w:i/>
              </w:rPr>
            </w:pPr>
            <m:oMathPara>
              <m:oMath>
                <m:r>
                  <m:rPr/>
                  <w:rPr>
                    <w:rFonts w:hAnsi="Cambria Math"/>
                  </w:rPr>
                  <m:t>Dr</m:t>
                </m:r>
                <m:r>
                  <m:rPr>
                    <m:sty m:val="p"/>
                  </m:rPr>
                  <w:rPr>
                    <w:rFonts w:hAnsi="Cambria Math"/>
                  </w:rPr>
                  <m:t xml:space="preserve"> (m)</m:t>
                </m:r>
              </m:oMath>
            </m:oMathPara>
          </w:p>
        </w:tc>
        <w:tc>
          <w:tcPr>
            <w:tcW w:w="1333" w:type="dxa"/>
            <w:tcBorders>
              <w:top w:val="single" w:color="auto" w:sz="8" w:space="0"/>
              <w:bottom w:val="single" w:color="auto" w:sz="8" w:space="0"/>
            </w:tcBorders>
            <w:vAlign w:val="center"/>
          </w:tcPr>
          <w:p w14:paraId="1274C4FB">
            <w:pPr>
              <w:pStyle w:val="180"/>
            </w:pPr>
            <w:r>
              <w:rPr>
                <w:rFonts w:hint="eastAsia"/>
              </w:rPr>
              <w:t>&gt;40</w:t>
            </w:r>
          </w:p>
        </w:tc>
        <w:tc>
          <w:tcPr>
            <w:tcW w:w="1333" w:type="dxa"/>
            <w:tcBorders>
              <w:top w:val="single" w:color="auto" w:sz="8" w:space="0"/>
              <w:bottom w:val="single" w:color="auto" w:sz="8" w:space="0"/>
            </w:tcBorders>
            <w:vAlign w:val="center"/>
          </w:tcPr>
          <w:p w14:paraId="24B59392">
            <w:pPr>
              <w:pStyle w:val="180"/>
            </w:pPr>
            <w:r>
              <w:rPr>
                <w:rFonts w:hint="eastAsia"/>
              </w:rPr>
              <w:t>30～40</w:t>
            </w:r>
          </w:p>
        </w:tc>
        <w:tc>
          <w:tcPr>
            <w:tcW w:w="1334" w:type="dxa"/>
            <w:tcBorders>
              <w:top w:val="single" w:color="auto" w:sz="8" w:space="0"/>
              <w:bottom w:val="single" w:color="auto" w:sz="8" w:space="0"/>
            </w:tcBorders>
            <w:vAlign w:val="center"/>
          </w:tcPr>
          <w:p w14:paraId="64EB1F54">
            <w:pPr>
              <w:pStyle w:val="180"/>
            </w:pPr>
            <w:r>
              <w:rPr>
                <w:rFonts w:hint="eastAsia"/>
              </w:rPr>
              <w:t>20～30</w:t>
            </w:r>
          </w:p>
        </w:tc>
        <w:tc>
          <w:tcPr>
            <w:tcW w:w="1334" w:type="dxa"/>
            <w:tcBorders>
              <w:top w:val="single" w:color="auto" w:sz="8" w:space="0"/>
              <w:bottom w:val="single" w:color="auto" w:sz="8" w:space="0"/>
            </w:tcBorders>
            <w:vAlign w:val="center"/>
          </w:tcPr>
          <w:p w14:paraId="2B1DCACF">
            <w:pPr>
              <w:pStyle w:val="180"/>
            </w:pPr>
            <w:r>
              <w:rPr>
                <w:rFonts w:hint="eastAsia"/>
              </w:rPr>
              <w:t>10～20</w:t>
            </w:r>
          </w:p>
        </w:tc>
        <w:tc>
          <w:tcPr>
            <w:tcW w:w="1334" w:type="dxa"/>
            <w:tcBorders>
              <w:top w:val="single" w:color="auto" w:sz="8" w:space="0"/>
              <w:bottom w:val="single" w:color="auto" w:sz="8" w:space="0"/>
            </w:tcBorders>
            <w:vAlign w:val="center"/>
          </w:tcPr>
          <w:p w14:paraId="30FA3341">
            <w:pPr>
              <w:pStyle w:val="180"/>
            </w:pPr>
            <w:r>
              <w:rPr>
                <w:rFonts w:hint="eastAsia"/>
              </w:rPr>
              <w:t>5～10</w:t>
            </w:r>
          </w:p>
        </w:tc>
        <w:tc>
          <w:tcPr>
            <w:tcW w:w="1334" w:type="dxa"/>
            <w:tcBorders>
              <w:top w:val="single" w:color="auto" w:sz="8" w:space="0"/>
              <w:bottom w:val="single" w:color="auto" w:sz="8" w:space="0"/>
            </w:tcBorders>
            <w:vAlign w:val="center"/>
          </w:tcPr>
          <w:p w14:paraId="098D061B">
            <w:pPr>
              <w:pStyle w:val="180"/>
            </w:pPr>
            <w:r>
              <w:rPr>
                <w:rFonts w:hint="eastAsia"/>
              </w:rPr>
              <w:t>≤5</w:t>
            </w:r>
          </w:p>
        </w:tc>
      </w:tr>
      <w:tr w14:paraId="02EA2C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332" w:type="dxa"/>
            <w:tcBorders>
              <w:top w:val="single" w:color="auto" w:sz="8" w:space="0"/>
            </w:tcBorders>
            <w:vAlign w:val="center"/>
          </w:tcPr>
          <w:p w14:paraId="0244AB7E">
            <w:pPr>
              <w:pStyle w:val="180"/>
              <w:rPr>
                <w:rFonts w:hAnsi="Cambria Math"/>
                <w:i/>
              </w:rPr>
            </w:pPr>
            <m:oMathPara>
              <m:oMath>
                <m:r>
                  <m:rPr/>
                  <w:rPr>
                    <w:rFonts w:hAnsi="Cambria Math"/>
                  </w:rPr>
                  <m:t>f</m:t>
                </m:r>
                <m:d>
                  <m:dPr>
                    <m:ctrlPr>
                      <w:rPr>
                        <w:rFonts w:ascii="Cambria Math" w:hAnsi="Cambria Math"/>
                      </w:rPr>
                    </m:ctrlPr>
                  </m:dPr>
                  <m:e>
                    <m:r>
                      <m:rPr/>
                      <w:rPr>
                        <w:rFonts w:hAnsi="Cambria Math"/>
                      </w:rPr>
                      <m:t>Dr</m:t>
                    </m:r>
                    <m:ctrlPr>
                      <w:rPr>
                        <w:rFonts w:ascii="Cambria Math" w:hAnsi="Cambria Math"/>
                      </w:rPr>
                    </m:ctrlPr>
                  </m:e>
                </m:d>
              </m:oMath>
            </m:oMathPara>
          </w:p>
        </w:tc>
        <w:tc>
          <w:tcPr>
            <w:tcW w:w="1333" w:type="dxa"/>
            <w:tcBorders>
              <w:top w:val="single" w:color="auto" w:sz="8" w:space="0"/>
            </w:tcBorders>
            <w:vAlign w:val="center"/>
          </w:tcPr>
          <w:p w14:paraId="1F73A1F9">
            <w:pPr>
              <w:pStyle w:val="180"/>
            </w:pPr>
            <w:r>
              <w:rPr>
                <w:rFonts w:hint="eastAsia"/>
              </w:rPr>
              <w:t>0</w:t>
            </w:r>
          </w:p>
        </w:tc>
        <w:tc>
          <w:tcPr>
            <w:tcW w:w="1333" w:type="dxa"/>
            <w:tcBorders>
              <w:top w:val="single" w:color="auto" w:sz="8" w:space="0"/>
            </w:tcBorders>
            <w:vAlign w:val="center"/>
          </w:tcPr>
          <w:p w14:paraId="3219837A">
            <w:pPr>
              <w:pStyle w:val="180"/>
            </w:pPr>
            <w:r>
              <w:rPr>
                <w:rFonts w:hint="eastAsia"/>
              </w:rPr>
              <w:t>3</w:t>
            </w:r>
          </w:p>
        </w:tc>
        <w:tc>
          <w:tcPr>
            <w:tcW w:w="1334" w:type="dxa"/>
            <w:tcBorders>
              <w:top w:val="single" w:color="auto" w:sz="8" w:space="0"/>
            </w:tcBorders>
            <w:vAlign w:val="center"/>
          </w:tcPr>
          <w:p w14:paraId="17D5B019">
            <w:pPr>
              <w:pStyle w:val="180"/>
            </w:pPr>
            <w:r>
              <w:rPr>
                <w:rFonts w:hint="eastAsia"/>
              </w:rPr>
              <w:t>6</w:t>
            </w:r>
          </w:p>
        </w:tc>
        <w:tc>
          <w:tcPr>
            <w:tcW w:w="1334" w:type="dxa"/>
            <w:tcBorders>
              <w:top w:val="single" w:color="auto" w:sz="8" w:space="0"/>
            </w:tcBorders>
            <w:vAlign w:val="center"/>
          </w:tcPr>
          <w:p w14:paraId="7BD15B36">
            <w:pPr>
              <w:pStyle w:val="180"/>
            </w:pPr>
            <w:r>
              <w:rPr>
                <w:rFonts w:hint="eastAsia"/>
              </w:rPr>
              <w:t>9</w:t>
            </w:r>
          </w:p>
        </w:tc>
        <w:tc>
          <w:tcPr>
            <w:tcW w:w="1334" w:type="dxa"/>
            <w:tcBorders>
              <w:top w:val="single" w:color="auto" w:sz="8" w:space="0"/>
            </w:tcBorders>
            <w:vAlign w:val="center"/>
          </w:tcPr>
          <w:p w14:paraId="29A5264C">
            <w:pPr>
              <w:pStyle w:val="180"/>
            </w:pPr>
            <w:r>
              <w:rPr>
                <w:rFonts w:hint="eastAsia"/>
              </w:rPr>
              <w:t>12</w:t>
            </w:r>
          </w:p>
        </w:tc>
        <w:tc>
          <w:tcPr>
            <w:tcW w:w="1334" w:type="dxa"/>
            <w:tcBorders>
              <w:top w:val="single" w:color="auto" w:sz="8" w:space="0"/>
            </w:tcBorders>
            <w:vAlign w:val="center"/>
          </w:tcPr>
          <w:p w14:paraId="3FBAF8DE">
            <w:pPr>
              <w:pStyle w:val="180"/>
            </w:pPr>
            <w:r>
              <w:rPr>
                <w:rFonts w:hint="eastAsia"/>
              </w:rPr>
              <w:t>15</w:t>
            </w:r>
          </w:p>
        </w:tc>
      </w:tr>
    </w:tbl>
    <w:p w14:paraId="6CBADC48">
      <w:pPr>
        <w:pStyle w:val="114"/>
        <w:spacing w:before="156" w:after="156"/>
      </w:pPr>
      <w:r>
        <w:rPr>
          <w:rFonts w:hint="eastAsia"/>
        </w:rPr>
        <w:t>到居民区的距离及其函数值查对表</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229"/>
        <w:gridCol w:w="1154"/>
        <w:gridCol w:w="1213"/>
        <w:gridCol w:w="1187"/>
        <w:gridCol w:w="1187"/>
        <w:gridCol w:w="1187"/>
        <w:gridCol w:w="962"/>
        <w:gridCol w:w="1215"/>
      </w:tblGrid>
      <w:tr w14:paraId="179F9F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229" w:type="dxa"/>
            <w:tcBorders>
              <w:top w:val="single" w:color="auto" w:sz="8" w:space="0"/>
              <w:bottom w:val="single" w:color="auto" w:sz="8" w:space="0"/>
            </w:tcBorders>
            <w:vAlign w:val="center"/>
          </w:tcPr>
          <w:p w14:paraId="57A19A90">
            <w:pPr>
              <w:pStyle w:val="180"/>
            </w:pPr>
            <m:oMathPara>
              <m:oMath>
                <m:r>
                  <m:rPr/>
                  <w:rPr>
                    <w:rFonts w:hAnsi="Cambria Math"/>
                  </w:rPr>
                  <m:t>Ds</m:t>
                </m:r>
                <m:r>
                  <m:rPr>
                    <m:sty m:val="p"/>
                  </m:rPr>
                  <w:rPr>
                    <w:rFonts w:hAnsi="Cambria Math"/>
                  </w:rPr>
                  <m:t xml:space="preserve"> (m)</m:t>
                </m:r>
              </m:oMath>
            </m:oMathPara>
          </w:p>
        </w:tc>
        <w:tc>
          <w:tcPr>
            <w:tcW w:w="1154" w:type="dxa"/>
            <w:tcBorders>
              <w:top w:val="single" w:color="auto" w:sz="8" w:space="0"/>
              <w:bottom w:val="single" w:color="auto" w:sz="8" w:space="0"/>
            </w:tcBorders>
            <w:vAlign w:val="center"/>
          </w:tcPr>
          <w:p w14:paraId="6DB36026">
            <w:pPr>
              <w:pStyle w:val="180"/>
            </w:pPr>
            <w:r>
              <w:rPr>
                <w:rFonts w:hint="eastAsia"/>
              </w:rPr>
              <w:t>&gt;1000</w:t>
            </w:r>
          </w:p>
        </w:tc>
        <w:tc>
          <w:tcPr>
            <w:tcW w:w="1213" w:type="dxa"/>
            <w:tcBorders>
              <w:top w:val="single" w:color="auto" w:sz="8" w:space="0"/>
              <w:bottom w:val="single" w:color="auto" w:sz="8" w:space="0"/>
            </w:tcBorders>
            <w:vAlign w:val="center"/>
          </w:tcPr>
          <w:p w14:paraId="157C89D8">
            <w:pPr>
              <w:pStyle w:val="180"/>
            </w:pPr>
            <w:r>
              <w:rPr>
                <w:rFonts w:hint="eastAsia"/>
              </w:rPr>
              <w:t>800～1000</w:t>
            </w:r>
          </w:p>
        </w:tc>
        <w:tc>
          <w:tcPr>
            <w:tcW w:w="1187" w:type="dxa"/>
            <w:tcBorders>
              <w:top w:val="single" w:color="auto" w:sz="8" w:space="0"/>
              <w:bottom w:val="single" w:color="auto" w:sz="8" w:space="0"/>
            </w:tcBorders>
          </w:tcPr>
          <w:p w14:paraId="65C0D6A5">
            <w:pPr>
              <w:pStyle w:val="180"/>
            </w:pPr>
            <w:r>
              <w:rPr>
                <w:rFonts w:hint="eastAsia"/>
              </w:rPr>
              <w:t>600～800</w:t>
            </w:r>
          </w:p>
        </w:tc>
        <w:tc>
          <w:tcPr>
            <w:tcW w:w="1187" w:type="dxa"/>
            <w:tcBorders>
              <w:top w:val="single" w:color="auto" w:sz="8" w:space="0"/>
              <w:bottom w:val="single" w:color="auto" w:sz="8" w:space="0"/>
            </w:tcBorders>
          </w:tcPr>
          <w:p w14:paraId="31F7541B">
            <w:pPr>
              <w:pStyle w:val="180"/>
            </w:pPr>
            <w:r>
              <w:rPr>
                <w:rFonts w:hint="eastAsia"/>
              </w:rPr>
              <w:t>400～600</w:t>
            </w:r>
          </w:p>
        </w:tc>
        <w:tc>
          <w:tcPr>
            <w:tcW w:w="1187" w:type="dxa"/>
            <w:tcBorders>
              <w:top w:val="single" w:color="auto" w:sz="8" w:space="0"/>
              <w:bottom w:val="single" w:color="auto" w:sz="8" w:space="0"/>
            </w:tcBorders>
            <w:vAlign w:val="center"/>
          </w:tcPr>
          <w:p w14:paraId="78625351">
            <w:pPr>
              <w:pStyle w:val="180"/>
            </w:pPr>
            <w:r>
              <w:rPr>
                <w:rFonts w:hint="eastAsia"/>
              </w:rPr>
              <w:t>200～400</w:t>
            </w:r>
          </w:p>
        </w:tc>
        <w:tc>
          <w:tcPr>
            <w:tcW w:w="962" w:type="dxa"/>
            <w:tcBorders>
              <w:top w:val="single" w:color="auto" w:sz="8" w:space="0"/>
              <w:bottom w:val="single" w:color="auto" w:sz="8" w:space="0"/>
            </w:tcBorders>
          </w:tcPr>
          <w:p w14:paraId="6F233D83">
            <w:pPr>
              <w:pStyle w:val="180"/>
            </w:pPr>
            <w:r>
              <w:rPr>
                <w:rFonts w:hint="eastAsia"/>
              </w:rPr>
              <w:t>100～200</w:t>
            </w:r>
          </w:p>
        </w:tc>
        <w:tc>
          <w:tcPr>
            <w:tcW w:w="1215" w:type="dxa"/>
            <w:tcBorders>
              <w:top w:val="single" w:color="auto" w:sz="8" w:space="0"/>
              <w:bottom w:val="single" w:color="auto" w:sz="8" w:space="0"/>
            </w:tcBorders>
            <w:vAlign w:val="center"/>
          </w:tcPr>
          <w:p w14:paraId="35FBCACB">
            <w:pPr>
              <w:pStyle w:val="180"/>
            </w:pPr>
            <w:r>
              <w:rPr>
                <w:rFonts w:hint="eastAsia"/>
              </w:rPr>
              <w:t>≤100</w:t>
            </w:r>
          </w:p>
        </w:tc>
      </w:tr>
      <w:tr w14:paraId="1A125F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229" w:type="dxa"/>
            <w:tcBorders>
              <w:top w:val="single" w:color="auto" w:sz="8" w:space="0"/>
            </w:tcBorders>
            <w:vAlign w:val="center"/>
          </w:tcPr>
          <w:p w14:paraId="61B68521">
            <w:pPr>
              <w:pStyle w:val="180"/>
            </w:pPr>
            <m:oMathPara>
              <m:oMath>
                <m:r>
                  <m:rPr/>
                  <w:rPr>
                    <w:rFonts w:hAnsi="Cambria Math"/>
                  </w:rPr>
                  <m:t>f</m:t>
                </m:r>
                <m:d>
                  <m:dPr>
                    <m:ctrlPr>
                      <w:rPr>
                        <w:rFonts w:ascii="Cambria Math" w:hAnsi="Cambria Math"/>
                      </w:rPr>
                    </m:ctrlPr>
                  </m:dPr>
                  <m:e>
                    <m:r>
                      <m:rPr/>
                      <w:rPr>
                        <w:rFonts w:hAnsi="Cambria Math"/>
                      </w:rPr>
                      <m:t>Ds</m:t>
                    </m:r>
                    <m:ctrlPr>
                      <w:rPr>
                        <w:rFonts w:ascii="Cambria Math" w:hAnsi="Cambria Math"/>
                      </w:rPr>
                    </m:ctrlPr>
                  </m:e>
                </m:d>
              </m:oMath>
            </m:oMathPara>
          </w:p>
        </w:tc>
        <w:tc>
          <w:tcPr>
            <w:tcW w:w="1154" w:type="dxa"/>
            <w:tcBorders>
              <w:top w:val="single" w:color="auto" w:sz="8" w:space="0"/>
            </w:tcBorders>
            <w:vAlign w:val="center"/>
          </w:tcPr>
          <w:p w14:paraId="321E3375">
            <w:pPr>
              <w:pStyle w:val="180"/>
            </w:pPr>
            <w:r>
              <w:rPr>
                <w:rFonts w:hint="eastAsia"/>
              </w:rPr>
              <w:t>0</w:t>
            </w:r>
          </w:p>
        </w:tc>
        <w:tc>
          <w:tcPr>
            <w:tcW w:w="1213" w:type="dxa"/>
            <w:tcBorders>
              <w:top w:val="single" w:color="auto" w:sz="8" w:space="0"/>
            </w:tcBorders>
            <w:vAlign w:val="center"/>
          </w:tcPr>
          <w:p w14:paraId="4BA8DBA1">
            <w:pPr>
              <w:pStyle w:val="180"/>
            </w:pPr>
            <w:r>
              <w:rPr>
                <w:rFonts w:hint="eastAsia"/>
              </w:rPr>
              <w:t>3</w:t>
            </w:r>
          </w:p>
        </w:tc>
        <w:tc>
          <w:tcPr>
            <w:tcW w:w="1187" w:type="dxa"/>
            <w:tcBorders>
              <w:top w:val="single" w:color="auto" w:sz="8" w:space="0"/>
            </w:tcBorders>
          </w:tcPr>
          <w:p w14:paraId="27FE9E4F">
            <w:pPr>
              <w:pStyle w:val="180"/>
            </w:pPr>
            <w:r>
              <w:rPr>
                <w:rFonts w:hint="eastAsia"/>
              </w:rPr>
              <w:t>6</w:t>
            </w:r>
          </w:p>
        </w:tc>
        <w:tc>
          <w:tcPr>
            <w:tcW w:w="1187" w:type="dxa"/>
            <w:tcBorders>
              <w:top w:val="single" w:color="auto" w:sz="8" w:space="0"/>
            </w:tcBorders>
          </w:tcPr>
          <w:p w14:paraId="6E0C08F9">
            <w:pPr>
              <w:pStyle w:val="180"/>
            </w:pPr>
            <w:r>
              <w:rPr>
                <w:rFonts w:hint="eastAsia"/>
              </w:rPr>
              <w:t>9</w:t>
            </w:r>
          </w:p>
        </w:tc>
        <w:tc>
          <w:tcPr>
            <w:tcW w:w="1187" w:type="dxa"/>
            <w:tcBorders>
              <w:top w:val="single" w:color="auto" w:sz="8" w:space="0"/>
            </w:tcBorders>
            <w:vAlign w:val="center"/>
          </w:tcPr>
          <w:p w14:paraId="5EC13536">
            <w:pPr>
              <w:pStyle w:val="180"/>
            </w:pPr>
            <w:r>
              <w:rPr>
                <w:rFonts w:hint="eastAsia"/>
              </w:rPr>
              <w:t>11</w:t>
            </w:r>
          </w:p>
        </w:tc>
        <w:tc>
          <w:tcPr>
            <w:tcW w:w="962" w:type="dxa"/>
            <w:tcBorders>
              <w:top w:val="single" w:color="auto" w:sz="8" w:space="0"/>
            </w:tcBorders>
          </w:tcPr>
          <w:p w14:paraId="35234317">
            <w:pPr>
              <w:pStyle w:val="180"/>
            </w:pPr>
            <w:r>
              <w:rPr>
                <w:rFonts w:hint="eastAsia"/>
              </w:rPr>
              <w:t>13</w:t>
            </w:r>
          </w:p>
        </w:tc>
        <w:tc>
          <w:tcPr>
            <w:tcW w:w="1215" w:type="dxa"/>
            <w:tcBorders>
              <w:top w:val="single" w:color="auto" w:sz="8" w:space="0"/>
            </w:tcBorders>
            <w:vAlign w:val="center"/>
          </w:tcPr>
          <w:p w14:paraId="24D1A778">
            <w:pPr>
              <w:pStyle w:val="180"/>
            </w:pPr>
            <w:r>
              <w:rPr>
                <w:rFonts w:hint="eastAsia"/>
              </w:rPr>
              <w:t>15</w:t>
            </w:r>
          </w:p>
        </w:tc>
      </w:tr>
    </w:tbl>
    <w:p w14:paraId="4DE52CE6">
      <w:pPr>
        <w:pStyle w:val="114"/>
        <w:spacing w:before="156" w:after="156"/>
      </w:pPr>
      <w:r>
        <w:rPr>
          <w:rFonts w:hint="eastAsia"/>
        </w:rPr>
        <w:t>人均国内生产总值及其函数值查对表</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168"/>
        <w:gridCol w:w="1168"/>
        <w:gridCol w:w="1168"/>
        <w:gridCol w:w="1168"/>
        <w:gridCol w:w="1168"/>
        <w:gridCol w:w="1168"/>
        <w:gridCol w:w="1168"/>
        <w:gridCol w:w="1168"/>
      </w:tblGrid>
      <w:tr w14:paraId="6604EC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168" w:type="dxa"/>
            <w:tcBorders>
              <w:top w:val="single" w:color="auto" w:sz="8" w:space="0"/>
              <w:bottom w:val="single" w:color="auto" w:sz="8" w:space="0"/>
            </w:tcBorders>
            <w:vAlign w:val="center"/>
          </w:tcPr>
          <w:p w14:paraId="6BF85722">
            <w:pPr>
              <w:pStyle w:val="180"/>
              <w:rPr>
                <w:rFonts w:ascii="黑体" w:eastAsia="黑体"/>
              </w:rPr>
            </w:pPr>
            <m:oMathPara>
              <m:oMath>
                <m:r>
                  <m:rPr/>
                  <w:rPr>
                    <w:rFonts w:hAnsi="Cambria Math"/>
                  </w:rPr>
                  <m:t>GDP</m:t>
                </m:r>
              </m:oMath>
            </m:oMathPara>
          </w:p>
          <w:p w14:paraId="31339C8D">
            <w:pPr>
              <w:pStyle w:val="180"/>
            </w:pPr>
            <m:oMathPara>
              <m:oMath>
                <m:r>
                  <m:rPr/>
                  <w:rPr>
                    <w:rFonts w:hAnsi="Cambria Math"/>
                  </w:rPr>
                  <m:t>(RMB/</m:t>
                </m:r>
                <m:sSup>
                  <m:sSupPr>
                    <m:ctrlPr>
                      <w:rPr>
                        <w:rFonts w:ascii="Cambria Math" w:hAnsi="Cambria Math"/>
                        <w:i/>
                      </w:rPr>
                    </m:ctrlPr>
                  </m:sSupPr>
                  <m:e>
                    <m:r>
                      <m:rPr/>
                      <w:rPr>
                        <w:rFonts w:hAnsi="Cambria Math"/>
                      </w:rPr>
                      <m:t>km</m:t>
                    </m:r>
                    <m:ctrlPr>
                      <w:rPr>
                        <w:rFonts w:ascii="Cambria Math" w:hAnsi="Cambria Math"/>
                        <w:i/>
                      </w:rPr>
                    </m:ctrlPr>
                  </m:e>
                  <m:sup>
                    <m:r>
                      <m:rPr/>
                      <w:rPr>
                        <w:rFonts w:hAnsi="Cambria Math"/>
                      </w:rPr>
                      <m:t>2</m:t>
                    </m:r>
                    <m:ctrlPr>
                      <w:rPr>
                        <w:rFonts w:ascii="Cambria Math" w:hAnsi="Cambria Math"/>
                        <w:i/>
                      </w:rPr>
                    </m:ctrlPr>
                  </m:sup>
                </m:sSup>
                <m:r>
                  <m:rPr/>
                  <w:rPr>
                    <w:rFonts w:hAnsi="Cambria Math"/>
                  </w:rPr>
                  <m:t>)</m:t>
                </m:r>
              </m:oMath>
            </m:oMathPara>
          </w:p>
        </w:tc>
        <w:tc>
          <w:tcPr>
            <w:tcW w:w="1168" w:type="dxa"/>
            <w:tcBorders>
              <w:top w:val="single" w:color="auto" w:sz="8" w:space="0"/>
              <w:bottom w:val="single" w:color="auto" w:sz="8" w:space="0"/>
            </w:tcBorders>
            <w:vAlign w:val="center"/>
          </w:tcPr>
          <w:p w14:paraId="2409A7F6">
            <w:pPr>
              <w:pStyle w:val="180"/>
            </w:pPr>
            <w:r>
              <w:rPr>
                <w:rFonts w:hint="eastAsia"/>
              </w:rPr>
              <w:t>≤10</w:t>
            </w:r>
          </w:p>
        </w:tc>
        <w:tc>
          <w:tcPr>
            <w:tcW w:w="1168" w:type="dxa"/>
            <w:tcBorders>
              <w:top w:val="single" w:color="auto" w:sz="8" w:space="0"/>
              <w:bottom w:val="single" w:color="auto" w:sz="8" w:space="0"/>
            </w:tcBorders>
            <w:vAlign w:val="center"/>
          </w:tcPr>
          <w:p w14:paraId="217D60EF">
            <w:pPr>
              <w:pStyle w:val="180"/>
            </w:pPr>
            <w:r>
              <w:rPr>
                <w:rFonts w:hint="eastAsia"/>
              </w:rPr>
              <w:t>10～30</w:t>
            </w:r>
          </w:p>
        </w:tc>
        <w:tc>
          <w:tcPr>
            <w:tcW w:w="1168" w:type="dxa"/>
            <w:tcBorders>
              <w:top w:val="single" w:color="auto" w:sz="8" w:space="0"/>
              <w:bottom w:val="single" w:color="auto" w:sz="8" w:space="0"/>
            </w:tcBorders>
            <w:vAlign w:val="center"/>
          </w:tcPr>
          <w:p w14:paraId="61FC7F1F">
            <w:pPr>
              <w:pStyle w:val="180"/>
            </w:pPr>
            <w:r>
              <w:rPr>
                <w:rFonts w:hint="eastAsia"/>
              </w:rPr>
              <w:t>30～50</w:t>
            </w:r>
          </w:p>
        </w:tc>
        <w:tc>
          <w:tcPr>
            <w:tcW w:w="1168" w:type="dxa"/>
            <w:tcBorders>
              <w:top w:val="single" w:color="auto" w:sz="8" w:space="0"/>
              <w:bottom w:val="single" w:color="auto" w:sz="8" w:space="0"/>
            </w:tcBorders>
            <w:vAlign w:val="center"/>
          </w:tcPr>
          <w:p w14:paraId="2EA5C159">
            <w:pPr>
              <w:pStyle w:val="180"/>
            </w:pPr>
            <w:r>
              <w:rPr>
                <w:rFonts w:hint="eastAsia"/>
              </w:rPr>
              <w:t>50～100</w:t>
            </w:r>
          </w:p>
        </w:tc>
        <w:tc>
          <w:tcPr>
            <w:tcW w:w="1168" w:type="dxa"/>
            <w:tcBorders>
              <w:top w:val="single" w:color="auto" w:sz="8" w:space="0"/>
              <w:bottom w:val="single" w:color="auto" w:sz="8" w:space="0"/>
            </w:tcBorders>
            <w:vAlign w:val="center"/>
          </w:tcPr>
          <w:p w14:paraId="27F73B31">
            <w:pPr>
              <w:pStyle w:val="180"/>
            </w:pPr>
            <w:r>
              <w:rPr>
                <w:rFonts w:hint="eastAsia"/>
              </w:rPr>
              <w:t>100～150</w:t>
            </w:r>
          </w:p>
        </w:tc>
        <w:tc>
          <w:tcPr>
            <w:tcW w:w="1168" w:type="dxa"/>
            <w:tcBorders>
              <w:top w:val="single" w:color="auto" w:sz="8" w:space="0"/>
              <w:bottom w:val="single" w:color="auto" w:sz="8" w:space="0"/>
            </w:tcBorders>
            <w:vAlign w:val="center"/>
          </w:tcPr>
          <w:p w14:paraId="52A681B2">
            <w:pPr>
              <w:pStyle w:val="180"/>
            </w:pPr>
            <w:r>
              <w:rPr>
                <w:rFonts w:hint="eastAsia"/>
              </w:rPr>
              <w:t>150～200</w:t>
            </w:r>
          </w:p>
        </w:tc>
        <w:tc>
          <w:tcPr>
            <w:tcW w:w="1168" w:type="dxa"/>
            <w:tcBorders>
              <w:top w:val="single" w:color="auto" w:sz="8" w:space="0"/>
              <w:bottom w:val="single" w:color="auto" w:sz="8" w:space="0"/>
            </w:tcBorders>
            <w:vAlign w:val="center"/>
          </w:tcPr>
          <w:p w14:paraId="58CA5AA9">
            <w:pPr>
              <w:pStyle w:val="180"/>
            </w:pPr>
            <w:r>
              <w:rPr>
                <w:rFonts w:hint="eastAsia"/>
              </w:rPr>
              <w:t>&gt;200</w:t>
            </w:r>
          </w:p>
        </w:tc>
      </w:tr>
      <w:tr w14:paraId="1E0687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68" w:type="dxa"/>
            <w:tcBorders>
              <w:top w:val="single" w:color="auto" w:sz="8" w:space="0"/>
            </w:tcBorders>
            <w:vAlign w:val="center"/>
          </w:tcPr>
          <w:p w14:paraId="65FD1B0F">
            <w:pPr>
              <w:pStyle w:val="180"/>
            </w:pPr>
            <m:oMathPara>
              <m:oMath>
                <m:r>
                  <m:rPr/>
                  <w:rPr>
                    <w:rFonts w:hAnsi="Cambria Math"/>
                  </w:rPr>
                  <m:t>f</m:t>
                </m:r>
                <m:d>
                  <m:dPr>
                    <m:ctrlPr>
                      <w:rPr>
                        <w:rFonts w:ascii="Cambria Math" w:hAnsi="Cambria Math"/>
                      </w:rPr>
                    </m:ctrlPr>
                  </m:dPr>
                  <m:e>
                    <m:r>
                      <m:rPr/>
                      <w:rPr>
                        <w:rFonts w:hAnsi="Cambria Math"/>
                      </w:rPr>
                      <m:t>GDP</m:t>
                    </m:r>
                    <m:ctrlPr>
                      <w:rPr>
                        <w:rFonts w:ascii="Cambria Math" w:hAnsi="Cambria Math"/>
                      </w:rPr>
                    </m:ctrlPr>
                  </m:e>
                </m:d>
              </m:oMath>
            </m:oMathPara>
          </w:p>
        </w:tc>
        <w:tc>
          <w:tcPr>
            <w:tcW w:w="1168" w:type="dxa"/>
            <w:tcBorders>
              <w:top w:val="single" w:color="auto" w:sz="8" w:space="0"/>
            </w:tcBorders>
            <w:vAlign w:val="center"/>
          </w:tcPr>
          <w:p w14:paraId="3A03FD32">
            <w:pPr>
              <w:pStyle w:val="180"/>
            </w:pPr>
            <w:r>
              <w:rPr>
                <w:rFonts w:hint="eastAsia"/>
              </w:rPr>
              <w:t>1</w:t>
            </w:r>
          </w:p>
        </w:tc>
        <w:tc>
          <w:tcPr>
            <w:tcW w:w="1168" w:type="dxa"/>
            <w:tcBorders>
              <w:top w:val="single" w:color="auto" w:sz="8" w:space="0"/>
            </w:tcBorders>
            <w:vAlign w:val="center"/>
          </w:tcPr>
          <w:p w14:paraId="46152C79">
            <w:pPr>
              <w:pStyle w:val="180"/>
            </w:pPr>
            <w:r>
              <w:rPr>
                <w:rFonts w:hint="eastAsia"/>
              </w:rPr>
              <w:t>3</w:t>
            </w:r>
          </w:p>
        </w:tc>
        <w:tc>
          <w:tcPr>
            <w:tcW w:w="1168" w:type="dxa"/>
            <w:tcBorders>
              <w:top w:val="single" w:color="auto" w:sz="8" w:space="0"/>
            </w:tcBorders>
            <w:vAlign w:val="center"/>
          </w:tcPr>
          <w:p w14:paraId="3557F879">
            <w:pPr>
              <w:pStyle w:val="180"/>
            </w:pPr>
            <w:r>
              <w:rPr>
                <w:rFonts w:hint="eastAsia"/>
              </w:rPr>
              <w:t>5</w:t>
            </w:r>
          </w:p>
        </w:tc>
        <w:tc>
          <w:tcPr>
            <w:tcW w:w="1168" w:type="dxa"/>
            <w:tcBorders>
              <w:top w:val="single" w:color="auto" w:sz="8" w:space="0"/>
            </w:tcBorders>
            <w:vAlign w:val="center"/>
          </w:tcPr>
          <w:p w14:paraId="0AE3FD9F">
            <w:pPr>
              <w:pStyle w:val="180"/>
            </w:pPr>
            <w:r>
              <w:rPr>
                <w:rFonts w:hint="eastAsia"/>
              </w:rPr>
              <w:t>7</w:t>
            </w:r>
          </w:p>
        </w:tc>
        <w:tc>
          <w:tcPr>
            <w:tcW w:w="1168" w:type="dxa"/>
            <w:tcBorders>
              <w:top w:val="single" w:color="auto" w:sz="8" w:space="0"/>
            </w:tcBorders>
            <w:vAlign w:val="center"/>
          </w:tcPr>
          <w:p w14:paraId="6785710F">
            <w:pPr>
              <w:pStyle w:val="180"/>
            </w:pPr>
            <w:r>
              <w:rPr>
                <w:rFonts w:hint="eastAsia"/>
              </w:rPr>
              <w:t>10</w:t>
            </w:r>
          </w:p>
        </w:tc>
        <w:tc>
          <w:tcPr>
            <w:tcW w:w="1168" w:type="dxa"/>
            <w:tcBorders>
              <w:top w:val="single" w:color="auto" w:sz="8" w:space="0"/>
            </w:tcBorders>
            <w:vAlign w:val="center"/>
          </w:tcPr>
          <w:p w14:paraId="054F446A">
            <w:pPr>
              <w:pStyle w:val="180"/>
            </w:pPr>
            <w:r>
              <w:rPr>
                <w:rFonts w:hint="eastAsia"/>
              </w:rPr>
              <w:t>13</w:t>
            </w:r>
          </w:p>
        </w:tc>
        <w:tc>
          <w:tcPr>
            <w:tcW w:w="1168" w:type="dxa"/>
            <w:tcBorders>
              <w:top w:val="single" w:color="auto" w:sz="8" w:space="0"/>
            </w:tcBorders>
            <w:vAlign w:val="center"/>
          </w:tcPr>
          <w:p w14:paraId="4D004291">
            <w:pPr>
              <w:pStyle w:val="180"/>
            </w:pPr>
            <w:r>
              <w:rPr>
                <w:rFonts w:hint="eastAsia"/>
              </w:rPr>
              <w:t>15</w:t>
            </w:r>
          </w:p>
        </w:tc>
      </w:tr>
    </w:tbl>
    <w:p w14:paraId="7B76BC8E">
      <w:pPr>
        <w:pStyle w:val="114"/>
        <w:spacing w:before="156" w:after="156"/>
      </w:pPr>
      <w:r>
        <w:rPr>
          <w:rFonts w:hint="eastAsia"/>
        </w:rPr>
        <w:t>人口密度及其函数值查对表</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408"/>
        <w:gridCol w:w="1134"/>
        <w:gridCol w:w="1134"/>
        <w:gridCol w:w="1134"/>
        <w:gridCol w:w="1134"/>
        <w:gridCol w:w="1134"/>
        <w:gridCol w:w="1089"/>
        <w:gridCol w:w="1167"/>
      </w:tblGrid>
      <w:tr w14:paraId="4E7BB2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408" w:type="dxa"/>
            <w:tcBorders>
              <w:top w:val="single" w:color="auto" w:sz="8" w:space="0"/>
              <w:bottom w:val="single" w:color="auto" w:sz="8" w:space="0"/>
            </w:tcBorders>
            <w:vAlign w:val="center"/>
          </w:tcPr>
          <w:p w14:paraId="152C8973">
            <w:pPr>
              <w:pStyle w:val="180"/>
              <w:rPr>
                <w:rFonts w:ascii="黑体" w:eastAsia="黑体"/>
              </w:rPr>
            </w:pPr>
            <m:oMathPara>
              <m:oMath>
                <m:r>
                  <m:rPr/>
                  <w:rPr>
                    <w:rFonts w:hAnsi="Cambria Math"/>
                  </w:rPr>
                  <m:t>Pop</m:t>
                </m:r>
              </m:oMath>
            </m:oMathPara>
          </w:p>
          <w:p w14:paraId="68A1CFF9">
            <w:pPr>
              <w:pStyle w:val="180"/>
              <w:rPr>
                <w:rFonts w:ascii="黑体" w:eastAsia="黑体"/>
              </w:rPr>
            </w:pPr>
            <m:oMathPara>
              <m:oMath>
                <m:r>
                  <m:rPr/>
                  <w:rPr>
                    <w:rFonts w:hAnsi="Cambria Math"/>
                  </w:rPr>
                  <m:t>(number/</m:t>
                </m:r>
                <m:sSup>
                  <m:sSupPr>
                    <m:ctrlPr>
                      <w:rPr>
                        <w:rFonts w:ascii="Cambria Math" w:hAnsi="Cambria Math"/>
                        <w:i/>
                      </w:rPr>
                    </m:ctrlPr>
                  </m:sSupPr>
                  <m:e>
                    <m:r>
                      <m:rPr/>
                      <w:rPr>
                        <w:rFonts w:hAnsi="Cambria Math"/>
                      </w:rPr>
                      <m:t>km</m:t>
                    </m:r>
                    <m:ctrlPr>
                      <w:rPr>
                        <w:rFonts w:ascii="Cambria Math" w:hAnsi="Cambria Math"/>
                        <w:i/>
                      </w:rPr>
                    </m:ctrlPr>
                  </m:e>
                  <m:sup>
                    <m:r>
                      <m:rPr/>
                      <w:rPr>
                        <w:rFonts w:hAnsi="Cambria Math"/>
                      </w:rPr>
                      <m:t>2</m:t>
                    </m:r>
                    <m:ctrlPr>
                      <w:rPr>
                        <w:rFonts w:ascii="Cambria Math" w:hAnsi="Cambria Math"/>
                        <w:i/>
                      </w:rPr>
                    </m:ctrlPr>
                  </m:sup>
                </m:sSup>
                <m:r>
                  <m:rPr/>
                  <w:rPr>
                    <w:rFonts w:hAnsi="Cambria Math"/>
                  </w:rPr>
                  <m:t>)</m:t>
                </m:r>
              </m:oMath>
            </m:oMathPara>
          </w:p>
        </w:tc>
        <w:tc>
          <w:tcPr>
            <w:tcW w:w="1134" w:type="dxa"/>
            <w:tcBorders>
              <w:top w:val="single" w:color="auto" w:sz="8" w:space="0"/>
              <w:bottom w:val="single" w:color="auto" w:sz="8" w:space="0"/>
            </w:tcBorders>
            <w:vAlign w:val="center"/>
          </w:tcPr>
          <w:p w14:paraId="22B48370">
            <w:pPr>
              <w:pStyle w:val="180"/>
            </w:pPr>
            <w:r>
              <w:rPr>
                <w:rFonts w:hint="eastAsia"/>
              </w:rPr>
              <w:t>≤10</w:t>
            </w:r>
          </w:p>
        </w:tc>
        <w:tc>
          <w:tcPr>
            <w:tcW w:w="1134" w:type="dxa"/>
            <w:tcBorders>
              <w:top w:val="single" w:color="auto" w:sz="8" w:space="0"/>
              <w:bottom w:val="single" w:color="auto" w:sz="8" w:space="0"/>
            </w:tcBorders>
            <w:vAlign w:val="center"/>
          </w:tcPr>
          <w:p w14:paraId="02231C75">
            <w:pPr>
              <w:pStyle w:val="180"/>
            </w:pPr>
            <w:r>
              <w:rPr>
                <w:rFonts w:hint="eastAsia"/>
              </w:rPr>
              <w:t>10～20</w:t>
            </w:r>
          </w:p>
        </w:tc>
        <w:tc>
          <w:tcPr>
            <w:tcW w:w="1134" w:type="dxa"/>
            <w:tcBorders>
              <w:top w:val="single" w:color="auto" w:sz="8" w:space="0"/>
              <w:bottom w:val="single" w:color="auto" w:sz="8" w:space="0"/>
            </w:tcBorders>
            <w:vAlign w:val="center"/>
          </w:tcPr>
          <w:p w14:paraId="180773E5">
            <w:pPr>
              <w:pStyle w:val="180"/>
            </w:pPr>
            <w:r>
              <w:rPr>
                <w:rFonts w:hint="eastAsia"/>
              </w:rPr>
              <w:t>20～40</w:t>
            </w:r>
          </w:p>
        </w:tc>
        <w:tc>
          <w:tcPr>
            <w:tcW w:w="1134" w:type="dxa"/>
            <w:tcBorders>
              <w:top w:val="single" w:color="auto" w:sz="8" w:space="0"/>
              <w:bottom w:val="single" w:color="auto" w:sz="8" w:space="0"/>
            </w:tcBorders>
            <w:vAlign w:val="center"/>
          </w:tcPr>
          <w:p w14:paraId="70F5E54B">
            <w:pPr>
              <w:pStyle w:val="180"/>
            </w:pPr>
            <w:r>
              <w:rPr>
                <w:rFonts w:hint="eastAsia"/>
              </w:rPr>
              <w:t>40～60</w:t>
            </w:r>
          </w:p>
        </w:tc>
        <w:tc>
          <w:tcPr>
            <w:tcW w:w="1134" w:type="dxa"/>
            <w:tcBorders>
              <w:top w:val="single" w:color="auto" w:sz="8" w:space="0"/>
              <w:bottom w:val="single" w:color="auto" w:sz="8" w:space="0"/>
            </w:tcBorders>
            <w:vAlign w:val="center"/>
          </w:tcPr>
          <w:p w14:paraId="246A5B92">
            <w:pPr>
              <w:pStyle w:val="180"/>
            </w:pPr>
            <w:r>
              <w:rPr>
                <w:rFonts w:hint="eastAsia"/>
              </w:rPr>
              <w:t>60～80</w:t>
            </w:r>
          </w:p>
        </w:tc>
        <w:tc>
          <w:tcPr>
            <w:tcW w:w="1089" w:type="dxa"/>
            <w:tcBorders>
              <w:top w:val="single" w:color="auto" w:sz="8" w:space="0"/>
              <w:bottom w:val="single" w:color="auto" w:sz="8" w:space="0"/>
            </w:tcBorders>
            <w:vAlign w:val="center"/>
          </w:tcPr>
          <w:p w14:paraId="1F47A41E">
            <w:pPr>
              <w:pStyle w:val="180"/>
            </w:pPr>
            <w:r>
              <w:rPr>
                <w:rFonts w:hint="eastAsia"/>
              </w:rPr>
              <w:t>80～100</w:t>
            </w:r>
          </w:p>
        </w:tc>
        <w:tc>
          <w:tcPr>
            <w:tcW w:w="1167" w:type="dxa"/>
            <w:tcBorders>
              <w:top w:val="single" w:color="auto" w:sz="8" w:space="0"/>
              <w:bottom w:val="single" w:color="auto" w:sz="8" w:space="0"/>
            </w:tcBorders>
            <w:vAlign w:val="center"/>
          </w:tcPr>
          <w:p w14:paraId="1A6FCF98">
            <w:pPr>
              <w:pStyle w:val="180"/>
            </w:pPr>
            <w:r>
              <w:rPr>
                <w:rFonts w:hint="eastAsia"/>
              </w:rPr>
              <w:t>&gt;100</w:t>
            </w:r>
          </w:p>
        </w:tc>
      </w:tr>
      <w:tr w14:paraId="0AD59C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408" w:type="dxa"/>
            <w:tcBorders>
              <w:top w:val="single" w:color="auto" w:sz="8" w:space="0"/>
            </w:tcBorders>
            <w:vAlign w:val="center"/>
          </w:tcPr>
          <w:p w14:paraId="7A810ECC">
            <w:pPr>
              <w:pStyle w:val="180"/>
            </w:pPr>
            <m:oMathPara>
              <m:oMath>
                <m:r>
                  <m:rPr/>
                  <w:rPr>
                    <w:rFonts w:hAnsi="Cambria Math"/>
                  </w:rPr>
                  <m:t>f</m:t>
                </m:r>
                <m:d>
                  <m:dPr>
                    <m:ctrlPr>
                      <w:rPr>
                        <w:rFonts w:ascii="Cambria Math" w:hAnsi="Cambria Math"/>
                      </w:rPr>
                    </m:ctrlPr>
                  </m:dPr>
                  <m:e>
                    <m:r>
                      <m:rPr/>
                      <w:rPr>
                        <w:rFonts w:hAnsi="Cambria Math"/>
                      </w:rPr>
                      <m:t>Pop</m:t>
                    </m:r>
                    <m:ctrlPr>
                      <w:rPr>
                        <w:rFonts w:ascii="Cambria Math" w:hAnsi="Cambria Math"/>
                      </w:rPr>
                    </m:ctrlPr>
                  </m:e>
                </m:d>
              </m:oMath>
            </m:oMathPara>
          </w:p>
        </w:tc>
        <w:tc>
          <w:tcPr>
            <w:tcW w:w="1134" w:type="dxa"/>
            <w:tcBorders>
              <w:top w:val="single" w:color="auto" w:sz="8" w:space="0"/>
            </w:tcBorders>
            <w:vAlign w:val="center"/>
          </w:tcPr>
          <w:p w14:paraId="4421A46A">
            <w:pPr>
              <w:pStyle w:val="180"/>
            </w:pPr>
            <w:r>
              <w:rPr>
                <w:rFonts w:hint="eastAsia"/>
              </w:rPr>
              <w:t>1</w:t>
            </w:r>
          </w:p>
        </w:tc>
        <w:tc>
          <w:tcPr>
            <w:tcW w:w="1134" w:type="dxa"/>
            <w:tcBorders>
              <w:top w:val="single" w:color="auto" w:sz="8" w:space="0"/>
            </w:tcBorders>
            <w:vAlign w:val="center"/>
          </w:tcPr>
          <w:p w14:paraId="59AD5D88">
            <w:pPr>
              <w:pStyle w:val="180"/>
            </w:pPr>
            <w:r>
              <w:rPr>
                <w:rFonts w:hint="eastAsia"/>
              </w:rPr>
              <w:t>3</w:t>
            </w:r>
          </w:p>
        </w:tc>
        <w:tc>
          <w:tcPr>
            <w:tcW w:w="1134" w:type="dxa"/>
            <w:tcBorders>
              <w:top w:val="single" w:color="auto" w:sz="8" w:space="0"/>
            </w:tcBorders>
            <w:vAlign w:val="center"/>
          </w:tcPr>
          <w:p w14:paraId="6AEA213D">
            <w:pPr>
              <w:pStyle w:val="180"/>
            </w:pPr>
            <w:r>
              <w:rPr>
                <w:rFonts w:hint="eastAsia"/>
              </w:rPr>
              <w:t>5</w:t>
            </w:r>
          </w:p>
        </w:tc>
        <w:tc>
          <w:tcPr>
            <w:tcW w:w="1134" w:type="dxa"/>
            <w:tcBorders>
              <w:top w:val="single" w:color="auto" w:sz="8" w:space="0"/>
            </w:tcBorders>
            <w:vAlign w:val="center"/>
          </w:tcPr>
          <w:p w14:paraId="330A2483">
            <w:pPr>
              <w:pStyle w:val="180"/>
            </w:pPr>
            <w:r>
              <w:rPr>
                <w:rFonts w:hint="eastAsia"/>
              </w:rPr>
              <w:t>7</w:t>
            </w:r>
          </w:p>
        </w:tc>
        <w:tc>
          <w:tcPr>
            <w:tcW w:w="1134" w:type="dxa"/>
            <w:tcBorders>
              <w:top w:val="single" w:color="auto" w:sz="8" w:space="0"/>
            </w:tcBorders>
            <w:vAlign w:val="center"/>
          </w:tcPr>
          <w:p w14:paraId="2727791A">
            <w:pPr>
              <w:pStyle w:val="180"/>
            </w:pPr>
            <w:r>
              <w:rPr>
                <w:rFonts w:hint="eastAsia"/>
              </w:rPr>
              <w:t>10</w:t>
            </w:r>
          </w:p>
        </w:tc>
        <w:tc>
          <w:tcPr>
            <w:tcW w:w="1089" w:type="dxa"/>
            <w:tcBorders>
              <w:top w:val="single" w:color="auto" w:sz="8" w:space="0"/>
            </w:tcBorders>
            <w:vAlign w:val="center"/>
          </w:tcPr>
          <w:p w14:paraId="305DA72C">
            <w:pPr>
              <w:pStyle w:val="180"/>
            </w:pPr>
            <w:r>
              <w:rPr>
                <w:rFonts w:hint="eastAsia"/>
              </w:rPr>
              <w:t>13</w:t>
            </w:r>
          </w:p>
        </w:tc>
        <w:tc>
          <w:tcPr>
            <w:tcW w:w="1167" w:type="dxa"/>
            <w:tcBorders>
              <w:top w:val="single" w:color="auto" w:sz="8" w:space="0"/>
            </w:tcBorders>
            <w:vAlign w:val="center"/>
          </w:tcPr>
          <w:p w14:paraId="13E31CD4">
            <w:pPr>
              <w:pStyle w:val="180"/>
            </w:pPr>
            <w:r>
              <w:rPr>
                <w:rFonts w:hint="eastAsia"/>
              </w:rPr>
              <w:t>15</w:t>
            </w:r>
          </w:p>
        </w:tc>
      </w:tr>
    </w:tbl>
    <w:p w14:paraId="3FDAF58B">
      <w:pPr>
        <w:pStyle w:val="114"/>
        <w:spacing w:before="156" w:after="156"/>
      </w:pPr>
      <w:r>
        <w:rPr>
          <w:rFonts w:hint="eastAsia"/>
        </w:rPr>
        <w:t>人类足迹及其函数值查对表</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557"/>
        <w:gridCol w:w="1557"/>
        <w:gridCol w:w="1557"/>
        <w:gridCol w:w="1557"/>
        <w:gridCol w:w="1558"/>
        <w:gridCol w:w="1558"/>
      </w:tblGrid>
      <w:tr w14:paraId="1371AF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557" w:type="dxa"/>
            <w:tcBorders>
              <w:top w:val="single" w:color="auto" w:sz="8" w:space="0"/>
              <w:bottom w:val="single" w:color="auto" w:sz="8" w:space="0"/>
            </w:tcBorders>
            <w:vAlign w:val="center"/>
          </w:tcPr>
          <w:p w14:paraId="4E0AA3B8">
            <w:pPr>
              <w:pStyle w:val="180"/>
            </w:pPr>
            <m:oMathPara>
              <m:oMath>
                <m:r>
                  <m:rPr/>
                  <w:rPr>
                    <w:rFonts w:hAnsi="Cambria Math"/>
                  </w:rPr>
                  <m:t>Hfp</m:t>
                </m:r>
              </m:oMath>
            </m:oMathPara>
          </w:p>
        </w:tc>
        <w:tc>
          <w:tcPr>
            <w:tcW w:w="1557" w:type="dxa"/>
            <w:tcBorders>
              <w:top w:val="single" w:color="auto" w:sz="8" w:space="0"/>
              <w:bottom w:val="single" w:color="auto" w:sz="8" w:space="0"/>
            </w:tcBorders>
            <w:vAlign w:val="center"/>
          </w:tcPr>
          <w:p w14:paraId="0937BBF7">
            <w:pPr>
              <w:pStyle w:val="180"/>
            </w:pPr>
            <w:r>
              <w:rPr>
                <w:rFonts w:hint="eastAsia"/>
              </w:rPr>
              <w:t>0</w:t>
            </w:r>
          </w:p>
        </w:tc>
        <w:tc>
          <w:tcPr>
            <w:tcW w:w="1557" w:type="dxa"/>
            <w:tcBorders>
              <w:top w:val="single" w:color="auto" w:sz="8" w:space="0"/>
              <w:bottom w:val="single" w:color="auto" w:sz="8" w:space="0"/>
            </w:tcBorders>
            <w:vAlign w:val="center"/>
          </w:tcPr>
          <w:p w14:paraId="3A329858">
            <w:pPr>
              <w:pStyle w:val="180"/>
            </w:pPr>
            <w:r>
              <w:rPr>
                <w:rFonts w:hint="eastAsia"/>
              </w:rPr>
              <w:t>1～3</w:t>
            </w:r>
          </w:p>
        </w:tc>
        <w:tc>
          <w:tcPr>
            <w:tcW w:w="1557" w:type="dxa"/>
            <w:tcBorders>
              <w:top w:val="single" w:color="auto" w:sz="8" w:space="0"/>
              <w:bottom w:val="single" w:color="auto" w:sz="8" w:space="0"/>
            </w:tcBorders>
            <w:vAlign w:val="center"/>
          </w:tcPr>
          <w:p w14:paraId="420B48DA">
            <w:pPr>
              <w:pStyle w:val="180"/>
            </w:pPr>
            <w:r>
              <w:rPr>
                <w:rFonts w:hint="eastAsia"/>
              </w:rPr>
              <w:t>3～6</w:t>
            </w:r>
          </w:p>
        </w:tc>
        <w:tc>
          <w:tcPr>
            <w:tcW w:w="1558" w:type="dxa"/>
            <w:tcBorders>
              <w:top w:val="single" w:color="auto" w:sz="8" w:space="0"/>
              <w:bottom w:val="single" w:color="auto" w:sz="8" w:space="0"/>
            </w:tcBorders>
            <w:vAlign w:val="center"/>
          </w:tcPr>
          <w:p w14:paraId="45F6A7B7">
            <w:pPr>
              <w:pStyle w:val="180"/>
            </w:pPr>
            <w:r>
              <w:rPr>
                <w:rFonts w:hint="eastAsia"/>
              </w:rPr>
              <w:t>6～12</w:t>
            </w:r>
          </w:p>
        </w:tc>
        <w:tc>
          <w:tcPr>
            <w:tcW w:w="1558" w:type="dxa"/>
            <w:tcBorders>
              <w:top w:val="single" w:color="auto" w:sz="8" w:space="0"/>
              <w:bottom w:val="single" w:color="auto" w:sz="8" w:space="0"/>
            </w:tcBorders>
            <w:vAlign w:val="center"/>
          </w:tcPr>
          <w:p w14:paraId="228CED20">
            <w:pPr>
              <w:pStyle w:val="180"/>
            </w:pPr>
            <w:r>
              <w:rPr>
                <w:rFonts w:hint="eastAsia"/>
              </w:rPr>
              <w:t>12～50</w:t>
            </w:r>
          </w:p>
        </w:tc>
      </w:tr>
      <w:tr w14:paraId="137B74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557" w:type="dxa"/>
            <w:tcBorders>
              <w:top w:val="single" w:color="auto" w:sz="8" w:space="0"/>
            </w:tcBorders>
            <w:vAlign w:val="center"/>
          </w:tcPr>
          <w:p w14:paraId="0B6E6662">
            <w:pPr>
              <w:pStyle w:val="180"/>
            </w:pPr>
            <m:oMathPara>
              <m:oMath>
                <m:r>
                  <m:rPr/>
                  <w:rPr>
                    <w:rFonts w:hAnsi="Cambria Math"/>
                  </w:rPr>
                  <m:t>f</m:t>
                </m:r>
                <m:d>
                  <m:dPr>
                    <m:ctrlPr>
                      <w:rPr>
                        <w:rFonts w:ascii="Cambria Math" w:hAnsi="Cambria Math"/>
                      </w:rPr>
                    </m:ctrlPr>
                  </m:dPr>
                  <m:e>
                    <m:r>
                      <m:rPr/>
                      <w:rPr>
                        <w:rFonts w:hAnsi="Cambria Math"/>
                      </w:rPr>
                      <m:t>Hfp</m:t>
                    </m:r>
                    <m:ctrlPr>
                      <w:rPr>
                        <w:rFonts w:ascii="Cambria Math" w:hAnsi="Cambria Math"/>
                      </w:rPr>
                    </m:ctrlPr>
                  </m:e>
                </m:d>
              </m:oMath>
            </m:oMathPara>
          </w:p>
        </w:tc>
        <w:tc>
          <w:tcPr>
            <w:tcW w:w="1557" w:type="dxa"/>
            <w:tcBorders>
              <w:top w:val="single" w:color="auto" w:sz="8" w:space="0"/>
            </w:tcBorders>
            <w:vAlign w:val="center"/>
          </w:tcPr>
          <w:p w14:paraId="255A76D9">
            <w:pPr>
              <w:pStyle w:val="180"/>
            </w:pPr>
            <w:r>
              <w:rPr>
                <w:rFonts w:hint="eastAsia"/>
              </w:rPr>
              <w:t>0</w:t>
            </w:r>
          </w:p>
        </w:tc>
        <w:tc>
          <w:tcPr>
            <w:tcW w:w="1557" w:type="dxa"/>
            <w:tcBorders>
              <w:top w:val="single" w:color="auto" w:sz="8" w:space="0"/>
            </w:tcBorders>
            <w:vAlign w:val="center"/>
          </w:tcPr>
          <w:p w14:paraId="1A8E33FB">
            <w:pPr>
              <w:pStyle w:val="180"/>
            </w:pPr>
            <w:r>
              <w:rPr>
                <w:rFonts w:hint="eastAsia"/>
              </w:rPr>
              <w:t>4</w:t>
            </w:r>
          </w:p>
        </w:tc>
        <w:tc>
          <w:tcPr>
            <w:tcW w:w="1557" w:type="dxa"/>
            <w:tcBorders>
              <w:top w:val="single" w:color="auto" w:sz="8" w:space="0"/>
            </w:tcBorders>
            <w:vAlign w:val="center"/>
          </w:tcPr>
          <w:p w14:paraId="5C6CF328">
            <w:pPr>
              <w:pStyle w:val="180"/>
            </w:pPr>
            <w:r>
              <w:rPr>
                <w:rFonts w:hint="eastAsia"/>
              </w:rPr>
              <w:t>8</w:t>
            </w:r>
          </w:p>
        </w:tc>
        <w:tc>
          <w:tcPr>
            <w:tcW w:w="1558" w:type="dxa"/>
            <w:tcBorders>
              <w:top w:val="single" w:color="auto" w:sz="8" w:space="0"/>
            </w:tcBorders>
            <w:vAlign w:val="center"/>
          </w:tcPr>
          <w:p w14:paraId="5AB9309A">
            <w:pPr>
              <w:pStyle w:val="180"/>
            </w:pPr>
            <w:r>
              <w:rPr>
                <w:rFonts w:hint="eastAsia"/>
              </w:rPr>
              <w:t>12</w:t>
            </w:r>
          </w:p>
        </w:tc>
        <w:tc>
          <w:tcPr>
            <w:tcW w:w="1558" w:type="dxa"/>
            <w:tcBorders>
              <w:top w:val="single" w:color="auto" w:sz="8" w:space="0"/>
            </w:tcBorders>
            <w:vAlign w:val="center"/>
          </w:tcPr>
          <w:p w14:paraId="0D8A7371">
            <w:pPr>
              <w:pStyle w:val="180"/>
            </w:pPr>
            <w:r>
              <w:rPr>
                <w:rFonts w:hint="eastAsia"/>
              </w:rPr>
              <w:t>15</w:t>
            </w:r>
          </w:p>
        </w:tc>
      </w:tr>
    </w:tbl>
    <w:p w14:paraId="022A1F19">
      <w:pPr>
        <w:pStyle w:val="67"/>
        <w:spacing w:before="156" w:after="156"/>
      </w:pPr>
      <w:bookmarkStart w:id="101" w:name="_Toc199680199"/>
      <w:bookmarkStart w:id="102" w:name="_Toc165363352"/>
      <w:bookmarkStart w:id="103" w:name="_Toc201339646"/>
      <w:r>
        <w:rPr>
          <w:rFonts w:hint="eastAsia"/>
        </w:rPr>
        <w:t>火源因子指数</w:t>
      </w:r>
      <w:bookmarkEnd w:id="101"/>
      <w:bookmarkEnd w:id="102"/>
      <w:bookmarkEnd w:id="103"/>
    </w:p>
    <w:p w14:paraId="24F7A321">
      <w:pPr>
        <w:pStyle w:val="58"/>
        <w:ind w:firstLine="420"/>
      </w:pPr>
      <w:r>
        <w:rPr>
          <w:rFonts w:hint="eastAsia"/>
        </w:rPr>
        <w:t>根据监测区域内24h热点数量，计算出火源因子指数，具体方法宜按表10执行。</w:t>
      </w:r>
    </w:p>
    <w:p w14:paraId="4B39E070">
      <w:pPr>
        <w:pStyle w:val="114"/>
        <w:spacing w:before="156" w:after="156"/>
      </w:pPr>
      <w:r>
        <w:rPr>
          <w:rFonts w:hint="eastAsia"/>
        </w:rPr>
        <w:t>火源因子指数</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3110"/>
        <w:gridCol w:w="3112"/>
        <w:gridCol w:w="3112"/>
      </w:tblGrid>
      <w:tr w14:paraId="7FC493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3110" w:type="dxa"/>
            <w:tcBorders>
              <w:top w:val="single" w:color="auto" w:sz="8" w:space="0"/>
              <w:bottom w:val="single" w:color="auto" w:sz="8" w:space="0"/>
            </w:tcBorders>
            <w:vAlign w:val="center"/>
          </w:tcPr>
          <w:p w14:paraId="0664030E">
            <w:pPr>
              <w:pStyle w:val="180"/>
            </w:pPr>
            <w:r>
              <w:rPr>
                <w:rFonts w:hint="eastAsia"/>
              </w:rPr>
              <w:t>等级</w:t>
            </w:r>
          </w:p>
        </w:tc>
        <w:tc>
          <w:tcPr>
            <w:tcW w:w="3112" w:type="dxa"/>
            <w:tcBorders>
              <w:top w:val="single" w:color="auto" w:sz="8" w:space="0"/>
              <w:bottom w:val="single" w:color="auto" w:sz="8" w:space="0"/>
            </w:tcBorders>
            <w:vAlign w:val="center"/>
          </w:tcPr>
          <w:p w14:paraId="45D5E5CF">
            <w:pPr>
              <w:pStyle w:val="180"/>
            </w:pPr>
            <w:r>
              <w:rPr>
                <w:rFonts w:hint="eastAsia"/>
              </w:rPr>
              <w:t>热点数量</w:t>
            </w:r>
          </w:p>
          <w:p w14:paraId="39DE191B">
            <w:pPr>
              <w:pStyle w:val="180"/>
            </w:pPr>
            <w:r>
              <w:rPr>
                <w:rFonts w:hint="eastAsia"/>
              </w:rPr>
              <w:t>个</w:t>
            </w:r>
          </w:p>
        </w:tc>
        <w:tc>
          <w:tcPr>
            <w:tcW w:w="3112" w:type="dxa"/>
            <w:tcBorders>
              <w:top w:val="single" w:color="auto" w:sz="8" w:space="0"/>
              <w:bottom w:val="single" w:color="auto" w:sz="8" w:space="0"/>
            </w:tcBorders>
            <w:vAlign w:val="center"/>
          </w:tcPr>
          <w:p w14:paraId="1875F1A9">
            <w:pPr>
              <w:pStyle w:val="180"/>
            </w:pPr>
            <w:r>
              <w:rPr>
                <w:rFonts w:hint="eastAsia"/>
              </w:rPr>
              <w:t xml:space="preserve">指数 </w:t>
            </w:r>
            <w:r>
              <w:rPr>
                <w:rFonts w:hint="eastAsia"/>
                <w:i/>
                <w:iCs/>
              </w:rPr>
              <w:t>R</w:t>
            </w:r>
          </w:p>
        </w:tc>
      </w:tr>
      <w:tr w14:paraId="27D1F5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tcBorders>
              <w:top w:val="single" w:color="auto" w:sz="8" w:space="0"/>
            </w:tcBorders>
            <w:vAlign w:val="center"/>
          </w:tcPr>
          <w:p w14:paraId="335B4455">
            <w:pPr>
              <w:pStyle w:val="180"/>
            </w:pPr>
            <w:r>
              <w:rPr>
                <w:rFonts w:hint="eastAsia"/>
              </w:rPr>
              <w:t>一</w:t>
            </w:r>
          </w:p>
        </w:tc>
        <w:tc>
          <w:tcPr>
            <w:tcW w:w="3112" w:type="dxa"/>
            <w:tcBorders>
              <w:top w:val="single" w:color="auto" w:sz="8" w:space="0"/>
            </w:tcBorders>
            <w:vAlign w:val="center"/>
          </w:tcPr>
          <w:p w14:paraId="4F593896">
            <w:pPr>
              <w:pStyle w:val="180"/>
            </w:pPr>
            <w:r>
              <w:rPr>
                <w:rFonts w:hint="eastAsia"/>
              </w:rPr>
              <w:t>0</w:t>
            </w:r>
          </w:p>
        </w:tc>
        <w:tc>
          <w:tcPr>
            <w:tcW w:w="3112" w:type="dxa"/>
            <w:tcBorders>
              <w:top w:val="single" w:color="auto" w:sz="8" w:space="0"/>
            </w:tcBorders>
            <w:vAlign w:val="center"/>
          </w:tcPr>
          <w:p w14:paraId="2CDCA5D0">
            <w:pPr>
              <w:pStyle w:val="180"/>
            </w:pPr>
            <w:r>
              <w:rPr>
                <w:rFonts w:hint="eastAsia"/>
              </w:rPr>
              <w:t>0</w:t>
            </w:r>
          </w:p>
        </w:tc>
      </w:tr>
      <w:tr w14:paraId="103B2E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vAlign w:val="center"/>
          </w:tcPr>
          <w:p w14:paraId="3CCFA020">
            <w:pPr>
              <w:pStyle w:val="180"/>
            </w:pPr>
            <w:r>
              <w:rPr>
                <w:rFonts w:hint="eastAsia"/>
              </w:rPr>
              <w:t>二</w:t>
            </w:r>
          </w:p>
        </w:tc>
        <w:tc>
          <w:tcPr>
            <w:tcW w:w="3112" w:type="dxa"/>
            <w:vAlign w:val="center"/>
          </w:tcPr>
          <w:p w14:paraId="043EBFA0">
            <w:pPr>
              <w:pStyle w:val="180"/>
            </w:pPr>
            <w:r>
              <w:rPr>
                <w:rFonts w:hint="eastAsia"/>
              </w:rPr>
              <w:t>0～2</w:t>
            </w:r>
          </w:p>
        </w:tc>
        <w:tc>
          <w:tcPr>
            <w:tcW w:w="3112" w:type="dxa"/>
            <w:vAlign w:val="center"/>
          </w:tcPr>
          <w:p w14:paraId="764A01FD">
            <w:pPr>
              <w:pStyle w:val="180"/>
            </w:pPr>
            <w:r>
              <w:rPr>
                <w:rFonts w:hint="eastAsia"/>
              </w:rPr>
              <w:t>4</w:t>
            </w:r>
          </w:p>
        </w:tc>
      </w:tr>
      <w:tr w14:paraId="0431C5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vAlign w:val="center"/>
          </w:tcPr>
          <w:p w14:paraId="49809F2F">
            <w:pPr>
              <w:pStyle w:val="180"/>
            </w:pPr>
            <w:r>
              <w:rPr>
                <w:rFonts w:hint="eastAsia"/>
              </w:rPr>
              <w:t>三</w:t>
            </w:r>
          </w:p>
        </w:tc>
        <w:tc>
          <w:tcPr>
            <w:tcW w:w="3112" w:type="dxa"/>
            <w:vAlign w:val="center"/>
          </w:tcPr>
          <w:p w14:paraId="6667A6F0">
            <w:pPr>
              <w:pStyle w:val="180"/>
            </w:pPr>
            <w:r>
              <w:rPr>
                <w:rFonts w:hint="eastAsia"/>
              </w:rPr>
              <w:t>2～4</w:t>
            </w:r>
          </w:p>
        </w:tc>
        <w:tc>
          <w:tcPr>
            <w:tcW w:w="3112" w:type="dxa"/>
            <w:vAlign w:val="center"/>
          </w:tcPr>
          <w:p w14:paraId="317C2F5D">
            <w:pPr>
              <w:pStyle w:val="180"/>
            </w:pPr>
            <w:r>
              <w:rPr>
                <w:rFonts w:hint="eastAsia"/>
              </w:rPr>
              <w:t>6</w:t>
            </w:r>
          </w:p>
        </w:tc>
      </w:tr>
      <w:tr w14:paraId="58E4CC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vAlign w:val="center"/>
          </w:tcPr>
          <w:p w14:paraId="0460408A">
            <w:pPr>
              <w:pStyle w:val="180"/>
            </w:pPr>
            <w:r>
              <w:rPr>
                <w:rFonts w:hint="eastAsia"/>
              </w:rPr>
              <w:t>四</w:t>
            </w:r>
          </w:p>
        </w:tc>
        <w:tc>
          <w:tcPr>
            <w:tcW w:w="3112" w:type="dxa"/>
            <w:vAlign w:val="center"/>
          </w:tcPr>
          <w:p w14:paraId="7B989AF0">
            <w:pPr>
              <w:pStyle w:val="180"/>
            </w:pPr>
            <w:r>
              <w:rPr>
                <w:rFonts w:hint="eastAsia"/>
              </w:rPr>
              <w:t>4～8</w:t>
            </w:r>
          </w:p>
        </w:tc>
        <w:tc>
          <w:tcPr>
            <w:tcW w:w="3112" w:type="dxa"/>
            <w:vAlign w:val="center"/>
          </w:tcPr>
          <w:p w14:paraId="287CDADB">
            <w:pPr>
              <w:pStyle w:val="180"/>
            </w:pPr>
            <w:r>
              <w:rPr>
                <w:rFonts w:hint="eastAsia"/>
              </w:rPr>
              <w:t>8</w:t>
            </w:r>
          </w:p>
        </w:tc>
      </w:tr>
      <w:tr w14:paraId="437F9A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110" w:type="dxa"/>
            <w:vAlign w:val="center"/>
          </w:tcPr>
          <w:p w14:paraId="5C794178">
            <w:pPr>
              <w:pStyle w:val="180"/>
            </w:pPr>
            <w:r>
              <w:rPr>
                <w:rFonts w:hint="eastAsia"/>
              </w:rPr>
              <w:t>五</w:t>
            </w:r>
          </w:p>
        </w:tc>
        <w:tc>
          <w:tcPr>
            <w:tcW w:w="3112" w:type="dxa"/>
            <w:vAlign w:val="center"/>
          </w:tcPr>
          <w:p w14:paraId="32D18D1C">
            <w:pPr>
              <w:pStyle w:val="180"/>
            </w:pPr>
            <w:r>
              <w:rPr>
                <w:rFonts w:hint="eastAsia"/>
              </w:rPr>
              <w:t>＞8</w:t>
            </w:r>
          </w:p>
        </w:tc>
        <w:tc>
          <w:tcPr>
            <w:tcW w:w="3112" w:type="dxa"/>
            <w:vAlign w:val="center"/>
          </w:tcPr>
          <w:p w14:paraId="2C1F2FF5">
            <w:pPr>
              <w:pStyle w:val="180"/>
            </w:pPr>
            <w:r>
              <w:rPr>
                <w:rFonts w:hint="eastAsia"/>
              </w:rPr>
              <w:t>10</w:t>
            </w:r>
          </w:p>
        </w:tc>
      </w:tr>
    </w:tbl>
    <w:p w14:paraId="1147B7F5">
      <w:pPr>
        <w:pStyle w:val="107"/>
        <w:spacing w:before="156" w:after="156"/>
      </w:pPr>
      <w:bookmarkStart w:id="104" w:name="_Toc204068658"/>
      <w:r>
        <w:rPr>
          <w:rFonts w:hint="eastAsia"/>
        </w:rPr>
        <w:t>评价得分</w:t>
      </w:r>
      <w:bookmarkEnd w:id="104"/>
    </w:p>
    <w:p w14:paraId="0768E3AF">
      <w:pPr>
        <w:pStyle w:val="58"/>
        <w:ind w:firstLine="420"/>
      </w:pPr>
      <w:r>
        <w:rPr>
          <w:rFonts w:hint="eastAsia"/>
        </w:rPr>
        <w:t>森林草原火险等级评价得分按公式（3）进行计算：</w:t>
      </w:r>
    </w:p>
    <w:p w14:paraId="5DF37475">
      <w:pPr>
        <w:pStyle w:val="115"/>
        <w:rPr>
          <w:rFonts w:hint="eastAsia"/>
        </w:rPr>
      </w:pPr>
      <w:r>
        <w:tab/>
      </w:r>
      <m:oMath>
        <m:r>
          <m:rPr/>
          <w:rPr>
            <w:rFonts w:ascii="Cambria Math" w:hAnsi="Cambria Math"/>
          </w:rPr>
          <m:t>FRFI=</m:t>
        </m:r>
        <m:r>
          <m:rPr/>
          <w:rPr>
            <w:rFonts w:hint="eastAsia" w:ascii="Cambria Math" w:hAnsi="Cambria Math"/>
          </w:rPr>
          <m:t>1/3</m:t>
        </m:r>
        <m:r>
          <m:rPr/>
          <w:rPr>
            <w:rFonts w:hint="eastAsia" w:eastAsia="仿宋"/>
          </w:rPr>
          <m:t>×</m:t>
        </m:r>
        <m:r>
          <m:rPr/>
          <w:rPr>
            <w:rFonts w:ascii="Cambria Math" w:eastAsia="仿宋"/>
          </w:rPr>
          <m:t>(</m:t>
        </m:r>
        <m:r>
          <m:rPr/>
          <w:rPr>
            <w:rFonts w:eastAsia="仿宋"/>
          </w:rPr>
          <m:t>a</m:t>
        </m:r>
        <m:r>
          <m:rPr/>
          <w:rPr>
            <w:rFonts w:hint="eastAsia" w:eastAsia="仿宋"/>
          </w:rPr>
          <m:t>×</m:t>
        </m:r>
        <m:r>
          <m:rPr/>
          <w:rPr>
            <w:rFonts w:ascii="Cambria Math" w:hAnsi="Cambria Math"/>
          </w:rPr>
          <m:t>FDI+</m:t>
        </m:r>
        <m:r>
          <m:rPr/>
          <w:rPr>
            <w:rFonts w:eastAsia="仿宋"/>
          </w:rPr>
          <m:t>b</m:t>
        </m:r>
        <m:r>
          <m:rPr/>
          <w:rPr>
            <w:rFonts w:hint="eastAsia" w:eastAsia="仿宋"/>
          </w:rPr>
          <m:t>×</m:t>
        </m:r>
        <m:r>
          <m:rPr/>
          <w:rPr>
            <w:rFonts w:eastAsia="仿宋"/>
          </w:rPr>
          <m:t>(</m:t>
        </m:r>
        <m:r>
          <m:rPr/>
          <w:rPr>
            <w:rFonts w:ascii="Cambria Math" w:hAnsi="Cambria Math"/>
          </w:rPr>
          <m:t>L+H+FVC)+c</m:t>
        </m:r>
        <m:r>
          <m:rPr/>
          <w:rPr>
            <w:rFonts w:hint="eastAsia" w:eastAsia="仿宋"/>
          </w:rPr>
          <m:t>×</m:t>
        </m:r>
        <m:r>
          <m:rPr/>
          <w:rPr>
            <w:rFonts w:ascii="Cambria Math" w:hAnsi="Cambria Math"/>
          </w:rPr>
          <m:t>S−d</m:t>
        </m:r>
        <m:r>
          <m:rPr/>
          <w:rPr>
            <w:rFonts w:hint="eastAsia" w:eastAsia="仿宋"/>
          </w:rPr>
          <m:t>×</m:t>
        </m:r>
        <m:r>
          <m:rPr/>
          <w:rPr>
            <w:rFonts w:ascii="Cambria Math" w:hAnsi="Cambria Math"/>
          </w:rPr>
          <m:t>E+</m:t>
        </m:r>
        <m:r>
          <m:rPr/>
          <w:rPr>
            <w:rFonts w:eastAsia="仿宋"/>
          </w:rPr>
          <m:t>e</m:t>
        </m:r>
        <m:r>
          <m:rPr/>
          <w:rPr>
            <w:rFonts w:hint="eastAsia" w:eastAsia="仿宋"/>
          </w:rPr>
          <m:t>×</m:t>
        </m:r>
        <m:r>
          <m:rPr/>
          <w:rPr>
            <w:rFonts w:ascii="Cambria Math" w:hAnsi="Cambria Math"/>
          </w:rPr>
          <m:t>SE+f</m:t>
        </m:r>
        <m:r>
          <m:rPr/>
          <w:rPr>
            <w:rFonts w:hint="eastAsia" w:eastAsia="仿宋"/>
          </w:rPr>
          <m:t>×</m:t>
        </m:r>
        <m:r>
          <m:rPr/>
          <w:rPr>
            <w:rFonts w:ascii="Cambria Math" w:hAnsi="Cambria Math"/>
          </w:rPr>
          <m:t>R)</m:t>
        </m:r>
      </m:oMath>
      <w:r>
        <w:rPr>
          <w:rFonts w:ascii="微软雅黑" w:hAnsi="微软雅黑" w:eastAsia="微软雅黑"/>
        </w:rPr>
        <w:tab/>
      </w:r>
      <w:r>
        <w:t>(</w:t>
      </w:r>
      <w:r>
        <w:fldChar w:fldCharType="begin"/>
      </w:r>
      <w:r>
        <w:instrText xml:space="preserve"> AUTONUM </w:instrText>
      </w:r>
      <w:r>
        <w:fldChar w:fldCharType="end"/>
      </w:r>
      <w:r>
        <w:t>)</w:t>
      </w:r>
    </w:p>
    <w:p w14:paraId="5FC79C12">
      <w:pPr>
        <w:pStyle w:val="57"/>
        <w:ind w:firstLine="420"/>
      </w:pPr>
      <w:r>
        <w:rPr>
          <w:rFonts w:hint="eastAsia"/>
        </w:rPr>
        <w:t>式中：</w:t>
      </w:r>
    </w:p>
    <w:p w14:paraId="07BB4A24">
      <w:pPr>
        <w:pStyle w:val="58"/>
        <w:ind w:firstLine="420"/>
      </w:pPr>
      <m:oMath>
        <m:r>
          <m:rPr/>
          <w:rPr>
            <w:rFonts w:ascii="Cambria Math" w:hAnsi="Cambria Math"/>
          </w:rPr>
          <m:t>FRFI</m:t>
        </m:r>
      </m:oMath>
      <w:r>
        <w:rPr>
          <w:rFonts w:hint="eastAsia"/>
        </w:rPr>
        <w:t>——森林草原火险等级评价指标；</w:t>
      </w:r>
    </w:p>
    <w:p w14:paraId="3717F443">
      <w:pPr>
        <w:pStyle w:val="58"/>
        <w:ind w:firstLine="420"/>
      </w:pPr>
      <m:oMath>
        <m:r>
          <m:rPr/>
          <w:rPr>
            <w:rFonts w:ascii="Cambria Math" w:hAnsi="Cambria Math"/>
          </w:rPr>
          <m:t>FFDI</m:t>
        </m:r>
      </m:oMath>
      <w:r>
        <w:rPr>
          <w:rFonts w:hint="eastAsia"/>
        </w:rPr>
        <w:t>——气象因子指数；</w:t>
      </w:r>
    </w:p>
    <w:p w14:paraId="2D02761F">
      <w:pPr>
        <w:pStyle w:val="58"/>
        <w:ind w:firstLine="420"/>
      </w:pPr>
      <m:oMath>
        <m:r>
          <m:rPr/>
          <w:rPr>
            <w:rFonts w:ascii="Cambria Math" w:hAnsi="Cambria Math"/>
          </w:rPr>
          <m:t>L</m:t>
        </m:r>
      </m:oMath>
      <w:r>
        <w:rPr>
          <w:rFonts w:hint="eastAsia"/>
        </w:rPr>
        <w:t>——凋落物含水率指数；</w:t>
      </w:r>
    </w:p>
    <w:p w14:paraId="527A5D8D">
      <w:pPr>
        <w:pStyle w:val="58"/>
        <w:ind w:firstLine="420"/>
      </w:pPr>
      <m:oMath>
        <m:r>
          <m:rPr/>
          <w:rPr>
            <w:rFonts w:ascii="Cambria Math" w:hAnsi="Cambria Math"/>
          </w:rPr>
          <m:t>H</m:t>
        </m:r>
      </m:oMath>
      <w:r>
        <w:rPr>
          <w:rFonts w:hint="eastAsia"/>
        </w:rPr>
        <w:t>——腐殖质含水率指数；</w:t>
      </w:r>
    </w:p>
    <w:p w14:paraId="3B63BF58">
      <w:pPr>
        <w:pStyle w:val="58"/>
        <w:ind w:firstLine="420"/>
      </w:pPr>
      <m:oMath>
        <m:r>
          <m:rPr/>
          <w:rPr>
            <w:rFonts w:ascii="Cambria Math" w:hAnsi="Cambria Math"/>
          </w:rPr>
          <m:t>FVC</m:t>
        </m:r>
      </m:oMath>
      <w:r>
        <w:rPr>
          <w:rFonts w:hint="eastAsia"/>
        </w:rPr>
        <w:t>——植被覆盖度指数；</w:t>
      </w:r>
    </w:p>
    <w:p w14:paraId="7CB053A1">
      <w:pPr>
        <w:pStyle w:val="58"/>
        <w:ind w:firstLine="420"/>
      </w:pPr>
      <m:oMath>
        <m:r>
          <m:rPr/>
          <w:rPr>
            <w:rFonts w:ascii="Cambria Math" w:hAnsi="Cambria Math"/>
          </w:rPr>
          <m:t>S</m:t>
        </m:r>
      </m:oMath>
      <w:r>
        <w:rPr>
          <w:rFonts w:hint="eastAsia"/>
        </w:rPr>
        <w:t>——土壤湿度指数；</w:t>
      </w:r>
    </w:p>
    <w:p w14:paraId="13853E54">
      <w:pPr>
        <w:pStyle w:val="58"/>
        <w:ind w:firstLine="420"/>
      </w:pPr>
      <m:oMath>
        <m:r>
          <m:rPr/>
          <w:rPr>
            <w:rFonts w:ascii="Cambria Math" w:hAnsi="Cambria Math"/>
          </w:rPr>
          <m:t>E</m:t>
        </m:r>
      </m:oMath>
      <w:r>
        <w:rPr>
          <w:rFonts w:hint="eastAsia"/>
        </w:rPr>
        <w:t>——物候因子指数；</w:t>
      </w:r>
    </w:p>
    <w:p w14:paraId="79B4D349">
      <w:pPr>
        <w:pStyle w:val="58"/>
        <w:ind w:firstLine="420"/>
      </w:pPr>
      <m:oMath>
        <m:r>
          <m:rPr/>
          <w:rPr>
            <w:rFonts w:ascii="Cambria Math" w:hAnsi="Cambria Math"/>
          </w:rPr>
          <m:t>SE</m:t>
        </m:r>
      </m:oMath>
      <w:r>
        <w:rPr>
          <w:rFonts w:hint="eastAsia"/>
        </w:rPr>
        <w:t>——社会经济因子指数；</w:t>
      </w:r>
    </w:p>
    <w:p w14:paraId="291A8F42">
      <w:pPr>
        <w:pStyle w:val="58"/>
        <w:ind w:firstLine="420"/>
      </w:pPr>
      <m:oMath>
        <m:r>
          <m:rPr/>
          <w:rPr>
            <w:rFonts w:ascii="Cambria Math" w:hAnsi="Cambria Math"/>
          </w:rPr>
          <m:t>R</m:t>
        </m:r>
      </m:oMath>
      <w:r>
        <w:rPr>
          <w:rFonts w:hint="eastAsia"/>
        </w:rPr>
        <w:t>——火源因子指数；</w:t>
      </w:r>
    </w:p>
    <w:p w14:paraId="7AF694A4">
      <w:pPr>
        <w:pStyle w:val="58"/>
        <w:ind w:firstLine="420"/>
      </w:pPr>
      <m:oMath>
        <m:r>
          <m:rPr/>
          <w:rPr>
            <w:rFonts w:eastAsia="仿宋"/>
          </w:rPr>
          <m:t>a</m:t>
        </m:r>
        <m:r>
          <m:rPr>
            <m:sty m:val="p"/>
          </m:rPr>
          <w:rPr>
            <w:rFonts w:ascii="Cambria Math" w:eastAsia="仿宋"/>
          </w:rPr>
          <m:t xml:space="preserve">, </m:t>
        </m:r>
        <m:r>
          <m:rPr/>
          <w:rPr>
            <w:rFonts w:eastAsia="仿宋"/>
          </w:rPr>
          <m:t>b</m:t>
        </m:r>
        <m:r>
          <m:rPr>
            <m:sty m:val="p"/>
          </m:rPr>
          <w:rPr>
            <w:rFonts w:ascii="Cambria Math" w:eastAsia="仿宋"/>
          </w:rPr>
          <m:t xml:space="preserve">, </m:t>
        </m:r>
        <m:r>
          <m:rPr/>
          <w:rPr>
            <w:rFonts w:ascii="Cambria Math" w:hAnsi="Cambria Math"/>
          </w:rPr>
          <m:t>c</m:t>
        </m:r>
        <m:r>
          <m:rPr>
            <m:sty m:val="p"/>
          </m:rPr>
          <w:rPr>
            <w:rFonts w:ascii="Cambria Math" w:eastAsia="仿宋"/>
          </w:rPr>
          <m:t xml:space="preserve">, </m:t>
        </m:r>
        <m:r>
          <m:rPr/>
          <w:rPr>
            <w:rFonts w:ascii="Cambria Math" w:hAnsi="Cambria Math"/>
          </w:rPr>
          <m:t>d</m:t>
        </m:r>
        <m:r>
          <m:rPr>
            <m:sty m:val="p"/>
          </m:rPr>
          <w:rPr>
            <w:rFonts w:ascii="Cambria Math" w:eastAsia="仿宋"/>
          </w:rPr>
          <m:t xml:space="preserve">, </m:t>
        </m:r>
        <m:r>
          <m:rPr/>
          <w:rPr>
            <w:rFonts w:eastAsia="仿宋"/>
          </w:rPr>
          <m:t>e</m:t>
        </m:r>
        <m:r>
          <m:rPr>
            <m:sty m:val="p"/>
          </m:rPr>
          <w:rPr>
            <w:rFonts w:ascii="Cambria Math" w:eastAsia="仿宋"/>
          </w:rPr>
          <m:t xml:space="preserve">, </m:t>
        </m:r>
        <m:r>
          <m:rPr/>
          <w:rPr>
            <w:rFonts w:ascii="Cambria Math" w:hAnsi="Cambria Math"/>
          </w:rPr>
          <m:t>f</m:t>
        </m:r>
      </m:oMath>
      <w:r>
        <w:rPr>
          <w:rFonts w:hint="eastAsia"/>
        </w:rPr>
        <w:t>——各指标的权重系数。由于各指标对不同地区火险等级的贡献程度不同，因此东北、华北、华东、西北、西南、华南和华中地区宜对不同指标分别赋予不同的权重，以保证结果的准确性。</w:t>
      </w:r>
    </w:p>
    <w:p w14:paraId="60B14439">
      <w:pPr>
        <w:pStyle w:val="106"/>
        <w:spacing w:before="312" w:after="312"/>
      </w:pPr>
      <w:bookmarkStart w:id="105" w:name="_Toc204068659"/>
      <w:bookmarkStart w:id="106" w:name="_Toc199680202"/>
      <w:bookmarkStart w:id="107" w:name="_Toc165363355"/>
      <w:bookmarkStart w:id="108" w:name="_Toc201339648"/>
      <w:bookmarkStart w:id="109" w:name="_Toc164703663"/>
      <w:r>
        <w:rPr>
          <w:rFonts w:hint="eastAsia"/>
        </w:rPr>
        <w:t>评价结果</w:t>
      </w:r>
      <w:bookmarkEnd w:id="105"/>
      <w:bookmarkEnd w:id="106"/>
      <w:bookmarkEnd w:id="107"/>
      <w:bookmarkEnd w:id="108"/>
      <w:bookmarkEnd w:id="109"/>
    </w:p>
    <w:p w14:paraId="0B93273C">
      <w:pPr>
        <w:pStyle w:val="58"/>
        <w:ind w:firstLine="420"/>
      </w:pPr>
      <w:r>
        <w:rPr>
          <w:rFonts w:hint="eastAsia"/>
        </w:rPr>
        <w:t>根据评价得分将火险划分为一级、二级、三级、四级、五级五个等级，对应关系见表11。</w:t>
      </w:r>
    </w:p>
    <w:p w14:paraId="2754EB2F">
      <w:pPr>
        <w:pStyle w:val="114"/>
        <w:spacing w:before="156" w:after="156"/>
      </w:pPr>
      <w:r>
        <w:rPr>
          <w:rFonts w:hint="eastAsia"/>
        </w:rPr>
        <w:t>森林草原火险等级划分</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866"/>
        <w:gridCol w:w="1867"/>
        <w:gridCol w:w="1867"/>
        <w:gridCol w:w="1867"/>
        <w:gridCol w:w="1867"/>
      </w:tblGrid>
      <w:tr w14:paraId="5B94C9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866" w:type="dxa"/>
            <w:tcBorders>
              <w:top w:val="single" w:color="auto" w:sz="8" w:space="0"/>
              <w:bottom w:val="single" w:color="auto" w:sz="8" w:space="0"/>
            </w:tcBorders>
            <w:vAlign w:val="center"/>
          </w:tcPr>
          <w:p w14:paraId="7FCF415D">
            <w:pPr>
              <w:pStyle w:val="180"/>
            </w:pPr>
            <w:r>
              <w:rPr>
                <w:rFonts w:hint="eastAsia"/>
              </w:rPr>
              <w:t xml:space="preserve">森林草原火险分级指标 </w:t>
            </w:r>
            <w:r>
              <w:rPr>
                <w:rFonts w:hint="eastAsia"/>
                <w:i/>
                <w:iCs/>
              </w:rPr>
              <w:t>FRFI</w:t>
            </w:r>
          </w:p>
        </w:tc>
        <w:tc>
          <w:tcPr>
            <w:tcW w:w="1867" w:type="dxa"/>
            <w:tcBorders>
              <w:top w:val="single" w:color="auto" w:sz="8" w:space="0"/>
              <w:bottom w:val="single" w:color="auto" w:sz="8" w:space="0"/>
            </w:tcBorders>
            <w:vAlign w:val="center"/>
          </w:tcPr>
          <w:p w14:paraId="4D0B7E14">
            <w:pPr>
              <w:pStyle w:val="180"/>
            </w:pPr>
            <w:r>
              <w:rPr>
                <w:rFonts w:hint="eastAsia"/>
              </w:rPr>
              <w:t>森林草原火险等级</w:t>
            </w:r>
          </w:p>
        </w:tc>
        <w:tc>
          <w:tcPr>
            <w:tcW w:w="1867" w:type="dxa"/>
            <w:tcBorders>
              <w:top w:val="single" w:color="auto" w:sz="8" w:space="0"/>
              <w:bottom w:val="single" w:color="auto" w:sz="8" w:space="0"/>
            </w:tcBorders>
            <w:vAlign w:val="center"/>
          </w:tcPr>
          <w:p w14:paraId="4CF09151">
            <w:pPr>
              <w:pStyle w:val="180"/>
            </w:pPr>
            <w:r>
              <w:rPr>
                <w:rFonts w:hint="eastAsia"/>
              </w:rPr>
              <w:t>危险程度</w:t>
            </w:r>
          </w:p>
        </w:tc>
        <w:tc>
          <w:tcPr>
            <w:tcW w:w="1867" w:type="dxa"/>
            <w:tcBorders>
              <w:top w:val="single" w:color="auto" w:sz="8" w:space="0"/>
              <w:bottom w:val="single" w:color="auto" w:sz="8" w:space="0"/>
            </w:tcBorders>
            <w:vAlign w:val="center"/>
          </w:tcPr>
          <w:p w14:paraId="4403B847">
            <w:pPr>
              <w:pStyle w:val="180"/>
            </w:pPr>
            <w:r>
              <w:rPr>
                <w:rFonts w:hint="eastAsia"/>
              </w:rPr>
              <w:t>易燃程度</w:t>
            </w:r>
          </w:p>
        </w:tc>
        <w:tc>
          <w:tcPr>
            <w:tcW w:w="1867" w:type="dxa"/>
            <w:tcBorders>
              <w:top w:val="single" w:color="auto" w:sz="8" w:space="0"/>
              <w:bottom w:val="single" w:color="auto" w:sz="8" w:space="0"/>
            </w:tcBorders>
            <w:vAlign w:val="center"/>
          </w:tcPr>
          <w:p w14:paraId="5DC14C31">
            <w:pPr>
              <w:pStyle w:val="180"/>
            </w:pPr>
            <w:r>
              <w:rPr>
                <w:rFonts w:hint="eastAsia"/>
              </w:rPr>
              <w:t>蔓延程度</w:t>
            </w:r>
          </w:p>
        </w:tc>
      </w:tr>
      <w:tr w14:paraId="0C1AB5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66" w:type="dxa"/>
          </w:tcPr>
          <w:p w14:paraId="760F44D8">
            <w:pPr>
              <w:pStyle w:val="180"/>
            </w:pPr>
            <w:r>
              <w:rPr>
                <w:rFonts w:hint="eastAsia"/>
              </w:rPr>
              <w:t>≥95</w:t>
            </w:r>
          </w:p>
        </w:tc>
        <w:tc>
          <w:tcPr>
            <w:tcW w:w="1867" w:type="dxa"/>
          </w:tcPr>
          <w:p w14:paraId="42D0FE37">
            <w:pPr>
              <w:pStyle w:val="180"/>
            </w:pPr>
            <w:r>
              <w:rPr>
                <w:rFonts w:hint="eastAsia"/>
              </w:rPr>
              <w:t>一级</w:t>
            </w:r>
          </w:p>
        </w:tc>
        <w:tc>
          <w:tcPr>
            <w:tcW w:w="1867" w:type="dxa"/>
          </w:tcPr>
          <w:p w14:paraId="66B5659C">
            <w:pPr>
              <w:pStyle w:val="180"/>
            </w:pPr>
            <w:r>
              <w:rPr>
                <w:rFonts w:hint="eastAsia"/>
              </w:rPr>
              <w:t>极度危险</w:t>
            </w:r>
          </w:p>
        </w:tc>
        <w:tc>
          <w:tcPr>
            <w:tcW w:w="1867" w:type="dxa"/>
          </w:tcPr>
          <w:p w14:paraId="58080583">
            <w:pPr>
              <w:pStyle w:val="180"/>
            </w:pPr>
            <w:r>
              <w:rPr>
                <w:rFonts w:hint="eastAsia"/>
              </w:rPr>
              <w:t>极易燃烧</w:t>
            </w:r>
          </w:p>
        </w:tc>
        <w:tc>
          <w:tcPr>
            <w:tcW w:w="1867" w:type="dxa"/>
          </w:tcPr>
          <w:p w14:paraId="46C84563">
            <w:pPr>
              <w:pStyle w:val="180"/>
            </w:pPr>
            <w:r>
              <w:rPr>
                <w:rFonts w:hint="eastAsia"/>
              </w:rPr>
              <w:t>极易蔓延</w:t>
            </w:r>
          </w:p>
        </w:tc>
      </w:tr>
      <w:tr w14:paraId="43CB86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66" w:type="dxa"/>
          </w:tcPr>
          <w:p w14:paraId="77BCE384">
            <w:pPr>
              <w:pStyle w:val="180"/>
            </w:pPr>
            <w:r>
              <w:rPr>
                <w:rFonts w:hint="eastAsia"/>
              </w:rPr>
              <w:t>67～95</w:t>
            </w:r>
          </w:p>
        </w:tc>
        <w:tc>
          <w:tcPr>
            <w:tcW w:w="1867" w:type="dxa"/>
          </w:tcPr>
          <w:p w14:paraId="247136B1">
            <w:pPr>
              <w:pStyle w:val="180"/>
            </w:pPr>
            <w:r>
              <w:rPr>
                <w:rFonts w:hint="eastAsia"/>
              </w:rPr>
              <w:t>二级</w:t>
            </w:r>
          </w:p>
        </w:tc>
        <w:tc>
          <w:tcPr>
            <w:tcW w:w="1867" w:type="dxa"/>
          </w:tcPr>
          <w:p w14:paraId="264BE1F8">
            <w:pPr>
              <w:pStyle w:val="180"/>
            </w:pPr>
            <w:r>
              <w:rPr>
                <w:rFonts w:hint="eastAsia"/>
              </w:rPr>
              <w:t>高度危险</w:t>
            </w:r>
          </w:p>
        </w:tc>
        <w:tc>
          <w:tcPr>
            <w:tcW w:w="1867" w:type="dxa"/>
          </w:tcPr>
          <w:p w14:paraId="4828AD60">
            <w:pPr>
              <w:pStyle w:val="180"/>
            </w:pPr>
            <w:r>
              <w:rPr>
                <w:rFonts w:hint="eastAsia"/>
              </w:rPr>
              <w:t>容易燃烧</w:t>
            </w:r>
          </w:p>
        </w:tc>
        <w:tc>
          <w:tcPr>
            <w:tcW w:w="1867" w:type="dxa"/>
          </w:tcPr>
          <w:p w14:paraId="5B902440">
            <w:pPr>
              <w:pStyle w:val="180"/>
            </w:pPr>
            <w:r>
              <w:rPr>
                <w:rFonts w:hint="eastAsia"/>
              </w:rPr>
              <w:t>容易蔓延</w:t>
            </w:r>
          </w:p>
        </w:tc>
      </w:tr>
      <w:tr w14:paraId="666F19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66" w:type="dxa"/>
          </w:tcPr>
          <w:p w14:paraId="71E2F358">
            <w:pPr>
              <w:pStyle w:val="180"/>
            </w:pPr>
            <w:r>
              <w:rPr>
                <w:rFonts w:hint="eastAsia"/>
              </w:rPr>
              <w:t>45～67</w:t>
            </w:r>
          </w:p>
        </w:tc>
        <w:tc>
          <w:tcPr>
            <w:tcW w:w="1867" w:type="dxa"/>
          </w:tcPr>
          <w:p w14:paraId="2A9E6783">
            <w:pPr>
              <w:pStyle w:val="180"/>
            </w:pPr>
            <w:r>
              <w:rPr>
                <w:rFonts w:hint="eastAsia"/>
              </w:rPr>
              <w:t>三级</w:t>
            </w:r>
          </w:p>
        </w:tc>
        <w:tc>
          <w:tcPr>
            <w:tcW w:w="1867" w:type="dxa"/>
          </w:tcPr>
          <w:p w14:paraId="19F5DFD6">
            <w:pPr>
              <w:pStyle w:val="180"/>
            </w:pPr>
            <w:r>
              <w:rPr>
                <w:rFonts w:hint="eastAsia"/>
              </w:rPr>
              <w:t>较高危险</w:t>
            </w:r>
          </w:p>
        </w:tc>
        <w:tc>
          <w:tcPr>
            <w:tcW w:w="1867" w:type="dxa"/>
          </w:tcPr>
          <w:p w14:paraId="0898E704">
            <w:pPr>
              <w:pStyle w:val="180"/>
            </w:pPr>
            <w:r>
              <w:rPr>
                <w:rFonts w:hint="eastAsia"/>
              </w:rPr>
              <w:t>较易燃烧</w:t>
            </w:r>
          </w:p>
        </w:tc>
        <w:tc>
          <w:tcPr>
            <w:tcW w:w="1867" w:type="dxa"/>
          </w:tcPr>
          <w:p w14:paraId="6CE348DC">
            <w:pPr>
              <w:pStyle w:val="180"/>
            </w:pPr>
            <w:r>
              <w:rPr>
                <w:rFonts w:hint="eastAsia"/>
              </w:rPr>
              <w:t>较易蔓延</w:t>
            </w:r>
          </w:p>
        </w:tc>
      </w:tr>
      <w:tr w14:paraId="3FACDE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66" w:type="dxa"/>
          </w:tcPr>
          <w:p w14:paraId="4F41A808">
            <w:pPr>
              <w:pStyle w:val="180"/>
            </w:pPr>
            <w:r>
              <w:rPr>
                <w:rFonts w:hint="eastAsia"/>
              </w:rPr>
              <w:t>22～45</w:t>
            </w:r>
          </w:p>
        </w:tc>
        <w:tc>
          <w:tcPr>
            <w:tcW w:w="1867" w:type="dxa"/>
          </w:tcPr>
          <w:p w14:paraId="24D81113">
            <w:pPr>
              <w:pStyle w:val="180"/>
            </w:pPr>
            <w:r>
              <w:rPr>
                <w:rFonts w:hint="eastAsia"/>
              </w:rPr>
              <w:t>四级</w:t>
            </w:r>
          </w:p>
        </w:tc>
        <w:tc>
          <w:tcPr>
            <w:tcW w:w="1867" w:type="dxa"/>
          </w:tcPr>
          <w:p w14:paraId="1013DB66">
            <w:pPr>
              <w:pStyle w:val="180"/>
            </w:pPr>
            <w:r>
              <w:rPr>
                <w:rFonts w:hint="eastAsia"/>
              </w:rPr>
              <w:t>中度危险</w:t>
            </w:r>
          </w:p>
        </w:tc>
        <w:tc>
          <w:tcPr>
            <w:tcW w:w="1867" w:type="dxa"/>
          </w:tcPr>
          <w:p w14:paraId="64D49532">
            <w:pPr>
              <w:pStyle w:val="180"/>
            </w:pPr>
            <w:r>
              <w:rPr>
                <w:rFonts w:hint="eastAsia"/>
              </w:rPr>
              <w:t>可以燃烧</w:t>
            </w:r>
          </w:p>
        </w:tc>
        <w:tc>
          <w:tcPr>
            <w:tcW w:w="1867" w:type="dxa"/>
          </w:tcPr>
          <w:p w14:paraId="4A6C8165">
            <w:pPr>
              <w:pStyle w:val="180"/>
            </w:pPr>
            <w:r>
              <w:rPr>
                <w:rFonts w:hint="eastAsia"/>
              </w:rPr>
              <w:t>可以蔓延</w:t>
            </w:r>
          </w:p>
        </w:tc>
      </w:tr>
      <w:tr w14:paraId="6E8910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66" w:type="dxa"/>
          </w:tcPr>
          <w:p w14:paraId="65E29F69">
            <w:pPr>
              <w:pStyle w:val="180"/>
            </w:pPr>
            <w:r>
              <w:rPr>
                <w:rFonts w:hint="eastAsia"/>
              </w:rPr>
              <w:t>≤22</w:t>
            </w:r>
          </w:p>
        </w:tc>
        <w:tc>
          <w:tcPr>
            <w:tcW w:w="1867" w:type="dxa"/>
          </w:tcPr>
          <w:p w14:paraId="420A7754">
            <w:pPr>
              <w:pStyle w:val="180"/>
            </w:pPr>
            <w:r>
              <w:rPr>
                <w:rFonts w:hint="eastAsia"/>
              </w:rPr>
              <w:t>五级</w:t>
            </w:r>
          </w:p>
        </w:tc>
        <w:tc>
          <w:tcPr>
            <w:tcW w:w="1867" w:type="dxa"/>
          </w:tcPr>
          <w:p w14:paraId="2690B8D8">
            <w:pPr>
              <w:pStyle w:val="180"/>
            </w:pPr>
            <w:r>
              <w:rPr>
                <w:rFonts w:hint="eastAsia"/>
              </w:rPr>
              <w:t>低度危险</w:t>
            </w:r>
          </w:p>
        </w:tc>
        <w:tc>
          <w:tcPr>
            <w:tcW w:w="1867" w:type="dxa"/>
          </w:tcPr>
          <w:p w14:paraId="190FFC74">
            <w:pPr>
              <w:pStyle w:val="180"/>
            </w:pPr>
            <w:r>
              <w:rPr>
                <w:rFonts w:hint="eastAsia"/>
              </w:rPr>
              <w:t>不易燃烧</w:t>
            </w:r>
          </w:p>
        </w:tc>
        <w:tc>
          <w:tcPr>
            <w:tcW w:w="1867" w:type="dxa"/>
          </w:tcPr>
          <w:p w14:paraId="1554BAA5">
            <w:pPr>
              <w:pStyle w:val="180"/>
            </w:pPr>
            <w:r>
              <w:rPr>
                <w:rFonts w:hint="eastAsia"/>
              </w:rPr>
              <w:t>不易蔓延</w:t>
            </w:r>
          </w:p>
        </w:tc>
      </w:tr>
    </w:tbl>
    <w:p w14:paraId="1B593F6A">
      <w:pPr>
        <w:pStyle w:val="58"/>
        <w:ind w:firstLine="420"/>
        <w:jc w:val="center"/>
      </w:pPr>
    </w:p>
    <w:bookmarkEnd w:id="9"/>
    <w:p w14:paraId="49E2777C">
      <w:pPr>
        <w:pStyle w:val="58"/>
        <w:ind w:firstLine="420"/>
        <w:jc w:val="center"/>
        <w:sectPr>
          <w:pgSz w:w="11906" w:h="16838"/>
          <w:pgMar w:top="1928" w:right="1134" w:bottom="1134" w:left="1134" w:header="1418" w:footer="1134" w:gutter="284"/>
          <w:pgBorders>
            <w:top w:val="none" w:sz="0" w:space="0"/>
            <w:left w:val="none" w:sz="0" w:space="0"/>
            <w:bottom w:val="none" w:sz="0" w:space="0"/>
            <w:right w:val="none" w:sz="0" w:space="0"/>
          </w:pgBorders>
          <w:pgNumType w:start="1"/>
          <w:cols w:space="425" w:num="1"/>
          <w:formProt w:val="0"/>
          <w:docGrid w:type="lines" w:linePitch="312" w:charSpace="0"/>
        </w:sectPr>
      </w:pPr>
      <w:bookmarkStart w:id="110" w:name="BookMark6"/>
    </w:p>
    <w:p w14:paraId="100EAFCF">
      <w:pPr>
        <w:pStyle w:val="65"/>
        <w:spacing w:after="156"/>
      </w:pPr>
      <w:bookmarkStart w:id="111" w:name="_Toc199680203"/>
      <w:bookmarkStart w:id="112" w:name="_Toc204068660"/>
      <w:bookmarkStart w:id="113" w:name="_Toc201339649"/>
      <w:r>
        <w:rPr>
          <w:rFonts w:hint="eastAsia"/>
          <w:spacing w:val="105"/>
        </w:rPr>
        <w:t>参考文</w:t>
      </w:r>
      <w:r>
        <w:rPr>
          <w:rFonts w:hint="eastAsia"/>
        </w:rPr>
        <w:t>献</w:t>
      </w:r>
      <w:bookmarkEnd w:id="111"/>
      <w:bookmarkEnd w:id="112"/>
      <w:bookmarkEnd w:id="113"/>
    </w:p>
    <w:p w14:paraId="1E7B50EC">
      <w:pPr>
        <w:pStyle w:val="58"/>
        <w:ind w:firstLine="420"/>
      </w:pPr>
      <w:bookmarkStart w:id="114" w:name="OLE_LINK3"/>
      <w:r>
        <w:rPr>
          <w:rFonts w:hint="eastAsia"/>
        </w:rPr>
        <w:t>[1]</w:t>
      </w:r>
      <w:bookmarkEnd w:id="114"/>
      <w:r>
        <w:rPr>
          <w:rFonts w:hint="eastAsia"/>
        </w:rPr>
        <w:t xml:space="preserve"> GB/T 31164-2014  森林火险气象预警</w:t>
      </w:r>
    </w:p>
    <w:p w14:paraId="7BDC3477">
      <w:pPr>
        <w:pStyle w:val="58"/>
        <w:ind w:firstLine="420"/>
      </w:pPr>
      <w:r>
        <w:rPr>
          <w:rFonts w:hint="eastAsia"/>
        </w:rPr>
        <w:t>[2] LY/T 1063-2008  全国森林火险区划等级</w:t>
      </w:r>
    </w:p>
    <w:p w14:paraId="49D5A50D">
      <w:pPr>
        <w:pStyle w:val="58"/>
        <w:ind w:firstLine="420"/>
      </w:pPr>
      <w:r>
        <w:rPr>
          <w:rFonts w:hint="eastAsia"/>
        </w:rPr>
        <w:t>[3] LY/T 2578-2016  森林火险预警信号分级及标识</w:t>
      </w:r>
    </w:p>
    <w:bookmarkEnd w:id="110"/>
    <w:p w14:paraId="2A6A0C06">
      <w:pPr>
        <w:pStyle w:val="58"/>
        <w:ind w:firstLine="0" w:firstLineChars="0"/>
        <w:jc w:val="center"/>
        <w:sectPr>
          <w:headerReference r:id="rId13" w:type="default"/>
          <w:pgSz w:w="11906" w:h="16838"/>
          <w:pgMar w:top="1928" w:right="1134" w:bottom="1134" w:left="1134" w:header="1418" w:footer="1134" w:gutter="284"/>
          <w:pgBorders>
            <w:top w:val="none" w:sz="0" w:space="0"/>
            <w:left w:val="none" w:sz="0" w:space="0"/>
            <w:bottom w:val="none" w:sz="0" w:space="0"/>
            <w:right w:val="none" w:sz="0" w:space="0"/>
          </w:pgBorders>
          <w:cols w:space="425" w:num="1"/>
          <w:formProt w:val="0"/>
          <w:docGrid w:type="lines" w:linePitch="312" w:charSpace="0"/>
        </w:sectPr>
      </w:pPr>
      <w:bookmarkStart w:id="115" w:name="BookMark8"/>
      <w:r>
        <w:drawing>
          <wp:inline distT="0" distB="0" distL="0" distR="0">
            <wp:extent cx="1485900" cy="317500"/>
            <wp:effectExtent l="0" t="0" r="0" b="6350"/>
            <wp:docPr id="1767896381" name="图片 3"/>
            <wp:cNvGraphicFramePr/>
            <a:graphic xmlns:a="http://schemas.openxmlformats.org/drawingml/2006/main">
              <a:graphicData uri="http://schemas.openxmlformats.org/drawingml/2006/picture">
                <pic:pic xmlns:pic="http://schemas.openxmlformats.org/drawingml/2006/picture">
                  <pic:nvPicPr>
                    <pic:cNvPr id="1767896381" name="图片 3"/>
                    <pic:cNvPicPr/>
                  </pic:nvPicPr>
                  <pic:blipFill>
                    <a:blip r:embed="rId21">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115"/>
    </w:p>
    <w:p w14:paraId="2429CC40"/>
    <w:p w14:paraId="14FE12C2">
      <w:pPr>
        <w:spacing w:line="560" w:lineRule="exact"/>
        <w:outlineLvl w:val="0"/>
        <w:rPr>
          <w:rFonts w:ascii="宋体" w:hAnsi="宋体" w:eastAsia="仿宋_GB2312" w:cs="仿宋_GB2312"/>
          <w:b/>
          <w:bCs/>
          <w:spacing w:val="-20"/>
          <w:sz w:val="32"/>
          <w:szCs w:val="32"/>
        </w:rPr>
      </w:pPr>
    </w:p>
    <w:p w14:paraId="40DC7985">
      <w:pPr>
        <w:rPr>
          <w:rFonts w:ascii="宋体" w:hAnsi="宋体" w:eastAsia="仿宋"/>
          <w:sz w:val="30"/>
          <w:szCs w:val="30"/>
        </w:rPr>
      </w:pPr>
    </w:p>
    <w:p w14:paraId="0D25E4C9">
      <w:pPr>
        <w:rPr>
          <w:rFonts w:ascii="宋体" w:hAnsi="宋体" w:eastAsia="仿宋"/>
          <w:sz w:val="44"/>
          <w:szCs w:val="44"/>
        </w:rPr>
      </w:pPr>
    </w:p>
    <w:p w14:paraId="539F8919">
      <w:pPr>
        <w:rPr>
          <w:rFonts w:ascii="宋体" w:hAnsi="宋体" w:eastAsia="仿宋"/>
          <w:sz w:val="44"/>
          <w:szCs w:val="44"/>
        </w:rPr>
      </w:pPr>
    </w:p>
    <w:p w14:paraId="3F5BD7DC">
      <w:pPr>
        <w:rPr>
          <w:rFonts w:ascii="宋体" w:hAnsi="宋体" w:eastAsia="仿宋"/>
          <w:sz w:val="44"/>
          <w:szCs w:val="44"/>
        </w:rPr>
      </w:pPr>
    </w:p>
    <w:p w14:paraId="4B00D5EB">
      <w:pPr>
        <w:spacing w:line="240" w:lineRule="auto"/>
        <w:jc w:val="center"/>
        <w:rPr>
          <w:rFonts w:hint="eastAsia" w:ascii="宋体" w:hAnsi="宋体" w:eastAsia="方正小标宋简体"/>
          <w:sz w:val="44"/>
          <w:szCs w:val="44"/>
        </w:rPr>
      </w:pPr>
      <w:bookmarkStart w:id="116" w:name="_Toc2085077807_WPSOffice_Level2"/>
      <w:r>
        <w:rPr>
          <w:rFonts w:hint="eastAsia" w:ascii="宋体" w:hAnsi="宋体" w:eastAsia="方正小标宋简体"/>
          <w:sz w:val="44"/>
          <w:szCs w:val="44"/>
        </w:rPr>
        <w:t>《森林草原火险多因子评价技术指南》</w:t>
      </w:r>
    </w:p>
    <w:p w14:paraId="67C67A3F">
      <w:pPr>
        <w:spacing w:line="240" w:lineRule="auto"/>
        <w:jc w:val="center"/>
        <w:rPr>
          <w:rFonts w:ascii="宋体" w:hAnsi="宋体" w:eastAsia="仿宋_GB2312"/>
          <w:sz w:val="32"/>
          <w:szCs w:val="32"/>
        </w:rPr>
      </w:pPr>
      <w:r>
        <w:rPr>
          <w:rFonts w:hint="eastAsia" w:ascii="宋体" w:hAnsi="宋体" w:eastAsia="仿宋_GB2312"/>
          <w:sz w:val="32"/>
          <w:szCs w:val="32"/>
        </w:rPr>
        <w:t>（</w:t>
      </w:r>
      <w:r>
        <w:rPr>
          <w:rFonts w:hint="eastAsia" w:ascii="宋体" w:hAnsi="宋体" w:eastAsia="东文宋体" w:cs="东文宋体"/>
          <w:sz w:val="32"/>
          <w:szCs w:val="32"/>
        </w:rPr>
        <w:t>■</w:t>
      </w:r>
      <w:r>
        <w:rPr>
          <w:rFonts w:hint="eastAsia" w:ascii="宋体" w:hAnsi="宋体" w:eastAsia="仿宋_GB2312"/>
          <w:sz w:val="32"/>
          <w:szCs w:val="32"/>
        </w:rPr>
        <w:t>征求意见稿</w:t>
      </w:r>
      <w:r>
        <w:rPr>
          <w:rFonts w:ascii="宋体" w:hAnsi="宋体" w:eastAsia="仿宋_GB2312"/>
          <w:sz w:val="32"/>
          <w:szCs w:val="32"/>
        </w:rPr>
        <w:t xml:space="preserve">  </w:t>
      </w:r>
      <w:r>
        <w:rPr>
          <w:rFonts w:hint="eastAsia" w:ascii="宋体" w:hAnsi="宋体" w:eastAsia="仿宋_GB2312"/>
          <w:sz w:val="32"/>
          <w:szCs w:val="32"/>
          <w:lang w:eastAsia="zh-CN"/>
        </w:rPr>
        <w:t>□</w:t>
      </w:r>
      <w:r>
        <w:rPr>
          <w:rFonts w:hint="eastAsia" w:ascii="宋体" w:hAnsi="宋体" w:eastAsia="仿宋_GB2312"/>
          <w:sz w:val="32"/>
          <w:szCs w:val="32"/>
        </w:rPr>
        <w:t>送审稿</w:t>
      </w:r>
      <w:r>
        <w:rPr>
          <w:rFonts w:ascii="宋体" w:hAnsi="宋体" w:eastAsia="仿宋_GB2312"/>
          <w:sz w:val="32"/>
          <w:szCs w:val="32"/>
        </w:rPr>
        <w:t xml:space="preserve">  </w:t>
      </w:r>
      <w:r>
        <w:rPr>
          <w:rFonts w:hint="eastAsia" w:ascii="宋体" w:hAnsi="宋体" w:eastAsia="仿宋_GB2312"/>
          <w:sz w:val="32"/>
          <w:szCs w:val="32"/>
        </w:rPr>
        <w:t>□报批稿）</w:t>
      </w:r>
    </w:p>
    <w:p w14:paraId="59473F3D">
      <w:pPr>
        <w:spacing w:line="240" w:lineRule="auto"/>
        <w:jc w:val="center"/>
        <w:rPr>
          <w:rFonts w:hint="eastAsia" w:ascii="宋体" w:hAnsi="宋体" w:eastAsia="方正小标宋简体"/>
          <w:sz w:val="44"/>
          <w:szCs w:val="44"/>
        </w:rPr>
      </w:pPr>
    </w:p>
    <w:p w14:paraId="0066AAAB">
      <w:pPr>
        <w:spacing w:line="240" w:lineRule="auto"/>
        <w:jc w:val="center"/>
        <w:rPr>
          <w:rFonts w:hint="eastAsia" w:ascii="宋体" w:hAnsi="宋体" w:eastAsia="黑体" w:cs="黑体"/>
          <w:sz w:val="44"/>
          <w:szCs w:val="44"/>
        </w:rPr>
      </w:pPr>
      <w:r>
        <w:rPr>
          <w:rFonts w:hint="eastAsia" w:ascii="宋体" w:hAnsi="宋体" w:eastAsia="黑体" w:cs="黑体"/>
          <w:sz w:val="44"/>
          <w:szCs w:val="44"/>
        </w:rPr>
        <w:t>编制说明</w:t>
      </w:r>
      <w:bookmarkEnd w:id="116"/>
    </w:p>
    <w:p w14:paraId="77BCA8ED">
      <w:pPr>
        <w:jc w:val="center"/>
        <w:rPr>
          <w:rFonts w:ascii="宋体" w:hAnsi="宋体" w:eastAsia="仿宋"/>
          <w:b/>
          <w:bCs/>
          <w:i/>
          <w:iCs/>
          <w:sz w:val="28"/>
          <w:szCs w:val="28"/>
        </w:rPr>
      </w:pPr>
      <w:r>
        <w:rPr>
          <w:rFonts w:ascii="宋体" w:hAnsi="宋体" w:eastAsia="仿宋"/>
          <w:i/>
          <w:iCs/>
          <w:sz w:val="28"/>
          <w:szCs w:val="28"/>
        </w:rPr>
        <w:br w:type="textWrapping"/>
      </w:r>
    </w:p>
    <w:p w14:paraId="5320C61B">
      <w:pPr>
        <w:jc w:val="center"/>
        <w:rPr>
          <w:rFonts w:ascii="宋体" w:hAnsi="宋体" w:eastAsia="仿宋_GB2312"/>
          <w:i/>
          <w:iCs/>
          <w:sz w:val="28"/>
          <w:szCs w:val="28"/>
        </w:rPr>
      </w:pPr>
    </w:p>
    <w:p w14:paraId="37AB8DBD">
      <w:pPr>
        <w:jc w:val="center"/>
        <w:rPr>
          <w:rFonts w:ascii="宋体" w:hAnsi="宋体" w:eastAsia="仿宋_GB2312"/>
          <w:i/>
          <w:iCs/>
          <w:sz w:val="28"/>
          <w:szCs w:val="28"/>
        </w:rPr>
      </w:pPr>
    </w:p>
    <w:p w14:paraId="444A3D93">
      <w:pPr>
        <w:rPr>
          <w:rFonts w:ascii="宋体" w:hAnsi="宋体" w:eastAsia="仿宋_GB2312"/>
          <w:i/>
          <w:iCs/>
          <w:sz w:val="28"/>
          <w:szCs w:val="28"/>
        </w:rPr>
      </w:pPr>
    </w:p>
    <w:p w14:paraId="5DCFFA6B">
      <w:pPr>
        <w:jc w:val="center"/>
        <w:rPr>
          <w:rFonts w:ascii="宋体" w:hAnsi="宋体" w:eastAsia="仿宋_GB2312"/>
          <w:i/>
          <w:iCs/>
          <w:sz w:val="28"/>
          <w:szCs w:val="28"/>
        </w:rPr>
      </w:pPr>
    </w:p>
    <w:p w14:paraId="2FF8D545">
      <w:pPr>
        <w:rPr>
          <w:rFonts w:ascii="宋体" w:hAnsi="宋体" w:eastAsia="仿宋_GB2312"/>
          <w:i/>
          <w:iCs/>
          <w:sz w:val="28"/>
          <w:szCs w:val="28"/>
        </w:rPr>
      </w:pPr>
    </w:p>
    <w:p w14:paraId="7044A211">
      <w:pPr>
        <w:rPr>
          <w:rFonts w:ascii="宋体" w:hAnsi="宋体" w:eastAsia="仿宋_GB2312"/>
          <w:sz w:val="28"/>
          <w:szCs w:val="28"/>
        </w:rPr>
      </w:pPr>
    </w:p>
    <w:p w14:paraId="69BA5570">
      <w:pPr>
        <w:jc w:val="center"/>
        <w:rPr>
          <w:rFonts w:hint="eastAsia" w:ascii="宋体" w:hAnsi="宋体" w:eastAsia="仿宋_GB2312" w:cs="仿宋_GB2312"/>
          <w:sz w:val="32"/>
          <w:szCs w:val="32"/>
        </w:rPr>
      </w:pPr>
      <w:r>
        <w:rPr>
          <w:rFonts w:hint="eastAsia" w:ascii="宋体" w:hAnsi="宋体" w:eastAsia="仿宋_GB2312" w:cs="仿宋_GB2312"/>
          <w:sz w:val="32"/>
          <w:szCs w:val="32"/>
        </w:rPr>
        <w:t>标准编制组</w:t>
      </w:r>
    </w:p>
    <w:p w14:paraId="74DCFC1D">
      <w:pPr>
        <w:jc w:val="center"/>
        <w:rPr>
          <w:rFonts w:ascii="宋体" w:hAnsi="宋体"/>
          <w:b/>
          <w:sz w:val="32"/>
          <w:szCs w:val="32"/>
        </w:rPr>
      </w:pPr>
      <w:r>
        <w:rPr>
          <w:rFonts w:hint="eastAsia" w:ascii="宋体" w:hAnsi="宋体" w:eastAsia="仿宋_GB2312" w:cs="仿宋_GB2312"/>
          <w:sz w:val="32"/>
          <w:szCs w:val="32"/>
        </w:rPr>
        <w:t>202</w:t>
      </w:r>
      <w:r>
        <w:rPr>
          <w:rFonts w:hint="eastAsia" w:ascii="宋体" w:hAnsi="宋体" w:eastAsia="仿宋_GB2312" w:cs="仿宋_GB2312"/>
          <w:sz w:val="32"/>
          <w:szCs w:val="32"/>
          <w:lang w:val="en-US" w:eastAsia="zh-CN"/>
        </w:rPr>
        <w:t>5</w:t>
      </w:r>
      <w:r>
        <w:rPr>
          <w:rFonts w:hint="eastAsia" w:ascii="宋体" w:hAnsi="宋体" w:eastAsia="仿宋_GB2312" w:cs="仿宋_GB2312"/>
          <w:sz w:val="32"/>
          <w:szCs w:val="32"/>
        </w:rPr>
        <w:t>年</w:t>
      </w:r>
      <w:r>
        <w:rPr>
          <w:rFonts w:hint="eastAsia" w:ascii="宋体" w:hAnsi="宋体" w:eastAsia="仿宋_GB2312" w:cs="仿宋_GB2312"/>
          <w:sz w:val="32"/>
          <w:szCs w:val="32"/>
          <w:lang w:val="en-US" w:eastAsia="zh-CN"/>
        </w:rPr>
        <w:t>6</w:t>
      </w:r>
      <w:r>
        <w:rPr>
          <w:rFonts w:hint="eastAsia" w:ascii="宋体" w:hAnsi="宋体" w:eastAsia="仿宋_GB2312" w:cs="仿宋_GB2312"/>
          <w:sz w:val="32"/>
          <w:szCs w:val="32"/>
        </w:rPr>
        <w:t>月</w:t>
      </w:r>
      <w:r>
        <w:rPr>
          <w:rFonts w:hint="eastAsia" w:ascii="宋体" w:hAnsi="宋体" w:eastAsia="仿宋_GB2312" w:cs="仿宋_GB2312"/>
          <w:sz w:val="32"/>
          <w:szCs w:val="32"/>
          <w:lang w:val="en-US" w:eastAsia="zh-CN"/>
        </w:rPr>
        <w:t>5</w:t>
      </w:r>
      <w:r>
        <w:rPr>
          <w:rFonts w:hint="eastAsia" w:ascii="宋体" w:hAnsi="宋体" w:eastAsia="仿宋_GB2312" w:cs="仿宋_GB2312"/>
          <w:sz w:val="32"/>
          <w:szCs w:val="32"/>
        </w:rPr>
        <w:t>日</w:t>
      </w:r>
    </w:p>
    <w:p w14:paraId="1FAEBD12">
      <w:pPr>
        <w:ind w:firstLine="880" w:firstLineChars="200"/>
        <w:jc w:val="center"/>
        <w:rPr>
          <w:rFonts w:hint="eastAsia" w:ascii="宋体" w:hAnsi="宋体" w:eastAsia="方正小标宋_GBK" w:cs="方正小标宋_GBK"/>
          <w:sz w:val="44"/>
          <w:szCs w:val="44"/>
        </w:rPr>
        <w:sectPr>
          <w:headerReference r:id="rId14" w:type="default"/>
          <w:pgSz w:w="11906" w:h="16838"/>
          <w:pgMar w:top="1928" w:right="1134" w:bottom="1134" w:left="1134" w:header="1418" w:footer="1134" w:gutter="284"/>
          <w:pgBorders>
            <w:top w:val="none" w:sz="0" w:space="0"/>
            <w:left w:val="none" w:sz="0" w:space="0"/>
            <w:bottom w:val="none" w:sz="0" w:space="0"/>
            <w:right w:val="none" w:sz="0" w:space="0"/>
          </w:pgBorders>
          <w:cols w:space="425" w:num="1"/>
          <w:formProt w:val="0"/>
          <w:docGrid w:type="lines" w:linePitch="312" w:charSpace="0"/>
        </w:sectPr>
      </w:pPr>
    </w:p>
    <w:p w14:paraId="2F95340F">
      <w:pPr>
        <w:spacing w:line="240" w:lineRule="auto"/>
        <w:ind w:firstLine="880" w:firstLineChars="200"/>
        <w:jc w:val="center"/>
        <w:rPr>
          <w:rFonts w:hint="eastAsia" w:ascii="宋体" w:hAnsi="宋体" w:eastAsia="方正小标宋_GBK" w:cs="方正小标宋_GBK"/>
          <w:sz w:val="44"/>
          <w:szCs w:val="44"/>
        </w:rPr>
      </w:pPr>
      <w:r>
        <w:rPr>
          <w:rFonts w:hint="eastAsia" w:ascii="宋体" w:hAnsi="宋体" w:eastAsia="方正小标宋_GBK" w:cs="方正小标宋_GBK"/>
          <w:sz w:val="44"/>
          <w:szCs w:val="44"/>
        </w:rPr>
        <w:t>说 明</w:t>
      </w:r>
    </w:p>
    <w:p w14:paraId="143F8826">
      <w:pPr>
        <w:spacing w:line="360" w:lineRule="auto"/>
        <w:rPr>
          <w:rFonts w:hint="eastAsia" w:ascii="宋体" w:hAnsi="宋体" w:eastAsia="仿宋_GB2312"/>
          <w:sz w:val="24"/>
          <w:szCs w:val="21"/>
        </w:rPr>
      </w:pPr>
      <w:r>
        <w:rPr>
          <w:rFonts w:hint="eastAsia" w:ascii="宋体" w:hAnsi="宋体" w:eastAsia="仿宋_GB2312"/>
          <w:sz w:val="24"/>
          <w:szCs w:val="21"/>
        </w:rPr>
        <w:t xml:space="preserve">    1．标准编制说明的封面</w:t>
      </w:r>
    </w:p>
    <w:p w14:paraId="7F6570B4">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（1）标准名称。应在封面靠上居中位置，与标准稿名称保持一致。字体字号为方正小标宋二号。</w:t>
      </w:r>
    </w:p>
    <w:p w14:paraId="3A80EA88">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（2）标准文稿版次。在标准名称下方“征求意见稿、送审稿、报批稿”前的方框涂选其一，例如“</w:t>
      </w:r>
      <w:r>
        <w:rPr>
          <w:rFonts w:hint="eastAsia" w:ascii="宋体" w:hAnsi="宋体" w:eastAsia="东文宋体" w:cs="东文宋体"/>
          <w:sz w:val="24"/>
          <w:szCs w:val="21"/>
        </w:rPr>
        <w:t>■</w:t>
      </w:r>
      <w:r>
        <w:rPr>
          <w:rFonts w:hint="eastAsia" w:ascii="宋体" w:hAnsi="宋体" w:eastAsia="仿宋_GB2312"/>
          <w:sz w:val="24"/>
          <w:szCs w:val="21"/>
        </w:rPr>
        <w:t>征求意见稿”。字体字号为仿宋三号。</w:t>
      </w:r>
    </w:p>
    <w:p w14:paraId="511D0172">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（3）标准编制组。在封面靠下居中位置。字体字号为仿宋三号。</w:t>
      </w:r>
    </w:p>
    <w:p w14:paraId="36A36BA2">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（4）编制日期。编制日期为本阶段完成的日期，以数字格式书写，字体为宋体，字号为三号。如：“2020</w:t>
      </w:r>
      <w:r>
        <w:rPr>
          <w:rFonts w:hint="eastAsia" w:ascii="宋体" w:hAnsi="宋体" w:eastAsia="仿宋_GB2312" w:cs="仿宋_GB2312"/>
          <w:sz w:val="24"/>
          <w:szCs w:val="21"/>
        </w:rPr>
        <w:t>年3月30日”</w:t>
      </w:r>
      <w:r>
        <w:rPr>
          <w:rFonts w:hint="eastAsia" w:ascii="宋体" w:hAnsi="宋体" w:eastAsia="仿宋_GB2312"/>
          <w:sz w:val="24"/>
          <w:szCs w:val="21"/>
        </w:rPr>
        <w:t>。</w:t>
      </w:r>
    </w:p>
    <w:p w14:paraId="57047EA1">
      <w:pPr>
        <w:spacing w:line="360" w:lineRule="auto"/>
        <w:rPr>
          <w:rFonts w:hint="eastAsia" w:ascii="宋体" w:hAnsi="宋体" w:eastAsia="仿宋_GB2312"/>
          <w:sz w:val="24"/>
          <w:szCs w:val="21"/>
        </w:rPr>
      </w:pPr>
      <w:r>
        <w:rPr>
          <w:rFonts w:hint="eastAsia" w:ascii="宋体" w:hAnsi="宋体" w:eastAsia="仿宋_GB2312"/>
          <w:sz w:val="24"/>
          <w:szCs w:val="21"/>
        </w:rPr>
        <w:t xml:space="preserve">    2．标准编制说明的正文</w:t>
      </w:r>
    </w:p>
    <w:p w14:paraId="350F48C6">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（1）正文页边距为上3cm、下</w:t>
      </w:r>
      <w:r>
        <w:rPr>
          <w:rFonts w:ascii="宋体" w:hAnsi="宋体" w:eastAsia="仿宋_GB2312"/>
          <w:sz w:val="24"/>
          <w:szCs w:val="21"/>
        </w:rPr>
        <w:t>2.6</w:t>
      </w:r>
      <w:r>
        <w:rPr>
          <w:rFonts w:hint="eastAsia" w:ascii="宋体" w:hAnsi="宋体" w:eastAsia="仿宋_GB2312"/>
          <w:sz w:val="24"/>
          <w:szCs w:val="21"/>
        </w:rPr>
        <w:t>cm、左2.8cm、右2.6cm。</w:t>
      </w:r>
    </w:p>
    <w:p w14:paraId="62410305">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（2）正文标题，一级标题用黑体三号字，二级标题用楷体三号字不加粗。三级、四级标题用仿宋GB-2312三号字不加粗。文中结构层次序数为“一、”“（一）”“1.”“（1）”标注。</w:t>
      </w:r>
    </w:p>
    <w:p w14:paraId="070C92FF">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（3）正文中文字体字号为仿宋GB-2312三号字，数字、字母等西文字体为宋体三号字，段落行距为28磅，首行缩进2字符。</w:t>
      </w:r>
    </w:p>
    <w:p w14:paraId="5F99A70A">
      <w:pPr>
        <w:spacing w:line="360" w:lineRule="auto"/>
        <w:rPr>
          <w:rFonts w:hint="eastAsia" w:ascii="宋体" w:hAnsi="宋体" w:eastAsia="仿宋_GB2312"/>
          <w:sz w:val="24"/>
          <w:szCs w:val="21"/>
        </w:rPr>
      </w:pPr>
      <w:r>
        <w:rPr>
          <w:rFonts w:hint="eastAsia" w:ascii="宋体" w:hAnsi="宋体" w:eastAsia="仿宋_GB2312"/>
          <w:sz w:val="24"/>
          <w:szCs w:val="21"/>
        </w:rPr>
        <w:t xml:space="preserve">    3.编制说明的内容</w:t>
      </w:r>
    </w:p>
    <w:p w14:paraId="12C37C02">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（1）应按照格式要求逐条说明，不涉及的填“无”。</w:t>
      </w:r>
    </w:p>
    <w:p w14:paraId="04374455">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（2）应根据工作进度不断补充完善，工作过程有连续性。</w:t>
      </w:r>
    </w:p>
    <w:p w14:paraId="522A6551">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（3）编制说明不是对标准内容的复制。</w:t>
      </w:r>
    </w:p>
    <w:p w14:paraId="418105B6">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（4）应关注强制性标准的依据、修订标准的主要技术内容比对、标准实施过渡期、强制性标准实施政策等重要内容的编写，详见下文模板。</w:t>
      </w:r>
    </w:p>
    <w:p w14:paraId="1B369A68">
      <w:pPr>
        <w:widowControl/>
        <w:spacing w:line="360" w:lineRule="auto"/>
        <w:rPr>
          <w:rFonts w:hint="eastAsia" w:ascii="宋体" w:hAnsi="宋体" w:eastAsia="仿宋_GB2312"/>
          <w:sz w:val="24"/>
          <w:szCs w:val="21"/>
        </w:rPr>
      </w:pPr>
      <w:r>
        <w:rPr>
          <w:rFonts w:hint="eastAsia" w:ascii="宋体" w:hAnsi="宋体" w:eastAsia="仿宋_GB2312"/>
          <w:sz w:val="24"/>
          <w:szCs w:val="21"/>
        </w:rPr>
        <w:t xml:space="preserve">    4.其他</w:t>
      </w:r>
    </w:p>
    <w:p w14:paraId="23768491">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（1）编制说明内容模板中的斜体文字内容为参考，正式提交后应删除。</w:t>
      </w:r>
    </w:p>
    <w:p w14:paraId="62B3C92B">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（2）编制说明应正反面打印。本说明保留，打印首页反面。</w:t>
      </w:r>
    </w:p>
    <w:p w14:paraId="7F7221D9">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（3）页码从第三页开始编，起始页码为“</w:t>
      </w:r>
      <w:r>
        <w:rPr>
          <w:rFonts w:ascii="宋体" w:hAnsi="宋体" w:eastAsia="仿宋_GB2312"/>
          <w:sz w:val="24"/>
          <w:szCs w:val="21"/>
        </w:rPr>
        <w:t>1</w:t>
      </w:r>
      <w:r>
        <w:rPr>
          <w:rFonts w:hint="eastAsia" w:ascii="宋体" w:hAnsi="宋体" w:eastAsia="仿宋_GB2312"/>
          <w:sz w:val="24"/>
          <w:szCs w:val="21"/>
        </w:rPr>
        <w:t>”，页码为五号宋体。</w:t>
      </w:r>
    </w:p>
    <w:p w14:paraId="3400C557">
      <w:pPr>
        <w:ind w:firstLine="1076" w:firstLineChars="336"/>
        <w:rPr>
          <w:rFonts w:ascii="Times New Roman" w:hAnsi="Times New Roman" w:eastAsia="等线"/>
          <w:b/>
          <w:sz w:val="32"/>
          <w:szCs w:val="32"/>
        </w:rPr>
      </w:pPr>
    </w:p>
    <w:p w14:paraId="03C1F9C5">
      <w:pPr>
        <w:snapToGrid w:val="0"/>
        <w:spacing w:line="360" w:lineRule="auto"/>
        <w:ind w:firstLine="560" w:firstLineChars="200"/>
        <w:rPr>
          <w:rFonts w:ascii="Times New Roman" w:hAnsi="Times New Roman" w:eastAsia="仿宋"/>
          <w:sz w:val="28"/>
          <w:szCs w:val="28"/>
        </w:rPr>
        <w:sectPr>
          <w:headerReference r:id="rId15" w:type="default"/>
          <w:footerReference r:id="rId16" w:type="default"/>
          <w:pgSz w:w="11906" w:h="16838"/>
          <w:pgMar w:top="1701" w:right="1474" w:bottom="1474" w:left="1587"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259C7C02">
      <w:pPr>
        <w:widowControl/>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一、工作简况</w:t>
      </w:r>
    </w:p>
    <w:p w14:paraId="4A1CC012">
      <w:pPr>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（一）任务来源</w:t>
      </w:r>
    </w:p>
    <w:p w14:paraId="40A44E24">
      <w:p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lang w:val="en-US" w:eastAsia="zh-CN"/>
        </w:rPr>
        <w:t>根据国家标准化管理委员会《关于下达2025年第四批推荐性国家标准计划及相关标准外文版计划的通知》（国标委发〔2025〕23号）的要求</w:t>
      </w:r>
      <w:r>
        <w:rPr>
          <w:rFonts w:hint="eastAsia" w:ascii="仿宋_GB2312" w:hAnsi="Times New Roman" w:eastAsia="仿宋_GB2312"/>
          <w:sz w:val="32"/>
          <w:szCs w:val="32"/>
          <w:shd w:val="clear" w:color="auto" w:fill="FFFFFF"/>
        </w:rPr>
        <w:t>，《森林草原火险多因子评价技术指南》的制订计划编号为20251311-T-450，项目周期1</w:t>
      </w:r>
      <w:r>
        <w:rPr>
          <w:rFonts w:hint="eastAsia" w:ascii="仿宋_GB2312" w:hAnsi="Times New Roman" w:eastAsia="仿宋_GB2312"/>
          <w:sz w:val="32"/>
          <w:szCs w:val="32"/>
          <w:shd w:val="clear" w:color="auto" w:fill="FFFFFF"/>
          <w:lang w:val="en-US" w:eastAsia="zh-CN"/>
        </w:rPr>
        <w:t>6</w:t>
      </w:r>
      <w:r>
        <w:rPr>
          <w:rFonts w:hint="eastAsia" w:ascii="仿宋_GB2312" w:hAnsi="Times New Roman" w:eastAsia="仿宋_GB2312"/>
          <w:sz w:val="32"/>
          <w:szCs w:val="32"/>
          <w:shd w:val="clear" w:color="auto" w:fill="FFFFFF"/>
        </w:rPr>
        <w:t>个月，由</w:t>
      </w:r>
      <w:r>
        <w:rPr>
          <w:rFonts w:hint="eastAsia" w:ascii="仿宋_GB2312" w:hAnsi="Times New Roman" w:eastAsia="仿宋_GB2312"/>
          <w:sz w:val="32"/>
          <w:szCs w:val="32"/>
          <w:shd w:val="clear" w:color="auto" w:fill="FFFFFF"/>
          <w:lang w:val="en-US" w:eastAsia="zh-CN"/>
        </w:rPr>
        <w:t>SAC/</w:t>
      </w:r>
      <w:r>
        <w:rPr>
          <w:rFonts w:hint="eastAsia" w:ascii="仿宋_GB2312" w:hAnsi="Times New Roman" w:eastAsia="仿宋_GB2312"/>
          <w:sz w:val="32"/>
          <w:szCs w:val="32"/>
          <w:shd w:val="clear" w:color="auto" w:fill="FFFFFF"/>
        </w:rPr>
        <w:t>TC</w:t>
      </w:r>
      <w:r>
        <w:rPr>
          <w:rFonts w:hint="eastAsia" w:ascii="仿宋_GB2312" w:hAnsi="Times New Roman" w:eastAsia="仿宋_GB2312"/>
          <w:sz w:val="32"/>
          <w:szCs w:val="32"/>
          <w:shd w:val="clear" w:color="auto" w:fill="FFFFFF"/>
          <w:lang w:val="en-US" w:eastAsia="zh-CN"/>
        </w:rPr>
        <w:t>307</w:t>
      </w:r>
      <w:r>
        <w:rPr>
          <w:rFonts w:hint="eastAsia" w:ascii="仿宋_GB2312" w:hAnsi="Times New Roman" w:eastAsia="仿宋_GB2312"/>
          <w:sz w:val="32"/>
          <w:szCs w:val="32"/>
          <w:shd w:val="clear" w:color="auto" w:fill="FFFFFF"/>
        </w:rPr>
        <w:t xml:space="preserve"> 全国消防标准化技术委员会组织起草和审查。</w:t>
      </w:r>
    </w:p>
    <w:p w14:paraId="65FF7E60">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（二）制定背景</w:t>
      </w:r>
    </w:p>
    <w:p w14:paraId="1EFA28F0">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森林草原火灾突发性强、破坏性大、危险性高，是全球发生最频繁、处置最困难、危害最严重的自然灾害之一，是生态文明建设和森林草原资源安全的最大威胁，甚至引发生态灾难和社会危机。森林防火可以有效保护人类资源，维护生态平衡，其也一直受到各级部门、学科和专业领域的重视。在火灾防治管理过程中，火险早期预警尤其重要，而预警精度和时效性与监测因子直接相关，国家《关于全面加强新形势下森林草原防灭火工作的意见》明确指出: “大力提升预警监测能力。以国家森林草原防灭火信息共享平台为依托，以重点地区预警监测机构为骨干，以各级预警监测系统为补充，建立上下贯通、左右衔接、融合集成的预警监测体系。”同时，国家森林草原防灭火指挥部办公室正在拟定《关于加强全国森林草原火灾预警监测体系建设的意见》，但是，时至今日，我国仍没有一项系统全面</w:t>
      </w:r>
      <w:r>
        <w:rPr>
          <w:rFonts w:hint="eastAsia" w:ascii="仿宋_GB2312" w:hAnsi="Times New Roman" w:eastAsia="仿宋_GB2312"/>
          <w:sz w:val="32"/>
          <w:szCs w:val="32"/>
          <w:shd w:val="clear" w:color="auto" w:fill="FFFFFF"/>
          <w:lang w:val="en-US" w:eastAsia="zh-CN"/>
        </w:rPr>
        <w:t>利用森林草原火险多因子指导火险等级评估的国家标准</w:t>
      </w:r>
      <w:r>
        <w:rPr>
          <w:rFonts w:hint="eastAsia" w:ascii="仿宋_GB2312" w:hAnsi="Times New Roman" w:eastAsia="仿宋_GB2312"/>
          <w:sz w:val="32"/>
          <w:szCs w:val="32"/>
          <w:shd w:val="clear" w:color="auto" w:fill="FFFFFF"/>
        </w:rPr>
        <w:t>，这对应对全球气候变暖、极端天气频发、人为活动加剧背景下，火险增大、火行为不可控的风险提出了新的挑战，为切实提高我国森林草原火险</w:t>
      </w:r>
      <w:r>
        <w:rPr>
          <w:rFonts w:hint="eastAsia" w:ascii="仿宋_GB2312" w:hAnsi="Times New Roman" w:eastAsia="仿宋_GB2312"/>
          <w:sz w:val="32"/>
          <w:szCs w:val="32"/>
          <w:shd w:val="clear" w:color="auto" w:fill="FFFFFF"/>
          <w:lang w:val="en-US" w:eastAsia="zh-CN"/>
        </w:rPr>
        <w:t>监测和评估</w:t>
      </w:r>
      <w:r>
        <w:rPr>
          <w:rFonts w:hint="eastAsia" w:ascii="仿宋_GB2312" w:hAnsi="Times New Roman" w:eastAsia="仿宋_GB2312"/>
          <w:sz w:val="32"/>
          <w:szCs w:val="32"/>
          <w:shd w:val="clear" w:color="auto" w:fill="FFFFFF"/>
        </w:rPr>
        <w:t>的规范性、科学性，对全国森林草原火险</w:t>
      </w:r>
      <w:r>
        <w:rPr>
          <w:rFonts w:hint="eastAsia" w:ascii="仿宋_GB2312" w:hAnsi="Times New Roman" w:eastAsia="仿宋_GB2312"/>
          <w:sz w:val="32"/>
          <w:szCs w:val="32"/>
          <w:shd w:val="clear" w:color="auto" w:fill="FFFFFF"/>
          <w:lang w:val="en-US" w:eastAsia="zh-CN"/>
        </w:rPr>
        <w:t>多因子评价技术</w:t>
      </w:r>
      <w:r>
        <w:rPr>
          <w:rFonts w:hint="eastAsia" w:ascii="仿宋_GB2312" w:hAnsi="Times New Roman" w:eastAsia="仿宋_GB2312"/>
          <w:sz w:val="32"/>
          <w:szCs w:val="32"/>
          <w:shd w:val="clear" w:color="auto" w:fill="FFFFFF"/>
        </w:rPr>
        <w:t>进行顶层设计显得极为迫切，所以，制定本标准将为森林草原防灭火各单位各部门进行森林草原火险</w:t>
      </w:r>
      <w:r>
        <w:rPr>
          <w:rFonts w:hint="eastAsia" w:ascii="仿宋_GB2312" w:hAnsi="Times New Roman" w:eastAsia="仿宋_GB2312"/>
          <w:sz w:val="32"/>
          <w:szCs w:val="32"/>
          <w:shd w:val="clear" w:color="auto" w:fill="FFFFFF"/>
          <w:lang w:val="en-US" w:eastAsia="zh-CN"/>
        </w:rPr>
        <w:t>等级评价</w:t>
      </w:r>
      <w:r>
        <w:rPr>
          <w:rFonts w:hint="eastAsia" w:ascii="仿宋_GB2312" w:hAnsi="Times New Roman" w:eastAsia="仿宋_GB2312"/>
          <w:sz w:val="32"/>
          <w:szCs w:val="32"/>
          <w:shd w:val="clear" w:color="auto" w:fill="FFFFFF"/>
        </w:rPr>
        <w:t>提供指引和参考，为全国一体化森林草原火险监测体系建设提供基础保障。</w:t>
      </w:r>
    </w:p>
    <w:p w14:paraId="1D390CDA">
      <w:pPr>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（三）起草小组人员组成及所在单位</w:t>
      </w:r>
    </w:p>
    <w:p w14:paraId="5B3A70C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汉仪中秀体简" w:hAnsi="汉仪中秀体简" w:eastAsia="仿宋_GB2312" w:cs="汉仪中秀体简"/>
          <w:sz w:val="28"/>
          <w:szCs w:val="28"/>
          <w:shd w:val="clear" w:color="auto" w:fill="FFFFFF"/>
        </w:rPr>
      </w:pPr>
      <w:r>
        <w:rPr>
          <w:rFonts w:hint="eastAsia" w:ascii="仿宋_GB2312" w:hAnsi="Times New Roman" w:eastAsia="仿宋_GB2312"/>
          <w:sz w:val="32"/>
          <w:szCs w:val="32"/>
          <w:shd w:val="clear" w:color="auto" w:fill="FFFFFF"/>
        </w:rPr>
        <w:t>根据立项计划，2023年12月成立标准起草工作组，应急管理部国家自然灾害防治研究院牵头负责本文件的制订工作，应急管理部森林防火预警监测信息中心、国家林业和草原局产业发展规划院、东北林业大学、北京林业大学、国家林业和草原局西南调查规划院、中国科学技术大学参加标准的制订工作。</w:t>
      </w:r>
    </w:p>
    <w:p w14:paraId="1EC3F480">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（四）主要起草过程</w:t>
      </w:r>
    </w:p>
    <w:p w14:paraId="3F58DB58">
      <w:pPr>
        <w:numPr>
          <w:ilvl w:val="0"/>
          <w:numId w:val="32"/>
        </w:num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初稿编制阶段：</w:t>
      </w:r>
    </w:p>
    <w:p w14:paraId="479D4583">
      <w:pPr>
        <w:spacing w:line="560" w:lineRule="exact"/>
        <w:ind w:firstLine="640" w:firstLineChars="200"/>
        <w:rPr>
          <w:rFonts w:ascii="仿宋_GB2312" w:hAnsi="Times New Roman" w:eastAsia="仿宋_GB2312"/>
          <w:sz w:val="32"/>
          <w:szCs w:val="32"/>
        </w:rPr>
      </w:pPr>
      <w:r>
        <w:rPr>
          <w:rFonts w:ascii="仿宋_GB2312" w:hAnsi="Times New Roman" w:eastAsia="仿宋_GB2312"/>
          <w:sz w:val="32"/>
          <w:szCs w:val="32"/>
        </w:rPr>
        <w:t>202</w:t>
      </w:r>
      <w:r>
        <w:rPr>
          <w:rFonts w:hint="eastAsia" w:ascii="仿宋_GB2312" w:hAnsi="Times New Roman" w:eastAsia="仿宋_GB2312"/>
          <w:sz w:val="32"/>
          <w:szCs w:val="32"/>
        </w:rPr>
        <w:t>3</w:t>
      </w:r>
      <w:r>
        <w:rPr>
          <w:rFonts w:ascii="仿宋_GB2312" w:hAnsi="Times New Roman" w:eastAsia="仿宋_GB2312"/>
          <w:sz w:val="32"/>
          <w:szCs w:val="32"/>
        </w:rPr>
        <w:t>年11月，在应急管理部国家自然灾害防治研究院的牵头协调下，成立标准起草工作小组。早在项目组成立前，起草单位就已组织相关业内专家召开小型会议数次，起草小组成立后，又进行了大量资料准备工作，召集项目组成员召开了项目研讨会，结合我国森林草原火险监测指标体系的实际应用情况，研究了本标准的主要技术内容，初步确定了本标准的基本原则、内容及相关要求，然后对本标准的结构框架、技术内容和编写格式等进行反复调整、修改和完善。</w:t>
      </w:r>
    </w:p>
    <w:p w14:paraId="710D2E5B">
      <w:pPr>
        <w:spacing w:line="560" w:lineRule="exact"/>
        <w:ind w:firstLine="640" w:firstLineChars="200"/>
        <w:rPr>
          <w:rFonts w:ascii="仿宋_GB2312" w:hAnsi="Times New Roman" w:eastAsia="仿宋_GB2312"/>
          <w:sz w:val="32"/>
          <w:szCs w:val="32"/>
        </w:rPr>
      </w:pPr>
      <w:r>
        <w:rPr>
          <w:rFonts w:ascii="仿宋_GB2312" w:hAnsi="Times New Roman" w:eastAsia="仿宋_GB2312"/>
          <w:sz w:val="32"/>
          <w:szCs w:val="32"/>
        </w:rPr>
        <w:t>202</w:t>
      </w:r>
      <w:r>
        <w:rPr>
          <w:rFonts w:hint="eastAsia" w:ascii="仿宋_GB2312" w:hAnsi="Times New Roman" w:eastAsia="仿宋_GB2312"/>
          <w:sz w:val="32"/>
          <w:szCs w:val="32"/>
        </w:rPr>
        <w:t>4</w:t>
      </w:r>
      <w:r>
        <w:rPr>
          <w:rFonts w:ascii="仿宋_GB2312" w:hAnsi="Times New Roman" w:eastAsia="仿宋_GB2312"/>
          <w:sz w:val="32"/>
          <w:szCs w:val="32"/>
        </w:rPr>
        <w:t>年3月，标准起草工作小组完成标准草案及各项立项会议材料的准备。</w:t>
      </w:r>
    </w:p>
    <w:p w14:paraId="73495A52">
      <w:pPr>
        <w:spacing w:line="560" w:lineRule="exact"/>
        <w:ind w:firstLine="640" w:firstLineChars="200"/>
        <w:rPr>
          <w:rFonts w:hint="eastAsia" w:ascii="仿宋_GB2312" w:hAnsi="Times New Roman" w:eastAsia="仿宋_GB2312"/>
          <w:sz w:val="32"/>
          <w:szCs w:val="32"/>
        </w:rPr>
      </w:pPr>
      <w:r>
        <w:rPr>
          <w:rFonts w:ascii="仿宋_GB2312" w:hAnsi="Times New Roman" w:eastAsia="仿宋_GB2312"/>
          <w:sz w:val="32"/>
          <w:szCs w:val="32"/>
        </w:rPr>
        <w:t>202</w:t>
      </w:r>
      <w:r>
        <w:rPr>
          <w:rFonts w:hint="eastAsia" w:ascii="仿宋_GB2312" w:hAnsi="Times New Roman" w:eastAsia="仿宋_GB2312"/>
          <w:sz w:val="32"/>
          <w:szCs w:val="32"/>
        </w:rPr>
        <w:t>4</w:t>
      </w:r>
      <w:r>
        <w:rPr>
          <w:rFonts w:ascii="仿宋_GB2312" w:hAnsi="Times New Roman" w:eastAsia="仿宋_GB2312"/>
          <w:sz w:val="32"/>
          <w:szCs w:val="32"/>
        </w:rPr>
        <w:t>年4月</w:t>
      </w:r>
      <w:r>
        <w:rPr>
          <w:rFonts w:hint="eastAsia" w:ascii="仿宋_GB2312" w:hAnsi="Times New Roman" w:eastAsia="仿宋_GB2312" w:cs="Times New Roman"/>
          <w:kern w:val="2"/>
          <w:sz w:val="32"/>
          <w:szCs w:val="32"/>
          <w:lang w:val="en-US" w:eastAsia="zh-CN" w:bidi="ar"/>
        </w:rPr>
        <w:t>～</w:t>
      </w:r>
      <w:r>
        <w:rPr>
          <w:rFonts w:hint="eastAsia" w:ascii="仿宋_GB2312" w:hAnsi="Times New Roman" w:eastAsia="仿宋_GB2312"/>
          <w:sz w:val="32"/>
          <w:szCs w:val="32"/>
        </w:rPr>
        <w:t>2025年2月</w:t>
      </w:r>
      <w:r>
        <w:rPr>
          <w:rFonts w:ascii="仿宋_GB2312" w:hAnsi="Times New Roman" w:eastAsia="仿宋_GB2312"/>
          <w:sz w:val="32"/>
          <w:szCs w:val="32"/>
        </w:rPr>
        <w:t>，</w:t>
      </w:r>
      <w:r>
        <w:rPr>
          <w:rFonts w:hint="eastAsia" w:ascii="仿宋_GB2312" w:hAnsi="Times New Roman" w:eastAsia="仿宋_GB2312"/>
          <w:sz w:val="32"/>
          <w:szCs w:val="32"/>
        </w:rPr>
        <w:t>征求专家意见，修改后开展项目立项评审会，之后根据专家意见进一步调研、修改，形成征求意见稿。</w:t>
      </w:r>
    </w:p>
    <w:p w14:paraId="3F47BA3E">
      <w:pPr>
        <w:spacing w:line="560" w:lineRule="exact"/>
        <w:ind w:firstLine="640" w:firstLineChars="200"/>
        <w:rPr>
          <w:rFonts w:hint="eastAsia" w:ascii="仿宋_GB2312" w:hAnsi="Times New Roman" w:eastAsia="仿宋_GB2312" w:cs="Times New Roman"/>
          <w:kern w:val="2"/>
          <w:sz w:val="32"/>
          <w:szCs w:val="32"/>
          <w:lang w:val="en-US" w:eastAsia="zh-CN" w:bidi="ar"/>
        </w:rPr>
      </w:pPr>
      <w:r>
        <w:rPr>
          <w:rFonts w:hint="eastAsia" w:ascii="仿宋_GB2312" w:hAnsi="Times New Roman" w:eastAsia="仿宋_GB2312" w:cs="Times New Roman"/>
          <w:kern w:val="2"/>
          <w:sz w:val="32"/>
          <w:szCs w:val="32"/>
          <w:lang w:val="en-US" w:eastAsia="zh-CN" w:bidi="ar"/>
        </w:rPr>
        <w:t>2025年2月13日该标准在全国标准信息公共服务平台进行公示，于2025年3月15日公示结束，2025年4月30日正式批准立项。</w:t>
      </w:r>
    </w:p>
    <w:p w14:paraId="341F6A5E">
      <w:pPr>
        <w:spacing w:line="560" w:lineRule="exact"/>
        <w:ind w:firstLine="640" w:firstLineChars="200"/>
        <w:rPr>
          <w:rFonts w:hint="default" w:ascii="仿宋_GB2312" w:hAnsi="Times New Roman" w:eastAsia="仿宋_GB2312" w:cs="Times New Roman"/>
          <w:kern w:val="2"/>
          <w:sz w:val="32"/>
          <w:szCs w:val="32"/>
          <w:lang w:val="en-US" w:eastAsia="zh-CN" w:bidi="ar"/>
        </w:rPr>
      </w:pPr>
      <w:r>
        <w:rPr>
          <w:rFonts w:hint="eastAsia" w:ascii="仿宋_GB2312" w:hAnsi="Times New Roman" w:eastAsia="仿宋_GB2312" w:cs="Times New Roman"/>
          <w:kern w:val="2"/>
          <w:sz w:val="32"/>
          <w:szCs w:val="32"/>
          <w:lang w:val="en-US" w:eastAsia="zh-CN" w:bidi="ar"/>
        </w:rPr>
        <w:t>2025年6月6日，召开标准立项启动会。会上专家提出将该标准名称由《森林草原火险多因子监测技术》修改为《森林草原火险多因子评价技术指南》。</w:t>
      </w:r>
    </w:p>
    <w:p w14:paraId="47420F56">
      <w:pPr>
        <w:numPr>
          <w:ilvl w:val="0"/>
          <w:numId w:val="32"/>
        </w:numPr>
        <w:spacing w:line="560" w:lineRule="exact"/>
        <w:ind w:left="0" w:leftChars="0" w:firstLine="640" w:firstLineChars="200"/>
        <w:rPr>
          <w:rFonts w:ascii="仿宋_GB2312" w:hAnsi="Times New Roman" w:eastAsia="仿宋_GB2312"/>
          <w:sz w:val="32"/>
          <w:szCs w:val="32"/>
        </w:rPr>
      </w:pPr>
      <w:r>
        <w:rPr>
          <w:rFonts w:hint="eastAsia" w:ascii="仿宋_GB2312" w:hAnsi="Times New Roman" w:eastAsia="仿宋_GB2312"/>
          <w:sz w:val="32"/>
          <w:szCs w:val="32"/>
        </w:rPr>
        <w:t>征求意见阶段：</w:t>
      </w:r>
    </w:p>
    <w:p w14:paraId="69643154">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待该阶段结束后再进行补充。</w:t>
      </w:r>
    </w:p>
    <w:p w14:paraId="3AA145D7">
      <w:pPr>
        <w:numPr>
          <w:ilvl w:val="0"/>
          <w:numId w:val="32"/>
        </w:num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标准编审阶段：</w:t>
      </w:r>
    </w:p>
    <w:p w14:paraId="532BFD47">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待该阶段结束后再进行补充。</w:t>
      </w:r>
    </w:p>
    <w:p w14:paraId="2D75D5F5">
      <w:pPr>
        <w:numPr>
          <w:ilvl w:val="0"/>
          <w:numId w:val="32"/>
        </w:num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标准报批阶段：</w:t>
      </w:r>
    </w:p>
    <w:p w14:paraId="1C2D2E72">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待该阶段结束后再进行补充。</w:t>
      </w:r>
    </w:p>
    <w:p w14:paraId="0092EB26">
      <w:pPr>
        <w:widowControl/>
        <w:numPr>
          <w:ilvl w:val="0"/>
          <w:numId w:val="33"/>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标准编制原则、主要技术内容及其确定依据</w:t>
      </w:r>
    </w:p>
    <w:p w14:paraId="5F03AAA6">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（一）标准编制原则</w:t>
      </w:r>
    </w:p>
    <w:p w14:paraId="23EE1129">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本文件按照GB/T 1.1-2020(标准化工作导则  第一部分：标准化文件的结构和起草规则)的规定起草。</w:t>
      </w:r>
    </w:p>
    <w:p w14:paraId="01C60035">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本文件编写过程中遵循全面、科学、合理、可行的原则，与实际应用相结合，做到既先进又切实可行。</w:t>
      </w:r>
    </w:p>
    <w:p w14:paraId="27D404D6">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本文件具有可操作性。</w:t>
      </w:r>
    </w:p>
    <w:p w14:paraId="604252BB">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（二）标准主要技术内容及确定依据</w:t>
      </w:r>
    </w:p>
    <w:p w14:paraId="5C2FC1FE">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1. 主要技术内容：</w:t>
      </w:r>
    </w:p>
    <w:p w14:paraId="08010A75">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lang w:eastAsia="zh-CN"/>
        </w:rPr>
        <w:t>（</w:t>
      </w:r>
      <w:r>
        <w:rPr>
          <w:rFonts w:hint="eastAsia" w:ascii="仿宋_GB2312" w:hAnsi="Times New Roman" w:eastAsia="仿宋_GB2312"/>
          <w:sz w:val="32"/>
          <w:szCs w:val="32"/>
          <w:shd w:val="clear" w:color="auto" w:fill="FFFFFF"/>
          <w:lang w:val="en-US" w:eastAsia="zh-CN"/>
        </w:rPr>
        <w:t>1</w:t>
      </w:r>
      <w:r>
        <w:rPr>
          <w:rFonts w:hint="eastAsia" w:ascii="仿宋_GB2312" w:hAnsi="Times New Roman" w:eastAsia="仿宋_GB2312"/>
          <w:sz w:val="32"/>
          <w:szCs w:val="32"/>
          <w:shd w:val="clear" w:color="auto" w:fill="FFFFFF"/>
          <w:lang w:eastAsia="zh-CN"/>
        </w:rPr>
        <w:t>）</w:t>
      </w:r>
      <w:r>
        <w:rPr>
          <w:rFonts w:hint="eastAsia" w:ascii="仿宋_GB2312" w:hAnsi="Times New Roman" w:eastAsia="仿宋_GB2312"/>
          <w:sz w:val="32"/>
          <w:szCs w:val="32"/>
          <w:shd w:val="clear" w:color="auto" w:fill="FFFFFF"/>
          <w:lang w:val="en-US" w:eastAsia="zh-CN"/>
        </w:rPr>
        <w:t>提出了</w:t>
      </w:r>
      <w:r>
        <w:rPr>
          <w:rFonts w:hint="eastAsia" w:ascii="仿宋_GB2312" w:hAnsi="Times New Roman" w:eastAsia="仿宋_GB2312"/>
          <w:sz w:val="32"/>
          <w:szCs w:val="32"/>
          <w:shd w:val="clear" w:color="auto" w:fill="FFFFFF"/>
        </w:rPr>
        <w:t>森林草原火险多因子</w:t>
      </w:r>
      <w:r>
        <w:rPr>
          <w:rFonts w:hint="eastAsia" w:ascii="仿宋_GB2312" w:hAnsi="Times New Roman" w:eastAsia="仿宋_GB2312"/>
          <w:sz w:val="32"/>
          <w:szCs w:val="32"/>
          <w:shd w:val="clear" w:color="auto" w:fill="FFFFFF"/>
          <w:lang w:val="en-US" w:eastAsia="zh-CN"/>
        </w:rPr>
        <w:t>评价的原则</w:t>
      </w:r>
      <w:r>
        <w:rPr>
          <w:rFonts w:hint="eastAsia" w:ascii="仿宋_GB2312" w:hAnsi="Times New Roman" w:eastAsia="仿宋_GB2312"/>
          <w:sz w:val="32"/>
          <w:szCs w:val="32"/>
          <w:shd w:val="clear" w:color="auto" w:fill="FFFFFF"/>
        </w:rPr>
        <w:t>；</w:t>
      </w:r>
    </w:p>
    <w:p w14:paraId="6C9412CC">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lang w:eastAsia="zh-CN"/>
        </w:rPr>
        <w:t>（</w:t>
      </w:r>
      <w:r>
        <w:rPr>
          <w:rFonts w:hint="eastAsia" w:ascii="仿宋_GB2312" w:hAnsi="Times New Roman" w:eastAsia="仿宋_GB2312"/>
          <w:sz w:val="32"/>
          <w:szCs w:val="32"/>
          <w:shd w:val="clear" w:color="auto" w:fill="FFFFFF"/>
          <w:lang w:val="en-US" w:eastAsia="zh-CN"/>
        </w:rPr>
        <w:t>2</w:t>
      </w:r>
      <w:r>
        <w:rPr>
          <w:rFonts w:hint="eastAsia" w:ascii="仿宋_GB2312" w:hAnsi="Times New Roman" w:eastAsia="仿宋_GB2312"/>
          <w:sz w:val="32"/>
          <w:szCs w:val="32"/>
          <w:shd w:val="clear" w:color="auto" w:fill="FFFFFF"/>
          <w:lang w:eastAsia="zh-CN"/>
        </w:rPr>
        <w:t>）</w:t>
      </w:r>
      <w:r>
        <w:rPr>
          <w:rFonts w:hint="eastAsia" w:ascii="仿宋_GB2312" w:hAnsi="Times New Roman" w:eastAsia="仿宋_GB2312"/>
          <w:sz w:val="32"/>
          <w:szCs w:val="32"/>
          <w:shd w:val="clear" w:color="auto" w:fill="FFFFFF"/>
        </w:rPr>
        <w:t>给出了</w:t>
      </w:r>
      <w:r>
        <w:rPr>
          <w:rFonts w:hint="eastAsia" w:ascii="仿宋_GB2312" w:hAnsi="Times New Roman" w:eastAsia="仿宋_GB2312"/>
          <w:sz w:val="32"/>
          <w:szCs w:val="32"/>
          <w:shd w:val="clear" w:color="auto" w:fill="FFFFFF"/>
          <w:lang w:val="en-US" w:eastAsia="zh-CN"/>
        </w:rPr>
        <w:t>关于</w:t>
      </w:r>
      <w:r>
        <w:rPr>
          <w:rFonts w:hint="eastAsia" w:ascii="仿宋_GB2312" w:hAnsi="Times New Roman" w:eastAsia="仿宋_GB2312"/>
          <w:sz w:val="32"/>
          <w:szCs w:val="32"/>
          <w:shd w:val="clear" w:color="auto" w:fill="FFFFFF"/>
        </w:rPr>
        <w:t>森林草原火险多因子</w:t>
      </w:r>
      <w:r>
        <w:rPr>
          <w:rFonts w:hint="eastAsia" w:ascii="仿宋_GB2312" w:hAnsi="Times New Roman" w:eastAsia="仿宋_GB2312"/>
          <w:sz w:val="32"/>
          <w:szCs w:val="32"/>
          <w:shd w:val="clear" w:color="auto" w:fill="FFFFFF"/>
          <w:lang w:val="en-US" w:eastAsia="zh-CN"/>
        </w:rPr>
        <w:t>指标选取、火险指数计算方法和火险等级划分等方面的建议</w:t>
      </w:r>
      <w:r>
        <w:rPr>
          <w:rFonts w:hint="eastAsia" w:ascii="仿宋_GB2312" w:hAnsi="Times New Roman" w:eastAsia="仿宋_GB2312"/>
          <w:sz w:val="32"/>
          <w:szCs w:val="32"/>
          <w:shd w:val="clear" w:color="auto" w:fill="FFFFFF"/>
        </w:rPr>
        <w:t>。</w:t>
      </w:r>
    </w:p>
    <w:p w14:paraId="6DD37F56">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2.依据：</w:t>
      </w:r>
    </w:p>
    <w:p w14:paraId="3ABA7BE7">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森林草原火险多因子</w:t>
      </w:r>
      <w:r>
        <w:rPr>
          <w:rFonts w:hint="eastAsia" w:ascii="仿宋_GB2312" w:hAnsi="Times New Roman" w:eastAsia="仿宋_GB2312"/>
          <w:sz w:val="32"/>
          <w:szCs w:val="32"/>
          <w:highlight w:val="none"/>
          <w:shd w:val="clear" w:color="auto" w:fill="FFFFFF"/>
          <w:lang w:val="en-US" w:eastAsia="zh-CN"/>
        </w:rPr>
        <w:t>评价涉及到的气象因子、可燃物因子、物候因子、土壤因子的采集技术分别参照LY/T 2579 森林火险监测站技术规范、LY/T 2665 森林火险因子采集站建设及采集技术规范、LY/T 1172 全国森林火险天气等级和GB/T 33705 土壤水分 频域反射法的规定；根据实地调研以及项目评审过程中专家提出的意见和建议，查阅相关学术论文，在评价指标和火险指数计算中增加了社会经济因子和火源因子等；指数的计算则参照LY/T 1172的规定；火险分级名称符合GB/T 36743 森林火险气象等级的要求；火险等级描述符合LY/T 2578 森林火险预警信号分级及标识的要求</w:t>
      </w:r>
      <w:r>
        <w:rPr>
          <w:rFonts w:hint="eastAsia" w:ascii="仿宋_GB2312" w:hAnsi="Times New Roman" w:eastAsia="仿宋_GB2312"/>
          <w:sz w:val="32"/>
          <w:szCs w:val="32"/>
          <w:highlight w:val="none"/>
          <w:shd w:val="clear" w:color="auto" w:fill="FFFFFF"/>
        </w:rPr>
        <w:t>。</w:t>
      </w:r>
    </w:p>
    <w:p w14:paraId="596B6F69">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（三）标准修订变化及依据（仅修订标准需要列出）</w:t>
      </w:r>
    </w:p>
    <w:p w14:paraId="3699828D">
      <w:pPr>
        <w:widowControl/>
        <w:spacing w:line="560" w:lineRule="exact"/>
        <w:ind w:firstLine="640" w:firstLineChars="200"/>
        <w:outlineLvl w:val="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无。</w:t>
      </w:r>
    </w:p>
    <w:p w14:paraId="69DF8A4A">
      <w:pPr>
        <w:widowControl/>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三、试验验证的分析、综述报告、技术经济论证，预期的经济效益、社会效益和生态效益。</w:t>
      </w:r>
    </w:p>
    <w:p w14:paraId="1349153A">
      <w:pPr>
        <w:spacing w:line="560" w:lineRule="exact"/>
        <w:ind w:firstLine="640" w:firstLineChars="200"/>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lang w:val="en-US" w:eastAsia="zh-CN"/>
        </w:rPr>
        <w:t>在经济效益方面，该标准通过引导各级林草主管部门科学构建多因子火险等级评价体系，有助于优化资源配置，提升监测与预警效率，降低因火灾造成的直接财产损失和灾后处置成本。同时，通过技术统一与流程规范，提升火险管理的信息化、自动化水平，减少重复投入和技术试错，促进相关遥感监测、数据服务等产业链发展，带动相关技术和设备的推广应用。</w:t>
      </w:r>
    </w:p>
    <w:p w14:paraId="0CEECFBD">
      <w:pPr>
        <w:spacing w:line="560" w:lineRule="exact"/>
        <w:ind w:firstLine="640" w:firstLineChars="200"/>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lang w:val="en-US" w:eastAsia="zh-CN"/>
        </w:rPr>
        <w:t>在社会效益方面，该标准有助于建立科学、权威的火险等级评价依据，提升基层火险预警和响应能力，增强公众风险防范意识，保障人民生命财产安全。标准的实施将推动各级政府部门之间的协同联动和信息共享机制建设，提高突发火情应对的科学性与时效性，提升社会整体防灾减灾能力。</w:t>
      </w:r>
    </w:p>
    <w:p w14:paraId="35A660F3">
      <w:pPr>
        <w:spacing w:line="560" w:lineRule="exact"/>
        <w:ind w:firstLine="640" w:firstLineChars="200"/>
        <w:rPr>
          <w:rFonts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lang w:val="en-US" w:eastAsia="zh-CN"/>
        </w:rPr>
        <w:t>在生态效益方面，通过科学准确的多因子评价体系，可以实现对高风险区域的提前识别和精准防控，有效减少森林草原火灾发生频次与强度，减轻对森林生态系统和生物多样性等的破坏，维护区域生态安全与碳汇功能，为实现国家“双碳”战略目标和生态文明建设提供有力支撑</w:t>
      </w:r>
      <w:r>
        <w:rPr>
          <w:rFonts w:hint="eastAsia" w:ascii="仿宋_GB2312" w:hAnsi="Times New Roman" w:eastAsia="仿宋_GB2312"/>
          <w:sz w:val="32"/>
          <w:szCs w:val="32"/>
          <w:highlight w:val="none"/>
          <w:shd w:val="clear" w:color="auto" w:fill="FFFFFF"/>
        </w:rPr>
        <w:t>。</w:t>
      </w:r>
    </w:p>
    <w:p w14:paraId="06B83A44">
      <w:pPr>
        <w:widowControl/>
        <w:numPr>
          <w:ilvl w:val="0"/>
          <w:numId w:val="34"/>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与国际、国外同类标准技术内容的对比情况</w:t>
      </w:r>
    </w:p>
    <w:p w14:paraId="68E1BD6E">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无。</w:t>
      </w:r>
    </w:p>
    <w:p w14:paraId="60FE43F5">
      <w:pPr>
        <w:widowControl/>
        <w:numPr>
          <w:ilvl w:val="0"/>
          <w:numId w:val="34"/>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以国际标准为基础的起草情况、是否合规引用或采用国际国外标准以及未采用国际标准的原因</w:t>
      </w:r>
    </w:p>
    <w:p w14:paraId="024BEE04">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无。</w:t>
      </w:r>
    </w:p>
    <w:p w14:paraId="7DCE5EE4">
      <w:pPr>
        <w:widowControl/>
        <w:numPr>
          <w:ilvl w:val="0"/>
          <w:numId w:val="34"/>
        </w:numPr>
        <w:spacing w:line="560" w:lineRule="exact"/>
        <w:ind w:firstLine="640" w:firstLineChars="200"/>
        <w:outlineLvl w:val="0"/>
        <w:rPr>
          <w:rFonts w:ascii="黑体" w:hAnsi="黑体" w:eastAsia="黑体"/>
          <w:sz w:val="32"/>
          <w:szCs w:val="32"/>
        </w:rPr>
      </w:pPr>
      <w:r>
        <w:rPr>
          <w:rFonts w:hint="eastAsia" w:ascii="黑体" w:hAnsi="黑体" w:eastAsia="黑体"/>
          <w:sz w:val="32"/>
          <w:szCs w:val="32"/>
        </w:rPr>
        <w:t>与有关法律、行政法规及相关标准水平的关系</w:t>
      </w:r>
    </w:p>
    <w:p w14:paraId="6D6E738E">
      <w:pPr>
        <w:numPr>
          <w:ilvl w:val="0"/>
          <w:numId w:val="35"/>
        </w:numPr>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与有关法律、行政法规、标准关系</w:t>
      </w:r>
    </w:p>
    <w:p w14:paraId="20602B0D">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森林草原火险</w:t>
      </w:r>
      <w:r>
        <w:rPr>
          <w:rFonts w:hint="eastAsia" w:ascii="仿宋_GB2312" w:hAnsi="Times New Roman" w:eastAsia="仿宋_GB2312"/>
          <w:sz w:val="32"/>
          <w:szCs w:val="32"/>
          <w:shd w:val="clear" w:color="auto" w:fill="FFFFFF"/>
          <w:lang w:val="en-US" w:eastAsia="zh-CN"/>
        </w:rPr>
        <w:t>等级评价</w:t>
      </w:r>
      <w:r>
        <w:rPr>
          <w:rFonts w:hint="eastAsia" w:ascii="仿宋_GB2312" w:hAnsi="Times New Roman" w:eastAsia="仿宋_GB2312"/>
          <w:sz w:val="32"/>
          <w:szCs w:val="32"/>
          <w:shd w:val="clear" w:color="auto" w:fill="FFFFFF"/>
        </w:rPr>
        <w:t>技术在俄罗斯、美国、加拿大和澳大利亚等发达国家发展较为迅速，监测预警产品种类较多，测试方法较全，但准确性相对较低。目前应用最广泛的加拿大火险天气指标系统FWI预测可燃物含水率平均相对误差为70.7%，与森林草原火险分级的要求有很大差距。</w:t>
      </w:r>
    </w:p>
    <w:p w14:paraId="5C59DE0C">
      <w:pPr>
        <w:spacing w:line="560" w:lineRule="exact"/>
        <w:ind w:firstLine="640" w:firstLineChars="200"/>
        <w:rPr>
          <w:rFonts w:hint="eastAsia" w:ascii="楷体" w:hAnsi="楷体" w:eastAsia="楷体"/>
          <w:b/>
          <w:bCs/>
          <w:sz w:val="32"/>
          <w:szCs w:val="32"/>
          <w:shd w:val="clear" w:color="auto" w:fill="FFFFFF"/>
        </w:rPr>
      </w:pPr>
      <w:r>
        <w:rPr>
          <w:rFonts w:hint="eastAsia" w:ascii="仿宋_GB2312" w:hAnsi="Times New Roman" w:eastAsia="仿宋_GB2312"/>
          <w:b w:val="0"/>
          <w:bCs w:val="0"/>
          <w:i w:val="0"/>
          <w:iCs w:val="0"/>
          <w:color w:val="auto"/>
          <w:sz w:val="32"/>
          <w:szCs w:val="32"/>
          <w:shd w:val="clear" w:color="auto" w:fill="FFFFFF"/>
          <w:lang w:eastAsia="zh-CN"/>
        </w:rPr>
        <w:t>与之相关的行业标准有4项，分别为LY/T 1172</w:t>
      </w:r>
      <w:r>
        <w:rPr>
          <w:rFonts w:hint="eastAsia" w:ascii="仿宋_GB2312" w:hAnsi="Times New Roman" w:eastAsia="仿宋_GB2312"/>
          <w:b w:val="0"/>
          <w:bCs w:val="0"/>
          <w:i w:val="0"/>
          <w:iCs w:val="0"/>
          <w:color w:val="auto"/>
          <w:sz w:val="32"/>
          <w:szCs w:val="32"/>
          <w:shd w:val="clear" w:color="auto" w:fill="FFFFFF"/>
          <w:lang w:val="en-US" w:eastAsia="zh-CN"/>
        </w:rPr>
        <w:t xml:space="preserve"> </w:t>
      </w:r>
      <w:r>
        <w:rPr>
          <w:rFonts w:hint="eastAsia" w:ascii="仿宋_GB2312" w:hAnsi="Times New Roman" w:eastAsia="仿宋_GB2312"/>
          <w:b w:val="0"/>
          <w:bCs w:val="0"/>
          <w:i w:val="0"/>
          <w:iCs w:val="0"/>
          <w:color w:val="auto"/>
          <w:sz w:val="32"/>
          <w:szCs w:val="32"/>
          <w:shd w:val="clear" w:color="auto" w:fill="FFFFFF"/>
          <w:lang w:eastAsia="zh-CN"/>
        </w:rPr>
        <w:t>全国森林火险天气等级、LY/T 2578 森林火险预警信号分级及标识、LY/T 2579 森林火险监测站技术规范和LY/T 2665 森林火险因子采集站建设及采集技术规范，上述标准的内容均不包含自动采集测算可燃物含水率、计算森林草原火险多因子指数，并根据测算结果进行森林草原火险等级划分等相关技术内容。因此，上述4项标准与本标准的内容不冲突，部分内容与本标准相辅相成，共同指导和规范森林草原火险</w:t>
      </w:r>
      <w:r>
        <w:rPr>
          <w:rFonts w:hint="eastAsia" w:ascii="仿宋_GB2312" w:hAnsi="Times New Roman" w:eastAsia="仿宋_GB2312"/>
          <w:b w:val="0"/>
          <w:bCs w:val="0"/>
          <w:i w:val="0"/>
          <w:iCs w:val="0"/>
          <w:color w:val="auto"/>
          <w:sz w:val="32"/>
          <w:szCs w:val="32"/>
          <w:shd w:val="clear" w:color="auto" w:fill="FFFFFF"/>
          <w:lang w:val="en-US" w:eastAsia="zh-CN"/>
        </w:rPr>
        <w:t>多因子评价</w:t>
      </w:r>
      <w:r>
        <w:rPr>
          <w:rFonts w:hint="eastAsia" w:ascii="仿宋_GB2312" w:hAnsi="Times New Roman" w:eastAsia="仿宋_GB2312"/>
          <w:b w:val="0"/>
          <w:bCs w:val="0"/>
          <w:i w:val="0"/>
          <w:iCs w:val="0"/>
          <w:color w:val="auto"/>
          <w:sz w:val="32"/>
          <w:szCs w:val="32"/>
          <w:shd w:val="clear" w:color="auto" w:fill="FFFFFF"/>
          <w:lang w:eastAsia="zh-CN"/>
        </w:rPr>
        <w:t>技术的发展</w:t>
      </w:r>
      <w:r>
        <w:rPr>
          <w:rFonts w:hint="eastAsia" w:ascii="仿宋_GB2312" w:hAnsi="Times New Roman" w:eastAsia="仿宋_GB2312"/>
          <w:sz w:val="32"/>
          <w:szCs w:val="32"/>
          <w:shd w:val="clear" w:color="auto" w:fill="FFFFFF"/>
          <w:lang w:val="en-US" w:eastAsia="zh-CN"/>
        </w:rPr>
        <w:t>。</w:t>
      </w:r>
    </w:p>
    <w:p w14:paraId="3C730609">
      <w:pPr>
        <w:numPr>
          <w:ilvl w:val="0"/>
          <w:numId w:val="35"/>
        </w:numPr>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配套推荐性标准的制定情况（强制性标准应填写）</w:t>
      </w:r>
    </w:p>
    <w:p w14:paraId="41A3FC14">
      <w:pPr>
        <w:widowControl/>
        <w:spacing w:line="560" w:lineRule="exact"/>
        <w:ind w:firstLine="640" w:firstLineChars="200"/>
        <w:outlineLvl w:val="0"/>
        <w:rPr>
          <w:rFonts w:ascii="黑体" w:hAnsi="黑体" w:eastAsia="黑体"/>
          <w:sz w:val="32"/>
          <w:szCs w:val="32"/>
        </w:rPr>
      </w:pPr>
      <w:r>
        <w:rPr>
          <w:rFonts w:hint="eastAsia" w:ascii="仿宋_GB2312" w:hAnsi="Times New Roman" w:eastAsia="仿宋_GB2312"/>
          <w:sz w:val="32"/>
          <w:szCs w:val="32"/>
          <w:shd w:val="clear" w:color="auto" w:fill="FFFFFF"/>
        </w:rPr>
        <w:t>无。</w:t>
      </w:r>
    </w:p>
    <w:p w14:paraId="29299283">
      <w:pPr>
        <w:widowControl/>
        <w:numPr>
          <w:ilvl w:val="0"/>
          <w:numId w:val="34"/>
        </w:numPr>
        <w:spacing w:line="560" w:lineRule="exact"/>
        <w:ind w:firstLine="640" w:firstLineChars="200"/>
        <w:outlineLvl w:val="0"/>
        <w:rPr>
          <w:rFonts w:ascii="黑体" w:hAnsi="黑体" w:eastAsia="黑体"/>
          <w:sz w:val="32"/>
          <w:szCs w:val="32"/>
        </w:rPr>
      </w:pPr>
      <w:r>
        <w:rPr>
          <w:rFonts w:hint="eastAsia" w:ascii="黑体" w:hAnsi="黑体" w:eastAsia="黑体"/>
          <w:sz w:val="32"/>
          <w:szCs w:val="32"/>
        </w:rPr>
        <w:t>重大分歧意见的处理过程及依据</w:t>
      </w:r>
    </w:p>
    <w:p w14:paraId="3CA06772">
      <w:pPr>
        <w:widowControl/>
        <w:spacing w:line="560" w:lineRule="exact"/>
        <w:ind w:firstLine="640" w:firstLineChars="200"/>
        <w:outlineLvl w:val="0"/>
        <w:rPr>
          <w:rFonts w:ascii="黑体" w:hAnsi="黑体" w:eastAsia="黑体"/>
          <w:sz w:val="32"/>
          <w:szCs w:val="32"/>
        </w:rPr>
      </w:pPr>
      <w:r>
        <w:rPr>
          <w:rFonts w:hint="eastAsia" w:ascii="仿宋_GB2312" w:hAnsi="Times New Roman" w:eastAsia="仿宋_GB2312"/>
          <w:sz w:val="32"/>
          <w:szCs w:val="32"/>
          <w:shd w:val="clear" w:color="auto" w:fill="FFFFFF"/>
        </w:rPr>
        <w:t>无。待征求意见和技术审查后，如有再继续补充。</w:t>
      </w:r>
    </w:p>
    <w:p w14:paraId="64092670">
      <w:pPr>
        <w:widowControl/>
        <w:numPr>
          <w:ilvl w:val="0"/>
          <w:numId w:val="34"/>
        </w:numPr>
        <w:spacing w:line="560" w:lineRule="exact"/>
        <w:ind w:firstLine="640" w:firstLineChars="200"/>
        <w:outlineLvl w:val="0"/>
        <w:rPr>
          <w:rFonts w:ascii="黑体" w:hAnsi="黑体" w:eastAsia="黑体"/>
          <w:sz w:val="32"/>
          <w:szCs w:val="32"/>
        </w:rPr>
      </w:pPr>
      <w:r>
        <w:rPr>
          <w:rFonts w:hint="eastAsia" w:ascii="黑体" w:hAnsi="黑体" w:eastAsia="黑体"/>
          <w:sz w:val="32"/>
          <w:szCs w:val="32"/>
        </w:rPr>
        <w:t>作为强制性标准或推荐性标准的建议及理由</w:t>
      </w:r>
    </w:p>
    <w:p w14:paraId="024037DC">
      <w:pPr>
        <w:widowControl/>
        <w:spacing w:line="560" w:lineRule="exact"/>
        <w:ind w:firstLine="640" w:firstLineChars="200"/>
        <w:outlineLvl w:val="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建议将本标准设定为推荐性标准。近年来，随着遥感技术、地理信息系统及数据分析方法的快速发展，森林草原火险等级评价技术也在不断演进。特别是高分辨率卫星遥感产品和多源数据融合技术的广泛应用，极大提升了火险监测的精度和时效性，同时也推动了火险等级评估方法的多样化和区域化。</w:t>
      </w:r>
    </w:p>
    <w:p w14:paraId="7F0E0B6F">
      <w:pPr>
        <w:widowControl/>
        <w:spacing w:line="560" w:lineRule="exact"/>
        <w:ind w:firstLine="640" w:firstLineChars="200"/>
        <w:outlineLvl w:val="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目前，火险监测预警所依赖的监测手段和计算模型已不再是单一和固定的技术路线，不同地区根据自身的地形地貌、气候条件、植被类型、可燃物载量及技术基础，发展出了各具特色的火险等级评价体系。这种技术路径的多样性，有助于提高评估结果的准确性和管理措施的针对性，更符合“因地制宜、实用高效”的火灾防控理念。</w:t>
      </w:r>
    </w:p>
    <w:p w14:paraId="050F073C">
      <w:pPr>
        <w:widowControl/>
        <w:spacing w:line="560" w:lineRule="exact"/>
        <w:ind w:firstLine="640" w:firstLineChars="200"/>
        <w:outlineLvl w:val="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如果将本标准设为强制性标准，要求全国统一采用某一种监测手段或火险等级评价方法，可能会限制各地根据实际情况开展技术创新与适配的灵活性，甚至可能导致某些地区在资源投入与技术适配上的不必要浪费。此外，不同地区在技术能力、数据获取条件及资金保障水平等方面也存在差异，统一强制执行某一技术路径，难以兼顾全国各类生态区域的实际需求。</w:t>
      </w:r>
    </w:p>
    <w:p w14:paraId="3A4A4D65">
      <w:pPr>
        <w:widowControl/>
        <w:spacing w:line="560" w:lineRule="exact"/>
        <w:ind w:firstLine="640" w:firstLineChars="200"/>
        <w:outlineLvl w:val="0"/>
        <w:rPr>
          <w:rFonts w:hint="eastAsia" w:ascii="黑体" w:hAnsi="黑体" w:eastAsia="黑体"/>
          <w:sz w:val="32"/>
          <w:szCs w:val="32"/>
        </w:rPr>
      </w:pPr>
      <w:r>
        <w:rPr>
          <w:rFonts w:hint="eastAsia" w:ascii="仿宋_GB2312" w:hAnsi="Times New Roman" w:eastAsia="仿宋_GB2312"/>
          <w:sz w:val="32"/>
          <w:szCs w:val="32"/>
          <w:shd w:val="clear" w:color="auto" w:fill="FFFFFF"/>
        </w:rPr>
        <w:t>因此，为充分尊重地区差异性与技术多样性，保障标准的可实施性与可持续性，建议将本标准作为推荐性标准，引导各地结合本地实际、在遵循基本原则的前提下，选用适合自身的火险等级评价技术体系和监测手段，从而共同提升全国森林草原火险监测预警能力的科学性和实效性。</w:t>
      </w:r>
    </w:p>
    <w:p w14:paraId="229BE6EC">
      <w:pPr>
        <w:widowControl/>
        <w:numPr>
          <w:ilvl w:val="0"/>
          <w:numId w:val="34"/>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标准自发布日期至实施日期的过渡期建议及理由</w:t>
      </w:r>
    </w:p>
    <w:p w14:paraId="07B0E86C">
      <w:pPr>
        <w:spacing w:line="560" w:lineRule="exact"/>
        <w:ind w:firstLine="640" w:firstLineChars="200"/>
        <w:rPr>
          <w:rFonts w:hint="eastAsia" w:ascii="宋体" w:hAnsi="宋体" w:eastAsia="仿宋_GB2312"/>
          <w:sz w:val="32"/>
          <w:szCs w:val="32"/>
        </w:rPr>
      </w:pPr>
      <w:r>
        <w:rPr>
          <w:rFonts w:hint="eastAsia" w:ascii="宋体" w:hAnsi="宋体" w:eastAsia="仿宋_GB2312"/>
          <w:sz w:val="32"/>
          <w:szCs w:val="32"/>
        </w:rPr>
        <w:t>建议本标准的过渡期设定</w:t>
      </w:r>
      <w:r>
        <w:rPr>
          <w:rFonts w:hint="eastAsia" w:ascii="宋体" w:hAnsi="宋体" w:eastAsia="仿宋_GB2312"/>
          <w:sz w:val="32"/>
          <w:szCs w:val="32"/>
          <w:lang w:val="en-US" w:eastAsia="zh-CN"/>
        </w:rPr>
        <w:t>为</w:t>
      </w:r>
      <w:r>
        <w:rPr>
          <w:rFonts w:hint="eastAsia" w:ascii="宋体" w:hAnsi="宋体" w:eastAsia="仿宋_GB2312"/>
          <w:sz w:val="32"/>
          <w:szCs w:val="32"/>
        </w:rPr>
        <w:t>24个月。本标准涉及森林草原火险多因子评价的关键技术内容，涵盖气象、可燃物、地形、火源等多类因子，在评价模型、数据来源和计算方法上均提出了较高要求。考虑到当前我国各地在火险等级评估技术方面存在明显差异，部分地区仍在使用技术成熟度较低、精度相对有限的传统方法和产品，为保障标准顺利实施和技术平稳过渡，应预留充足时间，以便相关单位完成技术体系升级、能力建设和人员培训。</w:t>
      </w:r>
    </w:p>
    <w:p w14:paraId="74DBEDE9">
      <w:pPr>
        <w:spacing w:line="560" w:lineRule="exact"/>
        <w:ind w:firstLine="640" w:firstLineChars="200"/>
        <w:rPr>
          <w:rFonts w:ascii="宋体" w:hAnsi="宋体" w:eastAsia="仿宋_GB2312"/>
          <w:sz w:val="32"/>
          <w:szCs w:val="32"/>
        </w:rPr>
      </w:pPr>
      <w:r>
        <w:rPr>
          <w:rFonts w:hint="eastAsia" w:ascii="宋体" w:hAnsi="宋体" w:eastAsia="仿宋_GB2312"/>
          <w:sz w:val="32"/>
          <w:szCs w:val="32"/>
        </w:rPr>
        <w:t>同时，随着遥感、大数据、人工智能等技术在火险监测领域的快速发展，火险等级评估正逐步向多因子驱动、数据融合和动态更新方向演进。本标准的实施将推动低精度、单因子依赖的传统技术和产品逐步退出市场，促进高精度、多源融合技术的推广应用。在此背景下，设定24个月的过渡期，不仅有助于保障已有系统的延续性与稳定性，也有利于为新旧技术的衔接、设备的更新改造及相关政策机制的完善提供充分准备时间，从而确保标准落地后在全国范围内的有效实施和可持续运行。</w:t>
      </w:r>
    </w:p>
    <w:p w14:paraId="064C0FC4">
      <w:pPr>
        <w:widowControl/>
        <w:numPr>
          <w:ilvl w:val="0"/>
          <w:numId w:val="34"/>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与实施</w:t>
      </w:r>
      <w:r>
        <w:rPr>
          <w:rFonts w:hint="eastAsia" w:ascii="黑体" w:hAnsi="黑体" w:eastAsia="黑体"/>
          <w:sz w:val="32"/>
          <w:szCs w:val="32"/>
        </w:rPr>
        <w:t>标准</w:t>
      </w:r>
      <w:r>
        <w:rPr>
          <w:rFonts w:hint="eastAsia" w:ascii="宋体" w:hAnsi="宋体" w:eastAsia="黑体"/>
          <w:sz w:val="32"/>
          <w:szCs w:val="32"/>
        </w:rPr>
        <w:t>有关的政策措施</w:t>
      </w:r>
    </w:p>
    <w:p w14:paraId="6066E40D">
      <w:pPr>
        <w:widowControl/>
        <w:spacing w:line="560" w:lineRule="exact"/>
        <w:ind w:firstLine="640" w:firstLineChars="200"/>
        <w:outlineLvl w:val="0"/>
        <w:rPr>
          <w:rFonts w:ascii="宋体" w:hAnsi="宋体" w:eastAsia="黑体"/>
          <w:sz w:val="32"/>
          <w:szCs w:val="32"/>
        </w:rPr>
      </w:pPr>
      <w:r>
        <w:rPr>
          <w:rFonts w:hint="eastAsia" w:ascii="宋体" w:hAnsi="宋体" w:eastAsia="仿宋_GB2312"/>
          <w:sz w:val="32"/>
          <w:szCs w:val="32"/>
        </w:rPr>
        <w:t>由于本标准是推荐性</w:t>
      </w:r>
      <w:r>
        <w:rPr>
          <w:rFonts w:hint="eastAsia" w:ascii="宋体" w:hAnsi="宋体" w:eastAsia="仿宋_GB2312"/>
          <w:sz w:val="32"/>
          <w:szCs w:val="32"/>
          <w:lang w:val="en-US" w:eastAsia="zh-CN"/>
        </w:rPr>
        <w:t>国家</w:t>
      </w:r>
      <w:r>
        <w:rPr>
          <w:rFonts w:hint="eastAsia" w:ascii="宋体" w:hAnsi="宋体" w:eastAsia="仿宋_GB2312"/>
          <w:sz w:val="32"/>
          <w:szCs w:val="32"/>
        </w:rPr>
        <w:t>标准，因此为使标准能够尽快应用，建议标准对口业务司局能够配套出台相关政策，以保证标准的落地实施。归口标委会及标准起草单位应进行标准内容的宣贯，同时对于标准中的疑问应予以相应的解答，以便于标准实施单位能够更好的理解标准文本的内容，推动标准的贯彻与落实。</w:t>
      </w:r>
    </w:p>
    <w:p w14:paraId="40B3E82B">
      <w:pPr>
        <w:widowControl/>
        <w:numPr>
          <w:ilvl w:val="0"/>
          <w:numId w:val="34"/>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是否需要对外通报的建议及理由。</w:t>
      </w:r>
    </w:p>
    <w:p w14:paraId="1246596C">
      <w:pPr>
        <w:spacing w:line="560" w:lineRule="exact"/>
        <w:ind w:firstLine="640" w:firstLineChars="200"/>
        <w:rPr>
          <w:rFonts w:hint="eastAsia" w:ascii="宋体" w:hAnsi="宋体" w:eastAsia="仿宋_GB2312"/>
          <w:sz w:val="32"/>
          <w:szCs w:val="32"/>
        </w:rPr>
      </w:pPr>
      <w:r>
        <w:rPr>
          <w:rFonts w:hint="eastAsia" w:ascii="宋体" w:hAnsi="宋体" w:eastAsia="仿宋_GB2312"/>
          <w:sz w:val="32"/>
          <w:szCs w:val="32"/>
        </w:rPr>
        <w:t>无。</w:t>
      </w:r>
    </w:p>
    <w:p w14:paraId="3CA4333C">
      <w:pPr>
        <w:widowControl/>
        <w:numPr>
          <w:ilvl w:val="0"/>
          <w:numId w:val="34"/>
        </w:numPr>
        <w:spacing w:line="560" w:lineRule="exact"/>
        <w:ind w:firstLine="640" w:firstLineChars="200"/>
        <w:outlineLvl w:val="0"/>
        <w:rPr>
          <w:rFonts w:hint="eastAsia" w:ascii="宋体" w:hAnsi="宋体" w:eastAsia="黑体"/>
          <w:sz w:val="32"/>
          <w:szCs w:val="32"/>
        </w:rPr>
      </w:pPr>
      <w:r>
        <w:rPr>
          <w:rFonts w:ascii="宋体" w:hAnsi="宋体" w:eastAsia="黑体"/>
          <w:sz w:val="32"/>
          <w:szCs w:val="32"/>
        </w:rPr>
        <w:t>废止现行有关标准的建议</w:t>
      </w:r>
    </w:p>
    <w:p w14:paraId="530C8B47">
      <w:pPr>
        <w:spacing w:line="560" w:lineRule="exact"/>
        <w:ind w:firstLine="640" w:firstLineChars="200"/>
        <w:rPr>
          <w:rFonts w:ascii="宋体" w:hAnsi="宋体" w:eastAsia="仿宋_GB2312"/>
          <w:iCs/>
          <w:sz w:val="32"/>
          <w:szCs w:val="32"/>
          <w:shd w:val="clear" w:color="auto" w:fill="FFFFFF"/>
        </w:rPr>
      </w:pPr>
      <w:r>
        <w:rPr>
          <w:rFonts w:hint="eastAsia" w:ascii="宋体" w:hAnsi="宋体" w:eastAsia="仿宋_GB2312"/>
          <w:iCs/>
          <w:sz w:val="32"/>
          <w:szCs w:val="32"/>
        </w:rPr>
        <w:t>无。</w:t>
      </w:r>
    </w:p>
    <w:p w14:paraId="4ADBAC47">
      <w:pPr>
        <w:widowControl/>
        <w:numPr>
          <w:ilvl w:val="0"/>
          <w:numId w:val="34"/>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涉及专利的有关说明</w:t>
      </w:r>
    </w:p>
    <w:p w14:paraId="502A8F58">
      <w:pPr>
        <w:spacing w:line="560" w:lineRule="exact"/>
        <w:ind w:firstLine="640" w:firstLineChars="200"/>
        <w:rPr>
          <w:rFonts w:ascii="宋体" w:hAnsi="宋体" w:eastAsia="仿宋_GB2312"/>
          <w:iCs/>
          <w:sz w:val="32"/>
          <w:szCs w:val="32"/>
          <w:shd w:val="clear" w:color="auto" w:fill="FFFFFF"/>
        </w:rPr>
      </w:pPr>
      <w:r>
        <w:rPr>
          <w:rFonts w:hint="eastAsia" w:ascii="宋体" w:hAnsi="宋体" w:eastAsia="仿宋_GB2312"/>
          <w:iCs/>
          <w:sz w:val="32"/>
          <w:szCs w:val="32"/>
        </w:rPr>
        <w:t>无。</w:t>
      </w:r>
    </w:p>
    <w:p w14:paraId="044C232C">
      <w:pPr>
        <w:widowControl/>
        <w:numPr>
          <w:ilvl w:val="0"/>
          <w:numId w:val="34"/>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标准所涉及的产品、过程或者服务目录</w:t>
      </w:r>
    </w:p>
    <w:p w14:paraId="55935775">
      <w:pPr>
        <w:widowControl/>
        <w:spacing w:line="560" w:lineRule="exact"/>
        <w:ind w:firstLine="640" w:firstLineChars="200"/>
        <w:outlineLvl w:val="0"/>
        <w:rPr>
          <w:rFonts w:hint="eastAsia" w:ascii="宋体" w:hAnsi="宋体" w:eastAsia="黑体"/>
          <w:iCs/>
          <w:sz w:val="32"/>
          <w:szCs w:val="32"/>
        </w:rPr>
      </w:pPr>
      <w:r>
        <w:rPr>
          <w:rFonts w:hint="eastAsia" w:ascii="宋体" w:hAnsi="宋体" w:eastAsia="仿宋_GB2312"/>
          <w:iCs/>
          <w:sz w:val="32"/>
          <w:szCs w:val="32"/>
          <w:lang w:val="en-US" w:eastAsia="zh-CN"/>
        </w:rPr>
        <w:t>无</w:t>
      </w:r>
      <w:r>
        <w:rPr>
          <w:rFonts w:hint="eastAsia" w:ascii="宋体" w:hAnsi="宋体" w:eastAsia="仿宋_GB2312"/>
          <w:iCs/>
          <w:sz w:val="32"/>
          <w:szCs w:val="32"/>
        </w:rPr>
        <w:t>。</w:t>
      </w:r>
    </w:p>
    <w:p w14:paraId="5D4FC058">
      <w:pPr>
        <w:widowControl/>
        <w:numPr>
          <w:ilvl w:val="0"/>
          <w:numId w:val="34"/>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其他</w:t>
      </w:r>
      <w:r>
        <w:rPr>
          <w:rFonts w:ascii="宋体" w:hAnsi="宋体" w:eastAsia="黑体"/>
          <w:sz w:val="32"/>
          <w:szCs w:val="32"/>
        </w:rPr>
        <w:t>应予以说明的事项</w:t>
      </w:r>
    </w:p>
    <w:p w14:paraId="1CC7FD97">
      <w:pPr>
        <w:spacing w:line="560" w:lineRule="exact"/>
        <w:ind w:firstLine="640" w:firstLineChars="200"/>
        <w:rPr>
          <w:rFonts w:hint="eastAsia" w:ascii="宋体" w:hAnsi="宋体" w:eastAsia="黑体"/>
          <w:iCs/>
          <w:sz w:val="32"/>
          <w:szCs w:val="32"/>
        </w:rPr>
      </w:pPr>
      <w:r>
        <w:rPr>
          <w:rFonts w:hint="eastAsia" w:ascii="宋体" w:hAnsi="宋体" w:eastAsia="仿宋_GB2312"/>
          <w:iCs/>
          <w:sz w:val="32"/>
          <w:szCs w:val="32"/>
        </w:rPr>
        <w:t>无。</w:t>
      </w:r>
    </w:p>
    <w:p w14:paraId="1B5F490E">
      <w:pPr>
        <w:widowControl/>
        <w:spacing w:line="560" w:lineRule="exact"/>
        <w:outlineLvl w:val="0"/>
        <w:rPr>
          <w:rFonts w:hint="eastAsia" w:ascii="宋体" w:hAnsi="宋体" w:eastAsia="仿宋_GB2312"/>
          <w:i/>
          <w:iCs/>
          <w:color w:val="FF0000"/>
          <w:sz w:val="32"/>
          <w:szCs w:val="32"/>
        </w:rPr>
      </w:pPr>
    </w:p>
    <w:p w14:paraId="2C2DC0C4"/>
    <w:sectPr>
      <w:footerReference r:id="rId17" w:type="default"/>
      <w:pgSz w:w="11906" w:h="16838"/>
      <w:pgMar w:top="1928" w:right="1134" w:bottom="1134" w:left="1134" w:header="1418" w:footer="1134" w:gutter="284"/>
      <w:pgBorders>
        <w:top w:val="none" w:sz="0" w:space="0"/>
        <w:left w:val="none" w:sz="0" w:space="0"/>
        <w:bottom w:val="none" w:sz="0" w:space="0"/>
        <w:right w:val="none" w:sz="0" w:space="0"/>
      </w:pgBorders>
      <w:pgNumType w:fmt="decimal"/>
      <w:cols w:space="425" w:num="1"/>
      <w:formProt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东文宋体">
    <w:altName w:val="宋体"/>
    <w:panose1 w:val="00000000000000000000"/>
    <w:charset w:val="00"/>
    <w:family w:val="auto"/>
    <w:pitch w:val="default"/>
    <w:sig w:usb0="00000000" w:usb1="00000000" w:usb2="00000000" w:usb3="00000000" w:csb0="00040001"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汉仪中秀体简">
    <w:altName w:val="微软雅黑"/>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856A5">
    <w:pPr>
      <w:pStyle w:val="18"/>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FB4EB">
    <w:pPr>
      <w:pStyle w:val="18"/>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51A88">
    <w:pPr>
      <w:pStyle w:val="54"/>
    </w:pPr>
    <w:r>
      <w:fldChar w:fldCharType="begin"/>
    </w:r>
    <w:r>
      <w:instrText xml:space="preserve">PAGE   \* MERGEFORMAT</w:instrText>
    </w:r>
    <w:r>
      <w:fldChar w:fldCharType="separate"/>
    </w:r>
    <w:r>
      <w:rPr>
        <w:lang w:val="zh-CN"/>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E43DE">
    <w:pPr>
      <w:tabs>
        <w:tab w:val="center" w:pos="4153"/>
        <w:tab w:val="right" w:pos="8306"/>
      </w:tabs>
      <w:snapToGrid w:val="0"/>
      <w:jc w:val="center"/>
      <w:rPr>
        <w:rFonts w:ascii="等线" w:hAnsi="等线" w:eastAsia="等线"/>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posOffset>5339715</wp:posOffset>
              </wp:positionH>
              <wp:positionV relativeFrom="paragraph">
                <wp:posOffset>39370</wp:posOffset>
              </wp:positionV>
              <wp:extent cx="276860" cy="2635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76860" cy="263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1FE55F">
                          <w:pPr>
                            <w:pStyle w:val="18"/>
                            <w:wordWrap w:val="0"/>
                            <w:rPr>
                              <w:rFonts w:hint="default" w:eastAsia="宋体"/>
                              <w:lang w:val="en-US" w:eastAsia="zh-CN"/>
                            </w:rPr>
                          </w:pPr>
                          <w:r>
                            <w:fldChar w:fldCharType="begin"/>
                          </w:r>
                          <w:r>
                            <w:instrText xml:space="preserve"> PAGE  \* MERGEFORMAT </w:instrText>
                          </w:r>
                          <w:r>
                            <w:fldChar w:fldCharType="separate"/>
                          </w:r>
                          <w:r>
                            <w:t>1</w:t>
                          </w:r>
                          <w:r>
                            <w:fldChar w:fldCharType="end"/>
                          </w:r>
                          <w:r>
                            <w:rPr>
                              <w:rFonts w:hint="eastAsia"/>
                              <w:lang w:val="en-US" w:eastAsia="zh-CN"/>
                            </w:rPr>
                            <w:t xml:space="preserve">   </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20.45pt;margin-top:3.1pt;height:20.75pt;width:21.8pt;mso-position-horizontal-relative:margin;z-index:251659264;mso-width-relative:page;mso-height-relative:page;" filled="f" stroked="f" coordsize="21600,21600" o:gfxdata="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xn+k12AAAAAgBAAAPAAAAAAAAAAEAIAAAACIAAABkcnMvZG93bnJl&#10;di54bWxQSwECFAAUAAAACACHTuJA1yIypDYCAABhBAAADgAAAAAAAAABACAAAAAnAQAAZHJzL2Uy&#10;b0RvYy54bWxQSwUGAAAAAAYABgBZAQAAzwUAAAAA&#10;">
              <v:fill on="f" focussize="0,0"/>
              <v:stroke on="f" weight="0.5pt"/>
              <v:imagedata o:title=""/>
              <o:lock v:ext="edit" aspectratio="f"/>
              <v:textbox inset="0mm,0mm,0mm,0mm">
                <w:txbxContent>
                  <w:p w14:paraId="761FE55F">
                    <w:pPr>
                      <w:pStyle w:val="18"/>
                      <w:wordWrap w:val="0"/>
                      <w:rPr>
                        <w:rFonts w:hint="default" w:eastAsia="宋体"/>
                        <w:lang w:val="en-US" w:eastAsia="zh-CN"/>
                      </w:rPr>
                    </w:pPr>
                    <w:r>
                      <w:fldChar w:fldCharType="begin"/>
                    </w:r>
                    <w:r>
                      <w:instrText xml:space="preserve"> PAGE  \* MERGEFORMAT </w:instrText>
                    </w:r>
                    <w:r>
                      <w:fldChar w:fldCharType="separate"/>
                    </w:r>
                    <w:r>
                      <w:t>1</w:t>
                    </w:r>
                    <w:r>
                      <w:fldChar w:fldCharType="end"/>
                    </w:r>
                    <w:r>
                      <w:rPr>
                        <w:rFonts w:hint="eastAsia"/>
                        <w:lang w:val="en-US" w:eastAsia="zh-CN"/>
                      </w:rPr>
                      <w:t xml:space="preserve">   </w:t>
                    </w:r>
                  </w:p>
                </w:txbxContent>
              </v:textbox>
            </v:shape>
          </w:pict>
        </mc:Fallback>
      </mc:AlternateContent>
    </w:r>
  </w:p>
  <w:p w14:paraId="276992E7">
    <w:pPr>
      <w:tabs>
        <w:tab w:val="center" w:pos="4153"/>
        <w:tab w:val="right" w:pos="8306"/>
      </w:tabs>
      <w:snapToGrid w:val="0"/>
      <w:jc w:val="left"/>
      <w:rPr>
        <w:rFonts w:ascii="等线" w:hAnsi="等线" w:eastAsia="等线"/>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57082">
    <w:pPr>
      <w:tabs>
        <w:tab w:val="center" w:pos="4153"/>
        <w:tab w:val="right" w:pos="8306"/>
      </w:tabs>
      <w:snapToGrid w:val="0"/>
      <w:jc w:val="center"/>
      <w:rPr>
        <w:rFonts w:ascii="等线" w:hAnsi="等线" w:eastAsia="等线"/>
        <w:sz w:val="18"/>
        <w:szCs w:val="18"/>
      </w:rPr>
    </w:pPr>
  </w:p>
  <w:p w14:paraId="3768519F">
    <w:pPr>
      <w:tabs>
        <w:tab w:val="center" w:pos="4153"/>
        <w:tab w:val="right" w:pos="8306"/>
      </w:tabs>
      <w:snapToGrid w:val="0"/>
      <w:jc w:val="left"/>
      <w:rPr>
        <w:rFonts w:ascii="等线" w:hAnsi="等线" w:eastAsia="等线"/>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5652770</wp:posOffset>
              </wp:positionH>
              <wp:positionV relativeFrom="paragraph">
                <wp:posOffset>71120</wp:posOffset>
              </wp:positionV>
              <wp:extent cx="287020" cy="137795"/>
              <wp:effectExtent l="0" t="0" r="0" b="0"/>
              <wp:wrapNone/>
              <wp:docPr id="6" name="文本框 6"/>
              <wp:cNvGraphicFramePr/>
              <a:graphic xmlns:a="http://schemas.openxmlformats.org/drawingml/2006/main">
                <a:graphicData uri="http://schemas.microsoft.com/office/word/2010/wordprocessingShape">
                  <wps:wsp>
                    <wps:cNvSpPr txBox="1"/>
                    <wps:spPr>
                      <a:xfrm>
                        <a:off x="0" y="0"/>
                        <a:ext cx="287020"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BD395F">
                          <w:pPr>
                            <w:pStyle w:val="18"/>
                            <w:wordWrap w:val="0"/>
                            <w:rPr>
                              <w:rFonts w:hint="default" w:eastAsia="宋体"/>
                              <w:lang w:val="en-US" w:eastAsia="zh-CN"/>
                            </w:rPr>
                          </w:pPr>
                          <w:r>
                            <w:fldChar w:fldCharType="begin"/>
                          </w:r>
                          <w:r>
                            <w:instrText xml:space="preserve"> PAGE  \* MERGEFORMAT </w:instrText>
                          </w:r>
                          <w:r>
                            <w:fldChar w:fldCharType="separate"/>
                          </w:r>
                          <w:r>
                            <w:t>10</w:t>
                          </w:r>
                          <w:r>
                            <w:fldChar w:fldCharType="end"/>
                          </w:r>
                          <w:r>
                            <w:rPr>
                              <w:rFonts w:hint="eastAsia"/>
                              <w:lang w:val="en-US" w:eastAsia="zh-CN"/>
                            </w:rPr>
                            <w:t xml:space="preserve">  </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45.1pt;margin-top:5.6pt;height:10.85pt;width:22.6pt;mso-position-horizontal-relative:margin;z-index:251660288;mso-width-relative:page;mso-height-relative:page;" filled="f" stroked="f" coordsize="21600,21600" o:gfxdata="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H8hR0zYAAAACQEAAA8AAAAAAAAAAQAgAAAAIgAAAGRycy9kb3du&#10;cmV2LnhtbFBLAQIUABQAAAAIAIdO4kDLqFvPOAIAAGEEAAAOAAAAAAAAAAEAIAAAACcBAABkcnMv&#10;ZTJvRG9jLnhtbFBLBQYAAAAABgAGAFkBAADRBQAAAAA=&#10;">
              <v:fill on="f" focussize="0,0"/>
              <v:stroke on="f" weight="0.5pt"/>
              <v:imagedata o:title=""/>
              <o:lock v:ext="edit" aspectratio="f"/>
              <v:textbox inset="0mm,0mm,0mm,0mm">
                <w:txbxContent>
                  <w:p w14:paraId="4CBD395F">
                    <w:pPr>
                      <w:pStyle w:val="18"/>
                      <w:wordWrap w:val="0"/>
                      <w:rPr>
                        <w:rFonts w:hint="default" w:eastAsia="宋体"/>
                        <w:lang w:val="en-US" w:eastAsia="zh-CN"/>
                      </w:rPr>
                    </w:pPr>
                    <w:r>
                      <w:fldChar w:fldCharType="begin"/>
                    </w:r>
                    <w:r>
                      <w:instrText xml:space="preserve"> PAGE  \* MERGEFORMAT </w:instrText>
                    </w:r>
                    <w:r>
                      <w:fldChar w:fldCharType="separate"/>
                    </w:r>
                    <w:r>
                      <w:t>10</w:t>
                    </w:r>
                    <w:r>
                      <w:fldChar w:fldCharType="end"/>
                    </w:r>
                    <w:r>
                      <w:rPr>
                        <w:rFonts w:hint="eastAsia"/>
                        <w:lang w:val="en-US"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425DE">
    <w:pPr>
      <w:pStyle w:val="19"/>
      <w:wordWrap w:val="0"/>
      <w:jc w:val="right"/>
      <w:rPr>
        <w:rFonts w:hint="eastAsia"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F755B">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8ABE7">
    <w:pPr>
      <w:pStyle w:val="19"/>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DBA7D">
    <w:pPr>
      <w:pStyle w:val="63"/>
      <w:spacing w:after="0"/>
      <w:rPr>
        <w:rFonts w:hint="eastAsia"/>
      </w:rPr>
    </w:pPr>
    <w:r>
      <w:fldChar w:fldCharType="begin"/>
    </w:r>
    <w:r>
      <w:instrText xml:space="preserve"> STYLEREF  标准文件_文件编号  \* MERGEFORMAT </w:instrText>
    </w:r>
    <w:r>
      <w:fldChar w:fldCharType="separate"/>
    </w:r>
    <w:r>
      <w:t>GB/T 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83B9F">
    <w:pPr>
      <w:pStyle w:val="19"/>
      <w:jc w:val="right"/>
    </w:pPr>
    <w:r>
      <w:fldChar w:fldCharType="begin"/>
    </w:r>
    <w:r>
      <w:instrText xml:space="preserve"> STYLEREF  标准文件_文件编号  \* MERGEFORMAT </w:instrText>
    </w:r>
    <w:r>
      <w:fldChar w:fldCharType="separate"/>
    </w:r>
    <w:r>
      <w:t>GB/T XXXX—XXXX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904BF">
    <w:pPr>
      <w:pStyle w:val="63"/>
      <w:spacing w:after="0"/>
      <w:rPr>
        <w:rFonts w:hint="eastAsia"/>
      </w:rPr>
    </w:pPr>
    <w:r>
      <w:fldChar w:fldCharType="begin"/>
    </w:r>
    <w:r>
      <w:instrText xml:space="preserve"> STYLEREF  标准文件_文件编号  \* MERGEFORMAT </w:instrText>
    </w:r>
    <w:r>
      <w:fldChar w:fldCharType="separate"/>
    </w:r>
    <w:r>
      <w:t>GB/T XXXX—XXXX</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5A141">
    <w:pPr>
      <w:pStyle w:val="63"/>
      <w:spacing w:after="0"/>
      <w:rPr>
        <w:rFonts w:hint="eastAsi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D5C29">
    <w:pPr>
      <w:pStyle w:val="63"/>
      <w:spacing w:after="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6F1EE0"/>
    <w:multiLevelType w:val="singleLevel"/>
    <w:tmpl w:val="D46F1EE0"/>
    <w:lvl w:ilvl="0" w:tentative="0">
      <w:start w:val="1"/>
      <w:numFmt w:val="decimal"/>
      <w:suff w:val="space"/>
      <w:lvlText w:val="%1."/>
      <w:lvlJc w:val="left"/>
    </w:lvl>
  </w:abstractNum>
  <w:abstractNum w:abstractNumId="1">
    <w:nsid w:val="EFEE6F9B"/>
    <w:multiLevelType w:val="singleLevel"/>
    <w:tmpl w:val="EFEE6F9B"/>
    <w:lvl w:ilvl="0" w:tentative="0">
      <w:start w:val="2"/>
      <w:numFmt w:val="chineseCounting"/>
      <w:suff w:val="nothing"/>
      <w:lvlText w:val="%1、"/>
      <w:lvlJc w:val="left"/>
      <w:rPr>
        <w:rFonts w:hint="eastAsia"/>
      </w:rPr>
    </w:lvl>
  </w:abstractNum>
  <w:abstractNum w:abstractNumId="2">
    <w:nsid w:val="F79EAE0B"/>
    <w:multiLevelType w:val="singleLevel"/>
    <w:tmpl w:val="F79EAE0B"/>
    <w:lvl w:ilvl="0" w:tentative="0">
      <w:start w:val="1"/>
      <w:numFmt w:val="chineseCounting"/>
      <w:suff w:val="nothing"/>
      <w:lvlText w:val="（%1）"/>
      <w:lvlJc w:val="left"/>
      <w:rPr>
        <w:rFonts w:hint="eastAsia"/>
      </w:rPr>
    </w:lvl>
  </w:abstractNum>
  <w:abstractNum w:abstractNumId="3">
    <w:nsid w:val="02837933"/>
    <w:multiLevelType w:val="multilevel"/>
    <w:tmpl w:val="02837933"/>
    <w:lvl w:ilvl="0" w:tentative="0">
      <w:start w:val="1"/>
      <w:numFmt w:val="decimal"/>
      <w:pStyle w:val="66"/>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4">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1"/>
      <w:suff w:val="nothing"/>
      <w:lvlText w:val="%1%2.%3　"/>
      <w:lvlJc w:val="left"/>
      <w:pPr>
        <w:ind w:left="0" w:firstLine="0"/>
      </w:pPr>
    </w:lvl>
    <w:lvl w:ilvl="3" w:tentative="0">
      <w:start w:val="1"/>
      <w:numFmt w:val="decimal"/>
      <w:pStyle w:val="120"/>
      <w:suff w:val="nothing"/>
      <w:lvlText w:val="%1%2.%3.%4　"/>
      <w:lvlJc w:val="left"/>
      <w:pPr>
        <w:ind w:left="0" w:firstLine="0"/>
      </w:pPr>
    </w:lvl>
    <w:lvl w:ilvl="4" w:tentative="0">
      <w:start w:val="1"/>
      <w:numFmt w:val="decimal"/>
      <w:pStyle w:val="155"/>
      <w:suff w:val="nothing"/>
      <w:lvlText w:val="%1%2.%3.%4.%5　"/>
      <w:lvlJc w:val="left"/>
      <w:pPr>
        <w:ind w:left="0" w:firstLine="0"/>
      </w:pPr>
    </w:lvl>
    <w:lvl w:ilvl="5" w:tentative="0">
      <w:start w:val="1"/>
      <w:numFmt w:val="decimal"/>
      <w:pStyle w:val="157"/>
      <w:suff w:val="nothing"/>
      <w:lvlText w:val="%1%2.%3.%4.%5.%6　"/>
      <w:lvlJc w:val="left"/>
      <w:pPr>
        <w:ind w:left="0" w:firstLine="0"/>
      </w:pPr>
    </w:lvl>
    <w:lvl w:ilvl="6" w:tentative="0">
      <w:start w:val="1"/>
      <w:numFmt w:val="decimal"/>
      <w:pStyle w:val="160"/>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5">
    <w:nsid w:val="079102AD"/>
    <w:multiLevelType w:val="multilevel"/>
    <w:tmpl w:val="079102AD"/>
    <w:lvl w:ilvl="0" w:tentative="0">
      <w:start w:val="1"/>
      <w:numFmt w:val="decimal"/>
      <w:pStyle w:val="182"/>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6">
    <w:nsid w:val="07ED3FEA"/>
    <w:multiLevelType w:val="multilevel"/>
    <w:tmpl w:val="07ED3FEA"/>
    <w:lvl w:ilvl="0" w:tentative="0">
      <w:start w:val="1"/>
      <w:numFmt w:val="none"/>
      <w:pStyle w:val="91"/>
      <w:lvlText w:val="%1"/>
      <w:lvlJc w:val="left"/>
      <w:pPr>
        <w:ind w:left="425" w:hanging="425"/>
      </w:pPr>
      <w:rPr>
        <w:rFonts w:hint="eastAsia"/>
      </w:rPr>
    </w:lvl>
    <w:lvl w:ilvl="1" w:tentative="0">
      <w:start w:val="1"/>
      <w:numFmt w:val="decimal"/>
      <w:pStyle w:val="202"/>
      <w:suff w:val="nothing"/>
      <w:lvlText w:val="%10.%2 "/>
      <w:lvlJc w:val="left"/>
      <w:pPr>
        <w:ind w:left="0" w:firstLine="0"/>
      </w:pPr>
      <w:rPr>
        <w:rFonts w:hint="eastAsia" w:ascii="黑体" w:eastAsia="黑体" w:hAnsiTheme="minorHAnsi"/>
        <w:b w:val="0"/>
        <w:i w:val="0"/>
        <w:sz w:val="21"/>
      </w:rPr>
    </w:lvl>
    <w:lvl w:ilvl="2" w:tentative="0">
      <w:start w:val="1"/>
      <w:numFmt w:val="decimal"/>
      <w:pStyle w:val="203"/>
      <w:suff w:val="nothing"/>
      <w:lvlText w:val="%10.%2.%3 "/>
      <w:lvlJc w:val="left"/>
      <w:pPr>
        <w:ind w:left="0" w:firstLine="0"/>
      </w:pPr>
      <w:rPr>
        <w:rFonts w:hint="eastAsia" w:ascii="黑体" w:eastAsia="黑体" w:hAnsiTheme="minorHAnsi"/>
        <w:b w:val="0"/>
        <w:i w:val="0"/>
        <w:sz w:val="21"/>
      </w:rPr>
    </w:lvl>
    <w:lvl w:ilvl="3" w:tentative="0">
      <w:start w:val="1"/>
      <w:numFmt w:val="decimal"/>
      <w:pStyle w:val="204"/>
      <w:suff w:val="nothing"/>
      <w:lvlText w:val="%10.%2.%3.%4 "/>
      <w:lvlJc w:val="left"/>
      <w:pPr>
        <w:ind w:left="0" w:firstLine="0"/>
      </w:pPr>
      <w:rPr>
        <w:rFonts w:hint="eastAsia" w:ascii="黑体" w:eastAsia="黑体" w:hAnsiTheme="minorHAnsi"/>
        <w:b w:val="0"/>
        <w:i w:val="0"/>
        <w:sz w:val="21"/>
      </w:rPr>
    </w:lvl>
    <w:lvl w:ilvl="4" w:tentative="0">
      <w:start w:val="1"/>
      <w:numFmt w:val="decimal"/>
      <w:pStyle w:val="205"/>
      <w:suff w:val="nothing"/>
      <w:lvlText w:val="%10.%2.%3.%4.%5 "/>
      <w:lvlJc w:val="left"/>
      <w:pPr>
        <w:ind w:left="0" w:firstLine="0"/>
      </w:pPr>
      <w:rPr>
        <w:rFonts w:hint="eastAsia" w:ascii="黑体" w:eastAsia="黑体" w:hAnsiTheme="minorHAnsi"/>
        <w:b w:val="0"/>
        <w:i w:val="0"/>
        <w:sz w:val="21"/>
      </w:rPr>
    </w:lvl>
    <w:lvl w:ilvl="5" w:tentative="0">
      <w:start w:val="1"/>
      <w:numFmt w:val="decimal"/>
      <w:pStyle w:val="206"/>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0AE367E9"/>
    <w:multiLevelType w:val="multilevel"/>
    <w:tmpl w:val="0AE367E9"/>
    <w:lvl w:ilvl="0" w:tentative="0">
      <w:start w:val="1"/>
      <w:numFmt w:val="none"/>
      <w:pStyle w:val="183"/>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8">
    <w:nsid w:val="0BDC1670"/>
    <w:multiLevelType w:val="multilevel"/>
    <w:tmpl w:val="0BDC1670"/>
    <w:lvl w:ilvl="0" w:tentative="0">
      <w:start w:val="1"/>
      <w:numFmt w:val="decimal"/>
      <w:pStyle w:val="69"/>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D051F45"/>
    <w:multiLevelType w:val="multilevel"/>
    <w:tmpl w:val="0D051F45"/>
    <w:lvl w:ilvl="0" w:tentative="0">
      <w:start w:val="1"/>
      <w:numFmt w:val="lowerRoman"/>
      <w:pStyle w:val="171"/>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10">
    <w:nsid w:val="1AD20F90"/>
    <w:multiLevelType w:val="multilevel"/>
    <w:tmpl w:val="1AD20F90"/>
    <w:lvl w:ilvl="0" w:tentative="0">
      <w:start w:val="1"/>
      <w:numFmt w:val="none"/>
      <w:pStyle w:val="112"/>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AF15012"/>
    <w:multiLevelType w:val="multilevel"/>
    <w:tmpl w:val="1AF15012"/>
    <w:lvl w:ilvl="0" w:tentative="0">
      <w:start w:val="1"/>
      <w:numFmt w:val="upperLetter"/>
      <w:pStyle w:val="87"/>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2">
    <w:nsid w:val="1EAA1992"/>
    <w:multiLevelType w:val="multilevel"/>
    <w:tmpl w:val="1EAA1992"/>
    <w:lvl w:ilvl="0" w:tentative="0">
      <w:start w:val="1"/>
      <w:numFmt w:val="none"/>
      <w:pStyle w:val="94"/>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3">
    <w:nsid w:val="2C5917C3"/>
    <w:multiLevelType w:val="multilevel"/>
    <w:tmpl w:val="2C5917C3"/>
    <w:lvl w:ilvl="0" w:tentative="0">
      <w:start w:val="1"/>
      <w:numFmt w:val="none"/>
      <w:pStyle w:val="134"/>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9"/>
      <w:lvlText w:val=""/>
      <w:lvlJc w:val="left"/>
      <w:pPr>
        <w:ind w:left="851" w:hanging="431"/>
      </w:pPr>
      <w:rPr>
        <w:rFonts w:hint="default" w:ascii="Symbol" w:hAnsi="Symbol"/>
        <w:sz w:val="21"/>
      </w:rPr>
    </w:lvl>
    <w:lvl w:ilvl="2" w:tentative="0">
      <w:start w:val="1"/>
      <w:numFmt w:val="bullet"/>
      <w:pStyle w:val="174"/>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4">
    <w:nsid w:val="32F04FB2"/>
    <w:multiLevelType w:val="multilevel"/>
    <w:tmpl w:val="32F04FB2"/>
    <w:lvl w:ilvl="0" w:tentative="0">
      <w:start w:val="1"/>
      <w:numFmt w:val="lowerLetter"/>
      <w:pStyle w:val="103"/>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5">
    <w:nsid w:val="44C50F90"/>
    <w:multiLevelType w:val="multilevel"/>
    <w:tmpl w:val="44C50F90"/>
    <w:lvl w:ilvl="0" w:tentative="0">
      <w:start w:val="1"/>
      <w:numFmt w:val="lowerLetter"/>
      <w:pStyle w:val="176"/>
      <w:lvlText w:val="%1)"/>
      <w:lvlJc w:val="left"/>
      <w:pPr>
        <w:tabs>
          <w:tab w:val="left" w:pos="851"/>
        </w:tabs>
        <w:ind w:left="851" w:hanging="426"/>
      </w:pPr>
      <w:rPr>
        <w:rFonts w:hint="eastAsia" w:ascii="宋体" w:hAnsi="Times New Roman" w:eastAsia="宋体"/>
        <w:sz w:val="21"/>
      </w:rPr>
    </w:lvl>
    <w:lvl w:ilvl="1" w:tentative="0">
      <w:start w:val="1"/>
      <w:numFmt w:val="decimal"/>
      <w:pStyle w:val="111"/>
      <w:lvlText w:val="%2)"/>
      <w:lvlJc w:val="left"/>
      <w:pPr>
        <w:tabs>
          <w:tab w:val="left" w:pos="1276"/>
        </w:tabs>
        <w:ind w:left="1276" w:hanging="425"/>
      </w:pPr>
      <w:rPr>
        <w:rFonts w:hint="eastAsia" w:ascii="宋体" w:hAnsi="Times New Roman" w:eastAsia="宋体"/>
        <w:sz w:val="21"/>
      </w:rPr>
    </w:lvl>
    <w:lvl w:ilvl="2" w:tentative="0">
      <w:start w:val="1"/>
      <w:numFmt w:val="decimal"/>
      <w:pStyle w:val="119"/>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6">
    <w:nsid w:val="48802D1C"/>
    <w:multiLevelType w:val="multilevel"/>
    <w:tmpl w:val="48802D1C"/>
    <w:lvl w:ilvl="0" w:tentative="0">
      <w:start w:val="1"/>
      <w:numFmt w:val="upperLetter"/>
      <w:pStyle w:val="200"/>
      <w:lvlText w:val="%1"/>
      <w:lvlJc w:val="left"/>
      <w:pPr>
        <w:ind w:left="420" w:hanging="420"/>
      </w:pPr>
      <w:rPr>
        <w:rFonts w:hint="eastAsia"/>
      </w:rPr>
    </w:lvl>
    <w:lvl w:ilvl="1" w:tentative="0">
      <w:start w:val="1"/>
      <w:numFmt w:val="decimal"/>
      <w:pStyle w:val="85"/>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7">
    <w:nsid w:val="4B733A5F"/>
    <w:multiLevelType w:val="multilevel"/>
    <w:tmpl w:val="4B733A5F"/>
    <w:lvl w:ilvl="0" w:tentative="0">
      <w:start w:val="1"/>
      <w:numFmt w:val="decimal"/>
      <w:pStyle w:val="185"/>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8">
    <w:nsid w:val="4E5D0534"/>
    <w:multiLevelType w:val="multilevel"/>
    <w:tmpl w:val="4E5D0534"/>
    <w:lvl w:ilvl="0" w:tentative="0">
      <w:start w:val="1"/>
      <w:numFmt w:val="decimal"/>
      <w:pStyle w:val="118"/>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9">
    <w:nsid w:val="54632751"/>
    <w:multiLevelType w:val="multilevel"/>
    <w:tmpl w:val="54632751"/>
    <w:lvl w:ilvl="0" w:tentative="0">
      <w:start w:val="1"/>
      <w:numFmt w:val="none"/>
      <w:pStyle w:val="95"/>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20">
    <w:nsid w:val="557C2AF5"/>
    <w:multiLevelType w:val="multilevel"/>
    <w:tmpl w:val="557C2AF5"/>
    <w:lvl w:ilvl="0" w:tentative="0">
      <w:start w:val="1"/>
      <w:numFmt w:val="decimal"/>
      <w:pStyle w:val="116"/>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1">
    <w:nsid w:val="5603797C"/>
    <w:multiLevelType w:val="multilevel"/>
    <w:tmpl w:val="5603797C"/>
    <w:lvl w:ilvl="0" w:tentative="0">
      <w:start w:val="1"/>
      <w:numFmt w:val="upperLetter"/>
      <w:pStyle w:val="201"/>
      <w:suff w:val="space"/>
      <w:lvlText w:val="%1"/>
      <w:lvlJc w:val="left"/>
      <w:pPr>
        <w:ind w:left="425" w:hanging="425"/>
      </w:pPr>
      <w:rPr>
        <w:rFonts w:hint="eastAsia"/>
      </w:rPr>
    </w:lvl>
    <w:lvl w:ilvl="1" w:tentative="0">
      <w:start w:val="1"/>
      <w:numFmt w:val="decimal"/>
      <w:pStyle w:val="79"/>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2">
    <w:nsid w:val="564D2089"/>
    <w:multiLevelType w:val="multilevel"/>
    <w:tmpl w:val="564D2089"/>
    <w:lvl w:ilvl="0" w:tentative="0">
      <w:start w:val="1"/>
      <w:numFmt w:val="none"/>
      <w:pStyle w:val="113"/>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644622F9"/>
    <w:multiLevelType w:val="multilevel"/>
    <w:tmpl w:val="644622F9"/>
    <w:lvl w:ilvl="0" w:tentative="0">
      <w:start w:val="1"/>
      <w:numFmt w:val="upperRoman"/>
      <w:pStyle w:val="170"/>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4">
    <w:nsid w:val="646260FA"/>
    <w:multiLevelType w:val="multilevel"/>
    <w:tmpl w:val="646260FA"/>
    <w:lvl w:ilvl="0" w:tentative="0">
      <w:start w:val="1"/>
      <w:numFmt w:val="decimal"/>
      <w:pStyle w:val="114"/>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5">
    <w:nsid w:val="654A26C9"/>
    <w:multiLevelType w:val="multilevel"/>
    <w:tmpl w:val="654A26C9"/>
    <w:lvl w:ilvl="0" w:tentative="0">
      <w:start w:val="1"/>
      <w:numFmt w:val="none"/>
      <w:pStyle w:val="191"/>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6">
    <w:nsid w:val="657D3FBC"/>
    <w:multiLevelType w:val="multilevel"/>
    <w:tmpl w:val="657D3FBC"/>
    <w:lvl w:ilvl="0" w:tentative="0">
      <w:start w:val="1"/>
      <w:numFmt w:val="upperLetter"/>
      <w:pStyle w:val="78"/>
      <w:suff w:val="nothing"/>
      <w:lvlText w:val="附录%1"/>
      <w:lvlJc w:val="left"/>
      <w:pPr>
        <w:ind w:left="0" w:firstLine="0"/>
      </w:pPr>
      <w:rPr>
        <w:rFonts w:hint="eastAsia"/>
        <w:spacing w:val="100"/>
      </w:rPr>
    </w:lvl>
    <w:lvl w:ilvl="1" w:tentative="0">
      <w:start w:val="1"/>
      <w:numFmt w:val="decimal"/>
      <w:pStyle w:val="80"/>
      <w:suff w:val="nothing"/>
      <w:lvlText w:val="%1.%2　"/>
      <w:lvlJc w:val="left"/>
      <w:pPr>
        <w:ind w:left="0" w:firstLine="0"/>
      </w:pPr>
      <w:rPr>
        <w:rFonts w:hint="eastAsia" w:ascii="黑体" w:eastAsia="黑体"/>
        <w:b w:val="0"/>
        <w:i w:val="0"/>
        <w:sz w:val="21"/>
      </w:rPr>
    </w:lvl>
    <w:lvl w:ilvl="2" w:tentative="0">
      <w:start w:val="1"/>
      <w:numFmt w:val="decimal"/>
      <w:pStyle w:val="81"/>
      <w:suff w:val="nothing"/>
      <w:lvlText w:val="%1.%2.%3　"/>
      <w:lvlJc w:val="left"/>
      <w:pPr>
        <w:ind w:left="0" w:firstLine="0"/>
      </w:pPr>
      <w:rPr>
        <w:rFonts w:hint="eastAsia" w:ascii="黑体" w:eastAsia="黑体"/>
        <w:b w:val="0"/>
        <w:i w:val="0"/>
        <w:sz w:val="21"/>
      </w:rPr>
    </w:lvl>
    <w:lvl w:ilvl="3" w:tentative="0">
      <w:start w:val="1"/>
      <w:numFmt w:val="decimal"/>
      <w:pStyle w:val="83"/>
      <w:suff w:val="nothing"/>
      <w:lvlText w:val="%1.%2.%3.%4　"/>
      <w:lvlJc w:val="left"/>
      <w:pPr>
        <w:ind w:left="0" w:firstLine="0"/>
      </w:pPr>
      <w:rPr>
        <w:rFonts w:hint="eastAsia" w:ascii="黑体" w:eastAsia="黑体"/>
        <w:b w:val="0"/>
        <w:i w:val="0"/>
        <w:sz w:val="21"/>
      </w:rPr>
    </w:lvl>
    <w:lvl w:ilvl="4" w:tentative="0">
      <w:start w:val="1"/>
      <w:numFmt w:val="decimal"/>
      <w:pStyle w:val="84"/>
      <w:suff w:val="nothing"/>
      <w:lvlText w:val="%1.%2.%3.%4.%5　"/>
      <w:lvlJc w:val="left"/>
      <w:pPr>
        <w:ind w:left="0" w:firstLine="0"/>
      </w:pPr>
      <w:rPr>
        <w:rFonts w:hint="eastAsia" w:ascii="黑体" w:eastAsia="黑体"/>
        <w:b w:val="0"/>
        <w:i w:val="0"/>
        <w:sz w:val="21"/>
      </w:rPr>
    </w:lvl>
    <w:lvl w:ilvl="5" w:tentative="0">
      <w:start w:val="1"/>
      <w:numFmt w:val="decimal"/>
      <w:pStyle w:val="86"/>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7">
    <w:nsid w:val="671F11B1"/>
    <w:multiLevelType w:val="singleLevel"/>
    <w:tmpl w:val="671F11B1"/>
    <w:lvl w:ilvl="0" w:tentative="0">
      <w:start w:val="4"/>
      <w:numFmt w:val="chineseCounting"/>
      <w:suff w:val="nothing"/>
      <w:lvlText w:val="%1、"/>
      <w:lvlJc w:val="left"/>
      <w:rPr>
        <w:rFonts w:hint="eastAsia"/>
      </w:rPr>
    </w:lvl>
  </w:abstractNum>
  <w:abstractNum w:abstractNumId="28">
    <w:nsid w:val="69506ABF"/>
    <w:multiLevelType w:val="multilevel"/>
    <w:tmpl w:val="69506ABF"/>
    <w:lvl w:ilvl="0" w:tentative="0">
      <w:start w:val="1"/>
      <w:numFmt w:val="bullet"/>
      <w:pStyle w:val="190"/>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9">
    <w:nsid w:val="6CA41985"/>
    <w:multiLevelType w:val="multilevel"/>
    <w:tmpl w:val="6CA41985"/>
    <w:lvl w:ilvl="0" w:tentative="0">
      <w:start w:val="1"/>
      <w:numFmt w:val="decimal"/>
      <w:pStyle w:val="99"/>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0">
    <w:nsid w:val="6CE42AC1"/>
    <w:multiLevelType w:val="multilevel"/>
    <w:tmpl w:val="6CE42AC1"/>
    <w:lvl w:ilvl="0" w:tentative="0">
      <w:start w:val="1"/>
      <w:numFmt w:val="lowerLetter"/>
      <w:pStyle w:val="17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6CEA2025"/>
    <w:multiLevelType w:val="multilevel"/>
    <w:tmpl w:val="6CEA2025"/>
    <w:lvl w:ilvl="0" w:tentative="0">
      <w:start w:val="1"/>
      <w:numFmt w:val="none"/>
      <w:pStyle w:val="154"/>
      <w:suff w:val="nothing"/>
      <w:lvlText w:val="%1"/>
      <w:lvlJc w:val="left"/>
      <w:pPr>
        <w:ind w:left="0" w:firstLine="0"/>
      </w:pPr>
      <w:rPr>
        <w:rFonts w:hint="eastAsia"/>
      </w:rPr>
    </w:lvl>
    <w:lvl w:ilvl="1" w:tentative="0">
      <w:start w:val="1"/>
      <w:numFmt w:val="decimal"/>
      <w:pStyle w:val="106"/>
      <w:suff w:val="nothing"/>
      <w:lvlText w:val="%1%2　"/>
      <w:lvlJc w:val="left"/>
      <w:pPr>
        <w:ind w:left="0" w:firstLine="0"/>
      </w:pPr>
      <w:rPr>
        <w:rFonts w:hint="eastAsia" w:ascii="黑体" w:eastAsia="黑体"/>
        <w:b w:val="0"/>
        <w:i w:val="0"/>
        <w:sz w:val="21"/>
      </w:rPr>
    </w:lvl>
    <w:lvl w:ilvl="2" w:tentative="0">
      <w:start w:val="1"/>
      <w:numFmt w:val="decimal"/>
      <w:pStyle w:val="107"/>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67"/>
      <w:suff w:val="nothing"/>
      <w:lvlText w:val="%1%2.%3.%4　"/>
      <w:lvlJc w:val="left"/>
      <w:pPr>
        <w:ind w:left="0" w:firstLine="0"/>
      </w:pPr>
      <w:rPr>
        <w:rFonts w:hint="eastAsia" w:ascii="黑体" w:eastAsia="黑体"/>
        <w:b w:val="0"/>
        <w:i w:val="0"/>
        <w:sz w:val="21"/>
      </w:rPr>
    </w:lvl>
    <w:lvl w:ilvl="4" w:tentative="0">
      <w:start w:val="1"/>
      <w:numFmt w:val="decimal"/>
      <w:pStyle w:val="96"/>
      <w:suff w:val="nothing"/>
      <w:lvlText w:val="%1%2.%3.%4.%5　"/>
      <w:lvlJc w:val="left"/>
      <w:pPr>
        <w:ind w:left="0" w:firstLine="0"/>
      </w:pPr>
      <w:rPr>
        <w:rFonts w:hint="eastAsia" w:ascii="黑体" w:eastAsia="黑体"/>
        <w:b w:val="0"/>
        <w:i w:val="0"/>
        <w:sz w:val="21"/>
      </w:rPr>
    </w:lvl>
    <w:lvl w:ilvl="5" w:tentative="0">
      <w:start w:val="1"/>
      <w:numFmt w:val="decimal"/>
      <w:pStyle w:val="100"/>
      <w:suff w:val="nothing"/>
      <w:lvlText w:val="%1%2.%3.%4.%5.%6　"/>
      <w:lvlJc w:val="left"/>
      <w:pPr>
        <w:ind w:left="0" w:firstLine="0"/>
      </w:pPr>
      <w:rPr>
        <w:rFonts w:hint="eastAsia" w:ascii="黑体" w:eastAsia="黑体"/>
        <w:b w:val="0"/>
        <w:i w:val="0"/>
        <w:sz w:val="21"/>
      </w:rPr>
    </w:lvl>
    <w:lvl w:ilvl="6" w:tentative="0">
      <w:start w:val="1"/>
      <w:numFmt w:val="decimal"/>
      <w:pStyle w:val="105"/>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2">
    <w:nsid w:val="6DBF04F4"/>
    <w:multiLevelType w:val="multilevel"/>
    <w:tmpl w:val="6DBF04F4"/>
    <w:lvl w:ilvl="0" w:tentative="0">
      <w:start w:val="1"/>
      <w:numFmt w:val="none"/>
      <w:pStyle w:val="181"/>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3">
    <w:nsid w:val="6DF35F19"/>
    <w:multiLevelType w:val="multilevel"/>
    <w:tmpl w:val="6DF35F19"/>
    <w:lvl w:ilvl="0" w:tentative="0">
      <w:start w:val="1"/>
      <w:numFmt w:val="decimal"/>
      <w:pStyle w:val="117"/>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4">
    <w:nsid w:val="76933334"/>
    <w:multiLevelType w:val="multilevel"/>
    <w:tmpl w:val="76933334"/>
    <w:lvl w:ilvl="0" w:tentative="0">
      <w:start w:val="1"/>
      <w:numFmt w:val="none"/>
      <w:pStyle w:val="141"/>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31"/>
  </w:num>
  <w:num w:numId="3">
    <w:abstractNumId w:val="8"/>
  </w:num>
  <w:num w:numId="4">
    <w:abstractNumId w:val="26"/>
  </w:num>
  <w:num w:numId="5">
    <w:abstractNumId w:val="21"/>
  </w:num>
  <w:num w:numId="6">
    <w:abstractNumId w:val="16"/>
  </w:num>
  <w:num w:numId="7">
    <w:abstractNumId w:val="11"/>
  </w:num>
  <w:num w:numId="8">
    <w:abstractNumId w:val="6"/>
  </w:num>
  <w:num w:numId="9">
    <w:abstractNumId w:val="12"/>
  </w:num>
  <w:num w:numId="10">
    <w:abstractNumId w:val="19"/>
  </w:num>
  <w:num w:numId="11">
    <w:abstractNumId w:val="29"/>
  </w:num>
  <w:num w:numId="12">
    <w:abstractNumId w:val="14"/>
  </w:num>
  <w:num w:numId="13">
    <w:abstractNumId w:val="15"/>
  </w:num>
  <w:num w:numId="14">
    <w:abstractNumId w:val="10"/>
  </w:num>
  <w:num w:numId="15">
    <w:abstractNumId w:val="22"/>
  </w:num>
  <w:num w:numId="16">
    <w:abstractNumId w:val="24"/>
  </w:num>
  <w:num w:numId="17">
    <w:abstractNumId w:val="20"/>
  </w:num>
  <w:num w:numId="18">
    <w:abstractNumId w:val="33"/>
  </w:num>
  <w:num w:numId="19">
    <w:abstractNumId w:val="18"/>
  </w:num>
  <w:num w:numId="20">
    <w:abstractNumId w:val="4"/>
  </w:num>
  <w:num w:numId="21">
    <w:abstractNumId w:val="13"/>
  </w:num>
  <w:num w:numId="22">
    <w:abstractNumId w:val="34"/>
  </w:num>
  <w:num w:numId="23">
    <w:abstractNumId w:val="23"/>
  </w:num>
  <w:num w:numId="24">
    <w:abstractNumId w:val="9"/>
  </w:num>
  <w:num w:numId="25">
    <w:abstractNumId w:val="30"/>
  </w:num>
  <w:num w:numId="26">
    <w:abstractNumId w:val="32"/>
  </w:num>
  <w:num w:numId="27">
    <w:abstractNumId w:val="5"/>
  </w:num>
  <w:num w:numId="28">
    <w:abstractNumId w:val="7"/>
  </w:num>
  <w:num w:numId="29">
    <w:abstractNumId w:val="17"/>
  </w:num>
  <w:num w:numId="30">
    <w:abstractNumId w:val="28"/>
  </w:num>
  <w:num w:numId="31">
    <w:abstractNumId w:val="25"/>
  </w:num>
  <w:num w:numId="32">
    <w:abstractNumId w:val="0"/>
  </w:num>
  <w:num w:numId="33">
    <w:abstractNumId w:val="1"/>
  </w:num>
  <w:num w:numId="34">
    <w:abstractNumId w:val="2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8"/>
  <w:bordersDoNotSurroundHeader w:val="1"/>
  <w:bordersDoNotSurroundFooter w:val="1"/>
  <w:documentProtection w:edit="forms"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C5B"/>
    <w:rsid w:val="0000040A"/>
    <w:rsid w:val="00000A94"/>
    <w:rsid w:val="00001972"/>
    <w:rsid w:val="00001C8D"/>
    <w:rsid w:val="00001D9A"/>
    <w:rsid w:val="00007B3A"/>
    <w:rsid w:val="000107E0"/>
    <w:rsid w:val="00011FDE"/>
    <w:rsid w:val="00012FFD"/>
    <w:rsid w:val="00014162"/>
    <w:rsid w:val="00014340"/>
    <w:rsid w:val="000164E4"/>
    <w:rsid w:val="00016A9C"/>
    <w:rsid w:val="00017AF1"/>
    <w:rsid w:val="00022184"/>
    <w:rsid w:val="00022762"/>
    <w:rsid w:val="00022B8C"/>
    <w:rsid w:val="000238E0"/>
    <w:rsid w:val="000249DB"/>
    <w:rsid w:val="0002595E"/>
    <w:rsid w:val="000303C3"/>
    <w:rsid w:val="000331D3"/>
    <w:rsid w:val="000346A5"/>
    <w:rsid w:val="000359C3"/>
    <w:rsid w:val="00035A7D"/>
    <w:rsid w:val="0004249A"/>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1FA5"/>
    <w:rsid w:val="00073C8C"/>
    <w:rsid w:val="00077B64"/>
    <w:rsid w:val="00080A1C"/>
    <w:rsid w:val="00082317"/>
    <w:rsid w:val="00082F56"/>
    <w:rsid w:val="00083D2C"/>
    <w:rsid w:val="00086AA1"/>
    <w:rsid w:val="00087A77"/>
    <w:rsid w:val="00090CA6"/>
    <w:rsid w:val="00092B8A"/>
    <w:rsid w:val="00092FB0"/>
    <w:rsid w:val="000934C5"/>
    <w:rsid w:val="00093D25"/>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2FBD"/>
    <w:rsid w:val="000C3E10"/>
    <w:rsid w:val="000C4B41"/>
    <w:rsid w:val="000C57D6"/>
    <w:rsid w:val="000C7666"/>
    <w:rsid w:val="000D0A9C"/>
    <w:rsid w:val="000D1795"/>
    <w:rsid w:val="000D329A"/>
    <w:rsid w:val="000D4B9C"/>
    <w:rsid w:val="000D4EB6"/>
    <w:rsid w:val="000D629A"/>
    <w:rsid w:val="000D753B"/>
    <w:rsid w:val="000E2A92"/>
    <w:rsid w:val="000E4C9E"/>
    <w:rsid w:val="000E6D0E"/>
    <w:rsid w:val="000E6FD7"/>
    <w:rsid w:val="000F06E1"/>
    <w:rsid w:val="000F0E3C"/>
    <w:rsid w:val="000F19D5"/>
    <w:rsid w:val="000F2E41"/>
    <w:rsid w:val="000F4AEA"/>
    <w:rsid w:val="000F5FEE"/>
    <w:rsid w:val="000F6501"/>
    <w:rsid w:val="000F67E9"/>
    <w:rsid w:val="001016A7"/>
    <w:rsid w:val="00104926"/>
    <w:rsid w:val="00113B1E"/>
    <w:rsid w:val="0011711C"/>
    <w:rsid w:val="00121172"/>
    <w:rsid w:val="00124E4F"/>
    <w:rsid w:val="001260B7"/>
    <w:rsid w:val="001265CB"/>
    <w:rsid w:val="001321C6"/>
    <w:rsid w:val="001325C4"/>
    <w:rsid w:val="00133010"/>
    <w:rsid w:val="001337A1"/>
    <w:rsid w:val="001338EE"/>
    <w:rsid w:val="00133AAE"/>
    <w:rsid w:val="00135323"/>
    <w:rsid w:val="001356C4"/>
    <w:rsid w:val="00141114"/>
    <w:rsid w:val="00142969"/>
    <w:rsid w:val="001457E7"/>
    <w:rsid w:val="00145D9D"/>
    <w:rsid w:val="00146388"/>
    <w:rsid w:val="001529E5"/>
    <w:rsid w:val="00153C7E"/>
    <w:rsid w:val="00156B25"/>
    <w:rsid w:val="00156E1A"/>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0E3A"/>
    <w:rsid w:val="001842DC"/>
    <w:rsid w:val="001852C9"/>
    <w:rsid w:val="00190087"/>
    <w:rsid w:val="001913C4"/>
    <w:rsid w:val="0019348F"/>
    <w:rsid w:val="0019350E"/>
    <w:rsid w:val="00193A07"/>
    <w:rsid w:val="00194C95"/>
    <w:rsid w:val="00195C34"/>
    <w:rsid w:val="001A1A53"/>
    <w:rsid w:val="001A234A"/>
    <w:rsid w:val="001A7BF5"/>
    <w:rsid w:val="001B06E8"/>
    <w:rsid w:val="001B71D0"/>
    <w:rsid w:val="001B71EE"/>
    <w:rsid w:val="001C04A8"/>
    <w:rsid w:val="001C2C03"/>
    <w:rsid w:val="001C42F7"/>
    <w:rsid w:val="001C49E5"/>
    <w:rsid w:val="001C680C"/>
    <w:rsid w:val="001C7FEA"/>
    <w:rsid w:val="001D0499"/>
    <w:rsid w:val="001D0BBE"/>
    <w:rsid w:val="001D0ED4"/>
    <w:rsid w:val="001D1C53"/>
    <w:rsid w:val="001D212F"/>
    <w:rsid w:val="001D29D7"/>
    <w:rsid w:val="001D2DE7"/>
    <w:rsid w:val="001D411C"/>
    <w:rsid w:val="001E02DB"/>
    <w:rsid w:val="001E1B6A"/>
    <w:rsid w:val="001E2484"/>
    <w:rsid w:val="001E3CC4"/>
    <w:rsid w:val="001E4882"/>
    <w:rsid w:val="001E73AB"/>
    <w:rsid w:val="001F092D"/>
    <w:rsid w:val="001F143A"/>
    <w:rsid w:val="001F1605"/>
    <w:rsid w:val="001F2508"/>
    <w:rsid w:val="001F4816"/>
    <w:rsid w:val="001F69B4"/>
    <w:rsid w:val="001F77C7"/>
    <w:rsid w:val="00200183"/>
    <w:rsid w:val="0020107D"/>
    <w:rsid w:val="00201271"/>
    <w:rsid w:val="00202AA4"/>
    <w:rsid w:val="002031F7"/>
    <w:rsid w:val="002040E6"/>
    <w:rsid w:val="0020527B"/>
    <w:rsid w:val="00205C9A"/>
    <w:rsid w:val="00210B15"/>
    <w:rsid w:val="00212109"/>
    <w:rsid w:val="00214280"/>
    <w:rsid w:val="002142EA"/>
    <w:rsid w:val="002204BB"/>
    <w:rsid w:val="00221B79"/>
    <w:rsid w:val="00221C6B"/>
    <w:rsid w:val="002253A1"/>
    <w:rsid w:val="00225CF8"/>
    <w:rsid w:val="0022794E"/>
    <w:rsid w:val="00230C2A"/>
    <w:rsid w:val="00233D64"/>
    <w:rsid w:val="0023482A"/>
    <w:rsid w:val="002359CB"/>
    <w:rsid w:val="002375D9"/>
    <w:rsid w:val="00243540"/>
    <w:rsid w:val="0024497B"/>
    <w:rsid w:val="0024515B"/>
    <w:rsid w:val="00246021"/>
    <w:rsid w:val="0024666E"/>
    <w:rsid w:val="00247F52"/>
    <w:rsid w:val="00250B25"/>
    <w:rsid w:val="00250BBE"/>
    <w:rsid w:val="0025194F"/>
    <w:rsid w:val="0026148A"/>
    <w:rsid w:val="00262696"/>
    <w:rsid w:val="002643C3"/>
    <w:rsid w:val="00264A0C"/>
    <w:rsid w:val="00267EF4"/>
    <w:rsid w:val="00270CB8"/>
    <w:rsid w:val="00272B08"/>
    <w:rsid w:val="00281BB8"/>
    <w:rsid w:val="00281E9E"/>
    <w:rsid w:val="00285170"/>
    <w:rsid w:val="00285361"/>
    <w:rsid w:val="00292D52"/>
    <w:rsid w:val="00292D6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F44"/>
    <w:rsid w:val="002B0C40"/>
    <w:rsid w:val="002B1966"/>
    <w:rsid w:val="002B4508"/>
    <w:rsid w:val="002B5779"/>
    <w:rsid w:val="002B7332"/>
    <w:rsid w:val="002B7F51"/>
    <w:rsid w:val="002C09E7"/>
    <w:rsid w:val="002C1B28"/>
    <w:rsid w:val="002C3F07"/>
    <w:rsid w:val="002C5278"/>
    <w:rsid w:val="002C7EBB"/>
    <w:rsid w:val="002D06C1"/>
    <w:rsid w:val="002D152B"/>
    <w:rsid w:val="002D42B5"/>
    <w:rsid w:val="002D4F1A"/>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4BDF"/>
    <w:rsid w:val="00317988"/>
    <w:rsid w:val="003221B4"/>
    <w:rsid w:val="00322E62"/>
    <w:rsid w:val="00324EDD"/>
    <w:rsid w:val="00336C64"/>
    <w:rsid w:val="00337162"/>
    <w:rsid w:val="0034194F"/>
    <w:rsid w:val="00344605"/>
    <w:rsid w:val="003474AA"/>
    <w:rsid w:val="00350D1D"/>
    <w:rsid w:val="00352C83"/>
    <w:rsid w:val="003615D2"/>
    <w:rsid w:val="0036429C"/>
    <w:rsid w:val="00364A53"/>
    <w:rsid w:val="003654CB"/>
    <w:rsid w:val="00365F86"/>
    <w:rsid w:val="00365F87"/>
    <w:rsid w:val="003705F4"/>
    <w:rsid w:val="00370D58"/>
    <w:rsid w:val="00371316"/>
    <w:rsid w:val="00376713"/>
    <w:rsid w:val="00381815"/>
    <w:rsid w:val="003819AF"/>
    <w:rsid w:val="003820E9"/>
    <w:rsid w:val="00382DE7"/>
    <w:rsid w:val="00384FFC"/>
    <w:rsid w:val="003872FC"/>
    <w:rsid w:val="00387ADC"/>
    <w:rsid w:val="00390020"/>
    <w:rsid w:val="003903D6"/>
    <w:rsid w:val="003906E5"/>
    <w:rsid w:val="00390EE6"/>
    <w:rsid w:val="0039118F"/>
    <w:rsid w:val="00392AD7"/>
    <w:rsid w:val="00392C1E"/>
    <w:rsid w:val="003938D9"/>
    <w:rsid w:val="00394376"/>
    <w:rsid w:val="003943FF"/>
    <w:rsid w:val="003974EB"/>
    <w:rsid w:val="00397CC5"/>
    <w:rsid w:val="003A1582"/>
    <w:rsid w:val="003A4077"/>
    <w:rsid w:val="003B09AD"/>
    <w:rsid w:val="003B1F18"/>
    <w:rsid w:val="003B5BF0"/>
    <w:rsid w:val="003B60BF"/>
    <w:rsid w:val="003B6BE3"/>
    <w:rsid w:val="003C010C"/>
    <w:rsid w:val="003C0A6C"/>
    <w:rsid w:val="003C5A43"/>
    <w:rsid w:val="003D0519"/>
    <w:rsid w:val="003D0FF6"/>
    <w:rsid w:val="003D262C"/>
    <w:rsid w:val="003D6D61"/>
    <w:rsid w:val="003E091D"/>
    <w:rsid w:val="003E1C53"/>
    <w:rsid w:val="003E2A69"/>
    <w:rsid w:val="003E2D49"/>
    <w:rsid w:val="003E2FD4"/>
    <w:rsid w:val="003E49F6"/>
    <w:rsid w:val="003F0841"/>
    <w:rsid w:val="003F23D3"/>
    <w:rsid w:val="003F3F08"/>
    <w:rsid w:val="003F49F1"/>
    <w:rsid w:val="003F6272"/>
    <w:rsid w:val="00400E72"/>
    <w:rsid w:val="00401400"/>
    <w:rsid w:val="00404869"/>
    <w:rsid w:val="00405884"/>
    <w:rsid w:val="00407D39"/>
    <w:rsid w:val="0041477A"/>
    <w:rsid w:val="004167A3"/>
    <w:rsid w:val="004259C1"/>
    <w:rsid w:val="00432DAA"/>
    <w:rsid w:val="00434305"/>
    <w:rsid w:val="004347D3"/>
    <w:rsid w:val="00435DF7"/>
    <w:rsid w:val="0044083F"/>
    <w:rsid w:val="00441AE7"/>
    <w:rsid w:val="00442550"/>
    <w:rsid w:val="00445574"/>
    <w:rsid w:val="004467FB"/>
    <w:rsid w:val="0045165F"/>
    <w:rsid w:val="00452D6B"/>
    <w:rsid w:val="00454484"/>
    <w:rsid w:val="0045517B"/>
    <w:rsid w:val="00463B77"/>
    <w:rsid w:val="00463C7B"/>
    <w:rsid w:val="004644A6"/>
    <w:rsid w:val="004659BD"/>
    <w:rsid w:val="00470775"/>
    <w:rsid w:val="004746B1"/>
    <w:rsid w:val="0047583F"/>
    <w:rsid w:val="00484936"/>
    <w:rsid w:val="00485C89"/>
    <w:rsid w:val="00486BE3"/>
    <w:rsid w:val="004905E4"/>
    <w:rsid w:val="00490A89"/>
    <w:rsid w:val="00490AB4"/>
    <w:rsid w:val="00492F02"/>
    <w:rsid w:val="004939AE"/>
    <w:rsid w:val="004A12DF"/>
    <w:rsid w:val="004A1BA8"/>
    <w:rsid w:val="004A1C6B"/>
    <w:rsid w:val="004A4B57"/>
    <w:rsid w:val="004A63FA"/>
    <w:rsid w:val="004B0346"/>
    <w:rsid w:val="004B2701"/>
    <w:rsid w:val="004B2E1B"/>
    <w:rsid w:val="004B3E93"/>
    <w:rsid w:val="004C1FBC"/>
    <w:rsid w:val="004C3F1D"/>
    <w:rsid w:val="004C458D"/>
    <w:rsid w:val="004C7556"/>
    <w:rsid w:val="004C7E9D"/>
    <w:rsid w:val="004C7F67"/>
    <w:rsid w:val="004D076D"/>
    <w:rsid w:val="004D0EF1"/>
    <w:rsid w:val="004D2253"/>
    <w:rsid w:val="004D4406"/>
    <w:rsid w:val="004D7C42"/>
    <w:rsid w:val="004E0465"/>
    <w:rsid w:val="004E127B"/>
    <w:rsid w:val="004E1C0A"/>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4DF9"/>
    <w:rsid w:val="00516088"/>
    <w:rsid w:val="00516B0B"/>
    <w:rsid w:val="005220EC"/>
    <w:rsid w:val="00523461"/>
    <w:rsid w:val="00523F95"/>
    <w:rsid w:val="00524D65"/>
    <w:rsid w:val="00525B16"/>
    <w:rsid w:val="00530EEE"/>
    <w:rsid w:val="00533D04"/>
    <w:rsid w:val="00534804"/>
    <w:rsid w:val="00534BDF"/>
    <w:rsid w:val="005354EA"/>
    <w:rsid w:val="00535EC4"/>
    <w:rsid w:val="00535ED9"/>
    <w:rsid w:val="0053692B"/>
    <w:rsid w:val="00537460"/>
    <w:rsid w:val="00541853"/>
    <w:rsid w:val="00543BDA"/>
    <w:rsid w:val="005441CC"/>
    <w:rsid w:val="0054789A"/>
    <w:rsid w:val="005479DA"/>
    <w:rsid w:val="00547BCC"/>
    <w:rsid w:val="0055013B"/>
    <w:rsid w:val="005509F4"/>
    <w:rsid w:val="00551F6F"/>
    <w:rsid w:val="00555044"/>
    <w:rsid w:val="00561475"/>
    <w:rsid w:val="0056487B"/>
    <w:rsid w:val="00564FB9"/>
    <w:rsid w:val="00573D9E"/>
    <w:rsid w:val="005801E3"/>
    <w:rsid w:val="00581802"/>
    <w:rsid w:val="005836A8"/>
    <w:rsid w:val="00584262"/>
    <w:rsid w:val="005842DF"/>
    <w:rsid w:val="00586630"/>
    <w:rsid w:val="00587ADD"/>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29B8"/>
    <w:rsid w:val="005C2C22"/>
    <w:rsid w:val="005C35D3"/>
    <w:rsid w:val="005C5F21"/>
    <w:rsid w:val="005C7156"/>
    <w:rsid w:val="005D0C75"/>
    <w:rsid w:val="005D2799"/>
    <w:rsid w:val="005D4171"/>
    <w:rsid w:val="005D6A95"/>
    <w:rsid w:val="005D6B2C"/>
    <w:rsid w:val="005D6D9C"/>
    <w:rsid w:val="005E0984"/>
    <w:rsid w:val="005E2335"/>
    <w:rsid w:val="005E34CA"/>
    <w:rsid w:val="005E3C18"/>
    <w:rsid w:val="005E71F5"/>
    <w:rsid w:val="005E7881"/>
    <w:rsid w:val="005E78E0"/>
    <w:rsid w:val="005F0695"/>
    <w:rsid w:val="005F0D9C"/>
    <w:rsid w:val="005F284E"/>
    <w:rsid w:val="006002B2"/>
    <w:rsid w:val="006015CE"/>
    <w:rsid w:val="00604784"/>
    <w:rsid w:val="00606419"/>
    <w:rsid w:val="00607D29"/>
    <w:rsid w:val="00610ECC"/>
    <w:rsid w:val="00612952"/>
    <w:rsid w:val="00614CC1"/>
    <w:rsid w:val="00615A9D"/>
    <w:rsid w:val="006162BE"/>
    <w:rsid w:val="00616BBB"/>
    <w:rsid w:val="00617387"/>
    <w:rsid w:val="006252D8"/>
    <w:rsid w:val="006259BC"/>
    <w:rsid w:val="0062636B"/>
    <w:rsid w:val="00626922"/>
    <w:rsid w:val="00632182"/>
    <w:rsid w:val="00632AE0"/>
    <w:rsid w:val="00633C17"/>
    <w:rsid w:val="00636E3E"/>
    <w:rsid w:val="006379F7"/>
    <w:rsid w:val="00637E4D"/>
    <w:rsid w:val="00640620"/>
    <w:rsid w:val="00641A1F"/>
    <w:rsid w:val="00645904"/>
    <w:rsid w:val="00647BB1"/>
    <w:rsid w:val="00651ACB"/>
    <w:rsid w:val="00651C47"/>
    <w:rsid w:val="00652AB2"/>
    <w:rsid w:val="00652D93"/>
    <w:rsid w:val="006538F6"/>
    <w:rsid w:val="00654EC0"/>
    <w:rsid w:val="0065525B"/>
    <w:rsid w:val="00655D4F"/>
    <w:rsid w:val="006640E5"/>
    <w:rsid w:val="006646F1"/>
    <w:rsid w:val="00664929"/>
    <w:rsid w:val="00664F62"/>
    <w:rsid w:val="006655E1"/>
    <w:rsid w:val="00672060"/>
    <w:rsid w:val="00672BFD"/>
    <w:rsid w:val="006770F4"/>
    <w:rsid w:val="00677A84"/>
    <w:rsid w:val="0068026D"/>
    <w:rsid w:val="00680A27"/>
    <w:rsid w:val="006816A4"/>
    <w:rsid w:val="006819B8"/>
    <w:rsid w:val="00682C5B"/>
    <w:rsid w:val="006840A6"/>
    <w:rsid w:val="006850CD"/>
    <w:rsid w:val="00685AAB"/>
    <w:rsid w:val="006A07AA"/>
    <w:rsid w:val="006A25E5"/>
    <w:rsid w:val="006A2B46"/>
    <w:rsid w:val="006A336D"/>
    <w:rsid w:val="006A37B9"/>
    <w:rsid w:val="006B2672"/>
    <w:rsid w:val="006B54BF"/>
    <w:rsid w:val="006B5F44"/>
    <w:rsid w:val="006B5F90"/>
    <w:rsid w:val="006B62E4"/>
    <w:rsid w:val="006C1BBA"/>
    <w:rsid w:val="006C2079"/>
    <w:rsid w:val="006C5A62"/>
    <w:rsid w:val="006C5D68"/>
    <w:rsid w:val="006C6976"/>
    <w:rsid w:val="006C6DD0"/>
    <w:rsid w:val="006D04EA"/>
    <w:rsid w:val="006D16C4"/>
    <w:rsid w:val="006D3E96"/>
    <w:rsid w:val="006D4515"/>
    <w:rsid w:val="006D4BB1"/>
    <w:rsid w:val="006D6593"/>
    <w:rsid w:val="006E3EC9"/>
    <w:rsid w:val="006E5DEE"/>
    <w:rsid w:val="006F03A8"/>
    <w:rsid w:val="006F0ED7"/>
    <w:rsid w:val="006F2ACA"/>
    <w:rsid w:val="006F2ADC"/>
    <w:rsid w:val="006F2BFE"/>
    <w:rsid w:val="006F31E9"/>
    <w:rsid w:val="006F6284"/>
    <w:rsid w:val="007002C5"/>
    <w:rsid w:val="00704387"/>
    <w:rsid w:val="00707669"/>
    <w:rsid w:val="00711CBA"/>
    <w:rsid w:val="00711FB5"/>
    <w:rsid w:val="00712A01"/>
    <w:rsid w:val="00714F58"/>
    <w:rsid w:val="00722FBF"/>
    <w:rsid w:val="00722FC2"/>
    <w:rsid w:val="00725949"/>
    <w:rsid w:val="00727FA2"/>
    <w:rsid w:val="007322D9"/>
    <w:rsid w:val="00732BC0"/>
    <w:rsid w:val="0073720F"/>
    <w:rsid w:val="00737796"/>
    <w:rsid w:val="0074165C"/>
    <w:rsid w:val="007432CA"/>
    <w:rsid w:val="007439EB"/>
    <w:rsid w:val="00743CB4"/>
    <w:rsid w:val="00743F0A"/>
    <w:rsid w:val="007444E8"/>
    <w:rsid w:val="0074548E"/>
    <w:rsid w:val="00745773"/>
    <w:rsid w:val="00746800"/>
    <w:rsid w:val="007501A8"/>
    <w:rsid w:val="00750EE1"/>
    <w:rsid w:val="00752B4D"/>
    <w:rsid w:val="00754307"/>
    <w:rsid w:val="00755402"/>
    <w:rsid w:val="00756B26"/>
    <w:rsid w:val="00756EDF"/>
    <w:rsid w:val="007609A2"/>
    <w:rsid w:val="00765C43"/>
    <w:rsid w:val="00765EFB"/>
    <w:rsid w:val="007671CA"/>
    <w:rsid w:val="00767C61"/>
    <w:rsid w:val="0077008A"/>
    <w:rsid w:val="00773AE2"/>
    <w:rsid w:val="00773C1F"/>
    <w:rsid w:val="00774DA4"/>
    <w:rsid w:val="00776599"/>
    <w:rsid w:val="00777B6D"/>
    <w:rsid w:val="0078114B"/>
    <w:rsid w:val="00781DD2"/>
    <w:rsid w:val="00783ECF"/>
    <w:rsid w:val="0078413A"/>
    <w:rsid w:val="00790CA3"/>
    <w:rsid w:val="00790E01"/>
    <w:rsid w:val="007959E8"/>
    <w:rsid w:val="00795E9C"/>
    <w:rsid w:val="007A0521"/>
    <w:rsid w:val="007A061E"/>
    <w:rsid w:val="007A2E12"/>
    <w:rsid w:val="007A3475"/>
    <w:rsid w:val="007A41C8"/>
    <w:rsid w:val="007A54CE"/>
    <w:rsid w:val="007A6118"/>
    <w:rsid w:val="007A7FFA"/>
    <w:rsid w:val="007B04EB"/>
    <w:rsid w:val="007B0D4F"/>
    <w:rsid w:val="007B5A3D"/>
    <w:rsid w:val="007B5B95"/>
    <w:rsid w:val="007B68EA"/>
    <w:rsid w:val="007C19E8"/>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10257"/>
    <w:rsid w:val="008104F5"/>
    <w:rsid w:val="00811072"/>
    <w:rsid w:val="00811369"/>
    <w:rsid w:val="00814E50"/>
    <w:rsid w:val="00815419"/>
    <w:rsid w:val="008163C8"/>
    <w:rsid w:val="00817325"/>
    <w:rsid w:val="008209E6"/>
    <w:rsid w:val="00823303"/>
    <w:rsid w:val="008233B2"/>
    <w:rsid w:val="00823A9F"/>
    <w:rsid w:val="00823C85"/>
    <w:rsid w:val="00825138"/>
    <w:rsid w:val="008269DD"/>
    <w:rsid w:val="00830621"/>
    <w:rsid w:val="0083348C"/>
    <w:rsid w:val="008373D3"/>
    <w:rsid w:val="00840617"/>
    <w:rsid w:val="00842A47"/>
    <w:rsid w:val="00843C13"/>
    <w:rsid w:val="008454F8"/>
    <w:rsid w:val="00851342"/>
    <w:rsid w:val="0085173A"/>
    <w:rsid w:val="008603CE"/>
    <w:rsid w:val="008620FC"/>
    <w:rsid w:val="008627A5"/>
    <w:rsid w:val="00862EBB"/>
    <w:rsid w:val="00863E05"/>
    <w:rsid w:val="00864919"/>
    <w:rsid w:val="00865ACA"/>
    <w:rsid w:val="00865D28"/>
    <w:rsid w:val="00865F85"/>
    <w:rsid w:val="00867C10"/>
    <w:rsid w:val="00870439"/>
    <w:rsid w:val="00870DA1"/>
    <w:rsid w:val="0088030A"/>
    <w:rsid w:val="00883F93"/>
    <w:rsid w:val="00884DB3"/>
    <w:rsid w:val="00885A9D"/>
    <w:rsid w:val="008864F6"/>
    <w:rsid w:val="00887EF9"/>
    <w:rsid w:val="0089049D"/>
    <w:rsid w:val="008928C9"/>
    <w:rsid w:val="008938DC"/>
    <w:rsid w:val="00893FD1"/>
    <w:rsid w:val="00894836"/>
    <w:rsid w:val="00895172"/>
    <w:rsid w:val="00895680"/>
    <w:rsid w:val="00896DFF"/>
    <w:rsid w:val="0089762C"/>
    <w:rsid w:val="008A1893"/>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70BD"/>
    <w:rsid w:val="008F788F"/>
    <w:rsid w:val="008F7EA2"/>
    <w:rsid w:val="00902722"/>
    <w:rsid w:val="009027BC"/>
    <w:rsid w:val="009062E6"/>
    <w:rsid w:val="00906EBA"/>
    <w:rsid w:val="00911BE5"/>
    <w:rsid w:val="00913CA9"/>
    <w:rsid w:val="009145AE"/>
    <w:rsid w:val="009146CE"/>
    <w:rsid w:val="00914CA7"/>
    <w:rsid w:val="00915C3E"/>
    <w:rsid w:val="009161A8"/>
    <w:rsid w:val="0091673D"/>
    <w:rsid w:val="009230CD"/>
    <w:rsid w:val="009245F5"/>
    <w:rsid w:val="009249EC"/>
    <w:rsid w:val="009273B3"/>
    <w:rsid w:val="009305B5"/>
    <w:rsid w:val="0093475E"/>
    <w:rsid w:val="00934C12"/>
    <w:rsid w:val="009429D5"/>
    <w:rsid w:val="00942BF1"/>
    <w:rsid w:val="00945180"/>
    <w:rsid w:val="00945428"/>
    <w:rsid w:val="0094607B"/>
    <w:rsid w:val="00952C52"/>
    <w:rsid w:val="00953604"/>
    <w:rsid w:val="00953ACB"/>
    <w:rsid w:val="00960AEB"/>
    <w:rsid w:val="009610DC"/>
    <w:rsid w:val="00961490"/>
    <w:rsid w:val="0096381A"/>
    <w:rsid w:val="00965E04"/>
    <w:rsid w:val="009674AD"/>
    <w:rsid w:val="0097094E"/>
    <w:rsid w:val="00970CDC"/>
    <w:rsid w:val="0097193F"/>
    <w:rsid w:val="00977010"/>
    <w:rsid w:val="00977D02"/>
    <w:rsid w:val="009809BB"/>
    <w:rsid w:val="00982D22"/>
    <w:rsid w:val="0098364B"/>
    <w:rsid w:val="00983BF9"/>
    <w:rsid w:val="009911AF"/>
    <w:rsid w:val="00991875"/>
    <w:rsid w:val="00991F92"/>
    <w:rsid w:val="00992985"/>
    <w:rsid w:val="00993889"/>
    <w:rsid w:val="0099551B"/>
    <w:rsid w:val="00997BF1"/>
    <w:rsid w:val="009A089C"/>
    <w:rsid w:val="009A118E"/>
    <w:rsid w:val="009A21CD"/>
    <w:rsid w:val="009A278C"/>
    <w:rsid w:val="009A2BC2"/>
    <w:rsid w:val="009A3EEC"/>
    <w:rsid w:val="009A42C1"/>
    <w:rsid w:val="009A5429"/>
    <w:rsid w:val="009A72AD"/>
    <w:rsid w:val="009B09E0"/>
    <w:rsid w:val="009B0BC5"/>
    <w:rsid w:val="009B1247"/>
    <w:rsid w:val="009B2015"/>
    <w:rsid w:val="009B6029"/>
    <w:rsid w:val="009B6971"/>
    <w:rsid w:val="009B6D58"/>
    <w:rsid w:val="009C21BD"/>
    <w:rsid w:val="009C27F1"/>
    <w:rsid w:val="009C3152"/>
    <w:rsid w:val="009C4CFA"/>
    <w:rsid w:val="009C5070"/>
    <w:rsid w:val="009C53A4"/>
    <w:rsid w:val="009D112C"/>
    <w:rsid w:val="009D47FA"/>
    <w:rsid w:val="009D50D2"/>
    <w:rsid w:val="009D57FB"/>
    <w:rsid w:val="009D6BCA"/>
    <w:rsid w:val="009E0F62"/>
    <w:rsid w:val="009E4A58"/>
    <w:rsid w:val="009E5A2D"/>
    <w:rsid w:val="009E5AB2"/>
    <w:rsid w:val="009E6219"/>
    <w:rsid w:val="009F03B3"/>
    <w:rsid w:val="009F7015"/>
    <w:rsid w:val="00A01757"/>
    <w:rsid w:val="00A028C0"/>
    <w:rsid w:val="00A02BAE"/>
    <w:rsid w:val="00A06A6B"/>
    <w:rsid w:val="00A07E47"/>
    <w:rsid w:val="00A129D0"/>
    <w:rsid w:val="00A12C33"/>
    <w:rsid w:val="00A138BA"/>
    <w:rsid w:val="00A14C8E"/>
    <w:rsid w:val="00A153D9"/>
    <w:rsid w:val="00A15F09"/>
    <w:rsid w:val="00A169B6"/>
    <w:rsid w:val="00A2271D"/>
    <w:rsid w:val="00A236E5"/>
    <w:rsid w:val="00A237D5"/>
    <w:rsid w:val="00A24F7B"/>
    <w:rsid w:val="00A30EFC"/>
    <w:rsid w:val="00A31984"/>
    <w:rsid w:val="00A32D73"/>
    <w:rsid w:val="00A32ECE"/>
    <w:rsid w:val="00A3367B"/>
    <w:rsid w:val="00A3597D"/>
    <w:rsid w:val="00A40091"/>
    <w:rsid w:val="00A4030F"/>
    <w:rsid w:val="00A41C79"/>
    <w:rsid w:val="00A41CB5"/>
    <w:rsid w:val="00A42CDF"/>
    <w:rsid w:val="00A4452E"/>
    <w:rsid w:val="00A4472C"/>
    <w:rsid w:val="00A44E69"/>
    <w:rsid w:val="00A465B8"/>
    <w:rsid w:val="00A4661E"/>
    <w:rsid w:val="00A55BD6"/>
    <w:rsid w:val="00A55D50"/>
    <w:rsid w:val="00A57142"/>
    <w:rsid w:val="00A648CD"/>
    <w:rsid w:val="00A6537A"/>
    <w:rsid w:val="00A663F6"/>
    <w:rsid w:val="00A67866"/>
    <w:rsid w:val="00A70B07"/>
    <w:rsid w:val="00A723F8"/>
    <w:rsid w:val="00A77CCB"/>
    <w:rsid w:val="00A83D8D"/>
    <w:rsid w:val="00A8446B"/>
    <w:rsid w:val="00A844E4"/>
    <w:rsid w:val="00A8473F"/>
    <w:rsid w:val="00A862D6"/>
    <w:rsid w:val="00A8715E"/>
    <w:rsid w:val="00A9295B"/>
    <w:rsid w:val="00A93110"/>
    <w:rsid w:val="00A93B09"/>
    <w:rsid w:val="00A952D7"/>
    <w:rsid w:val="00A953D6"/>
    <w:rsid w:val="00A95595"/>
    <w:rsid w:val="00A963F7"/>
    <w:rsid w:val="00A96AD8"/>
    <w:rsid w:val="00AA052C"/>
    <w:rsid w:val="00AA1E45"/>
    <w:rsid w:val="00AA2A24"/>
    <w:rsid w:val="00AA4286"/>
    <w:rsid w:val="00AA456B"/>
    <w:rsid w:val="00AA57F5"/>
    <w:rsid w:val="00AA672E"/>
    <w:rsid w:val="00AA6EC9"/>
    <w:rsid w:val="00AB6309"/>
    <w:rsid w:val="00AB6C5F"/>
    <w:rsid w:val="00AB7129"/>
    <w:rsid w:val="00AC1730"/>
    <w:rsid w:val="00AC27A6"/>
    <w:rsid w:val="00AC30F7"/>
    <w:rsid w:val="00AC3A5A"/>
    <w:rsid w:val="00AC4D95"/>
    <w:rsid w:val="00AC5DF4"/>
    <w:rsid w:val="00AD0AEF"/>
    <w:rsid w:val="00AD11B7"/>
    <w:rsid w:val="00AD1A94"/>
    <w:rsid w:val="00AD1C05"/>
    <w:rsid w:val="00AD2278"/>
    <w:rsid w:val="00AD3367"/>
    <w:rsid w:val="00AD4126"/>
    <w:rsid w:val="00AD421C"/>
    <w:rsid w:val="00AD44FA"/>
    <w:rsid w:val="00AE070A"/>
    <w:rsid w:val="00AE101C"/>
    <w:rsid w:val="00AF0C18"/>
    <w:rsid w:val="00AF47C5"/>
    <w:rsid w:val="00AF5398"/>
    <w:rsid w:val="00B049AF"/>
    <w:rsid w:val="00B06AA0"/>
    <w:rsid w:val="00B07242"/>
    <w:rsid w:val="00B10534"/>
    <w:rsid w:val="00B113DB"/>
    <w:rsid w:val="00B11D8A"/>
    <w:rsid w:val="00B12981"/>
    <w:rsid w:val="00B147DD"/>
    <w:rsid w:val="00B156FD"/>
    <w:rsid w:val="00B158B2"/>
    <w:rsid w:val="00B21F61"/>
    <w:rsid w:val="00B22AD8"/>
    <w:rsid w:val="00B23045"/>
    <w:rsid w:val="00B261F1"/>
    <w:rsid w:val="00B265BC"/>
    <w:rsid w:val="00B31FB1"/>
    <w:rsid w:val="00B33952"/>
    <w:rsid w:val="00B33C5E"/>
    <w:rsid w:val="00B342F4"/>
    <w:rsid w:val="00B34369"/>
    <w:rsid w:val="00B34DC2"/>
    <w:rsid w:val="00B378E5"/>
    <w:rsid w:val="00B42654"/>
    <w:rsid w:val="00B4346D"/>
    <w:rsid w:val="00B440F4"/>
    <w:rsid w:val="00B447A5"/>
    <w:rsid w:val="00B4654C"/>
    <w:rsid w:val="00B47293"/>
    <w:rsid w:val="00B52120"/>
    <w:rsid w:val="00B54ABC"/>
    <w:rsid w:val="00B56FBE"/>
    <w:rsid w:val="00B62B58"/>
    <w:rsid w:val="00B65149"/>
    <w:rsid w:val="00B66567"/>
    <w:rsid w:val="00B66F52"/>
    <w:rsid w:val="00B66FE5"/>
    <w:rsid w:val="00B66FEC"/>
    <w:rsid w:val="00B675B7"/>
    <w:rsid w:val="00B72880"/>
    <w:rsid w:val="00B758BF"/>
    <w:rsid w:val="00B80BAE"/>
    <w:rsid w:val="00B827A6"/>
    <w:rsid w:val="00B831CE"/>
    <w:rsid w:val="00B838FA"/>
    <w:rsid w:val="00B86677"/>
    <w:rsid w:val="00B87131"/>
    <w:rsid w:val="00B9127B"/>
    <w:rsid w:val="00B91566"/>
    <w:rsid w:val="00B9320C"/>
    <w:rsid w:val="00B939B1"/>
    <w:rsid w:val="00B96D40"/>
    <w:rsid w:val="00B97386"/>
    <w:rsid w:val="00BA263B"/>
    <w:rsid w:val="00BA42B2"/>
    <w:rsid w:val="00BA58D4"/>
    <w:rsid w:val="00BA5B9E"/>
    <w:rsid w:val="00BA7C9A"/>
    <w:rsid w:val="00BB5F8F"/>
    <w:rsid w:val="00BB657A"/>
    <w:rsid w:val="00BC1A4E"/>
    <w:rsid w:val="00BC3E48"/>
    <w:rsid w:val="00BC5DC7"/>
    <w:rsid w:val="00BC6B8B"/>
    <w:rsid w:val="00BC73D8"/>
    <w:rsid w:val="00BD52D7"/>
    <w:rsid w:val="00BD5AD2"/>
    <w:rsid w:val="00BD6082"/>
    <w:rsid w:val="00BD6EAC"/>
    <w:rsid w:val="00BE22F3"/>
    <w:rsid w:val="00BE49EE"/>
    <w:rsid w:val="00BE5B52"/>
    <w:rsid w:val="00BE7B8D"/>
    <w:rsid w:val="00BF0993"/>
    <w:rsid w:val="00BF10A9"/>
    <w:rsid w:val="00BF1703"/>
    <w:rsid w:val="00BF231C"/>
    <w:rsid w:val="00BF51E5"/>
    <w:rsid w:val="00BF74A6"/>
    <w:rsid w:val="00C013AD"/>
    <w:rsid w:val="00C01FAA"/>
    <w:rsid w:val="00C04904"/>
    <w:rsid w:val="00C056B3"/>
    <w:rsid w:val="00C103E5"/>
    <w:rsid w:val="00C13319"/>
    <w:rsid w:val="00C13EE9"/>
    <w:rsid w:val="00C14D87"/>
    <w:rsid w:val="00C21540"/>
    <w:rsid w:val="00C21906"/>
    <w:rsid w:val="00C21BFA"/>
    <w:rsid w:val="00C24C8D"/>
    <w:rsid w:val="00C25FE2"/>
    <w:rsid w:val="00C26B53"/>
    <w:rsid w:val="00C279B2"/>
    <w:rsid w:val="00C33E50"/>
    <w:rsid w:val="00C34C20"/>
    <w:rsid w:val="00C35A3E"/>
    <w:rsid w:val="00C42130"/>
    <w:rsid w:val="00C423A4"/>
    <w:rsid w:val="00C44BF5"/>
    <w:rsid w:val="00C55232"/>
    <w:rsid w:val="00C553A4"/>
    <w:rsid w:val="00C55A06"/>
    <w:rsid w:val="00C55D03"/>
    <w:rsid w:val="00C601BC"/>
    <w:rsid w:val="00C6329F"/>
    <w:rsid w:val="00C63340"/>
    <w:rsid w:val="00C643F9"/>
    <w:rsid w:val="00C64E95"/>
    <w:rsid w:val="00C655FD"/>
    <w:rsid w:val="00C71372"/>
    <w:rsid w:val="00C72410"/>
    <w:rsid w:val="00C7287F"/>
    <w:rsid w:val="00C72F0E"/>
    <w:rsid w:val="00C80CB8"/>
    <w:rsid w:val="00C819F8"/>
    <w:rsid w:val="00C8248C"/>
    <w:rsid w:val="00C84E33"/>
    <w:rsid w:val="00C86D6F"/>
    <w:rsid w:val="00C905FC"/>
    <w:rsid w:val="00C92D03"/>
    <w:rsid w:val="00C9319C"/>
    <w:rsid w:val="00C9435D"/>
    <w:rsid w:val="00C9517F"/>
    <w:rsid w:val="00C96741"/>
    <w:rsid w:val="00CA2D1B"/>
    <w:rsid w:val="00CA3886"/>
    <w:rsid w:val="00CA482B"/>
    <w:rsid w:val="00CA662A"/>
    <w:rsid w:val="00CA7AFD"/>
    <w:rsid w:val="00CA7C3C"/>
    <w:rsid w:val="00CB0189"/>
    <w:rsid w:val="00CB0BA2"/>
    <w:rsid w:val="00CB1A42"/>
    <w:rsid w:val="00CB1B0C"/>
    <w:rsid w:val="00CB2C0B"/>
    <w:rsid w:val="00CB517D"/>
    <w:rsid w:val="00CB6517"/>
    <w:rsid w:val="00CC038D"/>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76C2"/>
    <w:rsid w:val="00CE0C4F"/>
    <w:rsid w:val="00CE30EA"/>
    <w:rsid w:val="00CF048A"/>
    <w:rsid w:val="00CF10DC"/>
    <w:rsid w:val="00CF155A"/>
    <w:rsid w:val="00CF2947"/>
    <w:rsid w:val="00CF44B1"/>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316AA"/>
    <w:rsid w:val="00D32719"/>
    <w:rsid w:val="00D33333"/>
    <w:rsid w:val="00D352A2"/>
    <w:rsid w:val="00D40A83"/>
    <w:rsid w:val="00D4162B"/>
    <w:rsid w:val="00D4514F"/>
    <w:rsid w:val="00D451E2"/>
    <w:rsid w:val="00D4545E"/>
    <w:rsid w:val="00D45E89"/>
    <w:rsid w:val="00D45E8D"/>
    <w:rsid w:val="00D462EA"/>
    <w:rsid w:val="00D466AE"/>
    <w:rsid w:val="00D4734F"/>
    <w:rsid w:val="00D51BF3"/>
    <w:rsid w:val="00D63276"/>
    <w:rsid w:val="00D66846"/>
    <w:rsid w:val="00D675FB"/>
    <w:rsid w:val="00D71906"/>
    <w:rsid w:val="00D71F25"/>
    <w:rsid w:val="00D77031"/>
    <w:rsid w:val="00D831B1"/>
    <w:rsid w:val="00D84941"/>
    <w:rsid w:val="00D84FA1"/>
    <w:rsid w:val="00D851F0"/>
    <w:rsid w:val="00D86DB7"/>
    <w:rsid w:val="00D87B2B"/>
    <w:rsid w:val="00D926D0"/>
    <w:rsid w:val="00D93030"/>
    <w:rsid w:val="00D950E1"/>
    <w:rsid w:val="00D952A6"/>
    <w:rsid w:val="00D97F99"/>
    <w:rsid w:val="00DA19E7"/>
    <w:rsid w:val="00DA1E08"/>
    <w:rsid w:val="00DA24F8"/>
    <w:rsid w:val="00DA28E8"/>
    <w:rsid w:val="00DA38D3"/>
    <w:rsid w:val="00DA3932"/>
    <w:rsid w:val="00DA64F8"/>
    <w:rsid w:val="00DA6C15"/>
    <w:rsid w:val="00DA7370"/>
    <w:rsid w:val="00DB133D"/>
    <w:rsid w:val="00DB38EE"/>
    <w:rsid w:val="00DB498B"/>
    <w:rsid w:val="00DB66CA"/>
    <w:rsid w:val="00DB6BCA"/>
    <w:rsid w:val="00DC0321"/>
    <w:rsid w:val="00DC0823"/>
    <w:rsid w:val="00DC3067"/>
    <w:rsid w:val="00DC370B"/>
    <w:rsid w:val="00DC39D4"/>
    <w:rsid w:val="00DC5B90"/>
    <w:rsid w:val="00DD00F2"/>
    <w:rsid w:val="00DD00FF"/>
    <w:rsid w:val="00DD0619"/>
    <w:rsid w:val="00DD07FB"/>
    <w:rsid w:val="00DD25C6"/>
    <w:rsid w:val="00DD54B0"/>
    <w:rsid w:val="00DD57EE"/>
    <w:rsid w:val="00DD6BCC"/>
    <w:rsid w:val="00DE0A4B"/>
    <w:rsid w:val="00DE2410"/>
    <w:rsid w:val="00DE2939"/>
    <w:rsid w:val="00DE4181"/>
    <w:rsid w:val="00DE51F0"/>
    <w:rsid w:val="00DE6E81"/>
    <w:rsid w:val="00DE703F"/>
    <w:rsid w:val="00DE7595"/>
    <w:rsid w:val="00DF15BE"/>
    <w:rsid w:val="00DF1961"/>
    <w:rsid w:val="00DF44DE"/>
    <w:rsid w:val="00E01138"/>
    <w:rsid w:val="00E02DFB"/>
    <w:rsid w:val="00E030F9"/>
    <w:rsid w:val="00E0311A"/>
    <w:rsid w:val="00E03138"/>
    <w:rsid w:val="00E06404"/>
    <w:rsid w:val="00E11A85"/>
    <w:rsid w:val="00E12495"/>
    <w:rsid w:val="00E15CCD"/>
    <w:rsid w:val="00E202EF"/>
    <w:rsid w:val="00E20878"/>
    <w:rsid w:val="00E210B5"/>
    <w:rsid w:val="00E2552F"/>
    <w:rsid w:val="00E3137A"/>
    <w:rsid w:val="00E32CCF"/>
    <w:rsid w:val="00E34A98"/>
    <w:rsid w:val="00E35D1E"/>
    <w:rsid w:val="00E364F9"/>
    <w:rsid w:val="00E365FA"/>
    <w:rsid w:val="00E40C94"/>
    <w:rsid w:val="00E43C00"/>
    <w:rsid w:val="00E44A83"/>
    <w:rsid w:val="00E502C1"/>
    <w:rsid w:val="00E502DD"/>
    <w:rsid w:val="00E50D3A"/>
    <w:rsid w:val="00E51387"/>
    <w:rsid w:val="00E51E68"/>
    <w:rsid w:val="00E52EFD"/>
    <w:rsid w:val="00E5408A"/>
    <w:rsid w:val="00E56800"/>
    <w:rsid w:val="00E60CD7"/>
    <w:rsid w:val="00E62FF9"/>
    <w:rsid w:val="00E635D6"/>
    <w:rsid w:val="00E639BC"/>
    <w:rsid w:val="00E64770"/>
    <w:rsid w:val="00E664CC"/>
    <w:rsid w:val="00E70388"/>
    <w:rsid w:val="00E70F92"/>
    <w:rsid w:val="00E73143"/>
    <w:rsid w:val="00E74C54"/>
    <w:rsid w:val="00E76C83"/>
    <w:rsid w:val="00E77A03"/>
    <w:rsid w:val="00E822E8"/>
    <w:rsid w:val="00E82554"/>
    <w:rsid w:val="00E82606"/>
    <w:rsid w:val="00E846C8"/>
    <w:rsid w:val="00E84957"/>
    <w:rsid w:val="00E84A55"/>
    <w:rsid w:val="00E85BFF"/>
    <w:rsid w:val="00E90391"/>
    <w:rsid w:val="00E906C2"/>
    <w:rsid w:val="00E9311F"/>
    <w:rsid w:val="00E934D1"/>
    <w:rsid w:val="00E9458D"/>
    <w:rsid w:val="00E94AF0"/>
    <w:rsid w:val="00E95D13"/>
    <w:rsid w:val="00E95DD3"/>
    <w:rsid w:val="00E969D5"/>
    <w:rsid w:val="00EA1679"/>
    <w:rsid w:val="00EA58D1"/>
    <w:rsid w:val="00EA61BC"/>
    <w:rsid w:val="00EA681A"/>
    <w:rsid w:val="00EA735B"/>
    <w:rsid w:val="00EB1E69"/>
    <w:rsid w:val="00EB2086"/>
    <w:rsid w:val="00EB5EDF"/>
    <w:rsid w:val="00EB60FE"/>
    <w:rsid w:val="00EB74DB"/>
    <w:rsid w:val="00EC5359"/>
    <w:rsid w:val="00EC562A"/>
    <w:rsid w:val="00ED067A"/>
    <w:rsid w:val="00ED2B50"/>
    <w:rsid w:val="00EE0350"/>
    <w:rsid w:val="00EE0719"/>
    <w:rsid w:val="00EE0E80"/>
    <w:rsid w:val="00EE613F"/>
    <w:rsid w:val="00EE7295"/>
    <w:rsid w:val="00EE7869"/>
    <w:rsid w:val="00EF054A"/>
    <w:rsid w:val="00EF3235"/>
    <w:rsid w:val="00EF7E72"/>
    <w:rsid w:val="00F01711"/>
    <w:rsid w:val="00F06D37"/>
    <w:rsid w:val="00F07B9D"/>
    <w:rsid w:val="00F10EA4"/>
    <w:rsid w:val="00F113F5"/>
    <w:rsid w:val="00F11586"/>
    <w:rsid w:val="00F1183B"/>
    <w:rsid w:val="00F11C9F"/>
    <w:rsid w:val="00F12263"/>
    <w:rsid w:val="00F1409D"/>
    <w:rsid w:val="00F14214"/>
    <w:rsid w:val="00F146BD"/>
    <w:rsid w:val="00F157A9"/>
    <w:rsid w:val="00F24F76"/>
    <w:rsid w:val="00F25BB6"/>
    <w:rsid w:val="00F26B7E"/>
    <w:rsid w:val="00F27901"/>
    <w:rsid w:val="00F27A3B"/>
    <w:rsid w:val="00F33817"/>
    <w:rsid w:val="00F420D5"/>
    <w:rsid w:val="00F451EA"/>
    <w:rsid w:val="00F45447"/>
    <w:rsid w:val="00F456C6"/>
    <w:rsid w:val="00F4577B"/>
    <w:rsid w:val="00F46496"/>
    <w:rsid w:val="00F474D0"/>
    <w:rsid w:val="00F47FEE"/>
    <w:rsid w:val="00F50179"/>
    <w:rsid w:val="00F51F95"/>
    <w:rsid w:val="00F56511"/>
    <w:rsid w:val="00F60958"/>
    <w:rsid w:val="00F6194E"/>
    <w:rsid w:val="00F623AC"/>
    <w:rsid w:val="00F6412A"/>
    <w:rsid w:val="00F65893"/>
    <w:rsid w:val="00F66A4A"/>
    <w:rsid w:val="00F71E22"/>
    <w:rsid w:val="00F72142"/>
    <w:rsid w:val="00F72AE7"/>
    <w:rsid w:val="00F84934"/>
    <w:rsid w:val="00F84FD0"/>
    <w:rsid w:val="00F859A8"/>
    <w:rsid w:val="00F9108B"/>
    <w:rsid w:val="00F91349"/>
    <w:rsid w:val="00F93A8A"/>
    <w:rsid w:val="00F95248"/>
    <w:rsid w:val="00F956A9"/>
    <w:rsid w:val="00F963ED"/>
    <w:rsid w:val="00F96463"/>
    <w:rsid w:val="00F966CF"/>
    <w:rsid w:val="00F96CAE"/>
    <w:rsid w:val="00F97C99"/>
    <w:rsid w:val="00FA662D"/>
    <w:rsid w:val="00FA73B1"/>
    <w:rsid w:val="00FA79F1"/>
    <w:rsid w:val="00FB0CB9"/>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4BCE"/>
    <w:rsid w:val="00FE54AE"/>
    <w:rsid w:val="00FE576A"/>
    <w:rsid w:val="00FE61CF"/>
    <w:rsid w:val="00FE7E79"/>
    <w:rsid w:val="00FF3E7D"/>
    <w:rsid w:val="00FF5B99"/>
    <w:rsid w:val="00FF730C"/>
    <w:rsid w:val="00FF73F4"/>
    <w:rsid w:val="00FF7CE4"/>
    <w:rsid w:val="00FF7E39"/>
    <w:rsid w:val="014063FE"/>
    <w:rsid w:val="023D46EC"/>
    <w:rsid w:val="029E162E"/>
    <w:rsid w:val="031C07A5"/>
    <w:rsid w:val="03661A20"/>
    <w:rsid w:val="0430275A"/>
    <w:rsid w:val="04553F6E"/>
    <w:rsid w:val="0554725F"/>
    <w:rsid w:val="056106F1"/>
    <w:rsid w:val="05726DA2"/>
    <w:rsid w:val="05E21773"/>
    <w:rsid w:val="06336531"/>
    <w:rsid w:val="070F1346"/>
    <w:rsid w:val="0754065C"/>
    <w:rsid w:val="0BE856C8"/>
    <w:rsid w:val="0D197B03"/>
    <w:rsid w:val="0DE620DB"/>
    <w:rsid w:val="0E124215"/>
    <w:rsid w:val="0EEA5BFB"/>
    <w:rsid w:val="0F36499C"/>
    <w:rsid w:val="101822F4"/>
    <w:rsid w:val="1279351E"/>
    <w:rsid w:val="127C300E"/>
    <w:rsid w:val="12DC3AAD"/>
    <w:rsid w:val="130C4392"/>
    <w:rsid w:val="141B23B3"/>
    <w:rsid w:val="150177FB"/>
    <w:rsid w:val="15175270"/>
    <w:rsid w:val="18185587"/>
    <w:rsid w:val="18253800"/>
    <w:rsid w:val="1D13631D"/>
    <w:rsid w:val="1D880AB9"/>
    <w:rsid w:val="1F5F6569"/>
    <w:rsid w:val="203C351E"/>
    <w:rsid w:val="206155F1"/>
    <w:rsid w:val="20A91472"/>
    <w:rsid w:val="20D504B9"/>
    <w:rsid w:val="22CC1448"/>
    <w:rsid w:val="231D6147"/>
    <w:rsid w:val="274C2206"/>
    <w:rsid w:val="2777374E"/>
    <w:rsid w:val="27D82F23"/>
    <w:rsid w:val="28377363"/>
    <w:rsid w:val="286D65CE"/>
    <w:rsid w:val="28782ECC"/>
    <w:rsid w:val="29517775"/>
    <w:rsid w:val="2A390F94"/>
    <w:rsid w:val="2A570191"/>
    <w:rsid w:val="2AE17A5A"/>
    <w:rsid w:val="2B391645"/>
    <w:rsid w:val="2C5524AE"/>
    <w:rsid w:val="2CF55A3F"/>
    <w:rsid w:val="2DB651CE"/>
    <w:rsid w:val="2DC72F38"/>
    <w:rsid w:val="2F524951"/>
    <w:rsid w:val="304C1E1A"/>
    <w:rsid w:val="306D77B7"/>
    <w:rsid w:val="308B3F0C"/>
    <w:rsid w:val="31813D45"/>
    <w:rsid w:val="318555E4"/>
    <w:rsid w:val="348002E4"/>
    <w:rsid w:val="34967B08"/>
    <w:rsid w:val="35F04FF6"/>
    <w:rsid w:val="365B4B65"/>
    <w:rsid w:val="36CF7301"/>
    <w:rsid w:val="37A367C3"/>
    <w:rsid w:val="38547ABE"/>
    <w:rsid w:val="38553565"/>
    <w:rsid w:val="38B93DC5"/>
    <w:rsid w:val="38C06F01"/>
    <w:rsid w:val="397C551E"/>
    <w:rsid w:val="397F79FB"/>
    <w:rsid w:val="39EB4452"/>
    <w:rsid w:val="3BB32D4D"/>
    <w:rsid w:val="3BB54D17"/>
    <w:rsid w:val="3C447F69"/>
    <w:rsid w:val="3CC05722"/>
    <w:rsid w:val="3E16264C"/>
    <w:rsid w:val="3E42660A"/>
    <w:rsid w:val="3EAB0813"/>
    <w:rsid w:val="3FC75019"/>
    <w:rsid w:val="3FEE681C"/>
    <w:rsid w:val="403A1C8F"/>
    <w:rsid w:val="416F5968"/>
    <w:rsid w:val="42A45AE6"/>
    <w:rsid w:val="44054362"/>
    <w:rsid w:val="441B3B85"/>
    <w:rsid w:val="44782D86"/>
    <w:rsid w:val="44E346A3"/>
    <w:rsid w:val="455024D5"/>
    <w:rsid w:val="456A4DC4"/>
    <w:rsid w:val="468F548A"/>
    <w:rsid w:val="470B6133"/>
    <w:rsid w:val="48054931"/>
    <w:rsid w:val="480A10EF"/>
    <w:rsid w:val="48704984"/>
    <w:rsid w:val="49190B96"/>
    <w:rsid w:val="4ADA20A4"/>
    <w:rsid w:val="4B182BCD"/>
    <w:rsid w:val="4CCC3C6F"/>
    <w:rsid w:val="4DD51840"/>
    <w:rsid w:val="4F5F701C"/>
    <w:rsid w:val="50715259"/>
    <w:rsid w:val="51D13F9C"/>
    <w:rsid w:val="526130AB"/>
    <w:rsid w:val="52C8137C"/>
    <w:rsid w:val="538E696F"/>
    <w:rsid w:val="540208BE"/>
    <w:rsid w:val="54AE00FE"/>
    <w:rsid w:val="550D3076"/>
    <w:rsid w:val="580C1D0B"/>
    <w:rsid w:val="5980475F"/>
    <w:rsid w:val="5B4D0671"/>
    <w:rsid w:val="5D7E7207"/>
    <w:rsid w:val="5D8440F2"/>
    <w:rsid w:val="5DC170F4"/>
    <w:rsid w:val="5F0B6879"/>
    <w:rsid w:val="5F5522E9"/>
    <w:rsid w:val="5F585836"/>
    <w:rsid w:val="5F88611B"/>
    <w:rsid w:val="604F09E7"/>
    <w:rsid w:val="60EC4488"/>
    <w:rsid w:val="613A1697"/>
    <w:rsid w:val="61447E20"/>
    <w:rsid w:val="62D939E1"/>
    <w:rsid w:val="63F43D7F"/>
    <w:rsid w:val="6401649C"/>
    <w:rsid w:val="64721148"/>
    <w:rsid w:val="660B53B0"/>
    <w:rsid w:val="6733570B"/>
    <w:rsid w:val="675608AD"/>
    <w:rsid w:val="678564D9"/>
    <w:rsid w:val="67A41618"/>
    <w:rsid w:val="681D761D"/>
    <w:rsid w:val="68BC0BE4"/>
    <w:rsid w:val="68D128E1"/>
    <w:rsid w:val="6BA6133A"/>
    <w:rsid w:val="6C871509"/>
    <w:rsid w:val="6C88775B"/>
    <w:rsid w:val="6CC0575D"/>
    <w:rsid w:val="6D457008"/>
    <w:rsid w:val="6E535B46"/>
    <w:rsid w:val="6EDE40A1"/>
    <w:rsid w:val="7012558D"/>
    <w:rsid w:val="70AE3508"/>
    <w:rsid w:val="71B92164"/>
    <w:rsid w:val="73094175"/>
    <w:rsid w:val="74D379E1"/>
    <w:rsid w:val="76D57A40"/>
    <w:rsid w:val="76E063E5"/>
    <w:rsid w:val="76F0487A"/>
    <w:rsid w:val="79652BD2"/>
    <w:rsid w:val="7B2E3BC3"/>
    <w:rsid w:val="7C9E29FA"/>
    <w:rsid w:val="7D8F646F"/>
    <w:rsid w:val="7D9B1083"/>
    <w:rsid w:val="7DAA32A9"/>
    <w:rsid w:val="7E0155BF"/>
    <w:rsid w:val="7F8A3392"/>
    <w:rsid w:val="E5BF28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7"/>
    <w:semiHidden/>
    <w:unhideWhenUsed/>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8"/>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39"/>
    <w:semiHidden/>
    <w:unhideWhenUsed/>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0"/>
    <w:semiHidden/>
    <w:unhideWhenUsed/>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1"/>
    <w:semiHidden/>
    <w:unhideWhenUsed/>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2"/>
    <w:semiHidden/>
    <w:unhideWhenUsed/>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3"/>
    <w:semiHidden/>
    <w:unhideWhenUsed/>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4"/>
    <w:semiHidden/>
    <w:unhideWhenUsed/>
    <w:qFormat/>
    <w:uiPriority w:val="0"/>
    <w:pPr>
      <w:keepNext/>
      <w:keepLines/>
      <w:adjustRightInd/>
      <w:spacing w:before="240" w:after="64" w:line="320" w:lineRule="auto"/>
      <w:outlineLvl w:val="8"/>
    </w:pPr>
    <w:rPr>
      <w:rFonts w:ascii="Arial" w:hAnsi="Arial" w:eastAsia="黑体"/>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11">
    <w:name w:val="toc 7"/>
    <w:basedOn w:val="1"/>
    <w:next w:val="1"/>
    <w:autoRedefine/>
    <w:qFormat/>
    <w:uiPriority w:val="0"/>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annotation text"/>
    <w:basedOn w:val="1"/>
    <w:qFormat/>
    <w:uiPriority w:val="0"/>
    <w:pPr>
      <w:adjustRightInd/>
      <w:spacing w:line="240" w:lineRule="auto"/>
      <w:jc w:val="left"/>
    </w:pPr>
    <w:rPr>
      <w:szCs w:val="24"/>
    </w:rPr>
  </w:style>
  <w:style w:type="paragraph" w:styleId="14">
    <w:name w:val="Body Text"/>
    <w:basedOn w:val="1"/>
    <w:link w:val="88"/>
    <w:qFormat/>
    <w:uiPriority w:val="0"/>
    <w:pPr>
      <w:spacing w:after="120"/>
    </w:pPr>
  </w:style>
  <w:style w:type="paragraph" w:styleId="15">
    <w:name w:val="toc 5"/>
    <w:basedOn w:val="1"/>
    <w:next w:val="1"/>
    <w:autoRedefine/>
    <w:qFormat/>
    <w:uiPriority w:val="0"/>
    <w:pPr>
      <w:ind w:left="839"/>
    </w:pPr>
    <w:rPr>
      <w:rFonts w:ascii="宋体"/>
    </w:rPr>
  </w:style>
  <w:style w:type="paragraph" w:styleId="16">
    <w:name w:val="toc 3"/>
    <w:basedOn w:val="1"/>
    <w:next w:val="1"/>
    <w:autoRedefine/>
    <w:qFormat/>
    <w:uiPriority w:val="0"/>
    <w:pPr>
      <w:spacing w:line="300" w:lineRule="exact"/>
      <w:ind w:left="420"/>
    </w:pPr>
    <w:rPr>
      <w:rFonts w:ascii="宋体"/>
    </w:rPr>
  </w:style>
  <w:style w:type="paragraph" w:styleId="17">
    <w:name w:val="Balloon Text"/>
    <w:basedOn w:val="1"/>
    <w:link w:val="47"/>
    <w:qFormat/>
    <w:uiPriority w:val="0"/>
    <w:rPr>
      <w:sz w:val="18"/>
      <w:szCs w:val="18"/>
    </w:rPr>
  </w:style>
  <w:style w:type="paragraph" w:styleId="18">
    <w:name w:val="footer"/>
    <w:basedOn w:val="1"/>
    <w:link w:val="46"/>
    <w:qFormat/>
    <w:uiPriority w:val="0"/>
    <w:pPr>
      <w:tabs>
        <w:tab w:val="center" w:pos="4153"/>
        <w:tab w:val="right" w:pos="8306"/>
      </w:tabs>
      <w:adjustRightInd/>
      <w:snapToGrid w:val="0"/>
      <w:spacing w:line="240" w:lineRule="auto"/>
      <w:jc w:val="right"/>
    </w:pPr>
    <w:rPr>
      <w:rFonts w:ascii="宋体"/>
      <w:sz w:val="18"/>
      <w:szCs w:val="18"/>
    </w:rPr>
  </w:style>
  <w:style w:type="paragraph" w:styleId="19">
    <w:name w:val="header"/>
    <w:basedOn w:val="1"/>
    <w:link w:val="45"/>
    <w:qFormat/>
    <w:uiPriority w:val="0"/>
    <w:pPr>
      <w:tabs>
        <w:tab w:val="center" w:pos="4153"/>
        <w:tab w:val="right" w:pos="8306"/>
      </w:tabs>
      <w:adjustRightInd/>
      <w:snapToGrid w:val="0"/>
      <w:jc w:val="center"/>
    </w:pPr>
    <w:rPr>
      <w:sz w:val="18"/>
      <w:szCs w:val="18"/>
    </w:rPr>
  </w:style>
  <w:style w:type="paragraph" w:styleId="20">
    <w:name w:val="toc 1"/>
    <w:basedOn w:val="1"/>
    <w:next w:val="1"/>
    <w:autoRedefine/>
    <w:qFormat/>
    <w:uiPriority w:val="0"/>
    <w:rPr>
      <w:rFonts w:ascii="宋体"/>
    </w:rPr>
  </w:style>
  <w:style w:type="paragraph" w:styleId="21">
    <w:name w:val="toc 4"/>
    <w:basedOn w:val="1"/>
    <w:next w:val="1"/>
    <w:autoRedefine/>
    <w:qFormat/>
    <w:uiPriority w:val="0"/>
    <w:pPr>
      <w:tabs>
        <w:tab w:val="right" w:leader="dot" w:pos="9344"/>
      </w:tabs>
      <w:spacing w:line="300" w:lineRule="exact"/>
      <w:ind w:left="629"/>
    </w:pPr>
    <w:rPr>
      <w:rFonts w:ascii="宋体"/>
    </w:rPr>
  </w:style>
  <w:style w:type="paragraph" w:styleId="22">
    <w:name w:val="footnote text"/>
    <w:basedOn w:val="1"/>
    <w:next w:val="1"/>
    <w:link w:val="101"/>
    <w:qFormat/>
    <w:uiPriority w:val="0"/>
    <w:pPr>
      <w:adjustRightInd/>
      <w:snapToGrid w:val="0"/>
      <w:spacing w:line="300" w:lineRule="exact"/>
      <w:ind w:left="400" w:leftChars="200" w:hanging="200" w:hangingChars="200"/>
      <w:jc w:val="left"/>
    </w:pPr>
    <w:rPr>
      <w:rFonts w:ascii="宋体"/>
      <w:sz w:val="18"/>
      <w:szCs w:val="18"/>
    </w:rPr>
  </w:style>
  <w:style w:type="paragraph" w:styleId="23">
    <w:name w:val="toc 6"/>
    <w:basedOn w:val="1"/>
    <w:next w:val="1"/>
    <w:autoRedefine/>
    <w:qFormat/>
    <w:uiPriority w:val="0"/>
    <w:pPr>
      <w:spacing w:line="300" w:lineRule="exact"/>
      <w:ind w:left="1049"/>
    </w:pPr>
    <w:rPr>
      <w:rFonts w:ascii="宋体"/>
    </w:rPr>
  </w:style>
  <w:style w:type="paragraph" w:styleId="24">
    <w:name w:val="table of figures"/>
    <w:basedOn w:val="1"/>
    <w:next w:val="1"/>
    <w:qFormat/>
    <w:uiPriority w:val="0"/>
    <w:pPr>
      <w:adjustRightInd/>
      <w:spacing w:line="240" w:lineRule="auto"/>
      <w:jc w:val="left"/>
    </w:pPr>
    <w:rPr>
      <w:szCs w:val="24"/>
    </w:rPr>
  </w:style>
  <w:style w:type="paragraph" w:styleId="25">
    <w:name w:val="toc 2"/>
    <w:basedOn w:val="1"/>
    <w:next w:val="1"/>
    <w:autoRedefine/>
    <w:qFormat/>
    <w:uiPriority w:val="0"/>
    <w:pPr>
      <w:tabs>
        <w:tab w:val="right" w:leader="dot" w:pos="9344"/>
      </w:tabs>
      <w:spacing w:line="300" w:lineRule="exact"/>
      <w:ind w:left="210"/>
    </w:pPr>
    <w:rPr>
      <w:rFonts w:ascii="宋体"/>
    </w:rPr>
  </w:style>
  <w:style w:type="paragraph" w:styleId="26">
    <w:name w:val="Normal (Web)"/>
    <w:basedOn w:val="1"/>
    <w:qFormat/>
    <w:uiPriority w:val="0"/>
    <w:pPr>
      <w:adjustRightInd/>
      <w:spacing w:before="100" w:beforeAutospacing="1" w:after="100" w:afterAutospacing="1" w:line="240" w:lineRule="auto"/>
      <w:ind w:left="0" w:right="0"/>
      <w:jc w:val="left"/>
    </w:pPr>
    <w:rPr>
      <w:kern w:val="0"/>
      <w:sz w:val="24"/>
      <w:szCs w:val="24"/>
      <w:lang w:val="en-US" w:eastAsia="zh-CN" w:bidi="ar"/>
    </w:rPr>
  </w:style>
  <w:style w:type="paragraph" w:styleId="27">
    <w:name w:val="Title"/>
    <w:basedOn w:val="1"/>
    <w:link w:val="50"/>
    <w:qFormat/>
    <w:uiPriority w:val="0"/>
    <w:pPr>
      <w:spacing w:before="240" w:after="60"/>
      <w:jc w:val="center"/>
      <w:outlineLvl w:val="0"/>
    </w:pPr>
    <w:rPr>
      <w:rFonts w:ascii="Arial" w:hAnsi="Arial" w:cs="Arial"/>
      <w:b/>
      <w:bCs/>
      <w:sz w:val="32"/>
      <w:szCs w:val="32"/>
    </w:rPr>
  </w:style>
  <w:style w:type="table" w:styleId="29">
    <w:name w:val="Table Grid"/>
    <w:basedOn w:val="2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0"/>
    <w:rPr>
      <w:b/>
      <w:bCs/>
    </w:rPr>
  </w:style>
  <w:style w:type="character" w:styleId="32">
    <w:name w:val="page number"/>
    <w:qFormat/>
    <w:uiPriority w:val="0"/>
    <w:rPr>
      <w:rFonts w:ascii="宋体" w:hAnsi="Times New Roman" w:eastAsia="宋体"/>
      <w:sz w:val="18"/>
    </w:rPr>
  </w:style>
  <w:style w:type="character" w:styleId="33">
    <w:name w:val="Emphasis"/>
    <w:qFormat/>
    <w:uiPriority w:val="0"/>
    <w:rPr>
      <w:i/>
      <w:iCs/>
    </w:rPr>
  </w:style>
  <w:style w:type="character" w:styleId="34">
    <w:name w:val="Hyperlink"/>
    <w:qFormat/>
    <w:uiPriority w:val="0"/>
    <w:rPr>
      <w:rFonts w:ascii="宋体" w:hAnsi="Times New Roman" w:eastAsia="宋体"/>
      <w:color w:val="auto"/>
      <w:spacing w:val="0"/>
      <w:w w:val="100"/>
      <w:position w:val="0"/>
      <w:sz w:val="21"/>
      <w:u w:val="none"/>
      <w:vertAlign w:val="baseline"/>
    </w:rPr>
  </w:style>
  <w:style w:type="character" w:styleId="35">
    <w:name w:val="footnote reference"/>
    <w:qFormat/>
    <w:uiPriority w:val="0"/>
    <w:rPr>
      <w:rFonts w:ascii="宋体" w:hAnsi="宋体" w:eastAsia="宋体" w:cs="Times New Roman"/>
      <w:spacing w:val="0"/>
      <w:sz w:val="18"/>
      <w:vertAlign w:val="superscript"/>
    </w:rPr>
  </w:style>
  <w:style w:type="character" w:customStyle="1" w:styleId="36">
    <w:name w:val="标题 1 字符"/>
    <w:link w:val="2"/>
    <w:qFormat/>
    <w:uiPriority w:val="0"/>
    <w:rPr>
      <w:rFonts w:ascii="Times New Roman" w:hAnsi="Times New Roman" w:eastAsia="宋体" w:cs="Times New Roman"/>
      <w:b/>
      <w:bCs/>
      <w:kern w:val="44"/>
      <w:sz w:val="44"/>
      <w:szCs w:val="44"/>
    </w:rPr>
  </w:style>
  <w:style w:type="character" w:customStyle="1" w:styleId="37">
    <w:name w:val="标题 2 字符"/>
    <w:link w:val="3"/>
    <w:qFormat/>
    <w:uiPriority w:val="0"/>
    <w:rPr>
      <w:rFonts w:ascii="Arial" w:hAnsi="Arial" w:eastAsia="黑体" w:cs="Times New Roman"/>
      <w:b/>
      <w:bCs/>
      <w:sz w:val="32"/>
      <w:szCs w:val="32"/>
    </w:rPr>
  </w:style>
  <w:style w:type="character" w:customStyle="1" w:styleId="38">
    <w:name w:val="标题 3 字符"/>
    <w:link w:val="4"/>
    <w:qFormat/>
    <w:uiPriority w:val="0"/>
    <w:rPr>
      <w:rFonts w:ascii="Times New Roman" w:hAnsi="Times New Roman" w:eastAsia="宋体" w:cs="Times New Roman"/>
      <w:b/>
      <w:bCs/>
      <w:sz w:val="32"/>
      <w:szCs w:val="32"/>
    </w:rPr>
  </w:style>
  <w:style w:type="character" w:customStyle="1" w:styleId="39">
    <w:name w:val="标题 4 字符"/>
    <w:link w:val="5"/>
    <w:qFormat/>
    <w:uiPriority w:val="0"/>
    <w:rPr>
      <w:rFonts w:ascii="Arial" w:hAnsi="Arial" w:eastAsia="黑体" w:cs="Times New Roman"/>
      <w:b/>
      <w:bCs/>
      <w:sz w:val="28"/>
      <w:szCs w:val="28"/>
    </w:rPr>
  </w:style>
  <w:style w:type="character" w:customStyle="1" w:styleId="40">
    <w:name w:val="标题 5 字符"/>
    <w:link w:val="6"/>
    <w:qFormat/>
    <w:uiPriority w:val="0"/>
    <w:rPr>
      <w:rFonts w:ascii="Times New Roman" w:hAnsi="Times New Roman" w:eastAsia="宋体" w:cs="Times New Roman"/>
      <w:b/>
      <w:bCs/>
      <w:sz w:val="28"/>
      <w:szCs w:val="28"/>
    </w:rPr>
  </w:style>
  <w:style w:type="character" w:customStyle="1" w:styleId="41">
    <w:name w:val="标题 6 字符"/>
    <w:link w:val="7"/>
    <w:qFormat/>
    <w:uiPriority w:val="0"/>
    <w:rPr>
      <w:rFonts w:ascii="Arial" w:hAnsi="Arial" w:eastAsia="黑体" w:cs="Times New Roman"/>
      <w:b/>
      <w:bCs/>
      <w:sz w:val="24"/>
      <w:szCs w:val="24"/>
    </w:rPr>
  </w:style>
  <w:style w:type="character" w:customStyle="1" w:styleId="42">
    <w:name w:val="标题 7 字符"/>
    <w:link w:val="8"/>
    <w:qFormat/>
    <w:uiPriority w:val="0"/>
    <w:rPr>
      <w:rFonts w:ascii="Times New Roman" w:hAnsi="Times New Roman" w:eastAsia="宋体" w:cs="Times New Roman"/>
      <w:b/>
      <w:bCs/>
      <w:sz w:val="24"/>
      <w:szCs w:val="24"/>
    </w:rPr>
  </w:style>
  <w:style w:type="character" w:customStyle="1" w:styleId="43">
    <w:name w:val="标题 8 字符"/>
    <w:link w:val="9"/>
    <w:qFormat/>
    <w:uiPriority w:val="0"/>
    <w:rPr>
      <w:rFonts w:ascii="Arial" w:hAnsi="Arial" w:eastAsia="黑体" w:cs="Times New Roman"/>
      <w:sz w:val="24"/>
      <w:szCs w:val="24"/>
    </w:rPr>
  </w:style>
  <w:style w:type="character" w:customStyle="1" w:styleId="44">
    <w:name w:val="标题 9 字符"/>
    <w:link w:val="10"/>
    <w:qFormat/>
    <w:uiPriority w:val="0"/>
    <w:rPr>
      <w:rFonts w:ascii="Arial" w:hAnsi="Arial" w:eastAsia="黑体" w:cs="Times New Roman"/>
      <w:szCs w:val="21"/>
    </w:rPr>
  </w:style>
  <w:style w:type="character" w:customStyle="1" w:styleId="45">
    <w:name w:val="页眉 字符"/>
    <w:link w:val="19"/>
    <w:qFormat/>
    <w:uiPriority w:val="99"/>
    <w:rPr>
      <w:rFonts w:ascii="Times New Roman" w:hAnsi="Times New Roman" w:eastAsia="宋体" w:cs="Times New Roman"/>
      <w:sz w:val="18"/>
      <w:szCs w:val="18"/>
    </w:rPr>
  </w:style>
  <w:style w:type="character" w:customStyle="1" w:styleId="46">
    <w:name w:val="页脚 字符"/>
    <w:link w:val="18"/>
    <w:qFormat/>
    <w:uiPriority w:val="99"/>
    <w:rPr>
      <w:rFonts w:ascii="宋体" w:hAnsi="Times New Roman" w:eastAsia="宋体" w:cs="Times New Roman"/>
      <w:sz w:val="18"/>
      <w:szCs w:val="18"/>
    </w:rPr>
  </w:style>
  <w:style w:type="character" w:customStyle="1" w:styleId="47">
    <w:name w:val="批注框文本 字符"/>
    <w:link w:val="17"/>
    <w:semiHidden/>
    <w:qFormat/>
    <w:uiPriority w:val="99"/>
    <w:rPr>
      <w:sz w:val="18"/>
      <w:szCs w:val="18"/>
    </w:rPr>
  </w:style>
  <w:style w:type="paragraph" w:styleId="48">
    <w:name w:val="Quote"/>
    <w:basedOn w:val="1"/>
    <w:next w:val="1"/>
    <w:link w:val="49"/>
    <w:semiHidden/>
    <w:unhideWhenUsed/>
    <w:qFormat/>
    <w:uiPriority w:val="99"/>
    <w:rPr>
      <w:i/>
      <w:iCs/>
      <w:color w:val="000000"/>
    </w:rPr>
  </w:style>
  <w:style w:type="character" w:customStyle="1" w:styleId="49">
    <w:name w:val="引用 字符"/>
    <w:link w:val="48"/>
    <w:qFormat/>
    <w:uiPriority w:val="29"/>
    <w:rPr>
      <w:i/>
      <w:iCs/>
      <w:color w:val="000000"/>
    </w:rPr>
  </w:style>
  <w:style w:type="character" w:customStyle="1" w:styleId="50">
    <w:name w:val="标题 字符"/>
    <w:link w:val="27"/>
    <w:qFormat/>
    <w:uiPriority w:val="0"/>
    <w:rPr>
      <w:rFonts w:ascii="Arial" w:hAnsi="Arial" w:eastAsia="宋体" w:cs="Arial"/>
      <w:b/>
      <w:bCs/>
      <w:sz w:val="32"/>
      <w:szCs w:val="32"/>
    </w:rPr>
  </w:style>
  <w:style w:type="paragraph" w:customStyle="1" w:styleId="5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2">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3">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4">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5">
    <w:name w:val="标准书眉一"/>
    <w:qFormat/>
    <w:uiPriority w:val="0"/>
    <w:pPr>
      <w:jc w:val="both"/>
    </w:pPr>
    <w:rPr>
      <w:rFonts w:ascii="Times New Roman" w:hAnsi="Times New Roman" w:eastAsia="宋体" w:cs="Times New Roman"/>
      <w:lang w:val="en-US" w:eastAsia="zh-CN" w:bidi="ar-SA"/>
    </w:rPr>
  </w:style>
  <w:style w:type="paragraph" w:customStyle="1" w:styleId="56">
    <w:name w:val="标准文件_ICS"/>
    <w:basedOn w:val="1"/>
    <w:qFormat/>
    <w:uiPriority w:val="0"/>
    <w:pPr>
      <w:spacing w:line="0" w:lineRule="atLeast"/>
    </w:pPr>
    <w:rPr>
      <w:rFonts w:ascii="黑体" w:hAnsi="宋体" w:eastAsia="黑体"/>
    </w:rPr>
  </w:style>
  <w:style w:type="paragraph" w:customStyle="1" w:styleId="57">
    <w:name w:val="标准文件_标准正文"/>
    <w:basedOn w:val="1"/>
    <w:next w:val="58"/>
    <w:qFormat/>
    <w:uiPriority w:val="0"/>
    <w:pPr>
      <w:snapToGrid w:val="0"/>
      <w:ind w:firstLine="200" w:firstLineChars="200"/>
    </w:pPr>
    <w:rPr>
      <w:kern w:val="0"/>
    </w:rPr>
  </w:style>
  <w:style w:type="paragraph" w:customStyle="1" w:styleId="58">
    <w:name w:val="标准文件_段"/>
    <w:link w:val="186"/>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9">
    <w:name w:val="标准文件_版本"/>
    <w:basedOn w:val="57"/>
    <w:qFormat/>
    <w:uiPriority w:val="0"/>
    <w:pPr>
      <w:adjustRightInd/>
      <w:snapToGrid/>
      <w:ind w:firstLine="0" w:firstLineChars="0"/>
    </w:pPr>
    <w:rPr>
      <w:rFonts w:ascii="宋体" w:hAnsi="宋体"/>
      <w:kern w:val="2"/>
    </w:rPr>
  </w:style>
  <w:style w:type="paragraph" w:customStyle="1" w:styleId="60">
    <w:name w:val="标准文件_标准部门"/>
    <w:basedOn w:val="1"/>
    <w:qFormat/>
    <w:uiPriority w:val="0"/>
    <w:pPr>
      <w:jc w:val="center"/>
    </w:pPr>
    <w:rPr>
      <w:rFonts w:ascii="黑体" w:eastAsia="黑体"/>
      <w:kern w:val="0"/>
      <w:sz w:val="44"/>
    </w:rPr>
  </w:style>
  <w:style w:type="paragraph" w:customStyle="1" w:styleId="61">
    <w:name w:val="标准文件_标准代替"/>
    <w:basedOn w:val="1"/>
    <w:next w:val="1"/>
    <w:qFormat/>
    <w:uiPriority w:val="0"/>
    <w:pPr>
      <w:spacing w:line="310" w:lineRule="exact"/>
      <w:jc w:val="right"/>
    </w:pPr>
    <w:rPr>
      <w:rFonts w:ascii="宋体" w:hAnsi="宋体"/>
      <w:kern w:val="0"/>
    </w:rPr>
  </w:style>
  <w:style w:type="paragraph" w:customStyle="1" w:styleId="62">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3">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4">
    <w:name w:val="标准文件_页眉偶数页"/>
    <w:basedOn w:val="63"/>
    <w:next w:val="1"/>
    <w:qFormat/>
    <w:uiPriority w:val="0"/>
    <w:pPr>
      <w:jc w:val="left"/>
    </w:pPr>
  </w:style>
  <w:style w:type="paragraph" w:customStyle="1" w:styleId="65">
    <w:name w:val="标准文件_参考文献标题"/>
    <w:basedOn w:val="1"/>
    <w:next w:val="1"/>
    <w:qFormat/>
    <w:uiPriority w:val="0"/>
    <w:pPr>
      <w:widowControl/>
      <w:shd w:val="clear" w:color="FFFFFF" w:fill="FFFFFF"/>
      <w:adjustRightInd/>
      <w:spacing w:before="580" w:after="50" w:afterLines="50" w:line="240" w:lineRule="auto"/>
      <w:jc w:val="center"/>
      <w:outlineLvl w:val="0"/>
    </w:pPr>
    <w:rPr>
      <w:rFonts w:ascii="黑体" w:eastAsia="黑体"/>
      <w:kern w:val="0"/>
    </w:rPr>
  </w:style>
  <w:style w:type="paragraph" w:customStyle="1" w:styleId="66">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7">
    <w:name w:val="标准文件_二级条标题"/>
    <w:next w:val="58"/>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8">
    <w:name w:val="标准文件_发布"/>
    <w:qFormat/>
    <w:uiPriority w:val="0"/>
    <w:rPr>
      <w:rFonts w:ascii="黑体" w:eastAsia="黑体"/>
      <w:spacing w:val="0"/>
      <w:w w:val="100"/>
      <w:position w:val="3"/>
      <w:sz w:val="28"/>
    </w:rPr>
  </w:style>
  <w:style w:type="paragraph" w:customStyle="1" w:styleId="69">
    <w:name w:val="标准文件_方框数字列项"/>
    <w:basedOn w:val="58"/>
    <w:qFormat/>
    <w:uiPriority w:val="0"/>
    <w:pPr>
      <w:numPr>
        <w:ilvl w:val="0"/>
        <w:numId w:val="3"/>
      </w:numPr>
      <w:ind w:firstLine="0" w:firstLineChars="0"/>
    </w:pPr>
  </w:style>
  <w:style w:type="paragraph" w:customStyle="1" w:styleId="70">
    <w:name w:val="标准文件_封面标准编号"/>
    <w:basedOn w:val="1"/>
    <w:next w:val="61"/>
    <w:qFormat/>
    <w:uiPriority w:val="0"/>
    <w:pPr>
      <w:spacing w:line="310" w:lineRule="exact"/>
      <w:jc w:val="right"/>
    </w:pPr>
    <w:rPr>
      <w:rFonts w:ascii="黑体" w:eastAsia="黑体"/>
      <w:kern w:val="0"/>
      <w:sz w:val="28"/>
    </w:rPr>
  </w:style>
  <w:style w:type="paragraph" w:customStyle="1" w:styleId="71">
    <w:name w:val="标准文件_封面标准分类号"/>
    <w:basedOn w:val="1"/>
    <w:qFormat/>
    <w:uiPriority w:val="0"/>
    <w:rPr>
      <w:rFonts w:ascii="黑体" w:eastAsia="黑体"/>
      <w:b/>
      <w:kern w:val="0"/>
      <w:sz w:val="28"/>
    </w:rPr>
  </w:style>
  <w:style w:type="paragraph" w:customStyle="1" w:styleId="72">
    <w:name w:val="标准文件_封面标准名称"/>
    <w:basedOn w:val="1"/>
    <w:qFormat/>
    <w:uiPriority w:val="0"/>
    <w:pPr>
      <w:spacing w:line="240" w:lineRule="auto"/>
      <w:jc w:val="center"/>
    </w:pPr>
    <w:rPr>
      <w:rFonts w:ascii="黑体" w:eastAsia="黑体"/>
      <w:kern w:val="0"/>
      <w:sz w:val="52"/>
    </w:rPr>
  </w:style>
  <w:style w:type="paragraph" w:customStyle="1" w:styleId="73">
    <w:name w:val="标准文件_封面标准英文名称"/>
    <w:basedOn w:val="1"/>
    <w:qFormat/>
    <w:uiPriority w:val="0"/>
    <w:pPr>
      <w:spacing w:line="240" w:lineRule="auto"/>
      <w:jc w:val="center"/>
    </w:pPr>
    <w:rPr>
      <w:rFonts w:ascii="黑体" w:eastAsia="黑体"/>
      <w:b/>
      <w:sz w:val="28"/>
    </w:rPr>
  </w:style>
  <w:style w:type="paragraph" w:customStyle="1" w:styleId="74">
    <w:name w:val="标准文件_封面发布日期"/>
    <w:basedOn w:val="1"/>
    <w:qFormat/>
    <w:uiPriority w:val="0"/>
    <w:pPr>
      <w:spacing w:line="310" w:lineRule="exact"/>
    </w:pPr>
    <w:rPr>
      <w:rFonts w:ascii="黑体" w:eastAsia="黑体"/>
      <w:kern w:val="0"/>
      <w:sz w:val="28"/>
    </w:rPr>
  </w:style>
  <w:style w:type="paragraph" w:customStyle="1" w:styleId="75">
    <w:name w:val="标准文件_封面密级"/>
    <w:basedOn w:val="1"/>
    <w:qFormat/>
    <w:uiPriority w:val="0"/>
    <w:rPr>
      <w:rFonts w:eastAsia="黑体"/>
      <w:sz w:val="32"/>
    </w:rPr>
  </w:style>
  <w:style w:type="paragraph" w:customStyle="1" w:styleId="76">
    <w:name w:val="标准文件_封面实施日期"/>
    <w:basedOn w:val="1"/>
    <w:qFormat/>
    <w:uiPriority w:val="0"/>
    <w:pPr>
      <w:spacing w:line="310" w:lineRule="exact"/>
      <w:jc w:val="right"/>
    </w:pPr>
    <w:rPr>
      <w:rFonts w:ascii="黑体" w:eastAsia="黑体"/>
      <w:sz w:val="28"/>
    </w:rPr>
  </w:style>
  <w:style w:type="paragraph" w:customStyle="1" w:styleId="77">
    <w:name w:val="标准文件_封面抬头"/>
    <w:basedOn w:val="58"/>
    <w:qFormat/>
    <w:uiPriority w:val="0"/>
    <w:pPr>
      <w:adjustRightInd w:val="0"/>
      <w:spacing w:line="800" w:lineRule="exact"/>
      <w:ind w:firstLine="0" w:firstLineChars="0"/>
      <w:jc w:val="distribute"/>
    </w:pPr>
    <w:rPr>
      <w:rFonts w:ascii="黑体" w:eastAsia="黑体"/>
      <w:b/>
      <w:sz w:val="64"/>
    </w:rPr>
  </w:style>
  <w:style w:type="paragraph" w:customStyle="1" w:styleId="78">
    <w:name w:val="标准文件_附录标识"/>
    <w:next w:val="58"/>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79">
    <w:name w:val="标准文件_附录表标题"/>
    <w:next w:val="58"/>
    <w:qFormat/>
    <w:uiPriority w:val="0"/>
    <w:pPr>
      <w:numPr>
        <w:ilvl w:val="1"/>
        <w:numId w:val="5"/>
      </w:numPr>
      <w:adjustRightInd w:val="0"/>
      <w:snapToGrid w:val="0"/>
      <w:spacing w:before="50" w:beforeLines="50" w:after="50" w:afterLines="50"/>
      <w:ind w:firstLine="420"/>
      <w:jc w:val="center"/>
      <w:textAlignment w:val="baseline"/>
    </w:pPr>
    <w:rPr>
      <w:rFonts w:ascii="黑体" w:hAnsi="Times New Roman" w:eastAsia="黑体" w:cs="Times New Roman"/>
      <w:kern w:val="21"/>
      <w:sz w:val="21"/>
      <w:lang w:val="en-US" w:eastAsia="zh-CN" w:bidi="ar-SA"/>
    </w:rPr>
  </w:style>
  <w:style w:type="paragraph" w:customStyle="1" w:styleId="80">
    <w:name w:val="标准文件_附录一级条标题"/>
    <w:next w:val="58"/>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1">
    <w:name w:val="标准文件_附录二级条标题"/>
    <w:basedOn w:val="80"/>
    <w:next w:val="58"/>
    <w:qFormat/>
    <w:uiPriority w:val="0"/>
    <w:pPr>
      <w:widowControl/>
      <w:numPr>
        <w:ilvl w:val="2"/>
      </w:numPr>
      <w:wordWrap w:val="0"/>
      <w:overflowPunct w:val="0"/>
      <w:autoSpaceDE w:val="0"/>
      <w:autoSpaceDN w:val="0"/>
      <w:textAlignment w:val="baseline"/>
      <w:outlineLvl w:val="3"/>
    </w:pPr>
  </w:style>
  <w:style w:type="paragraph" w:customStyle="1" w:styleId="82">
    <w:name w:val="标准文件_附录公式"/>
    <w:basedOn w:val="57"/>
    <w:next w:val="57"/>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3">
    <w:name w:val="标准文件_附录三级条标题"/>
    <w:next w:val="58"/>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4">
    <w:name w:val="标准文件_附录四级条标题"/>
    <w:next w:val="58"/>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5">
    <w:name w:val="标准文件_附录图标题"/>
    <w:next w:val="58"/>
    <w:qFormat/>
    <w:uiPriority w:val="0"/>
    <w:pPr>
      <w:numPr>
        <w:ilvl w:val="1"/>
        <w:numId w:val="6"/>
      </w:numPr>
      <w:adjustRightInd w:val="0"/>
      <w:snapToGrid w:val="0"/>
      <w:spacing w:before="50" w:beforeLines="50" w:after="50" w:afterLines="50"/>
      <w:ind w:firstLine="420"/>
      <w:jc w:val="center"/>
    </w:pPr>
    <w:rPr>
      <w:rFonts w:ascii="黑体" w:hAnsi="Times New Roman" w:eastAsia="黑体" w:cs="Times New Roman"/>
      <w:sz w:val="21"/>
      <w:lang w:val="en-US" w:eastAsia="zh-CN" w:bidi="ar-SA"/>
    </w:rPr>
  </w:style>
  <w:style w:type="paragraph" w:customStyle="1" w:styleId="86">
    <w:name w:val="标准文件_附录五级条标题"/>
    <w:next w:val="58"/>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7">
    <w:name w:val="标准文件_附录英文标识"/>
    <w:next w:val="14"/>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8">
    <w:name w:val="正文文本 字符"/>
    <w:link w:val="14"/>
    <w:qFormat/>
    <w:uiPriority w:val="0"/>
    <w:rPr>
      <w:rFonts w:ascii="Times New Roman" w:hAnsi="Times New Roman" w:eastAsia="宋体" w:cs="Times New Roman"/>
      <w:szCs w:val="20"/>
    </w:rPr>
  </w:style>
  <w:style w:type="paragraph" w:customStyle="1" w:styleId="89">
    <w:name w:val="标准文件_附录章标题"/>
    <w:next w:val="58"/>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0">
    <w:name w:val="标准文件_公式后的破折号"/>
    <w:basedOn w:val="58"/>
    <w:next w:val="58"/>
    <w:qFormat/>
    <w:uiPriority w:val="0"/>
    <w:pPr>
      <w:ind w:left="488" w:leftChars="200" w:hanging="289" w:hangingChars="290"/>
    </w:pPr>
  </w:style>
  <w:style w:type="paragraph" w:customStyle="1" w:styleId="91">
    <w:name w:val="标准文件_前言、引言标题"/>
    <w:next w:val="1"/>
    <w:qFormat/>
    <w:uiPriority w:val="0"/>
    <w:pPr>
      <w:numPr>
        <w:ilvl w:val="0"/>
        <w:numId w:val="8"/>
      </w:numPr>
      <w:shd w:val="clear" w:color="FFFFFF" w:fill="FFFFFF"/>
      <w:spacing w:before="480" w:after="150" w:afterLines="150"/>
      <w:ind w:left="0" w:firstLine="0"/>
      <w:jc w:val="center"/>
      <w:outlineLvl w:val="0"/>
    </w:pPr>
    <w:rPr>
      <w:rFonts w:ascii="黑体" w:hAnsi="Times New Roman" w:eastAsia="黑体" w:cs="Times New Roman"/>
      <w:sz w:val="32"/>
      <w:lang w:val="en-US" w:eastAsia="zh-CN" w:bidi="ar-SA"/>
    </w:rPr>
  </w:style>
  <w:style w:type="paragraph" w:customStyle="1" w:styleId="92">
    <w:name w:val="标准文件_目次、标准名称标题"/>
    <w:basedOn w:val="91"/>
    <w:next w:val="58"/>
    <w:qFormat/>
    <w:uiPriority w:val="0"/>
    <w:pPr>
      <w:spacing w:line="460" w:lineRule="exact"/>
    </w:pPr>
  </w:style>
  <w:style w:type="paragraph" w:customStyle="1" w:styleId="93">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4">
    <w:name w:val="标准文件_破折号列项"/>
    <w:qFormat/>
    <w:uiPriority w:val="0"/>
    <w:pPr>
      <w:numPr>
        <w:ilvl w:val="0"/>
        <w:numId w:val="9"/>
      </w:numPr>
      <w:adjustRightInd w:val="0"/>
      <w:snapToGrid w:val="0"/>
      <w:ind w:left="0" w:firstLine="200" w:firstLineChars="200"/>
    </w:pPr>
    <w:rPr>
      <w:rFonts w:ascii="Times New Roman" w:hAnsi="Times New Roman" w:eastAsia="宋体" w:cs="Times New Roman"/>
      <w:sz w:val="21"/>
      <w:lang w:val="en-US" w:eastAsia="zh-CN" w:bidi="ar-SA"/>
    </w:rPr>
  </w:style>
  <w:style w:type="paragraph" w:customStyle="1" w:styleId="95">
    <w:name w:val="标准文件_破折号列项（二级）"/>
    <w:basedOn w:val="94"/>
    <w:qFormat/>
    <w:uiPriority w:val="0"/>
    <w:pPr>
      <w:numPr>
        <w:numId w:val="10"/>
      </w:numPr>
      <w:ind w:left="0" w:firstLine="200"/>
    </w:pPr>
  </w:style>
  <w:style w:type="paragraph" w:customStyle="1" w:styleId="96">
    <w:name w:val="标准文件_三级条标题"/>
    <w:basedOn w:val="67"/>
    <w:next w:val="58"/>
    <w:qFormat/>
    <w:uiPriority w:val="0"/>
    <w:pPr>
      <w:widowControl/>
      <w:numPr>
        <w:ilvl w:val="4"/>
      </w:numPr>
      <w:outlineLvl w:val="3"/>
    </w:pPr>
  </w:style>
  <w:style w:type="character" w:customStyle="1" w:styleId="97">
    <w:name w:val="不明显参考1"/>
    <w:qFormat/>
    <w:uiPriority w:val="31"/>
    <w:rPr>
      <w:smallCaps/>
      <w:color w:val="C0504D"/>
      <w:u w:val="single"/>
    </w:rPr>
  </w:style>
  <w:style w:type="paragraph" w:customStyle="1" w:styleId="98">
    <w:name w:val="标准文件_示例后续"/>
    <w:basedOn w:val="1"/>
    <w:qFormat/>
    <w:uiPriority w:val="0"/>
    <w:pPr>
      <w:adjustRightInd/>
      <w:spacing w:line="240" w:lineRule="auto"/>
      <w:ind w:firstLine="200" w:firstLineChars="200"/>
    </w:pPr>
    <w:rPr>
      <w:sz w:val="18"/>
      <w:szCs w:val="24"/>
    </w:rPr>
  </w:style>
  <w:style w:type="paragraph" w:customStyle="1" w:styleId="99">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0">
    <w:name w:val="标准文件_四级条标题"/>
    <w:next w:val="58"/>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1">
    <w:name w:val="脚注文本 字符"/>
    <w:link w:val="22"/>
    <w:semiHidden/>
    <w:qFormat/>
    <w:uiPriority w:val="0"/>
    <w:rPr>
      <w:rFonts w:ascii="宋体" w:hAnsi="Times New Roman" w:eastAsia="宋体" w:cs="Times New Roman"/>
      <w:sz w:val="18"/>
      <w:szCs w:val="18"/>
    </w:rPr>
  </w:style>
  <w:style w:type="paragraph" w:customStyle="1" w:styleId="102">
    <w:name w:val="标准文件_条文脚注"/>
    <w:basedOn w:val="22"/>
    <w:qFormat/>
    <w:uiPriority w:val="0"/>
    <w:pPr>
      <w:adjustRightInd w:val="0"/>
      <w:spacing w:line="240" w:lineRule="auto"/>
      <w:ind w:left="0" w:leftChars="0" w:firstLine="200" w:firstLineChars="200"/>
      <w:jc w:val="both"/>
    </w:pPr>
    <w:rPr>
      <w:rFonts w:hAnsi="宋体"/>
    </w:rPr>
  </w:style>
  <w:style w:type="paragraph" w:customStyle="1" w:styleId="103">
    <w:name w:val="标准文件_图表脚注"/>
    <w:basedOn w:val="1"/>
    <w:next w:val="58"/>
    <w:qFormat/>
    <w:uiPriority w:val="0"/>
    <w:pPr>
      <w:numPr>
        <w:ilvl w:val="0"/>
        <w:numId w:val="12"/>
      </w:numPr>
      <w:spacing w:line="240" w:lineRule="auto"/>
      <w:jc w:val="left"/>
    </w:pPr>
    <w:rPr>
      <w:rFonts w:ascii="宋体" w:hAnsi="宋体"/>
      <w:sz w:val="18"/>
    </w:rPr>
  </w:style>
  <w:style w:type="character" w:customStyle="1" w:styleId="104">
    <w:name w:val="标准文件_图表脚注内容"/>
    <w:qFormat/>
    <w:uiPriority w:val="0"/>
    <w:rPr>
      <w:rFonts w:ascii="宋体" w:hAnsi="宋体" w:eastAsia="宋体" w:cs="Times New Roman"/>
      <w:spacing w:val="0"/>
      <w:sz w:val="18"/>
      <w:vertAlign w:val="superscript"/>
    </w:rPr>
  </w:style>
  <w:style w:type="paragraph" w:customStyle="1" w:styleId="105">
    <w:name w:val="标准文件_五级条标题"/>
    <w:next w:val="58"/>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6">
    <w:name w:val="标准文件_章标题"/>
    <w:next w:val="58"/>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7">
    <w:name w:val="标准文件_一级条标题"/>
    <w:basedOn w:val="106"/>
    <w:next w:val="58"/>
    <w:qFormat/>
    <w:uiPriority w:val="0"/>
    <w:pPr>
      <w:numPr>
        <w:ilvl w:val="2"/>
      </w:numPr>
      <w:spacing w:before="50" w:beforeLines="50" w:after="50" w:afterLines="50"/>
      <w:outlineLvl w:val="1"/>
    </w:pPr>
  </w:style>
  <w:style w:type="paragraph" w:customStyle="1" w:styleId="108">
    <w:name w:val="标准文件_一致程度"/>
    <w:basedOn w:val="1"/>
    <w:qFormat/>
    <w:uiPriority w:val="0"/>
    <w:pPr>
      <w:spacing w:line="440" w:lineRule="exact"/>
      <w:jc w:val="center"/>
    </w:pPr>
    <w:rPr>
      <w:sz w:val="28"/>
    </w:rPr>
  </w:style>
  <w:style w:type="paragraph" w:customStyle="1" w:styleId="109">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0">
    <w:name w:val="标准文件_英文图表脚注"/>
    <w:basedOn w:val="57"/>
    <w:qFormat/>
    <w:uiPriority w:val="0"/>
    <w:pPr>
      <w:widowControl/>
      <w:adjustRightInd/>
      <w:snapToGrid/>
      <w:spacing w:line="240" w:lineRule="auto"/>
      <w:ind w:left="79" w:hanging="79" w:hangingChars="80"/>
    </w:pPr>
    <w:rPr>
      <w:rFonts w:ascii="宋体" w:hAnsi="宋体"/>
    </w:rPr>
  </w:style>
  <w:style w:type="paragraph" w:customStyle="1" w:styleId="111">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2">
    <w:name w:val="标准文件_英文注："/>
    <w:basedOn w:val="1"/>
    <w:next w:val="58"/>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3">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4">
    <w:name w:val="标准文件_正文表标题"/>
    <w:next w:val="58"/>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5">
    <w:name w:val="标准文件_正文公式"/>
    <w:basedOn w:val="1"/>
    <w:next w:val="57"/>
    <w:qFormat/>
    <w:uiPriority w:val="0"/>
    <w:pPr>
      <w:tabs>
        <w:tab w:val="center" w:pos="4678"/>
        <w:tab w:val="right" w:leader="middleDot" w:pos="9356"/>
      </w:tabs>
      <w:spacing w:line="240" w:lineRule="auto"/>
    </w:pPr>
    <w:rPr>
      <w:rFonts w:ascii="宋体" w:hAnsi="宋体"/>
    </w:rPr>
  </w:style>
  <w:style w:type="paragraph" w:customStyle="1" w:styleId="116">
    <w:name w:val="标准文件_正文图标题"/>
    <w:next w:val="58"/>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7">
    <w:name w:val="标准文件_正文英文表标题"/>
    <w:next w:val="58"/>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8">
    <w:name w:val="标准文件_正文英文图标题"/>
    <w:next w:val="58"/>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9">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20">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1">
    <w:name w:val="发布部门"/>
    <w:next w:val="58"/>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2">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3">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4">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7">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8">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9">
    <w:name w:val="封面正文"/>
    <w:qFormat/>
    <w:uiPriority w:val="0"/>
    <w:pPr>
      <w:jc w:val="both"/>
    </w:pPr>
    <w:rPr>
      <w:rFonts w:ascii="Times New Roman" w:hAnsi="Times New Roman" w:eastAsia="宋体" w:cs="Times New Roman"/>
      <w:lang w:val="en-US" w:eastAsia="zh-CN" w:bidi="ar-SA"/>
    </w:rPr>
  </w:style>
  <w:style w:type="paragraph" w:customStyle="1" w:styleId="130">
    <w:name w:val="附录二级无标题条"/>
    <w:basedOn w:val="1"/>
    <w:next w:val="58"/>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1">
    <w:name w:val="附录三级无标题条"/>
    <w:basedOn w:val="130"/>
    <w:next w:val="58"/>
    <w:qFormat/>
    <w:uiPriority w:val="0"/>
    <w:pPr>
      <w:outlineLvl w:val="4"/>
    </w:pPr>
  </w:style>
  <w:style w:type="paragraph" w:customStyle="1" w:styleId="132">
    <w:name w:val="附录四级无标题条"/>
    <w:basedOn w:val="131"/>
    <w:next w:val="58"/>
    <w:qFormat/>
    <w:uiPriority w:val="0"/>
    <w:pPr>
      <w:outlineLvl w:val="5"/>
    </w:pPr>
  </w:style>
  <w:style w:type="paragraph" w:customStyle="1" w:styleId="133">
    <w:name w:val="附录图"/>
    <w:next w:val="58"/>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4">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5">
    <w:name w:val="附录五级无标题条"/>
    <w:basedOn w:val="132"/>
    <w:next w:val="58"/>
    <w:qFormat/>
    <w:uiPriority w:val="0"/>
    <w:pPr>
      <w:outlineLvl w:val="6"/>
    </w:pPr>
  </w:style>
  <w:style w:type="paragraph" w:customStyle="1" w:styleId="136">
    <w:name w:val="附录性质"/>
    <w:basedOn w:val="1"/>
    <w:qFormat/>
    <w:uiPriority w:val="0"/>
    <w:pPr>
      <w:widowControl/>
      <w:adjustRightInd/>
      <w:jc w:val="center"/>
    </w:pPr>
    <w:rPr>
      <w:rFonts w:ascii="黑体" w:eastAsia="黑体"/>
    </w:rPr>
  </w:style>
  <w:style w:type="paragraph" w:customStyle="1" w:styleId="137">
    <w:name w:val="附录一级无标题条"/>
    <w:basedOn w:val="89"/>
    <w:next w:val="58"/>
    <w:qFormat/>
    <w:uiPriority w:val="0"/>
    <w:pPr>
      <w:autoSpaceDN w:val="0"/>
      <w:outlineLvl w:val="2"/>
    </w:pPr>
    <w:rPr>
      <w:rFonts w:ascii="宋体" w:hAnsi="宋体" w:eastAsia="宋体"/>
    </w:rPr>
  </w:style>
  <w:style w:type="character" w:customStyle="1" w:styleId="138">
    <w:name w:val="个人答复风格"/>
    <w:qFormat/>
    <w:uiPriority w:val="0"/>
    <w:rPr>
      <w:rFonts w:ascii="Arial" w:hAnsi="Arial" w:eastAsia="宋体" w:cs="Arial"/>
      <w:color w:val="auto"/>
      <w:spacing w:val="0"/>
      <w:sz w:val="20"/>
    </w:rPr>
  </w:style>
  <w:style w:type="character" w:customStyle="1" w:styleId="139">
    <w:name w:val="个人撰写风格"/>
    <w:qFormat/>
    <w:uiPriority w:val="0"/>
    <w:rPr>
      <w:rFonts w:ascii="Arial" w:hAnsi="Arial" w:eastAsia="宋体" w:cs="Arial"/>
      <w:color w:val="auto"/>
      <w:spacing w:val="0"/>
      <w:sz w:val="20"/>
    </w:rPr>
  </w:style>
  <w:style w:type="paragraph" w:customStyle="1" w:styleId="140">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1">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2">
    <w:name w:val="列项·"/>
    <w:basedOn w:val="58"/>
    <w:qFormat/>
    <w:uiPriority w:val="0"/>
    <w:pPr>
      <w:tabs>
        <w:tab w:val="left" w:pos="840"/>
      </w:tabs>
    </w:pPr>
  </w:style>
  <w:style w:type="paragraph" w:customStyle="1" w:styleId="14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4">
    <w:name w:val="目录 21"/>
    <w:basedOn w:val="1"/>
    <w:next w:val="1"/>
    <w:autoRedefine/>
    <w:semiHidden/>
    <w:qFormat/>
    <w:uiPriority w:val="0"/>
    <w:pPr>
      <w:adjustRightInd/>
      <w:spacing w:line="240" w:lineRule="auto"/>
      <w:jc w:val="left"/>
    </w:pPr>
    <w:rPr>
      <w:bCs/>
      <w:iCs/>
    </w:rPr>
  </w:style>
  <w:style w:type="paragraph" w:customStyle="1" w:styleId="145">
    <w:name w:val="目录 31"/>
    <w:basedOn w:val="1"/>
    <w:next w:val="1"/>
    <w:autoRedefine/>
    <w:semiHidden/>
    <w:qFormat/>
    <w:uiPriority w:val="0"/>
    <w:pPr>
      <w:spacing w:line="240" w:lineRule="auto"/>
    </w:pPr>
    <w:rPr>
      <w:rFonts w:ascii="宋体" w:hAnsi="宋体"/>
      <w:iCs/>
    </w:rPr>
  </w:style>
  <w:style w:type="paragraph" w:customStyle="1" w:styleId="146">
    <w:name w:val="目录 41"/>
    <w:basedOn w:val="1"/>
    <w:next w:val="1"/>
    <w:autoRedefine/>
    <w:semiHidden/>
    <w:qFormat/>
    <w:uiPriority w:val="0"/>
    <w:pPr>
      <w:adjustRightInd/>
      <w:spacing w:line="240" w:lineRule="auto"/>
      <w:jc w:val="left"/>
    </w:pPr>
  </w:style>
  <w:style w:type="paragraph" w:customStyle="1" w:styleId="147">
    <w:name w:val="目录 51"/>
    <w:basedOn w:val="1"/>
    <w:next w:val="1"/>
    <w:autoRedefine/>
    <w:semiHidden/>
    <w:qFormat/>
    <w:uiPriority w:val="0"/>
    <w:pPr>
      <w:spacing w:line="240" w:lineRule="auto"/>
    </w:pPr>
    <w:rPr>
      <w:rFonts w:ascii="宋体" w:hAnsi="宋体"/>
    </w:rPr>
  </w:style>
  <w:style w:type="paragraph" w:customStyle="1" w:styleId="148">
    <w:name w:val="目录 61"/>
    <w:basedOn w:val="1"/>
    <w:next w:val="1"/>
    <w:autoRedefine/>
    <w:semiHidden/>
    <w:qFormat/>
    <w:uiPriority w:val="0"/>
    <w:pPr>
      <w:adjustRightInd/>
      <w:spacing w:line="240" w:lineRule="auto"/>
      <w:jc w:val="left"/>
    </w:pPr>
  </w:style>
  <w:style w:type="paragraph" w:customStyle="1" w:styleId="149">
    <w:name w:val="目录 71"/>
    <w:basedOn w:val="148"/>
    <w:autoRedefine/>
    <w:semiHidden/>
    <w:qFormat/>
    <w:uiPriority w:val="0"/>
    <w:pPr>
      <w:ind w:left="1260"/>
    </w:pPr>
  </w:style>
  <w:style w:type="paragraph" w:customStyle="1" w:styleId="150">
    <w:name w:val="目录 81"/>
    <w:basedOn w:val="149"/>
    <w:autoRedefine/>
    <w:semiHidden/>
    <w:qFormat/>
    <w:uiPriority w:val="0"/>
    <w:pPr>
      <w:ind w:left="1470"/>
    </w:pPr>
  </w:style>
  <w:style w:type="paragraph" w:customStyle="1" w:styleId="151">
    <w:name w:val="目录 91"/>
    <w:basedOn w:val="150"/>
    <w:autoRedefine/>
    <w:semiHidden/>
    <w:qFormat/>
    <w:uiPriority w:val="0"/>
    <w:pPr>
      <w:ind w:left="1680"/>
    </w:pPr>
  </w:style>
  <w:style w:type="paragraph" w:customStyle="1" w:styleId="152">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3">
    <w:name w:val="其他发布部门"/>
    <w:basedOn w:val="121"/>
    <w:qFormat/>
    <w:uiPriority w:val="0"/>
    <w:pPr>
      <w:framePr w:wrap="around"/>
      <w:spacing w:line="0" w:lineRule="atLeast"/>
    </w:pPr>
    <w:rPr>
      <w:rFonts w:ascii="黑体" w:eastAsia="黑体"/>
      <w:b w:val="0"/>
    </w:rPr>
  </w:style>
  <w:style w:type="paragraph" w:customStyle="1" w:styleId="154">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5">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6">
    <w:name w:val="实施日期"/>
    <w:basedOn w:val="122"/>
    <w:qFormat/>
    <w:uiPriority w:val="0"/>
    <w:pPr>
      <w:framePr w:hSpace="0" w:wrap="around" w:xAlign="right"/>
      <w:jc w:val="right"/>
    </w:pPr>
  </w:style>
  <w:style w:type="paragraph" w:customStyle="1" w:styleId="157">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8">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9">
    <w:name w:val="无标题条"/>
    <w:next w:val="58"/>
    <w:qFormat/>
    <w:uiPriority w:val="0"/>
    <w:pPr>
      <w:jc w:val="both"/>
    </w:pPr>
    <w:rPr>
      <w:rFonts w:ascii="宋体" w:hAnsi="宋体" w:eastAsia="宋体" w:cs="Times New Roman"/>
      <w:sz w:val="21"/>
      <w:lang w:val="en-US" w:eastAsia="zh-CN" w:bidi="ar-SA"/>
    </w:rPr>
  </w:style>
  <w:style w:type="paragraph" w:customStyle="1" w:styleId="160">
    <w:name w:val="五级无标题条"/>
    <w:basedOn w:val="1"/>
    <w:qFormat/>
    <w:uiPriority w:val="0"/>
    <w:pPr>
      <w:numPr>
        <w:ilvl w:val="6"/>
        <w:numId w:val="20"/>
      </w:numPr>
      <w:adjustRightInd/>
    </w:pPr>
    <w:rPr>
      <w:szCs w:val="24"/>
    </w:rPr>
  </w:style>
  <w:style w:type="paragraph" w:customStyle="1" w:styleId="161">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2">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3">
    <w:name w:val="注×:后续"/>
    <w:basedOn w:val="162"/>
    <w:qFormat/>
    <w:uiPriority w:val="0"/>
    <w:pPr>
      <w:ind w:left="1406" w:leftChars="0" w:hanging="499" w:firstLineChars="0"/>
    </w:pPr>
  </w:style>
  <w:style w:type="paragraph" w:customStyle="1" w:styleId="164">
    <w:name w:val="标准文件_一级无标题"/>
    <w:basedOn w:val="107"/>
    <w:qFormat/>
    <w:uiPriority w:val="0"/>
    <w:pPr>
      <w:spacing w:before="0" w:beforeLines="0" w:after="0" w:afterLines="0"/>
      <w:outlineLvl w:val="9"/>
    </w:pPr>
    <w:rPr>
      <w:rFonts w:ascii="宋体" w:eastAsia="宋体"/>
    </w:rPr>
  </w:style>
  <w:style w:type="paragraph" w:customStyle="1" w:styleId="165">
    <w:name w:val="标准文件_五级无标题"/>
    <w:basedOn w:val="105"/>
    <w:qFormat/>
    <w:uiPriority w:val="0"/>
    <w:pPr>
      <w:spacing w:before="0" w:beforeLines="0" w:after="0" w:afterLines="0"/>
      <w:outlineLvl w:val="9"/>
    </w:pPr>
    <w:rPr>
      <w:rFonts w:ascii="宋体" w:eastAsia="宋体"/>
    </w:rPr>
  </w:style>
  <w:style w:type="paragraph" w:customStyle="1" w:styleId="166">
    <w:name w:val="标准文件_三级无标题"/>
    <w:basedOn w:val="96"/>
    <w:qFormat/>
    <w:uiPriority w:val="0"/>
    <w:pPr>
      <w:spacing w:before="0" w:beforeLines="0" w:after="0" w:afterLines="0"/>
      <w:outlineLvl w:val="9"/>
    </w:pPr>
    <w:rPr>
      <w:rFonts w:ascii="宋体" w:eastAsia="宋体"/>
    </w:rPr>
  </w:style>
  <w:style w:type="paragraph" w:customStyle="1" w:styleId="167">
    <w:name w:val="标准文件_二级无标题"/>
    <w:basedOn w:val="67"/>
    <w:qFormat/>
    <w:uiPriority w:val="0"/>
    <w:pPr>
      <w:spacing w:before="0" w:beforeLines="0" w:after="0" w:afterLines="0"/>
      <w:outlineLvl w:val="9"/>
    </w:pPr>
    <w:rPr>
      <w:rFonts w:ascii="宋体" w:eastAsia="宋体"/>
    </w:rPr>
  </w:style>
  <w:style w:type="paragraph" w:customStyle="1" w:styleId="168">
    <w:name w:val="标准_四级无标题"/>
    <w:basedOn w:val="100"/>
    <w:next w:val="58"/>
    <w:qFormat/>
    <w:uiPriority w:val="0"/>
    <w:rPr>
      <w:rFonts w:eastAsia="宋体"/>
    </w:rPr>
  </w:style>
  <w:style w:type="paragraph" w:customStyle="1" w:styleId="169">
    <w:name w:val="标准文件_四级无标题"/>
    <w:basedOn w:val="100"/>
    <w:qFormat/>
    <w:uiPriority w:val="0"/>
    <w:pPr>
      <w:spacing w:before="0" w:beforeLines="0" w:after="0" w:afterLines="0"/>
      <w:outlineLvl w:val="9"/>
    </w:pPr>
    <w:rPr>
      <w:rFonts w:ascii="宋体" w:hAnsi="黑体" w:eastAsia="宋体"/>
      <w:szCs w:val="52"/>
    </w:rPr>
  </w:style>
  <w:style w:type="paragraph" w:customStyle="1" w:styleId="170">
    <w:name w:val="标准文件_大写罗马数字编号列项"/>
    <w:basedOn w:val="58"/>
    <w:qFormat/>
    <w:uiPriority w:val="0"/>
    <w:pPr>
      <w:numPr>
        <w:ilvl w:val="0"/>
        <w:numId w:val="23"/>
      </w:numPr>
      <w:ind w:firstLine="0" w:firstLineChars="0"/>
    </w:pPr>
    <w:rPr>
      <w:rFonts w:ascii="Times New Roman" w:cs="Arial"/>
      <w:szCs w:val="28"/>
    </w:rPr>
  </w:style>
  <w:style w:type="paragraph" w:customStyle="1" w:styleId="171">
    <w:name w:val="标准文件_小写罗马数字编号列项"/>
    <w:basedOn w:val="58"/>
    <w:qFormat/>
    <w:uiPriority w:val="0"/>
    <w:pPr>
      <w:numPr>
        <w:ilvl w:val="0"/>
        <w:numId w:val="24"/>
      </w:numPr>
      <w:ind w:firstLine="0" w:firstLineChars="0"/>
    </w:pPr>
    <w:rPr>
      <w:rFonts w:cs="Arial"/>
      <w:szCs w:val="28"/>
    </w:rPr>
  </w:style>
  <w:style w:type="paragraph" w:customStyle="1" w:styleId="172">
    <w:name w:val="标准文件_附录标题"/>
    <w:basedOn w:val="78"/>
    <w:qFormat/>
    <w:uiPriority w:val="0"/>
    <w:pPr>
      <w:numPr>
        <w:numId w:val="0"/>
      </w:numPr>
      <w:spacing w:after="280"/>
      <w:outlineLvl w:val="9"/>
    </w:pPr>
  </w:style>
  <w:style w:type="paragraph" w:customStyle="1" w:styleId="173">
    <w:name w:val="标准文件_二级项"/>
    <w:qFormat/>
    <w:uiPriority w:val="0"/>
    <w:rPr>
      <w:rFonts w:ascii="宋体" w:hAnsi="Times New Roman" w:eastAsia="宋体" w:cs="Times New Roman"/>
      <w:sz w:val="21"/>
      <w:lang w:val="en-US" w:eastAsia="zh-CN" w:bidi="ar-SA"/>
    </w:rPr>
  </w:style>
  <w:style w:type="paragraph" w:customStyle="1" w:styleId="174">
    <w:name w:val="标准文件_三级项"/>
    <w:basedOn w:val="1"/>
    <w:qFormat/>
    <w:uiPriority w:val="0"/>
    <w:pPr>
      <w:numPr>
        <w:ilvl w:val="2"/>
        <w:numId w:val="21"/>
      </w:numPr>
      <w:spacing w:line="536870612" w:lineRule="auto"/>
    </w:pPr>
    <w:rPr>
      <w:rFonts w:ascii="Times New Roman" w:hAnsi="Times New Roman"/>
    </w:rPr>
  </w:style>
  <w:style w:type="paragraph" w:customStyle="1" w:styleId="175">
    <w:name w:val="图表脚注说明"/>
    <w:basedOn w:val="1"/>
    <w:next w:val="58"/>
    <w:qFormat/>
    <w:uiPriority w:val="0"/>
    <w:pPr>
      <w:numPr>
        <w:ilvl w:val="0"/>
        <w:numId w:val="25"/>
      </w:numPr>
      <w:adjustRightInd/>
      <w:spacing w:line="240" w:lineRule="auto"/>
      <w:ind w:left="783"/>
    </w:pPr>
    <w:rPr>
      <w:rFonts w:ascii="宋体" w:hAnsi="Times New Roman"/>
      <w:sz w:val="18"/>
      <w:szCs w:val="18"/>
    </w:rPr>
  </w:style>
  <w:style w:type="paragraph" w:customStyle="1" w:styleId="176">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7">
    <w:name w:val="标准文件_索引字母"/>
    <w:next w:val="58"/>
    <w:qFormat/>
    <w:uiPriority w:val="0"/>
    <w:pPr>
      <w:jc w:val="center"/>
    </w:pPr>
    <w:rPr>
      <w:rFonts w:ascii="宋体" w:hAnsi="宋体" w:eastAsia="Times New Roman" w:cs="Times New Roman"/>
      <w:b/>
      <w:kern w:val="2"/>
      <w:sz w:val="21"/>
      <w:lang w:val="en-US" w:eastAsia="zh-CN" w:bidi="ar-SA"/>
    </w:rPr>
  </w:style>
  <w:style w:type="paragraph" w:customStyle="1" w:styleId="178">
    <w:name w:val="标准文件_附录前"/>
    <w:next w:val="58"/>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9">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0">
    <w:name w:val="标准文件_表格"/>
    <w:basedOn w:val="58"/>
    <w:qFormat/>
    <w:uiPriority w:val="0"/>
    <w:pPr>
      <w:ind w:firstLine="0" w:firstLineChars="0"/>
      <w:jc w:val="center"/>
    </w:pPr>
    <w:rPr>
      <w:sz w:val="18"/>
    </w:rPr>
  </w:style>
  <w:style w:type="paragraph" w:customStyle="1" w:styleId="181">
    <w:name w:val="标准文件_注："/>
    <w:next w:val="58"/>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2">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3">
    <w:name w:val="标准文件_示例："/>
    <w:next w:val="184"/>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4">
    <w:name w:val="标准文件_示例内容"/>
    <w:basedOn w:val="58"/>
    <w:qFormat/>
    <w:uiPriority w:val="0"/>
    <w:pPr>
      <w:ind w:firstLine="420"/>
    </w:pPr>
    <w:rPr>
      <w:sz w:val="18"/>
    </w:rPr>
  </w:style>
  <w:style w:type="paragraph" w:customStyle="1" w:styleId="185">
    <w:name w:val="标准文件_示例×："/>
    <w:basedOn w:val="1"/>
    <w:next w:val="184"/>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6">
    <w:name w:val="标准文件_段 Char"/>
    <w:link w:val="58"/>
    <w:qFormat/>
    <w:uiPriority w:val="0"/>
    <w:rPr>
      <w:rFonts w:ascii="宋体" w:hAnsi="Times New Roman"/>
      <w:sz w:val="21"/>
    </w:rPr>
  </w:style>
  <w:style w:type="paragraph" w:customStyle="1" w:styleId="187">
    <w:name w:val="标准文件_表格续"/>
    <w:basedOn w:val="58"/>
    <w:next w:val="58"/>
    <w:qFormat/>
    <w:uiPriority w:val="0"/>
    <w:pPr>
      <w:jc w:val="center"/>
    </w:pPr>
    <w:rPr>
      <w:rFonts w:ascii="黑体" w:hAnsi="黑体" w:eastAsia="黑体"/>
    </w:rPr>
  </w:style>
  <w:style w:type="character" w:styleId="188">
    <w:name w:val="Placeholder Text"/>
    <w:basedOn w:val="30"/>
    <w:semiHidden/>
    <w:unhideWhenUsed/>
    <w:uiPriority w:val="99"/>
    <w:rPr>
      <w:color w:val="808080"/>
    </w:rPr>
  </w:style>
  <w:style w:type="paragraph" w:customStyle="1" w:styleId="189">
    <w:name w:val="标准文件_二级项2"/>
    <w:basedOn w:val="58"/>
    <w:qFormat/>
    <w:uiPriority w:val="0"/>
    <w:pPr>
      <w:numPr>
        <w:ilvl w:val="1"/>
        <w:numId w:val="21"/>
      </w:numPr>
      <w:ind w:left="1271" w:hanging="420" w:firstLineChars="0"/>
    </w:pPr>
  </w:style>
  <w:style w:type="paragraph" w:customStyle="1" w:styleId="190">
    <w:name w:val="标准文件_三级项2"/>
    <w:basedOn w:val="58"/>
    <w:qFormat/>
    <w:uiPriority w:val="0"/>
    <w:pPr>
      <w:numPr>
        <w:ilvl w:val="0"/>
        <w:numId w:val="30"/>
      </w:numPr>
      <w:spacing w:line="300" w:lineRule="exact"/>
      <w:ind w:left="1276" w:hanging="425" w:firstLineChars="0"/>
    </w:pPr>
    <w:rPr>
      <w:rFonts w:ascii="Times New Roman"/>
    </w:rPr>
  </w:style>
  <w:style w:type="paragraph" w:customStyle="1" w:styleId="191">
    <w:name w:val="标准文件_一级项2"/>
    <w:basedOn w:val="58"/>
    <w:qFormat/>
    <w:uiPriority w:val="0"/>
    <w:pPr>
      <w:numPr>
        <w:ilvl w:val="0"/>
        <w:numId w:val="31"/>
      </w:numPr>
      <w:spacing w:line="300" w:lineRule="exact"/>
      <w:ind w:left="1271" w:hanging="420" w:firstLineChars="0"/>
    </w:pPr>
    <w:rPr>
      <w:rFonts w:ascii="Times New Roman"/>
    </w:rPr>
  </w:style>
  <w:style w:type="paragraph" w:customStyle="1" w:styleId="192">
    <w:name w:val="标准文件_提示"/>
    <w:basedOn w:val="58"/>
    <w:next w:val="58"/>
    <w:qFormat/>
    <w:uiPriority w:val="0"/>
    <w:pPr>
      <w:ind w:firstLine="420"/>
    </w:pPr>
    <w:rPr>
      <w:rFonts w:ascii="黑体" w:eastAsia="黑体"/>
    </w:rPr>
  </w:style>
  <w:style w:type="character" w:customStyle="1" w:styleId="193">
    <w:name w:val="标准文件_来源"/>
    <w:basedOn w:val="30"/>
    <w:qFormat/>
    <w:uiPriority w:val="1"/>
    <w:rPr>
      <w:rFonts w:eastAsia="宋体"/>
      <w:sz w:val="21"/>
    </w:rPr>
  </w:style>
  <w:style w:type="paragraph" w:customStyle="1" w:styleId="194">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5">
    <w:name w:val="其他发布日期"/>
    <w:basedOn w:val="122"/>
    <w:qFormat/>
    <w:uiPriority w:val="0"/>
    <w:pPr>
      <w:framePr w:w="3997" w:h="471" w:hRule="exact" w:hSpace="0" w:vSpace="181" w:wrap="around" w:vAnchor="page" w:hAnchor="page" w:x="1419" w:y="14097"/>
    </w:pPr>
  </w:style>
  <w:style w:type="paragraph" w:customStyle="1" w:styleId="196">
    <w:name w:val="其他实施日期"/>
    <w:basedOn w:val="156"/>
    <w:qFormat/>
    <w:uiPriority w:val="0"/>
    <w:pPr>
      <w:framePr w:w="3997" w:h="471" w:hRule="exact" w:vSpace="181" w:wrap="around" w:vAnchor="page" w:hAnchor="page" w:x="7089" w:y="14097"/>
    </w:pPr>
  </w:style>
  <w:style w:type="paragraph" w:customStyle="1" w:styleId="197">
    <w:name w:val="标准文件_文件编号"/>
    <w:basedOn w:val="58"/>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8">
    <w:name w:val="标准文件_替换文件编号"/>
    <w:basedOn w:val="197"/>
    <w:qFormat/>
    <w:uiPriority w:val="0"/>
    <w:pPr>
      <w:spacing w:before="57"/>
    </w:pPr>
    <w:rPr>
      <w:sz w:val="21"/>
    </w:rPr>
  </w:style>
  <w:style w:type="paragraph" w:customStyle="1" w:styleId="199">
    <w:name w:val="标准文件_文件名称"/>
    <w:basedOn w:val="58"/>
    <w:next w:val="58"/>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0">
    <w:name w:val="标准文件_附录图标号"/>
    <w:basedOn w:val="58"/>
    <w:next w:val="58"/>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1">
    <w:name w:val="标准文件_附录表标号"/>
    <w:basedOn w:val="58"/>
    <w:next w:val="58"/>
    <w:qFormat/>
    <w:uiPriority w:val="0"/>
    <w:pPr>
      <w:numPr>
        <w:ilvl w:val="0"/>
        <w:numId w:val="5"/>
      </w:numPr>
      <w:spacing w:line="14" w:lineRule="exact"/>
      <w:ind w:firstLine="0" w:firstLineChars="0"/>
      <w:jc w:val="center"/>
    </w:pPr>
    <w:rPr>
      <w:rFonts w:eastAsia="黑体"/>
      <w:vanish/>
      <w:sz w:val="2"/>
    </w:rPr>
  </w:style>
  <w:style w:type="paragraph" w:customStyle="1" w:styleId="202">
    <w:name w:val="标准文件_引言一级条标题"/>
    <w:basedOn w:val="58"/>
    <w:next w:val="58"/>
    <w:qFormat/>
    <w:uiPriority w:val="0"/>
    <w:pPr>
      <w:numPr>
        <w:ilvl w:val="1"/>
        <w:numId w:val="8"/>
      </w:numPr>
      <w:spacing w:before="50" w:beforeLines="50" w:after="50" w:afterLines="50"/>
      <w:ind w:firstLineChars="0"/>
    </w:pPr>
    <w:rPr>
      <w:rFonts w:ascii="黑体" w:eastAsia="黑体"/>
    </w:rPr>
  </w:style>
  <w:style w:type="paragraph" w:customStyle="1" w:styleId="203">
    <w:name w:val="标准文件_引言二级条标题"/>
    <w:basedOn w:val="58"/>
    <w:next w:val="58"/>
    <w:qFormat/>
    <w:uiPriority w:val="0"/>
    <w:pPr>
      <w:numPr>
        <w:ilvl w:val="2"/>
        <w:numId w:val="8"/>
      </w:numPr>
      <w:spacing w:before="50" w:beforeLines="50" w:after="50" w:afterLines="50"/>
      <w:ind w:firstLineChars="0"/>
    </w:pPr>
    <w:rPr>
      <w:rFonts w:ascii="黑体" w:eastAsia="黑体"/>
    </w:rPr>
  </w:style>
  <w:style w:type="paragraph" w:customStyle="1" w:styleId="204">
    <w:name w:val="标准文件_引言三级条标题"/>
    <w:basedOn w:val="58"/>
    <w:next w:val="58"/>
    <w:qFormat/>
    <w:uiPriority w:val="0"/>
    <w:pPr>
      <w:numPr>
        <w:ilvl w:val="3"/>
        <w:numId w:val="8"/>
      </w:numPr>
      <w:spacing w:before="50" w:beforeLines="50" w:after="50" w:afterLines="50"/>
      <w:ind w:firstLineChars="0"/>
    </w:pPr>
    <w:rPr>
      <w:rFonts w:ascii="黑体" w:eastAsia="黑体"/>
    </w:rPr>
  </w:style>
  <w:style w:type="paragraph" w:customStyle="1" w:styleId="205">
    <w:name w:val="标准文件_引言四级条标题"/>
    <w:basedOn w:val="58"/>
    <w:next w:val="58"/>
    <w:qFormat/>
    <w:uiPriority w:val="0"/>
    <w:pPr>
      <w:numPr>
        <w:ilvl w:val="4"/>
        <w:numId w:val="8"/>
      </w:numPr>
      <w:spacing w:before="50" w:beforeLines="50" w:after="50" w:afterLines="50"/>
      <w:ind w:firstLineChars="0"/>
    </w:pPr>
    <w:rPr>
      <w:rFonts w:ascii="黑体" w:eastAsia="黑体"/>
    </w:rPr>
  </w:style>
  <w:style w:type="paragraph" w:customStyle="1" w:styleId="206">
    <w:name w:val="标准文件_引言五级条标题"/>
    <w:basedOn w:val="58"/>
    <w:next w:val="58"/>
    <w:qFormat/>
    <w:uiPriority w:val="0"/>
    <w:pPr>
      <w:numPr>
        <w:ilvl w:val="5"/>
        <w:numId w:val="8"/>
      </w:numPr>
      <w:spacing w:before="50" w:beforeLines="50" w:after="50" w:afterLines="50"/>
      <w:ind w:firstLineChars="0"/>
    </w:pPr>
    <w:rPr>
      <w:rFonts w:ascii="黑体" w:eastAsia="黑体"/>
    </w:rPr>
  </w:style>
  <w:style w:type="paragraph" w:customStyle="1" w:styleId="207">
    <w:name w:val="标准文件_注后"/>
    <w:basedOn w:val="58"/>
    <w:qFormat/>
    <w:uiPriority w:val="0"/>
    <w:pPr>
      <w:ind w:left="811" w:firstLine="0" w:firstLineChars="0"/>
    </w:pPr>
    <w:rPr>
      <w:sz w:val="18"/>
    </w:rPr>
  </w:style>
  <w:style w:type="paragraph" w:customStyle="1" w:styleId="208">
    <w:name w:val="标准文件_注X后"/>
    <w:basedOn w:val="58"/>
    <w:qFormat/>
    <w:uiPriority w:val="0"/>
    <w:pPr>
      <w:ind w:left="811" w:firstLine="0" w:firstLineChars="0"/>
    </w:pPr>
    <w:rPr>
      <w:sz w:val="18"/>
    </w:rPr>
  </w:style>
  <w:style w:type="paragraph" w:customStyle="1" w:styleId="209">
    <w:name w:val="标准文件_示例后"/>
    <w:basedOn w:val="58"/>
    <w:qFormat/>
    <w:uiPriority w:val="0"/>
    <w:pPr>
      <w:ind w:left="964" w:firstLine="0" w:firstLineChars="0"/>
    </w:pPr>
    <w:rPr>
      <w:sz w:val="18"/>
    </w:rPr>
  </w:style>
  <w:style w:type="paragraph" w:customStyle="1" w:styleId="210">
    <w:name w:val="标准文件_示例X后"/>
    <w:basedOn w:val="58"/>
    <w:link w:val="211"/>
    <w:qFormat/>
    <w:uiPriority w:val="0"/>
    <w:pPr>
      <w:ind w:left="1049" w:firstLine="0" w:firstLineChars="0"/>
    </w:pPr>
    <w:rPr>
      <w:sz w:val="18"/>
    </w:rPr>
  </w:style>
  <w:style w:type="character" w:customStyle="1" w:styleId="211">
    <w:name w:val="标准文件_示例X后 字符"/>
    <w:basedOn w:val="186"/>
    <w:link w:val="210"/>
    <w:qFormat/>
    <w:uiPriority w:val="0"/>
    <w:rPr>
      <w:rFonts w:ascii="宋体" w:hAnsi="Times New Roman"/>
      <w:sz w:val="18"/>
    </w:rPr>
  </w:style>
  <w:style w:type="paragraph" w:customStyle="1" w:styleId="212">
    <w:name w:val="标准文件_索引项"/>
    <w:basedOn w:val="58"/>
    <w:next w:val="58"/>
    <w:qFormat/>
    <w:uiPriority w:val="0"/>
    <w:pPr>
      <w:tabs>
        <w:tab w:val="right" w:leader="dot" w:pos="9356"/>
      </w:tabs>
      <w:ind w:left="210" w:hanging="210" w:firstLineChars="0"/>
      <w:jc w:val="left"/>
    </w:pPr>
  </w:style>
  <w:style w:type="paragraph" w:customStyle="1" w:styleId="213">
    <w:name w:val="标准文件_附录一级无标题"/>
    <w:basedOn w:val="80"/>
    <w:qFormat/>
    <w:uiPriority w:val="0"/>
    <w:pPr>
      <w:spacing w:before="0" w:beforeLines="0" w:after="0" w:afterLines="0" w:line="276" w:lineRule="auto"/>
      <w:outlineLvl w:val="9"/>
    </w:pPr>
    <w:rPr>
      <w:rFonts w:ascii="宋体" w:eastAsia="宋体"/>
    </w:rPr>
  </w:style>
  <w:style w:type="paragraph" w:customStyle="1" w:styleId="214">
    <w:name w:val="标准文件_附录二级无标题"/>
    <w:basedOn w:val="81"/>
    <w:qFormat/>
    <w:uiPriority w:val="0"/>
    <w:pPr>
      <w:spacing w:before="0" w:beforeLines="0" w:after="0" w:afterLines="0" w:line="276" w:lineRule="auto"/>
      <w:outlineLvl w:val="9"/>
    </w:pPr>
    <w:rPr>
      <w:rFonts w:ascii="宋体" w:eastAsia="宋体"/>
    </w:rPr>
  </w:style>
  <w:style w:type="paragraph" w:customStyle="1" w:styleId="215">
    <w:name w:val="标准文件_附录三级无标题"/>
    <w:basedOn w:val="83"/>
    <w:qFormat/>
    <w:uiPriority w:val="0"/>
    <w:pPr>
      <w:spacing w:before="0" w:beforeLines="0" w:after="0" w:afterLines="0" w:line="276" w:lineRule="auto"/>
      <w:outlineLvl w:val="9"/>
    </w:pPr>
    <w:rPr>
      <w:rFonts w:ascii="宋体" w:eastAsia="宋体"/>
    </w:rPr>
  </w:style>
  <w:style w:type="paragraph" w:customStyle="1" w:styleId="216">
    <w:name w:val="标准文件_附录四级无标题"/>
    <w:basedOn w:val="84"/>
    <w:qFormat/>
    <w:uiPriority w:val="0"/>
    <w:pPr>
      <w:spacing w:before="0" w:beforeLines="0" w:after="0" w:afterLines="0" w:line="276" w:lineRule="auto"/>
      <w:outlineLvl w:val="9"/>
    </w:pPr>
    <w:rPr>
      <w:rFonts w:ascii="宋体" w:eastAsia="宋体"/>
    </w:rPr>
  </w:style>
  <w:style w:type="paragraph" w:customStyle="1" w:styleId="217">
    <w:name w:val="标准文件_附录五级无标题"/>
    <w:basedOn w:val="86"/>
    <w:qFormat/>
    <w:uiPriority w:val="0"/>
    <w:pPr>
      <w:spacing w:before="0" w:beforeLines="0" w:after="0" w:afterLines="0" w:line="276" w:lineRule="auto"/>
      <w:outlineLvl w:val="9"/>
    </w:pPr>
    <w:rPr>
      <w:rFonts w:ascii="宋体" w:eastAsia="宋体"/>
    </w:rPr>
  </w:style>
  <w:style w:type="paragraph" w:customStyle="1" w:styleId="218">
    <w:name w:val="标准文件_引言一级无标题"/>
    <w:basedOn w:val="202"/>
    <w:next w:val="58"/>
    <w:qFormat/>
    <w:uiPriority w:val="0"/>
    <w:pPr>
      <w:spacing w:before="0" w:beforeLines="0" w:after="0" w:afterLines="0" w:line="276" w:lineRule="auto"/>
    </w:pPr>
    <w:rPr>
      <w:rFonts w:ascii="宋体" w:eastAsia="宋体"/>
    </w:rPr>
  </w:style>
  <w:style w:type="paragraph" w:customStyle="1" w:styleId="219">
    <w:name w:val="标准文件_引言二级无标题"/>
    <w:basedOn w:val="203"/>
    <w:next w:val="58"/>
    <w:qFormat/>
    <w:uiPriority w:val="0"/>
    <w:pPr>
      <w:spacing w:before="0" w:beforeLines="0" w:after="0" w:afterLines="0" w:line="276" w:lineRule="auto"/>
    </w:pPr>
    <w:rPr>
      <w:rFonts w:ascii="宋体" w:eastAsia="宋体"/>
    </w:rPr>
  </w:style>
  <w:style w:type="paragraph" w:customStyle="1" w:styleId="220">
    <w:name w:val="标准文件_引言三级无标题"/>
    <w:basedOn w:val="204"/>
    <w:qFormat/>
    <w:uiPriority w:val="0"/>
    <w:pPr>
      <w:spacing w:before="0" w:beforeLines="0" w:after="0" w:afterLines="0" w:line="276" w:lineRule="auto"/>
    </w:pPr>
    <w:rPr>
      <w:rFonts w:ascii="宋体" w:eastAsia="宋体"/>
    </w:rPr>
  </w:style>
  <w:style w:type="paragraph" w:customStyle="1" w:styleId="221">
    <w:name w:val="标准文件_引言四级无标题"/>
    <w:basedOn w:val="205"/>
    <w:next w:val="58"/>
    <w:qFormat/>
    <w:uiPriority w:val="0"/>
    <w:pPr>
      <w:spacing w:before="0" w:beforeLines="0" w:after="0" w:afterLines="0" w:line="276" w:lineRule="auto"/>
    </w:pPr>
    <w:rPr>
      <w:rFonts w:ascii="宋体" w:eastAsia="宋体"/>
    </w:rPr>
  </w:style>
  <w:style w:type="paragraph" w:customStyle="1" w:styleId="222">
    <w:name w:val="标准文件_引言五级无标题"/>
    <w:basedOn w:val="206"/>
    <w:next w:val="58"/>
    <w:qFormat/>
    <w:uiPriority w:val="0"/>
    <w:pPr>
      <w:spacing w:before="0" w:beforeLines="0" w:after="0" w:afterLines="0" w:line="276" w:lineRule="auto"/>
    </w:pPr>
    <w:rPr>
      <w:rFonts w:ascii="宋体" w:eastAsia="宋体"/>
    </w:rPr>
  </w:style>
  <w:style w:type="paragraph" w:customStyle="1" w:styleId="223">
    <w:name w:val="标准文件_索引标题"/>
    <w:basedOn w:val="65"/>
    <w:next w:val="58"/>
    <w:qFormat/>
    <w:uiPriority w:val="0"/>
    <w:rPr>
      <w:rFonts w:hAnsi="黑体"/>
    </w:rPr>
  </w:style>
  <w:style w:type="paragraph" w:customStyle="1" w:styleId="224">
    <w:name w:val="标准文件_脚注内容"/>
    <w:basedOn w:val="58"/>
    <w:qFormat/>
    <w:uiPriority w:val="0"/>
    <w:pPr>
      <w:ind w:left="400" w:leftChars="200" w:hanging="200" w:hangingChars="200"/>
    </w:pPr>
    <w:rPr>
      <w:sz w:val="15"/>
    </w:rPr>
  </w:style>
  <w:style w:type="paragraph" w:customStyle="1" w:styleId="225">
    <w:name w:val="标准文件_术语条一"/>
    <w:basedOn w:val="164"/>
    <w:next w:val="58"/>
    <w:qFormat/>
    <w:uiPriority w:val="0"/>
  </w:style>
  <w:style w:type="paragraph" w:customStyle="1" w:styleId="226">
    <w:name w:val="标准文件_术语条二"/>
    <w:basedOn w:val="167"/>
    <w:next w:val="58"/>
    <w:qFormat/>
    <w:uiPriority w:val="0"/>
  </w:style>
  <w:style w:type="paragraph" w:customStyle="1" w:styleId="227">
    <w:name w:val="标准文件_术语条三"/>
    <w:basedOn w:val="166"/>
    <w:next w:val="58"/>
    <w:qFormat/>
    <w:uiPriority w:val="0"/>
  </w:style>
  <w:style w:type="paragraph" w:customStyle="1" w:styleId="228">
    <w:name w:val="标准文件_术语条四"/>
    <w:basedOn w:val="169"/>
    <w:next w:val="58"/>
    <w:qFormat/>
    <w:uiPriority w:val="0"/>
  </w:style>
  <w:style w:type="paragraph" w:customStyle="1" w:styleId="229">
    <w:name w:val="标准文件_术语条五"/>
    <w:basedOn w:val="165"/>
    <w:next w:val="58"/>
    <w:qFormat/>
    <w:uiPriority w:val="0"/>
  </w:style>
  <w:style w:type="paragraph" w:customStyle="1" w:styleId="2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1">
    <w:name w:val="未处理的提及1"/>
    <w:basedOn w:val="30"/>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glossaryDocument" Target="glossary/document.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3.jpeg"/><Relationship Id="rId20" Type="http://schemas.openxmlformats.org/officeDocument/2006/relationships/image" Target="media/image2.tiff"/><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5.xml"/><Relationship Id="rId16" Type="http://schemas.openxmlformats.org/officeDocument/2006/relationships/footer" Target="footer4.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63FC45203A64275A76C150A0FCCD033"/>
        <w:style w:val=""/>
        <w:category>
          <w:name w:val="常规"/>
          <w:gallery w:val="placeholder"/>
        </w:category>
        <w:types>
          <w:type w:val="bbPlcHdr"/>
        </w:types>
        <w:behaviors>
          <w:behavior w:val="content"/>
        </w:behaviors>
        <w:description w:val=""/>
        <w:guid w:val="{97933662-328B-462F-A976-1E575CC8C1C0}"/>
      </w:docPartPr>
      <w:docPartBody>
        <w:p w14:paraId="4C11849E">
          <w:pPr>
            <w:pStyle w:val="5"/>
            <w:rPr>
              <w:rFonts w:hint="eastAsia"/>
            </w:rPr>
          </w:pPr>
          <w:r>
            <w:rPr>
              <w:rStyle w:val="4"/>
              <w:rFonts w:hint="eastAsia"/>
            </w:rPr>
            <w:t>单击或点击此处输入文字。</w:t>
          </w:r>
        </w:p>
      </w:docPartBody>
    </w:docPart>
    <w:docPart>
      <w:docPartPr>
        <w:name w:val="E686EDF717AD4F268CB19F0259F69971"/>
        <w:style w:val=""/>
        <w:category>
          <w:name w:val="常规"/>
          <w:gallery w:val="placeholder"/>
        </w:category>
        <w:types>
          <w:type w:val="bbPlcHdr"/>
        </w:types>
        <w:behaviors>
          <w:behavior w:val="content"/>
        </w:behaviors>
        <w:description w:val=""/>
        <w:guid w:val="{6A3C7C62-365F-4201-BF89-B4C86890A78B}"/>
      </w:docPartPr>
      <w:docPartBody>
        <w:p w14:paraId="6EA40EB5">
          <w:pPr>
            <w:pStyle w:val="6"/>
            <w:rPr>
              <w:rFonts w:hint="eastAsia"/>
            </w:rPr>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A75"/>
    <w:rsid w:val="000164E4"/>
    <w:rsid w:val="00036B9C"/>
    <w:rsid w:val="000D4250"/>
    <w:rsid w:val="000E6D0E"/>
    <w:rsid w:val="00123818"/>
    <w:rsid w:val="001D638D"/>
    <w:rsid w:val="002A5BDD"/>
    <w:rsid w:val="002B3EF7"/>
    <w:rsid w:val="00350033"/>
    <w:rsid w:val="00374C33"/>
    <w:rsid w:val="003A5A75"/>
    <w:rsid w:val="003C095A"/>
    <w:rsid w:val="004130EB"/>
    <w:rsid w:val="004506EF"/>
    <w:rsid w:val="00593E3C"/>
    <w:rsid w:val="005C35D3"/>
    <w:rsid w:val="005D2799"/>
    <w:rsid w:val="006023FF"/>
    <w:rsid w:val="00647BB1"/>
    <w:rsid w:val="00652D93"/>
    <w:rsid w:val="008540EF"/>
    <w:rsid w:val="00862EBB"/>
    <w:rsid w:val="008E0BAE"/>
    <w:rsid w:val="0093115A"/>
    <w:rsid w:val="00960AEB"/>
    <w:rsid w:val="00A77835"/>
    <w:rsid w:val="00B37019"/>
    <w:rsid w:val="00B42654"/>
    <w:rsid w:val="00B838FA"/>
    <w:rsid w:val="00BF0847"/>
    <w:rsid w:val="00C56054"/>
    <w:rsid w:val="00C60B12"/>
    <w:rsid w:val="00CE7624"/>
    <w:rsid w:val="00D831B1"/>
    <w:rsid w:val="00DB133D"/>
    <w:rsid w:val="00DE4181"/>
    <w:rsid w:val="00E4094A"/>
    <w:rsid w:val="00E77E43"/>
    <w:rsid w:val="00ED0D44"/>
    <w:rsid w:val="00EF059C"/>
    <w:rsid w:val="00EF0D47"/>
    <w:rsid w:val="00F113F5"/>
    <w:rsid w:val="00F24F76"/>
    <w:rsid w:val="00F60958"/>
    <w:rsid w:val="00FB4A5C"/>
    <w:rsid w:val="00FE3D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A63FC45203A64275A76C150A0FCCD033"/>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6">
    <w:name w:val="E686EDF717AD4F268CB19F0259F69971"/>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230EFA-3F40-4753-8853-532FE0C59DFA}">
  <ds:schemaRefs/>
</ds:datastoreItem>
</file>

<file path=docProps/app.xml><?xml version="1.0" encoding="utf-8"?>
<Properties xmlns="http://schemas.openxmlformats.org/officeDocument/2006/extended-properties" xmlns:vt="http://schemas.openxmlformats.org/officeDocument/2006/docPropsVTypes">
  <Template>国家标准.dotx</Template>
  <Company>PCMI</Company>
  <Pages>20</Pages>
  <Words>2181</Words>
  <Characters>2522</Characters>
  <Lines>41</Lines>
  <Paragraphs>11</Paragraphs>
  <TotalTime>0</TotalTime>
  <ScaleCrop>false</ScaleCrop>
  <LinksUpToDate>false</LinksUpToDate>
  <CharactersWithSpaces>2637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2024-08-29T12:35:00Z</dcterms:created>
  <dc:creator>null</dc:creator>
  <dc:description>&lt;config cover="true" show_menu="true" version="1.0.0" doctype="SDKXY"&gt;_x000d_
&lt;/config&gt;</dc:description>
  <cp:lastModifiedBy>zuofl</cp:lastModifiedBy>
  <cp:lastPrinted>2024-06-15T08:11:00Z</cp:lastPrinted>
  <dcterms:modified xsi:type="dcterms:W3CDTF">2025-09-04T02:01:05Z</dcterms:modified>
  <dc:title>国家标准</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国家标准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TemplateDocerSaveRecord">
    <vt:lpwstr>eyJoZGlkIjoiY2YzYjY4NTA2ZTQyN2M4M2U3YzM0NzZhYjZhNmMwN2QiLCJ1c2VySWQiOiI5NjA3MDE3NTcifQ==</vt:lpwstr>
  </property>
  <property fmtid="{D5CDD505-2E9C-101B-9397-08002B2CF9AE}" pid="15" name="KSOProductBuildVer">
    <vt:lpwstr>2052-12.1.0.22529</vt:lpwstr>
  </property>
  <property fmtid="{D5CDD505-2E9C-101B-9397-08002B2CF9AE}" pid="16" name="ICV">
    <vt:lpwstr>F4A0E28890984301862EF14C9E040F41_13</vt:lpwstr>
  </property>
</Properties>
</file>