
<file path=[Content_Types].xml><?xml version="1.0" encoding="utf-8"?>
<Types xmlns="http://schemas.openxmlformats.org/package/2006/content-types">
  <Default Extension="xml" ContentType="application/xml"/>
  <Default Extension="jpeg" ContentType="image/jpeg"/>
  <Default Extension="JPG" ContentType="image/.jpg"/>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notes.xml" ContentType="application/vnd.openxmlformats-officedocument.wordprocessingml.footnotes+xml"/>
  <Override PartName="/word/glossary/document.xml" ContentType="application/vnd.openxmlformats-officedocument.wordprocessingml.document.glossary+xml"/>
  <Override PartName="/word/glossary/fontTable.xml" ContentType="application/vnd.openxmlformats-officedocument.wordprocessingml.fontTable+xml"/>
  <Override PartName="/word/glossary/settings.xml" ContentType="application/vnd.openxmlformats-officedocument.wordprocessingml.settings+xml"/>
  <Override PartName="/word/glossary/styles.xml" ContentType="application/vnd.openxmlformats-officedocument.wordprocessingml.styl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tbl>
      <w:tblPr>
        <w:tblStyle w:val="27"/>
        <w:tblW w:w="9364"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0" w:type="dxa"/>
          <w:bottom w:w="0" w:type="dxa"/>
          <w:right w:w="0" w:type="dxa"/>
        </w:tblCellMar>
      </w:tblPr>
      <w:tblGrid>
        <w:gridCol w:w="509"/>
        <w:gridCol w:w="8855"/>
      </w:tblGrid>
      <w:tr w14:paraId="0B14569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c>
          <w:tcPr>
            <w:tcW w:w="509" w:type="dxa"/>
          </w:tcPr>
          <w:p w14:paraId="21D5D25E">
            <w:pPr>
              <w:pStyle w:val="18"/>
              <w:framePr w:wrap="notBeside" w:vAnchor="page" w:hAnchor="page" w:x="1372" w:y="568"/>
              <w:tabs>
                <w:tab w:val="clear" w:pos="4153"/>
                <w:tab w:val="clear" w:pos="8306"/>
              </w:tabs>
              <w:spacing w:line="240" w:lineRule="auto"/>
              <w:jc w:val="left"/>
              <w:rPr>
                <w:rFonts w:hint="eastAsia" w:ascii="黑体" w:hAnsi="黑体" w:eastAsia="黑体"/>
                <w:sz w:val="21"/>
                <w:szCs w:val="21"/>
              </w:rPr>
            </w:pPr>
            <w:r>
              <w:rPr>
                <w:rFonts w:ascii="Times New Roman" w:hAnsi="Times New Roman" w:eastAsia="黑体"/>
                <w:sz w:val="21"/>
                <w:szCs w:val="21"/>
              </w:rPr>
              <w:t>ICS</w:t>
            </w:r>
            <w:r>
              <w:rPr>
                <w:rFonts w:ascii="黑体" w:hAnsi="黑体" w:eastAsia="黑体"/>
                <w:sz w:val="21"/>
                <w:szCs w:val="21"/>
              </w:rPr>
              <w:t xml:space="preserve">  </w:t>
            </w:r>
          </w:p>
        </w:tc>
        <w:tc>
          <w:tcPr>
            <w:tcW w:w="8855" w:type="dxa"/>
          </w:tcPr>
          <w:p w14:paraId="22F423F6">
            <w:pPr>
              <w:pStyle w:val="18"/>
              <w:framePr w:wrap="notBeside" w:vAnchor="page" w:hAnchor="page" w:x="1372" w:y="568"/>
              <w:tabs>
                <w:tab w:val="clear" w:pos="4153"/>
                <w:tab w:val="clear" w:pos="8306"/>
              </w:tabs>
              <w:spacing w:line="240" w:lineRule="auto"/>
              <w:ind w:left="3"/>
              <w:jc w:val="both"/>
              <w:rPr>
                <w:rFonts w:hint="default" w:ascii="黑体" w:hAnsi="黑体" w:eastAsia="黑体"/>
                <w:sz w:val="21"/>
                <w:szCs w:val="21"/>
                <w:lang w:val="en-US" w:eastAsia="zh-CN"/>
              </w:rPr>
            </w:pPr>
            <w:r>
              <w:rPr>
                <w:rFonts w:hint="eastAsia" w:ascii="黑体" w:hAnsi="黑体" w:eastAsia="黑体"/>
                <w:sz w:val="21"/>
                <w:szCs w:val="21"/>
                <w:lang w:val="en-US" w:eastAsia="zh-CN"/>
              </w:rPr>
              <w:t>13.2</w:t>
            </w:r>
          </w:p>
        </w:tc>
      </w:tr>
      <w:tr w14:paraId="46751AC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c>
          <w:tcPr>
            <w:tcW w:w="509" w:type="dxa"/>
          </w:tcPr>
          <w:p w14:paraId="264B41AA">
            <w:pPr>
              <w:pStyle w:val="18"/>
              <w:framePr w:wrap="notBeside" w:vAnchor="page" w:hAnchor="page" w:x="1372" w:y="568"/>
              <w:tabs>
                <w:tab w:val="clear" w:pos="4153"/>
                <w:tab w:val="clear" w:pos="8306"/>
              </w:tabs>
              <w:spacing w:before="40" w:line="240" w:lineRule="auto"/>
              <w:jc w:val="left"/>
              <w:rPr>
                <w:rFonts w:hint="eastAsia" w:ascii="黑体" w:hAnsi="黑体" w:eastAsia="黑体"/>
                <w:sz w:val="21"/>
                <w:szCs w:val="21"/>
              </w:rPr>
            </w:pPr>
            <w:r>
              <w:rPr>
                <w:rFonts w:ascii="Times New Roman" w:hAnsi="Times New Roman" w:eastAsia="黑体"/>
                <w:sz w:val="21"/>
                <w:szCs w:val="21"/>
              </w:rPr>
              <w:t xml:space="preserve">CCS </w:t>
            </w:r>
            <w:r>
              <w:rPr>
                <w:rFonts w:ascii="黑体" w:hAnsi="黑体" w:eastAsia="黑体"/>
                <w:sz w:val="21"/>
                <w:szCs w:val="21"/>
              </w:rPr>
              <w:t xml:space="preserve"> </w:t>
            </w:r>
          </w:p>
        </w:tc>
        <w:tc>
          <w:tcPr>
            <w:tcW w:w="8855" w:type="dxa"/>
          </w:tcPr>
          <w:p w14:paraId="3022E9EE">
            <w:pPr>
              <w:pStyle w:val="18"/>
              <w:framePr w:wrap="notBeside" w:vAnchor="page" w:hAnchor="page" w:x="1372" w:y="568"/>
              <w:tabs>
                <w:tab w:val="clear" w:pos="4153"/>
                <w:tab w:val="clear" w:pos="8306"/>
              </w:tabs>
              <w:spacing w:before="40" w:line="240" w:lineRule="auto"/>
              <w:jc w:val="left"/>
              <w:rPr>
                <w:rFonts w:hint="default" w:ascii="黑体" w:hAnsi="黑体" w:eastAsia="黑体"/>
                <w:sz w:val="21"/>
                <w:szCs w:val="21"/>
                <w:lang w:val="en-US" w:eastAsia="zh-CN"/>
              </w:rPr>
            </w:pPr>
            <w:r>
              <w:rPr>
                <w:rFonts w:hint="eastAsia" w:ascii="黑体" w:hAnsi="黑体" w:eastAsia="黑体"/>
                <w:sz w:val="21"/>
                <w:szCs w:val="21"/>
                <w:lang w:val="en-US" w:eastAsia="zh-CN"/>
              </w:rPr>
              <w:t>A90</w:t>
            </w:r>
          </w:p>
        </w:tc>
      </w:tr>
    </w:tbl>
    <w:tbl>
      <w:tblPr>
        <w:tblStyle w:val="27"/>
        <w:tblpPr w:leftFromText="181" w:rightFromText="181" w:horzAnchor="margin" w:tblpX="3857" w:tblpY="568"/>
        <w:tblW w:w="0" w:type="auto"/>
        <w:tblInd w:w="0" w:type="dxa"/>
        <w:tblBorders>
          <w:top w:val="none" w:color="auto" w:sz="0" w:space="0"/>
          <w:left w:val="none" w:color="auto" w:sz="0" w:space="0"/>
          <w:bottom w:val="none" w:color="auto" w:sz="0" w:space="0"/>
          <w:right w:val="none" w:color="auto" w:sz="0" w:space="0"/>
          <w:insideH w:val="single" w:color="auto" w:sz="4" w:space="0"/>
          <w:insideV w:val="single" w:color="auto" w:sz="4" w:space="0"/>
        </w:tblBorders>
        <w:tblLayout w:type="autofit"/>
        <w:tblCellMar>
          <w:top w:w="0" w:type="dxa"/>
          <w:left w:w="0" w:type="dxa"/>
          <w:bottom w:w="0" w:type="dxa"/>
          <w:right w:w="0" w:type="dxa"/>
        </w:tblCellMar>
      </w:tblPr>
      <w:tblGrid>
        <w:gridCol w:w="4990"/>
      </w:tblGrid>
      <w:tr w14:paraId="6766948A">
        <w:tblPrEx>
          <w:tblBorders>
            <w:top w:val="none" w:color="auto" w:sz="0" w:space="0"/>
            <w:left w:val="none" w:color="auto" w:sz="0" w:space="0"/>
            <w:bottom w:val="none" w:color="auto" w:sz="0" w:space="0"/>
            <w:right w:val="none" w:color="auto" w:sz="0" w:space="0"/>
            <w:insideH w:val="single" w:color="auto" w:sz="4" w:space="0"/>
            <w:insideV w:val="single" w:color="auto" w:sz="4" w:space="0"/>
          </w:tblBorders>
          <w:tblCellMar>
            <w:top w:w="0" w:type="dxa"/>
            <w:left w:w="0" w:type="dxa"/>
            <w:bottom w:w="0" w:type="dxa"/>
            <w:right w:w="0" w:type="dxa"/>
          </w:tblCellMar>
        </w:tblPrEx>
        <w:trPr>
          <w:trHeight w:val="1128" w:hRule="atLeast"/>
        </w:trPr>
        <w:tc>
          <w:tcPr>
            <w:tcW w:w="4990" w:type="dxa"/>
          </w:tcPr>
          <w:p w14:paraId="159099BD">
            <w:pPr>
              <w:pStyle w:val="49"/>
              <w:framePr w:w="0" w:hRule="auto" w:wrap="auto" w:vAnchor="margin" w:hAnchor="text" w:xAlign="left" w:yAlign="inline"/>
              <w:ind w:firstLine="420"/>
              <w:rPr>
                <w:rFonts w:hint="default" w:eastAsia="宋体"/>
                <w:lang w:val="en-US" w:eastAsia="zh-CN"/>
              </w:rPr>
            </w:pPr>
            <w:bookmarkStart w:id="0" w:name="_Hlk26473981"/>
            <w:r>
              <w:rPr>
                <w:rFonts w:hint="eastAsia"/>
                <w:lang w:val="en-US" w:eastAsia="zh-CN"/>
              </w:rPr>
              <w:t>YJ</w:t>
            </w:r>
          </w:p>
        </w:tc>
      </w:tr>
    </w:tbl>
    <w:p w14:paraId="655D6AC4">
      <w:pPr>
        <w:pStyle w:val="50"/>
        <w:framePr w:w="9639" w:h="624" w:hRule="exact" w:hSpace="181" w:vSpace="181" w:wrap="around" w:hAnchor="page" w:x="1305" w:y="2269"/>
        <w:rPr>
          <w:rFonts w:hint="eastAsia" w:ascii="黑体" w:hAnsi="黑体" w:eastAsia="黑体"/>
          <w:b w:val="0"/>
          <w:bCs w:val="0"/>
          <w:w w:val="100"/>
          <w:sz w:val="48"/>
          <w:szCs w:val="48"/>
        </w:rPr>
      </w:pPr>
      <w:r>
        <w:rPr>
          <w:rFonts w:hint="eastAsia" w:ascii="黑体" w:hAnsi="黑体" w:eastAsia="黑体"/>
          <w:b w:val="0"/>
          <w:bCs w:val="0"/>
          <w:w w:val="100"/>
          <w:sz w:val="48"/>
          <w:szCs w:val="48"/>
        </w:rPr>
        <w:t>中华人民共和国</w:t>
      </w:r>
      <w:r>
        <w:rPr>
          <w:rFonts w:hint="eastAsia" w:ascii="黑体" w:hAnsi="黑体" w:eastAsia="黑体"/>
          <w:b w:val="0"/>
          <w:bCs w:val="0"/>
          <w:w w:val="100"/>
          <w:sz w:val="48"/>
          <w:szCs w:val="48"/>
          <w:lang w:val="en-US" w:eastAsia="zh-CN"/>
        </w:rPr>
        <w:t>应急管理</w:t>
      </w:r>
      <w:r>
        <w:rPr>
          <w:rFonts w:hint="eastAsia" w:ascii="黑体" w:hAnsi="黑体" w:eastAsia="黑体"/>
          <w:b w:val="0"/>
          <w:bCs w:val="0"/>
          <w:w w:val="100"/>
          <w:sz w:val="48"/>
          <w:szCs w:val="48"/>
        </w:rPr>
        <w:t>行业标准</w:t>
      </w:r>
    </w:p>
    <w:bookmarkEnd w:id="0"/>
    <w:p w14:paraId="1FB8BDAB">
      <w:pPr>
        <w:pStyle w:val="195"/>
        <w:rPr>
          <w:rFonts w:hint="default" w:eastAsia="黑体"/>
          <w:lang w:val="en-US" w:eastAsia="zh-CN"/>
        </w:rPr>
      </w:pPr>
      <w:r>
        <w:rPr>
          <w:rFonts w:hint="eastAsia"/>
          <w:lang w:val="en-US" w:eastAsia="zh-CN"/>
        </w:rPr>
        <w:t>YJ/T</w:t>
      </w:r>
      <w:r>
        <w:rPr>
          <w:lang w:val="fr-FR"/>
        </w:rPr>
        <w:t xml:space="preserve"> </w:t>
      </w:r>
      <w:r>
        <w:rPr>
          <w:rFonts w:hint="eastAsia"/>
          <w:lang w:val="en-US" w:eastAsia="zh-CN"/>
        </w:rPr>
        <w:t>XXXXX</w:t>
      </w:r>
      <w:r>
        <w:rPr>
          <w:rFonts w:hAnsi="黑体"/>
          <w:lang w:val="fr-FR"/>
        </w:rPr>
        <w:t>—</w:t>
      </w:r>
      <w:r>
        <w:rPr>
          <w:rFonts w:hint="eastAsia"/>
          <w:lang w:val="en-US" w:eastAsia="zh-CN"/>
        </w:rPr>
        <w:t>XXXX</w:t>
      </w:r>
    </w:p>
    <w:p w14:paraId="0D510B70">
      <w:pPr>
        <w:pStyle w:val="196"/>
        <w:rPr>
          <w:rFonts w:hint="eastAsia" w:hAnsi="黑体"/>
          <w:lang w:val="fr-FR"/>
        </w:rPr>
      </w:pPr>
    </w:p>
    <w:p w14:paraId="4A1A02CD">
      <w:pPr>
        <w:pBdr>
          <w:top w:val="none" w:color="auto" w:sz="0" w:space="0"/>
          <w:left w:val="none" w:color="auto" w:sz="0" w:space="0"/>
          <w:bottom w:val="none" w:color="auto" w:sz="0" w:space="0"/>
          <w:right w:val="none" w:color="auto" w:sz="0" w:space="0"/>
        </w:pBdr>
        <w:spacing w:line="240" w:lineRule="auto"/>
        <w:rPr>
          <w:rFonts w:hint="eastAsia" w:ascii="黑体" w:hAnsi="黑体" w:eastAsia="黑体"/>
          <w:kern w:val="0"/>
          <w:sz w:val="10"/>
          <w:szCs w:val="10"/>
          <w:lang w:val="fr-FR"/>
        </w:rPr>
      </w:pPr>
      <w:bookmarkStart w:id="382" w:name="_GoBack"/>
      <w:bookmarkEnd w:id="382"/>
      <w:r>
        <w:rPr>
          <w:rFonts w:ascii="黑体" w:hAnsi="黑体" w:eastAsia="黑体"/>
          <w:kern w:val="0"/>
          <w:sz w:val="10"/>
          <w:szCs w:val="10"/>
        </w:rPr>
        <mc:AlternateContent>
          <mc:Choice Requires="wps">
            <w:drawing>
              <wp:anchor distT="0" distB="0" distL="114300" distR="114300" simplePos="0" relativeHeight="251659264" behindDoc="0" locked="0" layoutInCell="1" allowOverlap="0">
                <wp:simplePos x="0" y="0"/>
                <wp:positionH relativeFrom="page">
                  <wp:posOffset>900430</wp:posOffset>
                </wp:positionH>
                <wp:positionV relativeFrom="page">
                  <wp:posOffset>2700655</wp:posOffset>
                </wp:positionV>
                <wp:extent cx="6120130" cy="0"/>
                <wp:effectExtent l="0" t="0" r="0" b="0"/>
                <wp:wrapNone/>
                <wp:docPr id="73" name="直接连接符 73"/>
                <wp:cNvGraphicFramePr/>
                <a:graphic xmlns:a="http://schemas.openxmlformats.org/drawingml/2006/main">
                  <a:graphicData uri="http://schemas.microsoft.com/office/word/2010/wordprocessingShape">
                    <wps:wsp>
                      <wps:cNvCnPr>
                        <a:cxnSpLocks noChangeShapeType="1"/>
                      </wps:cNvCnPr>
                      <wps:spPr bwMode="auto">
                        <a:xfrm>
                          <a:off x="0" y="0"/>
                          <a:ext cx="6120000" cy="0"/>
                        </a:xfrm>
                        <a:prstGeom prst="line">
                          <a:avLst/>
                        </a:prstGeom>
                        <a:noFill/>
                        <a:ln w="9525">
                          <a:solidFill>
                            <a:srgbClr val="000000"/>
                          </a:solidFill>
                          <a:round/>
                        </a:ln>
                      </wps:spPr>
                      <wps:bodyPr/>
                    </wps:wsp>
                  </a:graphicData>
                </a:graphic>
              </wp:anchor>
            </w:drawing>
          </mc:Choice>
          <mc:Fallback>
            <w:pict>
              <v:line id="_x0000_s1026" o:spid="_x0000_s1026" o:spt="20" style="position:absolute;left:0pt;margin-left:70.9pt;margin-top:212.65pt;height:0pt;width:481.9pt;mso-position-horizontal-relative:page;mso-position-vertical-relative:page;z-index:251659264;mso-width-relative:page;mso-height-relative:page;" filled="f" stroked="t" coordsize="21600,21600" o:allowoverlap="f" o:gfxdata="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">
                <v:fill on="f" focussize="0,0"/>
                <v:stroke color="#000000" joinstyle="round"/>
                <v:imagedata o:title=""/>
                <o:lock v:ext="edit" aspectratio="f"/>
              </v:line>
            </w:pict>
          </mc:Fallback>
        </mc:AlternateContent>
      </w:r>
    </w:p>
    <w:p w14:paraId="0D184B64">
      <w:pPr>
        <w:pStyle w:val="193"/>
        <w:framePr w:wrap="around" w:y="14161"/>
        <w:pBdr>
          <w:top w:val="none" w:color="auto" w:sz="0" w:space="0"/>
          <w:left w:val="none" w:color="auto" w:sz="0" w:space="0"/>
          <w:bottom w:val="none" w:color="auto" w:sz="0" w:space="0"/>
          <w:right w:val="none" w:color="auto" w:sz="0" w:space="0"/>
        </w:pBdr>
        <w:rPr>
          <w:rFonts w:hint="eastAsia" w:ascii="黑体" w:hAnsi="黑体" w:eastAsia="黑体" w:cs="黑体"/>
        </w:rPr>
      </w:pPr>
      <w:r>
        <w:rPr>
          <w:rFonts w:hint="eastAsia" w:ascii="黑体" w:hAnsi="黑体" w:eastAsia="黑体" w:cs="黑体"/>
          <w:lang w:val="en-US" w:eastAsia="zh-CN"/>
        </w:rPr>
        <w:t>XXXX-XX-XX</w:t>
      </w:r>
      <w:r>
        <w:rPr>
          <w:rFonts w:hint="eastAsia" w:ascii="黑体" w:hAnsi="黑体" w:eastAsia="黑体" w:cs="黑体"/>
        </w:rPr>
        <w:t>发布</w:t>
      </w:r>
    </w:p>
    <w:p w14:paraId="7810E403">
      <w:pPr>
        <w:pStyle w:val="194"/>
        <w:framePr w:wrap="around" w:y="14176"/>
        <w:pBdr>
          <w:top w:val="none" w:color="auto" w:sz="0" w:space="0"/>
          <w:left w:val="none" w:color="auto" w:sz="0" w:space="0"/>
          <w:bottom w:val="none" w:color="auto" w:sz="0" w:space="0"/>
          <w:right w:val="none" w:color="auto" w:sz="0" w:space="0"/>
        </w:pBdr>
        <w:jc w:val="right"/>
        <w:rPr>
          <w:rFonts w:hint="eastAsia" w:ascii="黑体" w:hAnsi="黑体" w:eastAsia="黑体" w:cs="黑体"/>
        </w:rPr>
      </w:pPr>
      <w:r>
        <w:rPr>
          <w:rFonts w:hint="eastAsia" w:ascii="黑体" w:hAnsi="黑体" w:eastAsia="黑体" w:cs="黑体"/>
          <w:lang w:val="en-US" w:eastAsia="zh-CN"/>
        </w:rPr>
        <w:t>XXXX-XX-XX</w:t>
      </w:r>
      <w:r>
        <w:rPr>
          <w:rFonts w:hint="eastAsia" w:ascii="黑体" w:hAnsi="黑体" w:eastAsia="黑体" w:cs="黑体"/>
        </w:rPr>
        <w:t>实施</w:t>
      </w:r>
    </w:p>
    <w:p w14:paraId="3373FA5E">
      <w:pPr>
        <w:pStyle w:val="151"/>
        <w:framePr w:h="584" w:hRule="exact" w:hSpace="181" w:vSpace="181" w:wrap="around" w:y="14800"/>
        <w:rPr>
          <w:rFonts w:hint="eastAsia" w:hAnsi="黑体"/>
        </w:rPr>
      </w:pPr>
      <w:r>
        <w:rPr>
          <w:rFonts w:hint="eastAsia" w:hAnsi="黑体"/>
          <w:w w:val="100"/>
          <w:sz w:val="28"/>
          <w:lang w:val="en-US" w:eastAsia="zh-CN"/>
        </w:rPr>
        <w:t>中华人民共和国应急管理部</w:t>
      </w:r>
      <w:r>
        <w:rPr>
          <w:rFonts w:ascii="Times New Roman"/>
          <w:w w:val="100"/>
          <w:sz w:val="28"/>
          <w:szCs w:val="28"/>
        </w:rPr>
        <w:t>  </w:t>
      </w:r>
      <w:r>
        <w:rPr>
          <w:rStyle w:val="229"/>
          <w:rFonts w:hint="eastAsia" w:hAnsi="黑体"/>
          <w:position w:val="0"/>
        </w:rPr>
        <w:t>发</w:t>
      </w:r>
      <w:r>
        <w:rPr>
          <w:rStyle w:val="229"/>
          <w:rFonts w:hint="eastAsia" w:hAnsi="黑体"/>
          <w:spacing w:val="0"/>
          <w:position w:val="0"/>
        </w:rPr>
        <w:t>布</w:t>
      </w:r>
    </w:p>
    <w:p w14:paraId="0358C06B">
      <w:pPr>
        <w:rPr>
          <w:rFonts w:hint="eastAsia" w:ascii="宋体" w:hAnsi="宋体"/>
          <w:sz w:val="28"/>
          <w:szCs w:val="28"/>
        </w:rPr>
        <w:sectPr>
          <w:headerReference r:id="rId7" w:type="first"/>
          <w:footerReference r:id="rId9" w:type="first"/>
          <w:headerReference r:id="rId5" w:type="default"/>
          <w:headerReference r:id="rId6" w:type="even"/>
          <w:footerReference r:id="rId8" w:type="even"/>
          <w:type w:val="continuous"/>
          <w:pgSz w:w="11906" w:h="16838"/>
          <w:pgMar w:top="567" w:right="1134" w:bottom="1021" w:left="1134" w:header="1418" w:footer="1134" w:gutter="284"/>
          <w:cols w:space="425" w:num="1"/>
          <w:titlePg/>
          <w:docGrid w:linePitch="312" w:charSpace="0"/>
        </w:sectPr>
      </w:pPr>
      <w:r>
        <w:rPr>
          <w:rFonts w:ascii="宋体" w:hAnsi="宋体"/>
        </w:rPr>
        <mc:AlternateContent>
          <mc:Choice Requires="wps">
            <w:drawing>
              <wp:anchor distT="0" distB="0" distL="114935" distR="114935" simplePos="0" relativeHeight="251661312" behindDoc="0" locked="1" layoutInCell="1" allowOverlap="1">
                <wp:simplePos x="0" y="0"/>
                <wp:positionH relativeFrom="margin">
                  <wp:posOffset>-46355</wp:posOffset>
                </wp:positionH>
                <wp:positionV relativeFrom="margin">
                  <wp:posOffset>2572385</wp:posOffset>
                </wp:positionV>
                <wp:extent cx="5969000" cy="4453890"/>
                <wp:effectExtent l="0" t="0" r="635" b="4445"/>
                <wp:wrapNone/>
                <wp:docPr id="18" name="文本框 18"/>
                <wp:cNvGraphicFramePr/>
                <a:graphic xmlns:a="http://schemas.openxmlformats.org/drawingml/2006/main">
                  <a:graphicData uri="http://schemas.microsoft.com/office/word/2010/wordprocessingShape">
                    <wps:wsp>
                      <wps:cNvSpPr txBox="1"/>
                      <wps:spPr>
                        <a:xfrm>
                          <a:off x="0" y="0"/>
                          <a:ext cx="5969000" cy="4453890"/>
                        </a:xfrm>
                        <a:prstGeom prst="rect">
                          <a:avLst/>
                        </a:prstGeom>
                        <a:solidFill>
                          <a:srgbClr val="FFFFFF"/>
                        </a:solidFill>
                        <a:ln>
                          <a:noFill/>
                        </a:ln>
                      </wps:spPr>
                      <wps:txbx>
                        <w:txbxContent>
                          <w:p w14:paraId="79E4EB46">
                            <w:pPr>
                              <w:pStyle w:val="126"/>
                              <w:keepNext w:val="0"/>
                              <w:keepLines w:val="0"/>
                              <w:pageBreakBefore w:val="0"/>
                              <w:widowControl/>
                              <w:kinsoku/>
                              <w:wordWrap/>
                              <w:overflowPunct/>
                              <w:topLinePunct w:val="0"/>
                              <w:bidi w:val="0"/>
                              <w:adjustRightInd/>
                              <w:snapToGrid/>
                              <w:spacing w:line="240" w:lineRule="auto"/>
                              <w:textAlignment w:val="auto"/>
                              <w:rPr>
                                <w:rFonts w:hint="eastAsia"/>
                                <w:b/>
                                <w:bCs/>
                                <w:sz w:val="52"/>
                                <w:lang w:val="en-US" w:eastAsia="zh-CN"/>
                              </w:rPr>
                            </w:pPr>
                            <w:r>
                              <w:rPr>
                                <w:rFonts w:hint="eastAsia"/>
                                <w:b/>
                                <w:bCs/>
                                <w:sz w:val="52"/>
                                <w:lang w:val="en-US" w:eastAsia="zh-CN"/>
                              </w:rPr>
                              <w:t>地方森林草原火灾扑救指挥员培训与考核规范</w:t>
                            </w:r>
                          </w:p>
                          <w:p w14:paraId="118C4060">
                            <w:pPr>
                              <w:pStyle w:val="126"/>
                              <w:rPr>
                                <w:rFonts w:hint="eastAsia" w:ascii="Times New Roman"/>
                                <w:b w:val="0"/>
                                <w:bCs/>
                              </w:rPr>
                            </w:pPr>
                            <w:r>
                              <w:rPr>
                                <w:rFonts w:hint="eastAsia" w:ascii="Times New Roman"/>
                                <w:b w:val="0"/>
                                <w:bCs/>
                              </w:rPr>
                              <w:t>Training and assessment specification of local forest and grassland fire extinguishing commander</w:t>
                            </w:r>
                          </w:p>
                          <w:p w14:paraId="7EBC97C8">
                            <w:pPr>
                              <w:pStyle w:val="126"/>
                            </w:pPr>
                            <w:r>
                              <w:rPr>
                                <w:rFonts w:hint="eastAsia"/>
                              </w:rPr>
                              <w:t>(征求意见稿)</w:t>
                            </w:r>
                          </w:p>
                          <w:p w14:paraId="26951013">
                            <w:pPr>
                              <w:pStyle w:val="123"/>
                            </w:pPr>
                          </w:p>
                        </w:txbxContent>
                      </wps:txbx>
                      <wps:bodyPr lIns="0" tIns="0" rIns="0" bIns="0" upright="1">
                        <a:noAutofit/>
                      </wps:bodyPr>
                    </wps:wsp>
                  </a:graphicData>
                </a:graphic>
              </wp:anchor>
            </w:drawing>
          </mc:Choice>
          <mc:Fallback>
            <w:pict>
              <v:shape id="_x0000_s1026" o:spid="_x0000_s1026" o:spt="202" type="#_x0000_t202" style="position:absolute;left:0pt;margin-left:-3.65pt;margin-top:202.55pt;height:350.7pt;width:470pt;mso-position-horizontal-relative:margin;mso-position-vertical-relative:margin;z-index:251661312;mso-width-relative:page;mso-height-relative:page;" fillcolor="#FFFFFF" filled="t" stroked="f" coordsize="21600,21600" o:gfxdata="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">
                <v:fill on="t" focussize="0,0"/>
                <v:stroke on="f"/>
                <v:imagedata o:title=""/>
                <o:lock v:ext="edit" aspectratio="f"/>
                <v:textbox inset="0mm,0mm,0mm,0mm">
                  <w:txbxContent>
                    <w:p w14:paraId="79E4EB46">
                      <w:pPr>
                        <w:pStyle w:val="126"/>
                        <w:keepNext w:val="0"/>
                        <w:keepLines w:val="0"/>
                        <w:pageBreakBefore w:val="0"/>
                        <w:widowControl/>
                        <w:kinsoku/>
                        <w:wordWrap/>
                        <w:overflowPunct/>
                        <w:topLinePunct w:val="0"/>
                        <w:bidi w:val="0"/>
                        <w:adjustRightInd/>
                        <w:snapToGrid/>
                        <w:spacing w:line="240" w:lineRule="auto"/>
                        <w:textAlignment w:val="auto"/>
                        <w:rPr>
                          <w:rFonts w:hint="eastAsia"/>
                          <w:b/>
                          <w:bCs/>
                          <w:sz w:val="52"/>
                          <w:lang w:val="en-US" w:eastAsia="zh-CN"/>
                        </w:rPr>
                      </w:pPr>
                      <w:r>
                        <w:rPr>
                          <w:rFonts w:hint="eastAsia"/>
                          <w:b/>
                          <w:bCs/>
                          <w:sz w:val="52"/>
                          <w:lang w:val="en-US" w:eastAsia="zh-CN"/>
                        </w:rPr>
                        <w:t>地方森林草原火灾扑救指挥员培训与考核规范</w:t>
                      </w:r>
                    </w:p>
                    <w:p w14:paraId="118C4060">
                      <w:pPr>
                        <w:pStyle w:val="126"/>
                        <w:rPr>
                          <w:rFonts w:hint="eastAsia" w:ascii="Times New Roman"/>
                          <w:b w:val="0"/>
                          <w:bCs/>
                        </w:rPr>
                      </w:pPr>
                      <w:r>
                        <w:rPr>
                          <w:rFonts w:hint="eastAsia" w:ascii="Times New Roman"/>
                          <w:b w:val="0"/>
                          <w:bCs/>
                        </w:rPr>
                        <w:t>Training and assessment specification of local forest and grassland fire extinguishing commander</w:t>
                      </w:r>
                    </w:p>
                    <w:p w14:paraId="7EBC97C8">
                      <w:pPr>
                        <w:pStyle w:val="126"/>
                      </w:pPr>
                      <w:r>
                        <w:rPr>
                          <w:rFonts w:hint="eastAsia"/>
                        </w:rPr>
                        <w:t>(征求意见稿)</w:t>
                      </w:r>
                    </w:p>
                    <w:p w14:paraId="26951013">
                      <w:pPr>
                        <w:pStyle w:val="123"/>
                      </w:pPr>
                    </w:p>
                  </w:txbxContent>
                </v:textbox>
                <w10:anchorlock/>
              </v:shape>
            </w:pict>
          </mc:Fallback>
        </mc:AlternateContent>
      </w:r>
      <w:r>
        <w:rPr>
          <w:rFonts w:hint="eastAsia" w:ascii="宋体" w:hAnsi="宋体"/>
          <w:sz w:val="28"/>
          <w:szCs w:val="28"/>
        </w:rPr>
        <mc:AlternateContent>
          <mc:Choice Requires="wps">
            <w:drawing>
              <wp:anchor distT="0" distB="0" distL="114300" distR="114300" simplePos="0" relativeHeight="251660288" behindDoc="0" locked="1" layoutInCell="1" allowOverlap="1">
                <wp:simplePos x="0" y="0"/>
                <wp:positionH relativeFrom="page">
                  <wp:posOffset>899795</wp:posOffset>
                </wp:positionH>
                <wp:positionV relativeFrom="page">
                  <wp:posOffset>9253220</wp:posOffset>
                </wp:positionV>
                <wp:extent cx="6120130" cy="0"/>
                <wp:effectExtent l="0" t="0" r="0" b="0"/>
                <wp:wrapNone/>
                <wp:docPr id="5" name="直接连接符 5"/>
                <wp:cNvGraphicFramePr/>
                <a:graphic xmlns:a="http://schemas.openxmlformats.org/drawingml/2006/main">
                  <a:graphicData uri="http://schemas.microsoft.com/office/word/2010/wordprocessingShape">
                    <wps:wsp>
                      <wps:cNvCnPr>
                        <a:cxnSpLocks noChangeShapeType="1"/>
                      </wps:cNvCnPr>
                      <wps:spPr bwMode="auto">
                        <a:xfrm>
                          <a:off x="0" y="0"/>
                          <a:ext cx="6120000" cy="0"/>
                        </a:xfrm>
                        <a:prstGeom prst="line">
                          <a:avLst/>
                        </a:prstGeom>
                        <a:noFill/>
                        <a:ln w="9525">
                          <a:solidFill>
                            <a:srgbClr val="000000"/>
                          </a:solidFill>
                          <a:round/>
                        </a:ln>
                      </wps:spPr>
                      <wps:bodyPr/>
                    </wps:wsp>
                  </a:graphicData>
                </a:graphic>
              </wp:anchor>
            </w:drawing>
          </mc:Choice>
          <mc:Fallback>
            <w:pict>
              <v:line id="_x0000_s1026" o:spid="_x0000_s1026" o:spt="20" style="position:absolute;left:0pt;margin-left:70.85pt;margin-top:728.6pt;height:0pt;width:481.9pt;mso-position-horizontal-relative:page;mso-position-vertical-relative:page;z-index:251660288;mso-width-relative:page;mso-height-relative:page;" filled="f" stroked="t" coordsize="21600,21600" o:gfxdata="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">
                <v:fill on="f" focussize="0,0"/>
                <v:stroke color="#000000" joinstyle="round"/>
                <v:imagedata o:title=""/>
                <o:lock v:ext="edit" aspectratio="f"/>
                <w10:anchorlock/>
              </v:line>
            </w:pict>
          </mc:Fallback>
        </mc:AlternateContent>
      </w:r>
    </w:p>
    <w:p w14:paraId="7EDA7B4B">
      <w:pPr>
        <w:pStyle w:val="91"/>
        <w:spacing w:after="360"/>
      </w:pPr>
      <w:bookmarkStart w:id="1" w:name="BookMark1"/>
      <w:bookmarkStart w:id="2" w:name="_Toc202259575"/>
      <w:bookmarkStart w:id="3" w:name="_Toc185800418"/>
      <w:bookmarkStart w:id="4" w:name="_Toc169555222"/>
      <w:bookmarkStart w:id="5" w:name="_Toc203573386"/>
      <w:bookmarkStart w:id="6" w:name="_Toc203671175"/>
      <w:bookmarkStart w:id="7" w:name="_Toc202228898"/>
      <w:bookmarkStart w:id="8" w:name="_Toc185800561"/>
      <w:bookmarkStart w:id="9" w:name="_Toc184312864"/>
      <w:bookmarkStart w:id="10" w:name="_Toc201942510"/>
      <w:bookmarkStart w:id="11" w:name="_Toc184298247"/>
      <w:bookmarkStart w:id="12" w:name="_Toc185810719"/>
      <w:bookmarkStart w:id="13" w:name="_Toc185800445"/>
      <w:bookmarkStart w:id="14" w:name="_Toc203579136"/>
      <w:r>
        <w:rPr>
          <w:rFonts w:hint="eastAsia"/>
          <w:spacing w:val="320"/>
        </w:rPr>
        <w:t>目</w:t>
      </w:r>
      <w:r>
        <w:rPr>
          <w:rFonts w:hint="eastAsia"/>
        </w:rPr>
        <w:t>次</w:t>
      </w:r>
    </w:p>
    <w:p w14:paraId="1EB8F5D1">
      <w:pPr>
        <w:pStyle w:val="19"/>
        <w:tabs>
          <w:tab w:val="right" w:leader="dot" w:pos="9344"/>
        </w:tabs>
        <w:rPr>
          <w:rFonts w:hint="eastAsia" w:asciiTheme="minorHAnsi" w:hAnsiTheme="minorHAnsi" w:eastAsiaTheme="minorEastAsia" w:cstheme="minorBidi"/>
          <w:sz w:val="22"/>
          <w:szCs w:val="24"/>
          <w14:ligatures w14:val="standardContextual"/>
        </w:rPr>
      </w:pPr>
      <w:r>
        <w:fldChar w:fldCharType="begin"/>
      </w:r>
      <w:r>
        <w:instrText xml:space="preserve"> TOC \o "1-1" \h \t "标准文件_一级条标题,2,标准文件_附录一级条标题,2," </w:instrText>
      </w:r>
      <w:r>
        <w:fldChar w:fldCharType="separate"/>
      </w:r>
      <w:r>
        <w:fldChar w:fldCharType="begin"/>
      </w:r>
      <w:r>
        <w:instrText xml:space="preserve"> HYPERLINK \l "_Toc203753108" </w:instrText>
      </w:r>
      <w:r>
        <w:fldChar w:fldCharType="separate"/>
      </w:r>
      <w:r>
        <w:rPr>
          <w:rStyle w:val="32"/>
          <w:rFonts w:hint="eastAsia"/>
        </w:rPr>
        <w:t>前言</w:t>
      </w:r>
      <w:r>
        <w:rPr>
          <w:rFonts w:hint="eastAsia"/>
        </w:rPr>
        <w:tab/>
      </w:r>
      <w:r>
        <w:rPr>
          <w:rFonts w:hint="eastAsia"/>
        </w:rPr>
        <w:fldChar w:fldCharType="begin"/>
      </w:r>
      <w:r>
        <w:rPr>
          <w:rFonts w:hint="eastAsia"/>
        </w:rPr>
        <w:instrText xml:space="preserve"> </w:instrText>
      </w:r>
      <w:r>
        <w:instrText xml:space="preserve">PAGEREF _Toc203753108 \h</w:instrText>
      </w:r>
      <w:r>
        <w:rPr>
          <w:rFonts w:hint="eastAsia"/>
        </w:rPr>
        <w:instrText xml:space="preserve"> </w:instrText>
      </w:r>
      <w:r>
        <w:rPr>
          <w:rFonts w:hint="eastAsia"/>
        </w:rPr>
        <w:fldChar w:fldCharType="separate"/>
      </w:r>
      <w:r>
        <w:t>II</w:t>
      </w:r>
      <w:r>
        <w:rPr>
          <w:rFonts w:hint="eastAsia"/>
        </w:rPr>
        <w:fldChar w:fldCharType="end"/>
      </w:r>
      <w:r>
        <w:rPr>
          <w:rFonts w:hint="eastAsia"/>
        </w:rPr>
        <w:fldChar w:fldCharType="end"/>
      </w:r>
    </w:p>
    <w:p w14:paraId="38BB1949">
      <w:pPr>
        <w:pStyle w:val="19"/>
        <w:tabs>
          <w:tab w:val="right" w:leader="dot" w:pos="9344"/>
        </w:tabs>
        <w:rPr>
          <w:rFonts w:hint="eastAsia" w:asciiTheme="minorHAnsi" w:hAnsiTheme="minorHAnsi" w:eastAsiaTheme="minorEastAsia" w:cstheme="minorBidi"/>
          <w:sz w:val="22"/>
          <w:szCs w:val="24"/>
          <w14:ligatures w14:val="standardContextual"/>
        </w:rPr>
      </w:pPr>
      <w:r>
        <w:fldChar w:fldCharType="begin"/>
      </w:r>
      <w:r>
        <w:instrText xml:space="preserve"> HYPERLINK \l "_Toc203753109" </w:instrText>
      </w:r>
      <w:r>
        <w:fldChar w:fldCharType="separate"/>
      </w:r>
      <w:r>
        <w:rPr>
          <w:rStyle w:val="32"/>
          <w:rFonts w:hint="eastAsia"/>
        </w:rPr>
        <w:t>1</w:t>
      </w:r>
      <w:r>
        <w:rPr>
          <w:rStyle w:val="32"/>
        </w:rPr>
        <w:t xml:space="preserve"> </w:t>
      </w:r>
      <w:r>
        <w:rPr>
          <w:rStyle w:val="32"/>
          <w:rFonts w:hint="eastAsia"/>
        </w:rPr>
        <w:t xml:space="preserve"> 范围</w:t>
      </w:r>
      <w:r>
        <w:rPr>
          <w:rFonts w:hint="eastAsia"/>
        </w:rPr>
        <w:tab/>
      </w:r>
      <w:r>
        <w:rPr>
          <w:rFonts w:hint="eastAsia"/>
        </w:rPr>
        <w:fldChar w:fldCharType="begin"/>
      </w:r>
      <w:r>
        <w:rPr>
          <w:rFonts w:hint="eastAsia"/>
        </w:rPr>
        <w:instrText xml:space="preserve"> </w:instrText>
      </w:r>
      <w:r>
        <w:instrText xml:space="preserve">PAGEREF _Toc203753109 \h</w:instrText>
      </w:r>
      <w:r>
        <w:rPr>
          <w:rFonts w:hint="eastAsia"/>
        </w:rPr>
        <w:instrText xml:space="preserve"> </w:instrText>
      </w:r>
      <w:r>
        <w:rPr>
          <w:rFonts w:hint="eastAsia"/>
        </w:rPr>
        <w:fldChar w:fldCharType="separate"/>
      </w:r>
      <w:r>
        <w:t>3</w:t>
      </w:r>
      <w:r>
        <w:rPr>
          <w:rFonts w:hint="eastAsia"/>
        </w:rPr>
        <w:fldChar w:fldCharType="end"/>
      </w:r>
      <w:r>
        <w:rPr>
          <w:rFonts w:hint="eastAsia"/>
        </w:rPr>
        <w:fldChar w:fldCharType="end"/>
      </w:r>
    </w:p>
    <w:p w14:paraId="7CC5CE7F">
      <w:pPr>
        <w:pStyle w:val="19"/>
        <w:tabs>
          <w:tab w:val="right" w:leader="dot" w:pos="9344"/>
        </w:tabs>
        <w:rPr>
          <w:rFonts w:hint="eastAsia" w:asciiTheme="minorHAnsi" w:hAnsiTheme="minorHAnsi" w:eastAsiaTheme="minorEastAsia" w:cstheme="minorBidi"/>
          <w:sz w:val="22"/>
          <w:szCs w:val="24"/>
          <w14:ligatures w14:val="standardContextual"/>
        </w:rPr>
      </w:pPr>
      <w:r>
        <w:fldChar w:fldCharType="begin"/>
      </w:r>
      <w:r>
        <w:instrText xml:space="preserve"> HYPERLINK \l "_Toc203753110" </w:instrText>
      </w:r>
      <w:r>
        <w:fldChar w:fldCharType="separate"/>
      </w:r>
      <w:r>
        <w:rPr>
          <w:rStyle w:val="32"/>
          <w:rFonts w:hint="eastAsia"/>
        </w:rPr>
        <w:t>2</w:t>
      </w:r>
      <w:r>
        <w:rPr>
          <w:rStyle w:val="32"/>
        </w:rPr>
        <w:t xml:space="preserve"> </w:t>
      </w:r>
      <w:r>
        <w:rPr>
          <w:rStyle w:val="32"/>
          <w:rFonts w:hint="eastAsia"/>
        </w:rPr>
        <w:t xml:space="preserve"> 规范性引用文件</w:t>
      </w:r>
      <w:r>
        <w:rPr>
          <w:rFonts w:hint="eastAsia"/>
        </w:rPr>
        <w:tab/>
      </w:r>
      <w:r>
        <w:rPr>
          <w:rFonts w:hint="eastAsia"/>
        </w:rPr>
        <w:fldChar w:fldCharType="begin"/>
      </w:r>
      <w:r>
        <w:rPr>
          <w:rFonts w:hint="eastAsia"/>
        </w:rPr>
        <w:instrText xml:space="preserve"> </w:instrText>
      </w:r>
      <w:r>
        <w:instrText xml:space="preserve">PAGEREF _Toc203753110 \h</w:instrText>
      </w:r>
      <w:r>
        <w:rPr>
          <w:rFonts w:hint="eastAsia"/>
        </w:rPr>
        <w:instrText xml:space="preserve"> </w:instrText>
      </w:r>
      <w:r>
        <w:rPr>
          <w:rFonts w:hint="eastAsia"/>
        </w:rPr>
        <w:fldChar w:fldCharType="separate"/>
      </w:r>
      <w:r>
        <w:t>3</w:t>
      </w:r>
      <w:r>
        <w:rPr>
          <w:rFonts w:hint="eastAsia"/>
        </w:rPr>
        <w:fldChar w:fldCharType="end"/>
      </w:r>
      <w:r>
        <w:rPr>
          <w:rFonts w:hint="eastAsia"/>
        </w:rPr>
        <w:fldChar w:fldCharType="end"/>
      </w:r>
    </w:p>
    <w:p w14:paraId="4B8FDB31">
      <w:pPr>
        <w:pStyle w:val="19"/>
        <w:tabs>
          <w:tab w:val="right" w:leader="dot" w:pos="9344"/>
        </w:tabs>
        <w:rPr>
          <w:rFonts w:hint="eastAsia" w:asciiTheme="minorHAnsi" w:hAnsiTheme="minorHAnsi" w:eastAsiaTheme="minorEastAsia" w:cstheme="minorBidi"/>
          <w:sz w:val="22"/>
          <w:szCs w:val="24"/>
          <w14:ligatures w14:val="standardContextual"/>
        </w:rPr>
      </w:pPr>
      <w:r>
        <w:fldChar w:fldCharType="begin"/>
      </w:r>
      <w:r>
        <w:instrText xml:space="preserve"> HYPERLINK \l "_Toc203753111" </w:instrText>
      </w:r>
      <w:r>
        <w:fldChar w:fldCharType="separate"/>
      </w:r>
      <w:r>
        <w:rPr>
          <w:rStyle w:val="32"/>
          <w:rFonts w:hint="eastAsia"/>
        </w:rPr>
        <w:t>3</w:t>
      </w:r>
      <w:r>
        <w:rPr>
          <w:rStyle w:val="32"/>
        </w:rPr>
        <w:t xml:space="preserve"> </w:t>
      </w:r>
      <w:r>
        <w:rPr>
          <w:rStyle w:val="32"/>
          <w:rFonts w:hint="eastAsia"/>
        </w:rPr>
        <w:t xml:space="preserve"> 术语和定义</w:t>
      </w:r>
      <w:r>
        <w:rPr>
          <w:rFonts w:hint="eastAsia"/>
        </w:rPr>
        <w:tab/>
      </w:r>
      <w:r>
        <w:rPr>
          <w:rFonts w:hint="eastAsia"/>
        </w:rPr>
        <w:fldChar w:fldCharType="begin"/>
      </w:r>
      <w:r>
        <w:rPr>
          <w:rFonts w:hint="eastAsia"/>
        </w:rPr>
        <w:instrText xml:space="preserve"> </w:instrText>
      </w:r>
      <w:r>
        <w:instrText xml:space="preserve">PAGEREF _Toc203753111 \h</w:instrText>
      </w:r>
      <w:r>
        <w:rPr>
          <w:rFonts w:hint="eastAsia"/>
        </w:rPr>
        <w:instrText xml:space="preserve"> </w:instrText>
      </w:r>
      <w:r>
        <w:rPr>
          <w:rFonts w:hint="eastAsia"/>
        </w:rPr>
        <w:fldChar w:fldCharType="separate"/>
      </w:r>
      <w:r>
        <w:t>3</w:t>
      </w:r>
      <w:r>
        <w:rPr>
          <w:rFonts w:hint="eastAsia"/>
        </w:rPr>
        <w:fldChar w:fldCharType="end"/>
      </w:r>
      <w:r>
        <w:rPr>
          <w:rFonts w:hint="eastAsia"/>
        </w:rPr>
        <w:fldChar w:fldCharType="end"/>
      </w:r>
    </w:p>
    <w:p w14:paraId="68D8C6C8">
      <w:pPr>
        <w:pStyle w:val="24"/>
        <w:rPr>
          <w:rFonts w:hint="eastAsia" w:asciiTheme="minorHAnsi" w:hAnsiTheme="minorHAnsi" w:eastAsiaTheme="minorEastAsia" w:cstheme="minorBidi"/>
          <w:sz w:val="22"/>
          <w:szCs w:val="24"/>
          <w14:ligatures w14:val="standardContextual"/>
        </w:rPr>
      </w:pPr>
      <w:r>
        <w:fldChar w:fldCharType="begin"/>
      </w:r>
      <w:r>
        <w:instrText xml:space="preserve"> HYPERLINK \l "_Toc203753112" </w:instrText>
      </w:r>
      <w:r>
        <w:fldChar w:fldCharType="separate"/>
      </w:r>
      <w:r>
        <w:rPr>
          <w:rStyle w:val="32"/>
          <w:rFonts w:hint="eastAsia"/>
          <w14:scene3d>
            <w14:lightRig w14:rig="threePt" w14:dir="t">
              <w14:rot w14:lat="0" w14:lon="0" w14:rev="0"/>
            </w14:lightRig>
          </w14:scene3d>
        </w:rPr>
        <w:t>3.1</w:t>
      </w:r>
      <w:r>
        <w:rPr>
          <w:rStyle w:val="32"/>
          <w14:scene3d>
            <w14:lightRig w14:rig="threePt" w14:dir="t">
              <w14:rot w14:lat="0" w14:lon="0" w14:rev="0"/>
            </w14:lightRig>
          </w14:scene3d>
        </w:rPr>
        <w:t xml:space="preserve"> </w:t>
      </w:r>
      <w:r>
        <w:rPr>
          <w:rStyle w:val="32"/>
          <w:rFonts w:hint="eastAsia"/>
        </w:rPr>
        <w:t xml:space="preserve"> 基本术语</w:t>
      </w:r>
      <w:r>
        <w:rPr>
          <w:rFonts w:hint="eastAsia"/>
        </w:rPr>
        <w:tab/>
      </w:r>
      <w:r>
        <w:rPr>
          <w:rFonts w:hint="eastAsia"/>
        </w:rPr>
        <w:fldChar w:fldCharType="begin"/>
      </w:r>
      <w:r>
        <w:rPr>
          <w:rFonts w:hint="eastAsia"/>
        </w:rPr>
        <w:instrText xml:space="preserve"> </w:instrText>
      </w:r>
      <w:r>
        <w:instrText xml:space="preserve">PAGEREF _Toc203753112 \h</w:instrText>
      </w:r>
      <w:r>
        <w:rPr>
          <w:rFonts w:hint="eastAsia"/>
        </w:rPr>
        <w:instrText xml:space="preserve"> </w:instrText>
      </w:r>
      <w:r>
        <w:rPr>
          <w:rFonts w:hint="eastAsia"/>
        </w:rPr>
        <w:fldChar w:fldCharType="separate"/>
      </w:r>
      <w:r>
        <w:t>3</w:t>
      </w:r>
      <w:r>
        <w:rPr>
          <w:rFonts w:hint="eastAsia"/>
        </w:rPr>
        <w:fldChar w:fldCharType="end"/>
      </w:r>
      <w:r>
        <w:rPr>
          <w:rFonts w:hint="eastAsia"/>
        </w:rPr>
        <w:fldChar w:fldCharType="end"/>
      </w:r>
    </w:p>
    <w:p w14:paraId="5F4EDAA5">
      <w:pPr>
        <w:pStyle w:val="24"/>
        <w:rPr>
          <w:rFonts w:hint="eastAsia" w:asciiTheme="minorHAnsi" w:hAnsiTheme="minorHAnsi" w:eastAsiaTheme="minorEastAsia" w:cstheme="minorBidi"/>
          <w:sz w:val="22"/>
          <w:szCs w:val="24"/>
          <w14:ligatures w14:val="standardContextual"/>
        </w:rPr>
      </w:pPr>
      <w:r>
        <w:fldChar w:fldCharType="begin"/>
      </w:r>
      <w:r>
        <w:instrText xml:space="preserve"> HYPERLINK \l "_Toc203753113" </w:instrText>
      </w:r>
      <w:r>
        <w:fldChar w:fldCharType="separate"/>
      </w:r>
      <w:r>
        <w:rPr>
          <w:rStyle w:val="32"/>
          <w:rFonts w:hint="eastAsia"/>
          <w14:scene3d>
            <w14:lightRig w14:rig="threePt" w14:dir="t">
              <w14:rot w14:lat="0" w14:lon="0" w14:rev="0"/>
            </w14:lightRig>
          </w14:scene3d>
        </w:rPr>
        <w:t>3.2</w:t>
      </w:r>
      <w:r>
        <w:rPr>
          <w:rStyle w:val="32"/>
          <w14:scene3d>
            <w14:lightRig w14:rig="threePt" w14:dir="t">
              <w14:rot w14:lat="0" w14:lon="0" w14:rev="0"/>
            </w14:lightRig>
          </w14:scene3d>
        </w:rPr>
        <w:t xml:space="preserve"> </w:t>
      </w:r>
      <w:r>
        <w:rPr>
          <w:rStyle w:val="32"/>
          <w:rFonts w:hint="eastAsia"/>
        </w:rPr>
        <w:t xml:space="preserve"> 专业术语</w:t>
      </w:r>
      <w:r>
        <w:rPr>
          <w:rFonts w:hint="eastAsia"/>
        </w:rPr>
        <w:tab/>
      </w:r>
      <w:r>
        <w:rPr>
          <w:rFonts w:hint="eastAsia"/>
        </w:rPr>
        <w:fldChar w:fldCharType="begin"/>
      </w:r>
      <w:r>
        <w:rPr>
          <w:rFonts w:hint="eastAsia"/>
        </w:rPr>
        <w:instrText xml:space="preserve"> </w:instrText>
      </w:r>
      <w:r>
        <w:instrText xml:space="preserve">PAGEREF _Toc203753113 \h</w:instrText>
      </w:r>
      <w:r>
        <w:rPr>
          <w:rFonts w:hint="eastAsia"/>
        </w:rPr>
        <w:instrText xml:space="preserve"> </w:instrText>
      </w:r>
      <w:r>
        <w:rPr>
          <w:rFonts w:hint="eastAsia"/>
        </w:rPr>
        <w:fldChar w:fldCharType="separate"/>
      </w:r>
      <w:r>
        <w:t>4</w:t>
      </w:r>
      <w:r>
        <w:rPr>
          <w:rFonts w:hint="eastAsia"/>
        </w:rPr>
        <w:fldChar w:fldCharType="end"/>
      </w:r>
      <w:r>
        <w:rPr>
          <w:rFonts w:hint="eastAsia"/>
        </w:rPr>
        <w:fldChar w:fldCharType="end"/>
      </w:r>
    </w:p>
    <w:p w14:paraId="6F26CCAC">
      <w:pPr>
        <w:pStyle w:val="19"/>
        <w:tabs>
          <w:tab w:val="right" w:leader="dot" w:pos="9344"/>
        </w:tabs>
        <w:rPr>
          <w:rFonts w:hint="eastAsia" w:asciiTheme="minorHAnsi" w:hAnsiTheme="minorHAnsi" w:eastAsiaTheme="minorEastAsia" w:cstheme="minorBidi"/>
          <w:sz w:val="22"/>
          <w:szCs w:val="24"/>
          <w14:ligatures w14:val="standardContextual"/>
        </w:rPr>
      </w:pPr>
      <w:r>
        <w:fldChar w:fldCharType="begin"/>
      </w:r>
      <w:r>
        <w:instrText xml:space="preserve"> HYPERLINK \l "_Toc203753114" </w:instrText>
      </w:r>
      <w:r>
        <w:fldChar w:fldCharType="separate"/>
      </w:r>
      <w:r>
        <w:rPr>
          <w:rStyle w:val="32"/>
          <w:rFonts w:hint="eastAsia"/>
        </w:rPr>
        <w:t>4</w:t>
      </w:r>
      <w:r>
        <w:rPr>
          <w:rStyle w:val="32"/>
        </w:rPr>
        <w:t xml:space="preserve"> </w:t>
      </w:r>
      <w:r>
        <w:rPr>
          <w:rStyle w:val="32"/>
          <w:rFonts w:hint="eastAsia"/>
        </w:rPr>
        <w:t xml:space="preserve"> 总体要求</w:t>
      </w:r>
      <w:r>
        <w:rPr>
          <w:rFonts w:hint="eastAsia"/>
        </w:rPr>
        <w:tab/>
      </w:r>
      <w:r>
        <w:rPr>
          <w:rFonts w:hint="eastAsia"/>
        </w:rPr>
        <w:fldChar w:fldCharType="begin"/>
      </w:r>
      <w:r>
        <w:rPr>
          <w:rFonts w:hint="eastAsia"/>
        </w:rPr>
        <w:instrText xml:space="preserve"> </w:instrText>
      </w:r>
      <w:r>
        <w:instrText xml:space="preserve">PAGEREF _Toc203753114 \h</w:instrText>
      </w:r>
      <w:r>
        <w:rPr>
          <w:rFonts w:hint="eastAsia"/>
        </w:rPr>
        <w:instrText xml:space="preserve"> </w:instrText>
      </w:r>
      <w:r>
        <w:rPr>
          <w:rFonts w:hint="eastAsia"/>
        </w:rPr>
        <w:fldChar w:fldCharType="separate"/>
      </w:r>
      <w:r>
        <w:t>4</w:t>
      </w:r>
      <w:r>
        <w:rPr>
          <w:rFonts w:hint="eastAsia"/>
        </w:rPr>
        <w:fldChar w:fldCharType="end"/>
      </w:r>
      <w:r>
        <w:rPr>
          <w:rFonts w:hint="eastAsia"/>
        </w:rPr>
        <w:fldChar w:fldCharType="end"/>
      </w:r>
    </w:p>
    <w:p w14:paraId="3E86CF6E">
      <w:pPr>
        <w:pStyle w:val="19"/>
        <w:tabs>
          <w:tab w:val="right" w:leader="dot" w:pos="9344"/>
        </w:tabs>
        <w:rPr>
          <w:rFonts w:hint="eastAsia" w:asciiTheme="minorHAnsi" w:hAnsiTheme="minorHAnsi" w:eastAsiaTheme="minorEastAsia" w:cstheme="minorBidi"/>
          <w:sz w:val="22"/>
          <w:szCs w:val="24"/>
          <w14:ligatures w14:val="standardContextual"/>
        </w:rPr>
      </w:pPr>
      <w:r>
        <w:fldChar w:fldCharType="begin"/>
      </w:r>
      <w:r>
        <w:instrText xml:space="preserve"> HYPERLINK \l "_Toc203753115" </w:instrText>
      </w:r>
      <w:r>
        <w:fldChar w:fldCharType="separate"/>
      </w:r>
      <w:r>
        <w:rPr>
          <w:rStyle w:val="32"/>
          <w:rFonts w:hint="eastAsia"/>
        </w:rPr>
        <w:t>5</w:t>
      </w:r>
      <w:r>
        <w:rPr>
          <w:rStyle w:val="32"/>
        </w:rPr>
        <w:t xml:space="preserve"> </w:t>
      </w:r>
      <w:r>
        <w:rPr>
          <w:rStyle w:val="32"/>
          <w:rFonts w:hint="eastAsia"/>
        </w:rPr>
        <w:t xml:space="preserve"> 培训与考核要求</w:t>
      </w:r>
      <w:r>
        <w:rPr>
          <w:rFonts w:hint="eastAsia"/>
        </w:rPr>
        <w:tab/>
      </w:r>
      <w:r>
        <w:rPr>
          <w:rFonts w:hint="eastAsia"/>
        </w:rPr>
        <w:fldChar w:fldCharType="begin"/>
      </w:r>
      <w:r>
        <w:rPr>
          <w:rFonts w:hint="eastAsia"/>
        </w:rPr>
        <w:instrText xml:space="preserve"> </w:instrText>
      </w:r>
      <w:r>
        <w:instrText xml:space="preserve">PAGEREF _Toc203753115 \h</w:instrText>
      </w:r>
      <w:r>
        <w:rPr>
          <w:rFonts w:hint="eastAsia"/>
        </w:rPr>
        <w:instrText xml:space="preserve"> </w:instrText>
      </w:r>
      <w:r>
        <w:rPr>
          <w:rFonts w:hint="eastAsia"/>
        </w:rPr>
        <w:fldChar w:fldCharType="separate"/>
      </w:r>
      <w:r>
        <w:t>5</w:t>
      </w:r>
      <w:r>
        <w:rPr>
          <w:rFonts w:hint="eastAsia"/>
        </w:rPr>
        <w:fldChar w:fldCharType="end"/>
      </w:r>
      <w:r>
        <w:rPr>
          <w:rFonts w:hint="eastAsia"/>
        </w:rPr>
        <w:fldChar w:fldCharType="end"/>
      </w:r>
    </w:p>
    <w:p w14:paraId="54D08CFF">
      <w:pPr>
        <w:pStyle w:val="24"/>
        <w:rPr>
          <w:rFonts w:hint="eastAsia" w:asciiTheme="minorHAnsi" w:hAnsiTheme="minorHAnsi" w:eastAsiaTheme="minorEastAsia" w:cstheme="minorBidi"/>
          <w:sz w:val="22"/>
          <w:szCs w:val="24"/>
          <w14:ligatures w14:val="standardContextual"/>
        </w:rPr>
      </w:pPr>
      <w:r>
        <w:fldChar w:fldCharType="begin"/>
      </w:r>
      <w:r>
        <w:instrText xml:space="preserve"> HYPERLINK \l "_Toc203753116" </w:instrText>
      </w:r>
      <w:r>
        <w:fldChar w:fldCharType="separate"/>
      </w:r>
      <w:r>
        <w:rPr>
          <w:rStyle w:val="32"/>
          <w:rFonts w:hint="eastAsia"/>
          <w14:scene3d>
            <w14:lightRig w14:rig="threePt" w14:dir="t">
              <w14:rot w14:lat="0" w14:lon="0" w14:rev="0"/>
            </w14:lightRig>
          </w14:scene3d>
        </w:rPr>
        <w:t>5.1</w:t>
      </w:r>
      <w:r>
        <w:rPr>
          <w:rStyle w:val="32"/>
          <w14:scene3d>
            <w14:lightRig w14:rig="threePt" w14:dir="t">
              <w14:rot w14:lat="0" w14:lon="0" w14:rev="0"/>
            </w14:lightRig>
          </w14:scene3d>
        </w:rPr>
        <w:t xml:space="preserve"> </w:t>
      </w:r>
      <w:r>
        <w:rPr>
          <w:rStyle w:val="32"/>
          <w:rFonts w:hint="eastAsia"/>
        </w:rPr>
        <w:t xml:space="preserve"> 培训要求</w:t>
      </w:r>
      <w:r>
        <w:rPr>
          <w:rFonts w:hint="eastAsia"/>
        </w:rPr>
        <w:tab/>
      </w:r>
      <w:r>
        <w:rPr>
          <w:rFonts w:hint="eastAsia"/>
        </w:rPr>
        <w:fldChar w:fldCharType="begin"/>
      </w:r>
      <w:r>
        <w:rPr>
          <w:rFonts w:hint="eastAsia"/>
        </w:rPr>
        <w:instrText xml:space="preserve"> </w:instrText>
      </w:r>
      <w:r>
        <w:instrText xml:space="preserve">PAGEREF _Toc203753116 \h</w:instrText>
      </w:r>
      <w:r>
        <w:rPr>
          <w:rFonts w:hint="eastAsia"/>
        </w:rPr>
        <w:instrText xml:space="preserve"> </w:instrText>
      </w:r>
      <w:r>
        <w:rPr>
          <w:rFonts w:hint="eastAsia"/>
        </w:rPr>
        <w:fldChar w:fldCharType="separate"/>
      </w:r>
      <w:r>
        <w:t>5</w:t>
      </w:r>
      <w:r>
        <w:rPr>
          <w:rFonts w:hint="eastAsia"/>
        </w:rPr>
        <w:fldChar w:fldCharType="end"/>
      </w:r>
      <w:r>
        <w:rPr>
          <w:rFonts w:hint="eastAsia"/>
        </w:rPr>
        <w:fldChar w:fldCharType="end"/>
      </w:r>
    </w:p>
    <w:p w14:paraId="5FBDEAE7">
      <w:pPr>
        <w:pStyle w:val="24"/>
        <w:rPr>
          <w:rFonts w:hint="eastAsia" w:asciiTheme="minorHAnsi" w:hAnsiTheme="minorHAnsi" w:eastAsiaTheme="minorEastAsia" w:cstheme="minorBidi"/>
          <w:sz w:val="22"/>
          <w:szCs w:val="24"/>
          <w14:ligatures w14:val="standardContextual"/>
        </w:rPr>
      </w:pPr>
      <w:r>
        <w:fldChar w:fldCharType="begin"/>
      </w:r>
      <w:r>
        <w:instrText xml:space="preserve"> HYPERLINK \l "_Toc203753117" </w:instrText>
      </w:r>
      <w:r>
        <w:fldChar w:fldCharType="separate"/>
      </w:r>
      <w:r>
        <w:rPr>
          <w:rStyle w:val="32"/>
          <w:rFonts w:hint="eastAsia"/>
          <w14:scene3d>
            <w14:lightRig w14:rig="threePt" w14:dir="t">
              <w14:rot w14:lat="0" w14:lon="0" w14:rev="0"/>
            </w14:lightRig>
          </w14:scene3d>
        </w:rPr>
        <w:t>5.2</w:t>
      </w:r>
      <w:r>
        <w:rPr>
          <w:rStyle w:val="32"/>
          <w14:scene3d>
            <w14:lightRig w14:rig="threePt" w14:dir="t">
              <w14:rot w14:lat="0" w14:lon="0" w14:rev="0"/>
            </w14:lightRig>
          </w14:scene3d>
        </w:rPr>
        <w:t xml:space="preserve"> </w:t>
      </w:r>
      <w:r>
        <w:rPr>
          <w:rStyle w:val="32"/>
          <w:rFonts w:hint="eastAsia"/>
        </w:rPr>
        <w:t xml:space="preserve"> 考核要求</w:t>
      </w:r>
      <w:r>
        <w:rPr>
          <w:rFonts w:hint="eastAsia"/>
        </w:rPr>
        <w:tab/>
      </w:r>
      <w:r>
        <w:rPr>
          <w:rFonts w:hint="eastAsia"/>
        </w:rPr>
        <w:fldChar w:fldCharType="begin"/>
      </w:r>
      <w:r>
        <w:rPr>
          <w:rFonts w:hint="eastAsia"/>
        </w:rPr>
        <w:instrText xml:space="preserve"> </w:instrText>
      </w:r>
      <w:r>
        <w:instrText xml:space="preserve">PAGEREF _Toc203753117 \h</w:instrText>
      </w:r>
      <w:r>
        <w:rPr>
          <w:rFonts w:hint="eastAsia"/>
        </w:rPr>
        <w:instrText xml:space="preserve"> </w:instrText>
      </w:r>
      <w:r>
        <w:rPr>
          <w:rFonts w:hint="eastAsia"/>
        </w:rPr>
        <w:fldChar w:fldCharType="separate"/>
      </w:r>
      <w:r>
        <w:t>5</w:t>
      </w:r>
      <w:r>
        <w:rPr>
          <w:rFonts w:hint="eastAsia"/>
        </w:rPr>
        <w:fldChar w:fldCharType="end"/>
      </w:r>
      <w:r>
        <w:rPr>
          <w:rFonts w:hint="eastAsia"/>
        </w:rPr>
        <w:fldChar w:fldCharType="end"/>
      </w:r>
    </w:p>
    <w:p w14:paraId="13E978B6">
      <w:pPr>
        <w:pStyle w:val="19"/>
        <w:tabs>
          <w:tab w:val="right" w:leader="dot" w:pos="9344"/>
        </w:tabs>
        <w:rPr>
          <w:rFonts w:hint="eastAsia" w:asciiTheme="minorHAnsi" w:hAnsiTheme="minorHAnsi" w:eastAsiaTheme="minorEastAsia" w:cstheme="minorBidi"/>
          <w:sz w:val="22"/>
          <w:szCs w:val="24"/>
          <w14:ligatures w14:val="standardContextual"/>
        </w:rPr>
      </w:pPr>
      <w:r>
        <w:fldChar w:fldCharType="begin"/>
      </w:r>
      <w:r>
        <w:instrText xml:space="preserve"> HYPERLINK \l "_Toc203753118" </w:instrText>
      </w:r>
      <w:r>
        <w:fldChar w:fldCharType="separate"/>
      </w:r>
      <w:r>
        <w:rPr>
          <w:rStyle w:val="32"/>
          <w:rFonts w:hint="eastAsia"/>
        </w:rPr>
        <w:t>6</w:t>
      </w:r>
      <w:r>
        <w:rPr>
          <w:rStyle w:val="32"/>
        </w:rPr>
        <w:t xml:space="preserve"> </w:t>
      </w:r>
      <w:r>
        <w:rPr>
          <w:rStyle w:val="32"/>
          <w:rFonts w:hint="eastAsia"/>
        </w:rPr>
        <w:t xml:space="preserve"> 培训</w:t>
      </w:r>
      <w:r>
        <w:rPr>
          <w:rFonts w:hint="eastAsia"/>
        </w:rPr>
        <w:tab/>
      </w:r>
      <w:r>
        <w:rPr>
          <w:rFonts w:hint="eastAsia"/>
        </w:rPr>
        <w:fldChar w:fldCharType="begin"/>
      </w:r>
      <w:r>
        <w:rPr>
          <w:rFonts w:hint="eastAsia"/>
        </w:rPr>
        <w:instrText xml:space="preserve"> </w:instrText>
      </w:r>
      <w:r>
        <w:instrText xml:space="preserve">PAGEREF _Toc203753118 \h</w:instrText>
      </w:r>
      <w:r>
        <w:rPr>
          <w:rFonts w:hint="eastAsia"/>
        </w:rPr>
        <w:instrText xml:space="preserve"> </w:instrText>
      </w:r>
      <w:r>
        <w:rPr>
          <w:rFonts w:hint="eastAsia"/>
        </w:rPr>
        <w:fldChar w:fldCharType="separate"/>
      </w:r>
      <w:r>
        <w:t>5</w:t>
      </w:r>
      <w:r>
        <w:rPr>
          <w:rFonts w:hint="eastAsia"/>
        </w:rPr>
        <w:fldChar w:fldCharType="end"/>
      </w:r>
      <w:r>
        <w:rPr>
          <w:rFonts w:hint="eastAsia"/>
        </w:rPr>
        <w:fldChar w:fldCharType="end"/>
      </w:r>
    </w:p>
    <w:p w14:paraId="7EC89AF5">
      <w:pPr>
        <w:pStyle w:val="24"/>
        <w:rPr>
          <w:rFonts w:hint="eastAsia" w:asciiTheme="minorHAnsi" w:hAnsiTheme="minorHAnsi" w:eastAsiaTheme="minorEastAsia" w:cstheme="minorBidi"/>
          <w:sz w:val="22"/>
          <w:szCs w:val="24"/>
          <w14:ligatures w14:val="standardContextual"/>
        </w:rPr>
      </w:pPr>
      <w:r>
        <w:fldChar w:fldCharType="begin"/>
      </w:r>
      <w:r>
        <w:instrText xml:space="preserve"> HYPERLINK \l "_Toc203753119" </w:instrText>
      </w:r>
      <w:r>
        <w:fldChar w:fldCharType="separate"/>
      </w:r>
      <w:r>
        <w:rPr>
          <w:rStyle w:val="32"/>
          <w:rFonts w:hint="eastAsia"/>
          <w14:scene3d>
            <w14:lightRig w14:rig="threePt" w14:dir="t">
              <w14:rot w14:lat="0" w14:lon="0" w14:rev="0"/>
            </w14:lightRig>
          </w14:scene3d>
        </w:rPr>
        <w:t>6.1</w:t>
      </w:r>
      <w:r>
        <w:rPr>
          <w:rStyle w:val="32"/>
          <w14:scene3d>
            <w14:lightRig w14:rig="threePt" w14:dir="t">
              <w14:rot w14:lat="0" w14:lon="0" w14:rev="0"/>
            </w14:lightRig>
          </w14:scene3d>
        </w:rPr>
        <w:t xml:space="preserve"> </w:t>
      </w:r>
      <w:r>
        <w:rPr>
          <w:rStyle w:val="32"/>
          <w:rFonts w:hint="eastAsia"/>
        </w:rPr>
        <w:t xml:space="preserve"> 培训对象类别</w:t>
      </w:r>
      <w:r>
        <w:rPr>
          <w:rFonts w:hint="eastAsia"/>
        </w:rPr>
        <w:tab/>
      </w:r>
      <w:r>
        <w:rPr>
          <w:rFonts w:hint="eastAsia"/>
        </w:rPr>
        <w:fldChar w:fldCharType="begin"/>
      </w:r>
      <w:r>
        <w:rPr>
          <w:rFonts w:hint="eastAsia"/>
        </w:rPr>
        <w:instrText xml:space="preserve"> </w:instrText>
      </w:r>
      <w:r>
        <w:instrText xml:space="preserve">PAGEREF _Toc203753119 \h</w:instrText>
      </w:r>
      <w:r>
        <w:rPr>
          <w:rFonts w:hint="eastAsia"/>
        </w:rPr>
        <w:instrText xml:space="preserve"> </w:instrText>
      </w:r>
      <w:r>
        <w:rPr>
          <w:rFonts w:hint="eastAsia"/>
        </w:rPr>
        <w:fldChar w:fldCharType="separate"/>
      </w:r>
      <w:r>
        <w:t>5</w:t>
      </w:r>
      <w:r>
        <w:rPr>
          <w:rFonts w:hint="eastAsia"/>
        </w:rPr>
        <w:fldChar w:fldCharType="end"/>
      </w:r>
      <w:r>
        <w:rPr>
          <w:rFonts w:hint="eastAsia"/>
        </w:rPr>
        <w:fldChar w:fldCharType="end"/>
      </w:r>
    </w:p>
    <w:p w14:paraId="70ED95B9">
      <w:pPr>
        <w:pStyle w:val="24"/>
        <w:rPr>
          <w:rFonts w:hint="eastAsia" w:asciiTheme="minorHAnsi" w:hAnsiTheme="minorHAnsi" w:eastAsiaTheme="minorEastAsia" w:cstheme="minorBidi"/>
          <w:sz w:val="22"/>
          <w:szCs w:val="24"/>
          <w14:ligatures w14:val="standardContextual"/>
        </w:rPr>
      </w:pPr>
      <w:r>
        <w:fldChar w:fldCharType="begin"/>
      </w:r>
      <w:r>
        <w:instrText xml:space="preserve"> HYPERLINK \l "_Toc203753120" </w:instrText>
      </w:r>
      <w:r>
        <w:fldChar w:fldCharType="separate"/>
      </w:r>
      <w:r>
        <w:rPr>
          <w:rStyle w:val="32"/>
          <w:rFonts w:hint="eastAsia"/>
          <w14:scene3d>
            <w14:lightRig w14:rig="threePt" w14:dir="t">
              <w14:rot w14:lat="0" w14:lon="0" w14:rev="0"/>
            </w14:lightRig>
          </w14:scene3d>
        </w:rPr>
        <w:t>6.2</w:t>
      </w:r>
      <w:r>
        <w:rPr>
          <w:rStyle w:val="32"/>
          <w14:scene3d>
            <w14:lightRig w14:rig="threePt" w14:dir="t">
              <w14:rot w14:lat="0" w14:lon="0" w14:rev="0"/>
            </w14:lightRig>
          </w14:scene3d>
        </w:rPr>
        <w:t xml:space="preserve"> </w:t>
      </w:r>
      <w:r>
        <w:rPr>
          <w:rStyle w:val="32"/>
          <w:rFonts w:hint="eastAsia"/>
        </w:rPr>
        <w:t xml:space="preserve"> 培训目标</w:t>
      </w:r>
      <w:r>
        <w:rPr>
          <w:rFonts w:hint="eastAsia"/>
        </w:rPr>
        <w:tab/>
      </w:r>
      <w:r>
        <w:rPr>
          <w:rFonts w:hint="eastAsia"/>
        </w:rPr>
        <w:fldChar w:fldCharType="begin"/>
      </w:r>
      <w:r>
        <w:rPr>
          <w:rFonts w:hint="eastAsia"/>
        </w:rPr>
        <w:instrText xml:space="preserve"> </w:instrText>
      </w:r>
      <w:r>
        <w:instrText xml:space="preserve">PAGEREF _Toc203753120 \h</w:instrText>
      </w:r>
      <w:r>
        <w:rPr>
          <w:rFonts w:hint="eastAsia"/>
        </w:rPr>
        <w:instrText xml:space="preserve"> </w:instrText>
      </w:r>
      <w:r>
        <w:rPr>
          <w:rFonts w:hint="eastAsia"/>
        </w:rPr>
        <w:fldChar w:fldCharType="separate"/>
      </w:r>
      <w:r>
        <w:t>5</w:t>
      </w:r>
      <w:r>
        <w:rPr>
          <w:rFonts w:hint="eastAsia"/>
        </w:rPr>
        <w:fldChar w:fldCharType="end"/>
      </w:r>
      <w:r>
        <w:rPr>
          <w:rFonts w:hint="eastAsia"/>
        </w:rPr>
        <w:fldChar w:fldCharType="end"/>
      </w:r>
    </w:p>
    <w:p w14:paraId="6595C9A0">
      <w:pPr>
        <w:pStyle w:val="24"/>
        <w:rPr>
          <w:rFonts w:hint="eastAsia" w:asciiTheme="minorHAnsi" w:hAnsiTheme="minorHAnsi" w:eastAsiaTheme="minorEastAsia" w:cstheme="minorBidi"/>
          <w:sz w:val="22"/>
          <w:szCs w:val="24"/>
          <w14:ligatures w14:val="standardContextual"/>
        </w:rPr>
      </w:pPr>
      <w:r>
        <w:fldChar w:fldCharType="begin"/>
      </w:r>
      <w:r>
        <w:instrText xml:space="preserve"> HYPERLINK \l "_Toc203753121" </w:instrText>
      </w:r>
      <w:r>
        <w:fldChar w:fldCharType="separate"/>
      </w:r>
      <w:r>
        <w:rPr>
          <w:rStyle w:val="32"/>
          <w:rFonts w:hint="eastAsia"/>
          <w14:scene3d>
            <w14:lightRig w14:rig="threePt" w14:dir="t">
              <w14:rot w14:lat="0" w14:lon="0" w14:rev="0"/>
            </w14:lightRig>
          </w14:scene3d>
        </w:rPr>
        <w:t>6.3</w:t>
      </w:r>
      <w:r>
        <w:rPr>
          <w:rStyle w:val="32"/>
          <w14:scene3d>
            <w14:lightRig w14:rig="threePt" w14:dir="t">
              <w14:rot w14:lat="0" w14:lon="0" w14:rev="0"/>
            </w14:lightRig>
          </w14:scene3d>
        </w:rPr>
        <w:t xml:space="preserve"> </w:t>
      </w:r>
      <w:r>
        <w:rPr>
          <w:rStyle w:val="32"/>
          <w:rFonts w:hint="eastAsia"/>
        </w:rPr>
        <w:t xml:space="preserve"> 培训内容</w:t>
      </w:r>
      <w:r>
        <w:rPr>
          <w:rFonts w:hint="eastAsia"/>
        </w:rPr>
        <w:tab/>
      </w:r>
      <w:r>
        <w:rPr>
          <w:rFonts w:hint="eastAsia"/>
        </w:rPr>
        <w:fldChar w:fldCharType="begin"/>
      </w:r>
      <w:r>
        <w:rPr>
          <w:rFonts w:hint="eastAsia"/>
        </w:rPr>
        <w:instrText xml:space="preserve"> </w:instrText>
      </w:r>
      <w:r>
        <w:instrText xml:space="preserve">PAGEREF _Toc203753121 \h</w:instrText>
      </w:r>
      <w:r>
        <w:rPr>
          <w:rFonts w:hint="eastAsia"/>
        </w:rPr>
        <w:instrText xml:space="preserve"> </w:instrText>
      </w:r>
      <w:r>
        <w:rPr>
          <w:rFonts w:hint="eastAsia"/>
        </w:rPr>
        <w:fldChar w:fldCharType="separate"/>
      </w:r>
      <w:r>
        <w:t>6</w:t>
      </w:r>
      <w:r>
        <w:rPr>
          <w:rFonts w:hint="eastAsia"/>
        </w:rPr>
        <w:fldChar w:fldCharType="end"/>
      </w:r>
      <w:r>
        <w:rPr>
          <w:rFonts w:hint="eastAsia"/>
        </w:rPr>
        <w:fldChar w:fldCharType="end"/>
      </w:r>
    </w:p>
    <w:p w14:paraId="3E64DCDC">
      <w:pPr>
        <w:pStyle w:val="24"/>
        <w:rPr>
          <w:rFonts w:hint="eastAsia" w:asciiTheme="minorHAnsi" w:hAnsiTheme="minorHAnsi" w:eastAsiaTheme="minorEastAsia" w:cstheme="minorBidi"/>
          <w:sz w:val="22"/>
          <w:szCs w:val="24"/>
          <w14:ligatures w14:val="standardContextual"/>
        </w:rPr>
      </w:pPr>
      <w:r>
        <w:fldChar w:fldCharType="begin"/>
      </w:r>
      <w:r>
        <w:instrText xml:space="preserve"> HYPERLINK \l "_Toc203753122" </w:instrText>
      </w:r>
      <w:r>
        <w:fldChar w:fldCharType="separate"/>
      </w:r>
      <w:r>
        <w:rPr>
          <w:rStyle w:val="32"/>
          <w:rFonts w:hint="eastAsia"/>
          <w14:scene3d>
            <w14:lightRig w14:rig="threePt" w14:dir="t">
              <w14:rot w14:lat="0" w14:lon="0" w14:rev="0"/>
            </w14:lightRig>
          </w14:scene3d>
        </w:rPr>
        <w:t>6.4</w:t>
      </w:r>
      <w:r>
        <w:rPr>
          <w:rStyle w:val="32"/>
          <w14:scene3d>
            <w14:lightRig w14:rig="threePt" w14:dir="t">
              <w14:rot w14:lat="0" w14:lon="0" w14:rev="0"/>
            </w14:lightRig>
          </w14:scene3d>
        </w:rPr>
        <w:t xml:space="preserve"> </w:t>
      </w:r>
      <w:r>
        <w:rPr>
          <w:rStyle w:val="32"/>
          <w:rFonts w:hint="eastAsia"/>
        </w:rPr>
        <w:t xml:space="preserve"> 培训方式</w:t>
      </w:r>
      <w:r>
        <w:rPr>
          <w:rFonts w:hint="eastAsia"/>
        </w:rPr>
        <w:tab/>
      </w:r>
      <w:r>
        <w:rPr>
          <w:rFonts w:hint="eastAsia"/>
        </w:rPr>
        <w:fldChar w:fldCharType="begin"/>
      </w:r>
      <w:r>
        <w:rPr>
          <w:rFonts w:hint="eastAsia"/>
        </w:rPr>
        <w:instrText xml:space="preserve"> </w:instrText>
      </w:r>
      <w:r>
        <w:instrText xml:space="preserve">PAGEREF _Toc203753122 \h</w:instrText>
      </w:r>
      <w:r>
        <w:rPr>
          <w:rFonts w:hint="eastAsia"/>
        </w:rPr>
        <w:instrText xml:space="preserve"> </w:instrText>
      </w:r>
      <w:r>
        <w:rPr>
          <w:rFonts w:hint="eastAsia"/>
        </w:rPr>
        <w:fldChar w:fldCharType="separate"/>
      </w:r>
      <w:r>
        <w:t>6</w:t>
      </w:r>
      <w:r>
        <w:rPr>
          <w:rFonts w:hint="eastAsia"/>
        </w:rPr>
        <w:fldChar w:fldCharType="end"/>
      </w:r>
      <w:r>
        <w:rPr>
          <w:rFonts w:hint="eastAsia"/>
        </w:rPr>
        <w:fldChar w:fldCharType="end"/>
      </w:r>
    </w:p>
    <w:p w14:paraId="3E79C6AE">
      <w:pPr>
        <w:pStyle w:val="24"/>
        <w:rPr>
          <w:rFonts w:hint="eastAsia" w:asciiTheme="minorHAnsi" w:hAnsiTheme="minorHAnsi" w:eastAsiaTheme="minorEastAsia" w:cstheme="minorBidi"/>
          <w:sz w:val="22"/>
          <w:szCs w:val="24"/>
          <w14:ligatures w14:val="standardContextual"/>
        </w:rPr>
      </w:pPr>
      <w:r>
        <w:fldChar w:fldCharType="begin"/>
      </w:r>
      <w:r>
        <w:instrText xml:space="preserve"> HYPERLINK \l "_Toc203753123" </w:instrText>
      </w:r>
      <w:r>
        <w:fldChar w:fldCharType="separate"/>
      </w:r>
      <w:r>
        <w:rPr>
          <w:rStyle w:val="32"/>
          <w:rFonts w:hint="eastAsia"/>
          <w14:scene3d>
            <w14:lightRig w14:rig="threePt" w14:dir="t">
              <w14:rot w14:lat="0" w14:lon="0" w14:rev="0"/>
            </w14:lightRig>
          </w14:scene3d>
        </w:rPr>
        <w:t>6.5</w:t>
      </w:r>
      <w:r>
        <w:rPr>
          <w:rStyle w:val="32"/>
          <w14:scene3d>
            <w14:lightRig w14:rig="threePt" w14:dir="t">
              <w14:rot w14:lat="0" w14:lon="0" w14:rev="0"/>
            </w14:lightRig>
          </w14:scene3d>
        </w:rPr>
        <w:t xml:space="preserve"> </w:t>
      </w:r>
      <w:r>
        <w:rPr>
          <w:rStyle w:val="32"/>
          <w:rFonts w:hint="eastAsia"/>
        </w:rPr>
        <w:t xml:space="preserve"> 培训流程</w:t>
      </w:r>
      <w:r>
        <w:rPr>
          <w:rFonts w:hint="eastAsia"/>
        </w:rPr>
        <w:tab/>
      </w:r>
      <w:r>
        <w:rPr>
          <w:rFonts w:hint="eastAsia"/>
        </w:rPr>
        <w:fldChar w:fldCharType="begin"/>
      </w:r>
      <w:r>
        <w:rPr>
          <w:rFonts w:hint="eastAsia"/>
        </w:rPr>
        <w:instrText xml:space="preserve"> </w:instrText>
      </w:r>
      <w:r>
        <w:instrText xml:space="preserve">PAGEREF _Toc203753123 \h</w:instrText>
      </w:r>
      <w:r>
        <w:rPr>
          <w:rFonts w:hint="eastAsia"/>
        </w:rPr>
        <w:instrText xml:space="preserve"> </w:instrText>
      </w:r>
      <w:r>
        <w:rPr>
          <w:rFonts w:hint="eastAsia"/>
        </w:rPr>
        <w:fldChar w:fldCharType="separate"/>
      </w:r>
      <w:r>
        <w:t>6</w:t>
      </w:r>
      <w:r>
        <w:rPr>
          <w:rFonts w:hint="eastAsia"/>
        </w:rPr>
        <w:fldChar w:fldCharType="end"/>
      </w:r>
      <w:r>
        <w:rPr>
          <w:rFonts w:hint="eastAsia"/>
        </w:rPr>
        <w:fldChar w:fldCharType="end"/>
      </w:r>
    </w:p>
    <w:p w14:paraId="60C7C41F">
      <w:pPr>
        <w:pStyle w:val="19"/>
        <w:tabs>
          <w:tab w:val="right" w:leader="dot" w:pos="9344"/>
        </w:tabs>
        <w:rPr>
          <w:rFonts w:hint="eastAsia" w:asciiTheme="minorHAnsi" w:hAnsiTheme="minorHAnsi" w:eastAsiaTheme="minorEastAsia" w:cstheme="minorBidi"/>
          <w:sz w:val="22"/>
          <w:szCs w:val="24"/>
          <w14:ligatures w14:val="standardContextual"/>
        </w:rPr>
      </w:pPr>
      <w:r>
        <w:fldChar w:fldCharType="begin"/>
      </w:r>
      <w:r>
        <w:instrText xml:space="preserve"> HYPERLINK \l "_Toc203753124" </w:instrText>
      </w:r>
      <w:r>
        <w:fldChar w:fldCharType="separate"/>
      </w:r>
      <w:r>
        <w:rPr>
          <w:rStyle w:val="32"/>
          <w:rFonts w:hint="eastAsia"/>
        </w:rPr>
        <w:t>7</w:t>
      </w:r>
      <w:r>
        <w:rPr>
          <w:rStyle w:val="32"/>
        </w:rPr>
        <w:t xml:space="preserve"> </w:t>
      </w:r>
      <w:r>
        <w:rPr>
          <w:rStyle w:val="32"/>
          <w:rFonts w:hint="eastAsia"/>
        </w:rPr>
        <w:t xml:space="preserve"> 考核</w:t>
      </w:r>
      <w:r>
        <w:rPr>
          <w:rFonts w:hint="eastAsia"/>
        </w:rPr>
        <w:tab/>
      </w:r>
      <w:r>
        <w:rPr>
          <w:rFonts w:hint="eastAsia"/>
        </w:rPr>
        <w:fldChar w:fldCharType="begin"/>
      </w:r>
      <w:r>
        <w:rPr>
          <w:rFonts w:hint="eastAsia"/>
        </w:rPr>
        <w:instrText xml:space="preserve"> </w:instrText>
      </w:r>
      <w:r>
        <w:instrText xml:space="preserve">PAGEREF _Toc203753124 \h</w:instrText>
      </w:r>
      <w:r>
        <w:rPr>
          <w:rFonts w:hint="eastAsia"/>
        </w:rPr>
        <w:instrText xml:space="preserve"> </w:instrText>
      </w:r>
      <w:r>
        <w:rPr>
          <w:rFonts w:hint="eastAsia"/>
        </w:rPr>
        <w:fldChar w:fldCharType="separate"/>
      </w:r>
      <w:r>
        <w:t>8</w:t>
      </w:r>
      <w:r>
        <w:rPr>
          <w:rFonts w:hint="eastAsia"/>
        </w:rPr>
        <w:fldChar w:fldCharType="end"/>
      </w:r>
      <w:r>
        <w:rPr>
          <w:rFonts w:hint="eastAsia"/>
        </w:rPr>
        <w:fldChar w:fldCharType="end"/>
      </w:r>
    </w:p>
    <w:p w14:paraId="6ABBBAF7">
      <w:pPr>
        <w:pStyle w:val="24"/>
        <w:rPr>
          <w:rFonts w:hint="eastAsia" w:asciiTheme="minorHAnsi" w:hAnsiTheme="minorHAnsi" w:eastAsiaTheme="minorEastAsia" w:cstheme="minorBidi"/>
          <w:sz w:val="22"/>
          <w:szCs w:val="24"/>
          <w14:ligatures w14:val="standardContextual"/>
        </w:rPr>
      </w:pPr>
      <w:r>
        <w:fldChar w:fldCharType="begin"/>
      </w:r>
      <w:r>
        <w:instrText xml:space="preserve"> HYPERLINK \l "_Toc203753125" </w:instrText>
      </w:r>
      <w:r>
        <w:fldChar w:fldCharType="separate"/>
      </w:r>
      <w:r>
        <w:rPr>
          <w:rStyle w:val="32"/>
          <w:rFonts w:hint="eastAsia"/>
          <w14:scene3d>
            <w14:lightRig w14:rig="threePt" w14:dir="t">
              <w14:rot w14:lat="0" w14:lon="0" w14:rev="0"/>
            </w14:lightRig>
          </w14:scene3d>
        </w:rPr>
        <w:t>7.1</w:t>
      </w:r>
      <w:r>
        <w:rPr>
          <w:rStyle w:val="32"/>
          <w14:scene3d>
            <w14:lightRig w14:rig="threePt" w14:dir="t">
              <w14:rot w14:lat="0" w14:lon="0" w14:rev="0"/>
            </w14:lightRig>
          </w14:scene3d>
        </w:rPr>
        <w:t xml:space="preserve"> </w:t>
      </w:r>
      <w:r>
        <w:rPr>
          <w:rStyle w:val="32"/>
          <w:rFonts w:hint="eastAsia"/>
        </w:rPr>
        <w:t xml:space="preserve"> 考核对象类别</w:t>
      </w:r>
      <w:r>
        <w:rPr>
          <w:rFonts w:hint="eastAsia"/>
        </w:rPr>
        <w:tab/>
      </w:r>
      <w:r>
        <w:rPr>
          <w:rFonts w:hint="eastAsia"/>
        </w:rPr>
        <w:fldChar w:fldCharType="begin"/>
      </w:r>
      <w:r>
        <w:rPr>
          <w:rFonts w:hint="eastAsia"/>
        </w:rPr>
        <w:instrText xml:space="preserve"> </w:instrText>
      </w:r>
      <w:r>
        <w:instrText xml:space="preserve">PAGEREF _Toc203753125 \h</w:instrText>
      </w:r>
      <w:r>
        <w:rPr>
          <w:rFonts w:hint="eastAsia"/>
        </w:rPr>
        <w:instrText xml:space="preserve"> </w:instrText>
      </w:r>
      <w:r>
        <w:rPr>
          <w:rFonts w:hint="eastAsia"/>
        </w:rPr>
        <w:fldChar w:fldCharType="separate"/>
      </w:r>
      <w:r>
        <w:t>8</w:t>
      </w:r>
      <w:r>
        <w:rPr>
          <w:rFonts w:hint="eastAsia"/>
        </w:rPr>
        <w:fldChar w:fldCharType="end"/>
      </w:r>
      <w:r>
        <w:rPr>
          <w:rFonts w:hint="eastAsia"/>
        </w:rPr>
        <w:fldChar w:fldCharType="end"/>
      </w:r>
    </w:p>
    <w:p w14:paraId="3F00908A">
      <w:pPr>
        <w:pStyle w:val="24"/>
        <w:rPr>
          <w:rFonts w:hint="eastAsia" w:asciiTheme="minorHAnsi" w:hAnsiTheme="minorHAnsi" w:eastAsiaTheme="minorEastAsia" w:cstheme="minorBidi"/>
          <w:sz w:val="22"/>
          <w:szCs w:val="24"/>
          <w14:ligatures w14:val="standardContextual"/>
        </w:rPr>
      </w:pPr>
      <w:r>
        <w:fldChar w:fldCharType="begin"/>
      </w:r>
      <w:r>
        <w:instrText xml:space="preserve"> HYPERLINK \l "_Toc203753126" </w:instrText>
      </w:r>
      <w:r>
        <w:fldChar w:fldCharType="separate"/>
      </w:r>
      <w:r>
        <w:rPr>
          <w:rStyle w:val="32"/>
          <w:rFonts w:hint="eastAsia"/>
          <w14:scene3d>
            <w14:lightRig w14:rig="threePt" w14:dir="t">
              <w14:rot w14:lat="0" w14:lon="0" w14:rev="0"/>
            </w14:lightRig>
          </w14:scene3d>
        </w:rPr>
        <w:t>7.2</w:t>
      </w:r>
      <w:r>
        <w:rPr>
          <w:rStyle w:val="32"/>
          <w14:scene3d>
            <w14:lightRig w14:rig="threePt" w14:dir="t">
              <w14:rot w14:lat="0" w14:lon="0" w14:rev="0"/>
            </w14:lightRig>
          </w14:scene3d>
        </w:rPr>
        <w:t xml:space="preserve"> </w:t>
      </w:r>
      <w:r>
        <w:rPr>
          <w:rStyle w:val="32"/>
          <w:rFonts w:hint="eastAsia"/>
        </w:rPr>
        <w:t xml:space="preserve"> 报考条件</w:t>
      </w:r>
      <w:r>
        <w:rPr>
          <w:rFonts w:hint="eastAsia"/>
        </w:rPr>
        <w:tab/>
      </w:r>
      <w:r>
        <w:rPr>
          <w:rFonts w:hint="eastAsia"/>
        </w:rPr>
        <w:fldChar w:fldCharType="begin"/>
      </w:r>
      <w:r>
        <w:rPr>
          <w:rFonts w:hint="eastAsia"/>
        </w:rPr>
        <w:instrText xml:space="preserve"> </w:instrText>
      </w:r>
      <w:r>
        <w:instrText xml:space="preserve">PAGEREF _Toc203753126 \h</w:instrText>
      </w:r>
      <w:r>
        <w:rPr>
          <w:rFonts w:hint="eastAsia"/>
        </w:rPr>
        <w:instrText xml:space="preserve"> </w:instrText>
      </w:r>
      <w:r>
        <w:rPr>
          <w:rFonts w:hint="eastAsia"/>
        </w:rPr>
        <w:fldChar w:fldCharType="separate"/>
      </w:r>
      <w:r>
        <w:t>8</w:t>
      </w:r>
      <w:r>
        <w:rPr>
          <w:rFonts w:hint="eastAsia"/>
        </w:rPr>
        <w:fldChar w:fldCharType="end"/>
      </w:r>
      <w:r>
        <w:rPr>
          <w:rFonts w:hint="eastAsia"/>
        </w:rPr>
        <w:fldChar w:fldCharType="end"/>
      </w:r>
    </w:p>
    <w:p w14:paraId="13B5CCD0">
      <w:pPr>
        <w:pStyle w:val="24"/>
        <w:rPr>
          <w:rFonts w:hint="eastAsia" w:asciiTheme="minorHAnsi" w:hAnsiTheme="minorHAnsi" w:eastAsiaTheme="minorEastAsia" w:cstheme="minorBidi"/>
          <w:sz w:val="22"/>
          <w:szCs w:val="24"/>
          <w14:ligatures w14:val="standardContextual"/>
        </w:rPr>
      </w:pPr>
      <w:r>
        <w:fldChar w:fldCharType="begin"/>
      </w:r>
      <w:r>
        <w:instrText xml:space="preserve"> HYPERLINK \l "_Toc203753127" </w:instrText>
      </w:r>
      <w:r>
        <w:fldChar w:fldCharType="separate"/>
      </w:r>
      <w:r>
        <w:rPr>
          <w:rStyle w:val="32"/>
          <w:rFonts w:hint="eastAsia"/>
          <w14:scene3d>
            <w14:lightRig w14:rig="threePt" w14:dir="t">
              <w14:rot w14:lat="0" w14:lon="0" w14:rev="0"/>
            </w14:lightRig>
          </w14:scene3d>
        </w:rPr>
        <w:t>7.3</w:t>
      </w:r>
      <w:r>
        <w:rPr>
          <w:rStyle w:val="32"/>
          <w14:scene3d>
            <w14:lightRig w14:rig="threePt" w14:dir="t">
              <w14:rot w14:lat="0" w14:lon="0" w14:rev="0"/>
            </w14:lightRig>
          </w14:scene3d>
        </w:rPr>
        <w:t xml:space="preserve"> </w:t>
      </w:r>
      <w:r>
        <w:rPr>
          <w:rStyle w:val="32"/>
          <w:rFonts w:hint="eastAsia"/>
        </w:rPr>
        <w:t xml:space="preserve"> 考核内容</w:t>
      </w:r>
      <w:r>
        <w:rPr>
          <w:rFonts w:hint="eastAsia"/>
        </w:rPr>
        <w:tab/>
      </w:r>
      <w:r>
        <w:rPr>
          <w:rFonts w:hint="eastAsia"/>
        </w:rPr>
        <w:fldChar w:fldCharType="begin"/>
      </w:r>
      <w:r>
        <w:rPr>
          <w:rFonts w:hint="eastAsia"/>
        </w:rPr>
        <w:instrText xml:space="preserve"> </w:instrText>
      </w:r>
      <w:r>
        <w:instrText xml:space="preserve">PAGEREF _Toc203753127 \h</w:instrText>
      </w:r>
      <w:r>
        <w:rPr>
          <w:rFonts w:hint="eastAsia"/>
        </w:rPr>
        <w:instrText xml:space="preserve"> </w:instrText>
      </w:r>
      <w:r>
        <w:rPr>
          <w:rFonts w:hint="eastAsia"/>
        </w:rPr>
        <w:fldChar w:fldCharType="separate"/>
      </w:r>
      <w:r>
        <w:t>8</w:t>
      </w:r>
      <w:r>
        <w:rPr>
          <w:rFonts w:hint="eastAsia"/>
        </w:rPr>
        <w:fldChar w:fldCharType="end"/>
      </w:r>
      <w:r>
        <w:rPr>
          <w:rFonts w:hint="eastAsia"/>
        </w:rPr>
        <w:fldChar w:fldCharType="end"/>
      </w:r>
    </w:p>
    <w:p w14:paraId="407EF066">
      <w:pPr>
        <w:pStyle w:val="24"/>
        <w:rPr>
          <w:rFonts w:hint="eastAsia" w:asciiTheme="minorHAnsi" w:hAnsiTheme="minorHAnsi" w:eastAsiaTheme="minorEastAsia" w:cstheme="minorBidi"/>
          <w:sz w:val="22"/>
          <w:szCs w:val="24"/>
          <w14:ligatures w14:val="standardContextual"/>
        </w:rPr>
      </w:pPr>
      <w:r>
        <w:fldChar w:fldCharType="begin"/>
      </w:r>
      <w:r>
        <w:instrText xml:space="preserve"> HYPERLINK \l "_Toc203753128" </w:instrText>
      </w:r>
      <w:r>
        <w:fldChar w:fldCharType="separate"/>
      </w:r>
      <w:r>
        <w:rPr>
          <w:rStyle w:val="32"/>
          <w:rFonts w:hint="eastAsia"/>
          <w14:scene3d>
            <w14:lightRig w14:rig="threePt" w14:dir="t">
              <w14:rot w14:lat="0" w14:lon="0" w14:rev="0"/>
            </w14:lightRig>
          </w14:scene3d>
        </w:rPr>
        <w:t>7.4</w:t>
      </w:r>
      <w:r>
        <w:rPr>
          <w:rStyle w:val="32"/>
          <w14:scene3d>
            <w14:lightRig w14:rig="threePt" w14:dir="t">
              <w14:rot w14:lat="0" w14:lon="0" w14:rev="0"/>
            </w14:lightRig>
          </w14:scene3d>
        </w:rPr>
        <w:t xml:space="preserve"> </w:t>
      </w:r>
      <w:r>
        <w:rPr>
          <w:rStyle w:val="32"/>
          <w:rFonts w:hint="eastAsia"/>
        </w:rPr>
        <w:t xml:space="preserve"> 考核方式</w:t>
      </w:r>
      <w:r>
        <w:rPr>
          <w:rFonts w:hint="eastAsia"/>
        </w:rPr>
        <w:tab/>
      </w:r>
      <w:r>
        <w:rPr>
          <w:rFonts w:hint="eastAsia"/>
        </w:rPr>
        <w:fldChar w:fldCharType="begin"/>
      </w:r>
      <w:r>
        <w:rPr>
          <w:rFonts w:hint="eastAsia"/>
        </w:rPr>
        <w:instrText xml:space="preserve"> </w:instrText>
      </w:r>
      <w:r>
        <w:instrText xml:space="preserve">PAGEREF _Toc203753128 \h</w:instrText>
      </w:r>
      <w:r>
        <w:rPr>
          <w:rFonts w:hint="eastAsia"/>
        </w:rPr>
        <w:instrText xml:space="preserve"> </w:instrText>
      </w:r>
      <w:r>
        <w:rPr>
          <w:rFonts w:hint="eastAsia"/>
        </w:rPr>
        <w:fldChar w:fldCharType="separate"/>
      </w:r>
      <w:r>
        <w:t>8</w:t>
      </w:r>
      <w:r>
        <w:rPr>
          <w:rFonts w:hint="eastAsia"/>
        </w:rPr>
        <w:fldChar w:fldCharType="end"/>
      </w:r>
      <w:r>
        <w:rPr>
          <w:rFonts w:hint="eastAsia"/>
        </w:rPr>
        <w:fldChar w:fldCharType="end"/>
      </w:r>
    </w:p>
    <w:p w14:paraId="60D952AB">
      <w:pPr>
        <w:pStyle w:val="24"/>
        <w:rPr>
          <w:rFonts w:hint="eastAsia" w:asciiTheme="minorHAnsi" w:hAnsiTheme="minorHAnsi" w:eastAsiaTheme="minorEastAsia" w:cstheme="minorBidi"/>
          <w:sz w:val="22"/>
          <w:szCs w:val="24"/>
          <w14:ligatures w14:val="standardContextual"/>
        </w:rPr>
      </w:pPr>
      <w:r>
        <w:fldChar w:fldCharType="begin"/>
      </w:r>
      <w:r>
        <w:instrText xml:space="preserve"> HYPERLINK \l "_Toc203753129" </w:instrText>
      </w:r>
      <w:r>
        <w:fldChar w:fldCharType="separate"/>
      </w:r>
      <w:r>
        <w:rPr>
          <w:rStyle w:val="32"/>
          <w:rFonts w:hint="eastAsia"/>
          <w14:scene3d>
            <w14:lightRig w14:rig="threePt" w14:dir="t">
              <w14:rot w14:lat="0" w14:lon="0" w14:rev="0"/>
            </w14:lightRig>
          </w14:scene3d>
        </w:rPr>
        <w:t>7.5</w:t>
      </w:r>
      <w:r>
        <w:rPr>
          <w:rStyle w:val="32"/>
          <w14:scene3d>
            <w14:lightRig w14:rig="threePt" w14:dir="t">
              <w14:rot w14:lat="0" w14:lon="0" w14:rev="0"/>
            </w14:lightRig>
          </w14:scene3d>
        </w:rPr>
        <w:t xml:space="preserve"> </w:t>
      </w:r>
      <w:r>
        <w:rPr>
          <w:rStyle w:val="32"/>
          <w:rFonts w:hint="eastAsia"/>
        </w:rPr>
        <w:t xml:space="preserve"> 考核流程</w:t>
      </w:r>
      <w:r>
        <w:rPr>
          <w:rFonts w:hint="eastAsia"/>
        </w:rPr>
        <w:tab/>
      </w:r>
      <w:r>
        <w:rPr>
          <w:rFonts w:hint="eastAsia"/>
        </w:rPr>
        <w:fldChar w:fldCharType="begin"/>
      </w:r>
      <w:r>
        <w:rPr>
          <w:rFonts w:hint="eastAsia"/>
        </w:rPr>
        <w:instrText xml:space="preserve"> </w:instrText>
      </w:r>
      <w:r>
        <w:instrText xml:space="preserve">PAGEREF _Toc203753129 \h</w:instrText>
      </w:r>
      <w:r>
        <w:rPr>
          <w:rFonts w:hint="eastAsia"/>
        </w:rPr>
        <w:instrText xml:space="preserve"> </w:instrText>
      </w:r>
      <w:r>
        <w:rPr>
          <w:rFonts w:hint="eastAsia"/>
        </w:rPr>
        <w:fldChar w:fldCharType="separate"/>
      </w:r>
      <w:r>
        <w:t>8</w:t>
      </w:r>
      <w:r>
        <w:rPr>
          <w:rFonts w:hint="eastAsia"/>
        </w:rPr>
        <w:fldChar w:fldCharType="end"/>
      </w:r>
      <w:r>
        <w:rPr>
          <w:rFonts w:hint="eastAsia"/>
        </w:rPr>
        <w:fldChar w:fldCharType="end"/>
      </w:r>
    </w:p>
    <w:p w14:paraId="0C454D41">
      <w:pPr>
        <w:pStyle w:val="19"/>
        <w:tabs>
          <w:tab w:val="right" w:leader="dot" w:pos="9344"/>
        </w:tabs>
        <w:rPr>
          <w:rFonts w:hint="eastAsia" w:asciiTheme="minorHAnsi" w:hAnsiTheme="minorHAnsi" w:eastAsiaTheme="minorEastAsia" w:cstheme="minorBidi"/>
          <w:sz w:val="22"/>
          <w:szCs w:val="24"/>
          <w14:ligatures w14:val="standardContextual"/>
        </w:rPr>
      </w:pPr>
      <w:r>
        <w:fldChar w:fldCharType="begin"/>
      </w:r>
      <w:r>
        <w:instrText xml:space="preserve"> HYPERLINK \l "_Toc203753130" </w:instrText>
      </w:r>
      <w:r>
        <w:fldChar w:fldCharType="separate"/>
      </w:r>
      <w:r>
        <w:rPr>
          <w:rStyle w:val="32"/>
          <w:rFonts w:hint="eastAsia"/>
        </w:rPr>
        <w:t>8</w:t>
      </w:r>
      <w:r>
        <w:rPr>
          <w:rStyle w:val="32"/>
        </w:rPr>
        <w:t xml:space="preserve"> </w:t>
      </w:r>
      <w:r>
        <w:rPr>
          <w:rStyle w:val="32"/>
          <w:rFonts w:hint="eastAsia"/>
        </w:rPr>
        <w:t xml:space="preserve"> 培训与考核结果及运用</w:t>
      </w:r>
      <w:r>
        <w:rPr>
          <w:rFonts w:hint="eastAsia"/>
        </w:rPr>
        <w:tab/>
      </w:r>
      <w:r>
        <w:rPr>
          <w:rFonts w:hint="eastAsia"/>
        </w:rPr>
        <w:fldChar w:fldCharType="begin"/>
      </w:r>
      <w:r>
        <w:rPr>
          <w:rFonts w:hint="eastAsia"/>
        </w:rPr>
        <w:instrText xml:space="preserve"> </w:instrText>
      </w:r>
      <w:r>
        <w:instrText xml:space="preserve">PAGEREF _Toc203753130 \h</w:instrText>
      </w:r>
      <w:r>
        <w:rPr>
          <w:rFonts w:hint="eastAsia"/>
        </w:rPr>
        <w:instrText xml:space="preserve"> </w:instrText>
      </w:r>
      <w:r>
        <w:rPr>
          <w:rFonts w:hint="eastAsia"/>
        </w:rPr>
        <w:fldChar w:fldCharType="separate"/>
      </w:r>
      <w:r>
        <w:t>9</w:t>
      </w:r>
      <w:r>
        <w:rPr>
          <w:rFonts w:hint="eastAsia"/>
        </w:rPr>
        <w:fldChar w:fldCharType="end"/>
      </w:r>
      <w:r>
        <w:rPr>
          <w:rFonts w:hint="eastAsia"/>
        </w:rPr>
        <w:fldChar w:fldCharType="end"/>
      </w:r>
    </w:p>
    <w:p w14:paraId="59B17600">
      <w:pPr>
        <w:pStyle w:val="24"/>
        <w:rPr>
          <w:rFonts w:hint="eastAsia" w:asciiTheme="minorHAnsi" w:hAnsiTheme="minorHAnsi" w:eastAsiaTheme="minorEastAsia" w:cstheme="minorBidi"/>
          <w:sz w:val="22"/>
          <w:szCs w:val="24"/>
          <w14:ligatures w14:val="standardContextual"/>
        </w:rPr>
      </w:pPr>
      <w:r>
        <w:fldChar w:fldCharType="begin"/>
      </w:r>
      <w:r>
        <w:instrText xml:space="preserve"> HYPERLINK \l "_Toc203753131" </w:instrText>
      </w:r>
      <w:r>
        <w:fldChar w:fldCharType="separate"/>
      </w:r>
      <w:r>
        <w:rPr>
          <w:rStyle w:val="32"/>
          <w:rFonts w:hint="eastAsia"/>
          <w14:scene3d>
            <w14:lightRig w14:rig="threePt" w14:dir="t">
              <w14:rot w14:lat="0" w14:lon="0" w14:rev="0"/>
            </w14:lightRig>
          </w14:scene3d>
        </w:rPr>
        <w:t>8.1</w:t>
      </w:r>
      <w:r>
        <w:rPr>
          <w:rStyle w:val="32"/>
          <w14:scene3d>
            <w14:lightRig w14:rig="threePt" w14:dir="t">
              <w14:rot w14:lat="0" w14:lon="0" w14:rev="0"/>
            </w14:lightRig>
          </w14:scene3d>
        </w:rPr>
        <w:t xml:space="preserve"> </w:t>
      </w:r>
      <w:r>
        <w:rPr>
          <w:rStyle w:val="32"/>
          <w:rFonts w:hint="eastAsia"/>
        </w:rPr>
        <w:t xml:space="preserve"> 结果表达</w:t>
      </w:r>
      <w:r>
        <w:rPr>
          <w:rFonts w:hint="eastAsia"/>
        </w:rPr>
        <w:tab/>
      </w:r>
      <w:r>
        <w:rPr>
          <w:rFonts w:hint="eastAsia"/>
        </w:rPr>
        <w:fldChar w:fldCharType="begin"/>
      </w:r>
      <w:r>
        <w:rPr>
          <w:rFonts w:hint="eastAsia"/>
        </w:rPr>
        <w:instrText xml:space="preserve"> </w:instrText>
      </w:r>
      <w:r>
        <w:instrText xml:space="preserve">PAGEREF _Toc203753131 \h</w:instrText>
      </w:r>
      <w:r>
        <w:rPr>
          <w:rFonts w:hint="eastAsia"/>
        </w:rPr>
        <w:instrText xml:space="preserve"> </w:instrText>
      </w:r>
      <w:r>
        <w:rPr>
          <w:rFonts w:hint="eastAsia"/>
        </w:rPr>
        <w:fldChar w:fldCharType="separate"/>
      </w:r>
      <w:r>
        <w:t>9</w:t>
      </w:r>
      <w:r>
        <w:rPr>
          <w:rFonts w:hint="eastAsia"/>
        </w:rPr>
        <w:fldChar w:fldCharType="end"/>
      </w:r>
      <w:r>
        <w:rPr>
          <w:rFonts w:hint="eastAsia"/>
        </w:rPr>
        <w:fldChar w:fldCharType="end"/>
      </w:r>
    </w:p>
    <w:p w14:paraId="0808D178">
      <w:pPr>
        <w:pStyle w:val="24"/>
        <w:rPr>
          <w:rFonts w:hint="eastAsia" w:asciiTheme="minorHAnsi" w:hAnsiTheme="minorHAnsi" w:eastAsiaTheme="minorEastAsia" w:cstheme="minorBidi"/>
          <w:sz w:val="22"/>
          <w:szCs w:val="24"/>
          <w14:ligatures w14:val="standardContextual"/>
        </w:rPr>
      </w:pPr>
      <w:r>
        <w:fldChar w:fldCharType="begin"/>
      </w:r>
      <w:r>
        <w:instrText xml:space="preserve"> HYPERLINK \l "_Toc203753132" </w:instrText>
      </w:r>
      <w:r>
        <w:fldChar w:fldCharType="separate"/>
      </w:r>
      <w:r>
        <w:rPr>
          <w:rStyle w:val="32"/>
          <w:rFonts w:hint="eastAsia"/>
          <w14:scene3d>
            <w14:lightRig w14:rig="threePt" w14:dir="t">
              <w14:rot w14:lat="0" w14:lon="0" w14:rev="0"/>
            </w14:lightRig>
          </w14:scene3d>
        </w:rPr>
        <w:t>8.2</w:t>
      </w:r>
      <w:r>
        <w:rPr>
          <w:rStyle w:val="32"/>
          <w14:scene3d>
            <w14:lightRig w14:rig="threePt" w14:dir="t">
              <w14:rot w14:lat="0" w14:lon="0" w14:rev="0"/>
            </w14:lightRig>
          </w14:scene3d>
        </w:rPr>
        <w:t xml:space="preserve"> </w:t>
      </w:r>
      <w:r>
        <w:rPr>
          <w:rStyle w:val="32"/>
          <w:rFonts w:hint="eastAsia"/>
        </w:rPr>
        <w:t xml:space="preserve"> 结果运用</w:t>
      </w:r>
      <w:r>
        <w:rPr>
          <w:rFonts w:hint="eastAsia"/>
        </w:rPr>
        <w:tab/>
      </w:r>
      <w:r>
        <w:rPr>
          <w:rFonts w:hint="eastAsia"/>
        </w:rPr>
        <w:fldChar w:fldCharType="begin"/>
      </w:r>
      <w:r>
        <w:rPr>
          <w:rFonts w:hint="eastAsia"/>
        </w:rPr>
        <w:instrText xml:space="preserve"> </w:instrText>
      </w:r>
      <w:r>
        <w:instrText xml:space="preserve">PAGEREF _Toc203753132 \h</w:instrText>
      </w:r>
      <w:r>
        <w:rPr>
          <w:rFonts w:hint="eastAsia"/>
        </w:rPr>
        <w:instrText xml:space="preserve"> </w:instrText>
      </w:r>
      <w:r>
        <w:rPr>
          <w:rFonts w:hint="eastAsia"/>
        </w:rPr>
        <w:fldChar w:fldCharType="separate"/>
      </w:r>
      <w:r>
        <w:t>10</w:t>
      </w:r>
      <w:r>
        <w:rPr>
          <w:rFonts w:hint="eastAsia"/>
        </w:rPr>
        <w:fldChar w:fldCharType="end"/>
      </w:r>
      <w:r>
        <w:rPr>
          <w:rFonts w:hint="eastAsia"/>
        </w:rPr>
        <w:fldChar w:fldCharType="end"/>
      </w:r>
    </w:p>
    <w:p w14:paraId="5558988C">
      <w:pPr>
        <w:pStyle w:val="24"/>
        <w:rPr>
          <w:rFonts w:hint="eastAsia" w:asciiTheme="minorHAnsi" w:hAnsiTheme="minorHAnsi" w:eastAsiaTheme="minorEastAsia" w:cstheme="minorBidi"/>
          <w:sz w:val="22"/>
          <w:szCs w:val="24"/>
          <w14:ligatures w14:val="standardContextual"/>
        </w:rPr>
      </w:pPr>
      <w:r>
        <w:fldChar w:fldCharType="begin"/>
      </w:r>
      <w:r>
        <w:instrText xml:space="preserve"> HYPERLINK \l "_Toc203753133" </w:instrText>
      </w:r>
      <w:r>
        <w:fldChar w:fldCharType="separate"/>
      </w:r>
      <w:r>
        <w:rPr>
          <w:rStyle w:val="32"/>
          <w:rFonts w:hint="eastAsia"/>
          <w14:scene3d>
            <w14:lightRig w14:rig="threePt" w14:dir="t">
              <w14:rot w14:lat="0" w14:lon="0" w14:rev="0"/>
            </w14:lightRig>
          </w14:scene3d>
        </w:rPr>
        <w:t>8.3</w:t>
      </w:r>
      <w:r>
        <w:rPr>
          <w:rStyle w:val="32"/>
          <w14:scene3d>
            <w14:lightRig w14:rig="threePt" w14:dir="t">
              <w14:rot w14:lat="0" w14:lon="0" w14:rev="0"/>
            </w14:lightRig>
          </w14:scene3d>
        </w:rPr>
        <w:t xml:space="preserve"> </w:t>
      </w:r>
      <w:r>
        <w:rPr>
          <w:rStyle w:val="32"/>
          <w:rFonts w:hint="eastAsia"/>
        </w:rPr>
        <w:t xml:space="preserve"> 资料管理</w:t>
      </w:r>
      <w:r>
        <w:rPr>
          <w:rFonts w:hint="eastAsia"/>
        </w:rPr>
        <w:tab/>
      </w:r>
      <w:r>
        <w:rPr>
          <w:rFonts w:hint="eastAsia"/>
        </w:rPr>
        <w:fldChar w:fldCharType="begin"/>
      </w:r>
      <w:r>
        <w:rPr>
          <w:rFonts w:hint="eastAsia"/>
        </w:rPr>
        <w:instrText xml:space="preserve"> </w:instrText>
      </w:r>
      <w:r>
        <w:instrText xml:space="preserve">PAGEREF _Toc203753133 \h</w:instrText>
      </w:r>
      <w:r>
        <w:rPr>
          <w:rFonts w:hint="eastAsia"/>
        </w:rPr>
        <w:instrText xml:space="preserve"> </w:instrText>
      </w:r>
      <w:r>
        <w:rPr>
          <w:rFonts w:hint="eastAsia"/>
        </w:rPr>
        <w:fldChar w:fldCharType="separate"/>
      </w:r>
      <w:r>
        <w:t>10</w:t>
      </w:r>
      <w:r>
        <w:rPr>
          <w:rFonts w:hint="eastAsia"/>
        </w:rPr>
        <w:fldChar w:fldCharType="end"/>
      </w:r>
      <w:r>
        <w:rPr>
          <w:rFonts w:hint="eastAsia"/>
        </w:rPr>
        <w:fldChar w:fldCharType="end"/>
      </w:r>
    </w:p>
    <w:p w14:paraId="42E1164A">
      <w:pPr>
        <w:pStyle w:val="19"/>
        <w:tabs>
          <w:tab w:val="right" w:leader="dot" w:pos="9344"/>
        </w:tabs>
        <w:rPr>
          <w:rFonts w:hint="eastAsia" w:asciiTheme="minorHAnsi" w:hAnsiTheme="minorHAnsi" w:eastAsiaTheme="minorEastAsia" w:cstheme="minorBidi"/>
          <w:sz w:val="22"/>
          <w:szCs w:val="24"/>
          <w14:ligatures w14:val="standardContextual"/>
        </w:rPr>
      </w:pPr>
      <w:r>
        <w:fldChar w:fldCharType="begin"/>
      </w:r>
      <w:r>
        <w:instrText xml:space="preserve"> HYPERLINK \l "_Toc203753134" </w:instrText>
      </w:r>
      <w:r>
        <w:fldChar w:fldCharType="separate"/>
      </w:r>
      <w:r>
        <w:rPr>
          <w:rStyle w:val="32"/>
          <w:rFonts w:hint="eastAsia"/>
        </w:rPr>
        <w:t>附录A（规范性）</w:t>
      </w:r>
      <w:r>
        <w:rPr>
          <w:rStyle w:val="32"/>
        </w:rPr>
        <w:t xml:space="preserve"> </w:t>
      </w:r>
      <w:r>
        <w:rPr>
          <w:rStyle w:val="32"/>
          <w:rFonts w:hint="eastAsia"/>
        </w:rPr>
        <w:t xml:space="preserve"> 地方森林草原防灭火有关业务部门火灾扑救指挥员培训设置</w:t>
      </w:r>
      <w:r>
        <w:rPr>
          <w:rFonts w:hint="eastAsia"/>
        </w:rPr>
        <w:tab/>
      </w:r>
      <w:r>
        <w:rPr>
          <w:rFonts w:hint="eastAsia"/>
        </w:rPr>
        <w:fldChar w:fldCharType="begin"/>
      </w:r>
      <w:r>
        <w:rPr>
          <w:rFonts w:hint="eastAsia"/>
        </w:rPr>
        <w:instrText xml:space="preserve"> </w:instrText>
      </w:r>
      <w:r>
        <w:instrText xml:space="preserve">PAGEREF _Toc203753134 \h</w:instrText>
      </w:r>
      <w:r>
        <w:rPr>
          <w:rFonts w:hint="eastAsia"/>
        </w:rPr>
        <w:instrText xml:space="preserve"> </w:instrText>
      </w:r>
      <w:r>
        <w:rPr>
          <w:rFonts w:hint="eastAsia"/>
        </w:rPr>
        <w:fldChar w:fldCharType="separate"/>
      </w:r>
      <w:r>
        <w:t>11</w:t>
      </w:r>
      <w:r>
        <w:rPr>
          <w:rFonts w:hint="eastAsia"/>
        </w:rPr>
        <w:fldChar w:fldCharType="end"/>
      </w:r>
      <w:r>
        <w:rPr>
          <w:rFonts w:hint="eastAsia"/>
        </w:rPr>
        <w:fldChar w:fldCharType="end"/>
      </w:r>
    </w:p>
    <w:p w14:paraId="5020F025">
      <w:pPr>
        <w:pStyle w:val="19"/>
        <w:tabs>
          <w:tab w:val="right" w:leader="dot" w:pos="9344"/>
        </w:tabs>
        <w:rPr>
          <w:rFonts w:hint="eastAsia" w:asciiTheme="minorHAnsi" w:hAnsiTheme="minorHAnsi" w:eastAsiaTheme="minorEastAsia" w:cstheme="minorBidi"/>
          <w:sz w:val="22"/>
          <w:szCs w:val="24"/>
          <w14:ligatures w14:val="standardContextual"/>
        </w:rPr>
      </w:pPr>
      <w:r>
        <w:fldChar w:fldCharType="begin"/>
      </w:r>
      <w:r>
        <w:instrText xml:space="preserve"> HYPERLINK \l "_Toc203753135" </w:instrText>
      </w:r>
      <w:r>
        <w:fldChar w:fldCharType="separate"/>
      </w:r>
      <w:r>
        <w:rPr>
          <w:rStyle w:val="32"/>
          <w:rFonts w:hint="eastAsia"/>
        </w:rPr>
        <w:t>附录B（规范性）</w:t>
      </w:r>
      <w:r>
        <w:rPr>
          <w:rStyle w:val="32"/>
        </w:rPr>
        <w:t xml:space="preserve"> </w:t>
      </w:r>
      <w:r>
        <w:rPr>
          <w:rStyle w:val="32"/>
          <w:rFonts w:hint="eastAsia"/>
        </w:rPr>
        <w:t xml:space="preserve"> 地方森林草原消防队伍指挥员培训设置</w:t>
      </w:r>
      <w:r>
        <w:rPr>
          <w:rFonts w:hint="eastAsia"/>
        </w:rPr>
        <w:tab/>
      </w:r>
      <w:r>
        <w:rPr>
          <w:rFonts w:hint="eastAsia"/>
        </w:rPr>
        <w:fldChar w:fldCharType="begin"/>
      </w:r>
      <w:r>
        <w:rPr>
          <w:rFonts w:hint="eastAsia"/>
        </w:rPr>
        <w:instrText xml:space="preserve"> </w:instrText>
      </w:r>
      <w:r>
        <w:instrText xml:space="preserve">PAGEREF _Toc203753135 \h</w:instrText>
      </w:r>
      <w:r>
        <w:rPr>
          <w:rFonts w:hint="eastAsia"/>
        </w:rPr>
        <w:instrText xml:space="preserve"> </w:instrText>
      </w:r>
      <w:r>
        <w:rPr>
          <w:rFonts w:hint="eastAsia"/>
        </w:rPr>
        <w:fldChar w:fldCharType="separate"/>
      </w:r>
      <w:r>
        <w:t>15</w:t>
      </w:r>
      <w:r>
        <w:rPr>
          <w:rFonts w:hint="eastAsia"/>
        </w:rPr>
        <w:fldChar w:fldCharType="end"/>
      </w:r>
      <w:r>
        <w:rPr>
          <w:rFonts w:hint="eastAsia"/>
        </w:rPr>
        <w:fldChar w:fldCharType="end"/>
      </w:r>
    </w:p>
    <w:p w14:paraId="1AA99E6D">
      <w:pPr>
        <w:pStyle w:val="19"/>
        <w:tabs>
          <w:tab w:val="right" w:leader="dot" w:pos="9344"/>
        </w:tabs>
        <w:rPr>
          <w:rFonts w:hint="eastAsia" w:asciiTheme="minorHAnsi" w:hAnsiTheme="minorHAnsi" w:eastAsiaTheme="minorEastAsia" w:cstheme="minorBidi"/>
          <w:sz w:val="22"/>
          <w:szCs w:val="24"/>
          <w14:ligatures w14:val="standardContextual"/>
        </w:rPr>
      </w:pPr>
      <w:r>
        <w:fldChar w:fldCharType="begin"/>
      </w:r>
      <w:r>
        <w:instrText xml:space="preserve"> HYPERLINK \l "_Toc203753136" </w:instrText>
      </w:r>
      <w:r>
        <w:fldChar w:fldCharType="separate"/>
      </w:r>
      <w:r>
        <w:rPr>
          <w:rStyle w:val="32"/>
          <w:rFonts w:hint="eastAsia"/>
        </w:rPr>
        <w:t>附录C（规范性）</w:t>
      </w:r>
      <w:r>
        <w:rPr>
          <w:rStyle w:val="32"/>
        </w:rPr>
        <w:t xml:space="preserve"> </w:t>
      </w:r>
      <w:r>
        <w:rPr>
          <w:rStyle w:val="32"/>
          <w:rFonts w:hint="eastAsia"/>
        </w:rPr>
        <w:t xml:space="preserve"> 地方森林草原火灾扑救指挥员考核设置</w:t>
      </w:r>
      <w:r>
        <w:rPr>
          <w:rFonts w:hint="eastAsia"/>
        </w:rPr>
        <w:tab/>
      </w:r>
      <w:r>
        <w:rPr>
          <w:rFonts w:hint="eastAsia"/>
        </w:rPr>
        <w:fldChar w:fldCharType="begin"/>
      </w:r>
      <w:r>
        <w:rPr>
          <w:rFonts w:hint="eastAsia"/>
        </w:rPr>
        <w:instrText xml:space="preserve"> </w:instrText>
      </w:r>
      <w:r>
        <w:instrText xml:space="preserve">PAGEREF _Toc203753136 \h</w:instrText>
      </w:r>
      <w:r>
        <w:rPr>
          <w:rFonts w:hint="eastAsia"/>
        </w:rPr>
        <w:instrText xml:space="preserve"> </w:instrText>
      </w:r>
      <w:r>
        <w:rPr>
          <w:rFonts w:hint="eastAsia"/>
        </w:rPr>
        <w:fldChar w:fldCharType="separate"/>
      </w:r>
      <w:r>
        <w:t>17</w:t>
      </w:r>
      <w:r>
        <w:rPr>
          <w:rFonts w:hint="eastAsia"/>
        </w:rPr>
        <w:fldChar w:fldCharType="end"/>
      </w:r>
      <w:r>
        <w:rPr>
          <w:rFonts w:hint="eastAsia"/>
        </w:rPr>
        <w:fldChar w:fldCharType="end"/>
      </w:r>
    </w:p>
    <w:p w14:paraId="782F6D0C">
      <w:pPr>
        <w:pStyle w:val="19"/>
        <w:tabs>
          <w:tab w:val="right" w:leader="dot" w:pos="9344"/>
        </w:tabs>
        <w:rPr>
          <w:rFonts w:hint="eastAsia" w:asciiTheme="minorHAnsi" w:hAnsiTheme="minorHAnsi" w:eastAsiaTheme="minorEastAsia" w:cstheme="minorBidi"/>
          <w:sz w:val="22"/>
          <w:szCs w:val="24"/>
          <w14:ligatures w14:val="standardContextual"/>
        </w:rPr>
      </w:pPr>
      <w:r>
        <w:fldChar w:fldCharType="begin"/>
      </w:r>
      <w:r>
        <w:instrText xml:space="preserve"> HYPERLINK \l "_Toc203753137" </w:instrText>
      </w:r>
      <w:r>
        <w:fldChar w:fldCharType="separate"/>
      </w:r>
      <w:r>
        <w:rPr>
          <w:rStyle w:val="32"/>
          <w:rFonts w:hint="eastAsia"/>
        </w:rPr>
        <w:t>附录D（规范性）</w:t>
      </w:r>
      <w:r>
        <w:rPr>
          <w:rStyle w:val="32"/>
        </w:rPr>
        <w:t xml:space="preserve"> </w:t>
      </w:r>
      <w:r>
        <w:rPr>
          <w:rStyle w:val="32"/>
          <w:rFonts w:hint="eastAsia"/>
        </w:rPr>
        <w:t xml:space="preserve"> 地方森林草原火灾扑救指挥员培训结业证书</w:t>
      </w:r>
      <w:r>
        <w:rPr>
          <w:rFonts w:hint="eastAsia"/>
        </w:rPr>
        <w:tab/>
      </w:r>
      <w:r>
        <w:rPr>
          <w:rFonts w:hint="eastAsia"/>
        </w:rPr>
        <w:fldChar w:fldCharType="begin"/>
      </w:r>
      <w:r>
        <w:rPr>
          <w:rFonts w:hint="eastAsia"/>
        </w:rPr>
        <w:instrText xml:space="preserve"> </w:instrText>
      </w:r>
      <w:r>
        <w:instrText xml:space="preserve">PAGEREF _Toc203753137 \h</w:instrText>
      </w:r>
      <w:r>
        <w:rPr>
          <w:rFonts w:hint="eastAsia"/>
        </w:rPr>
        <w:instrText xml:space="preserve"> </w:instrText>
      </w:r>
      <w:r>
        <w:rPr>
          <w:rFonts w:hint="eastAsia"/>
        </w:rPr>
        <w:fldChar w:fldCharType="separate"/>
      </w:r>
      <w:r>
        <w:t>18</w:t>
      </w:r>
      <w:r>
        <w:rPr>
          <w:rFonts w:hint="eastAsia"/>
        </w:rPr>
        <w:fldChar w:fldCharType="end"/>
      </w:r>
      <w:r>
        <w:rPr>
          <w:rFonts w:hint="eastAsia"/>
        </w:rPr>
        <w:fldChar w:fldCharType="end"/>
      </w:r>
    </w:p>
    <w:p w14:paraId="4E776111">
      <w:pPr>
        <w:pStyle w:val="19"/>
        <w:tabs>
          <w:tab w:val="right" w:leader="dot" w:pos="9344"/>
        </w:tabs>
        <w:rPr>
          <w:rFonts w:hint="eastAsia" w:asciiTheme="minorHAnsi" w:hAnsiTheme="minorHAnsi" w:eastAsiaTheme="minorEastAsia" w:cstheme="minorBidi"/>
          <w:sz w:val="22"/>
          <w:szCs w:val="24"/>
          <w14:ligatures w14:val="standardContextual"/>
        </w:rPr>
      </w:pPr>
      <w:r>
        <w:fldChar w:fldCharType="begin"/>
      </w:r>
      <w:r>
        <w:instrText xml:space="preserve"> HYPERLINK \l "_Toc203753138" </w:instrText>
      </w:r>
      <w:r>
        <w:fldChar w:fldCharType="separate"/>
      </w:r>
      <w:r>
        <w:rPr>
          <w:rStyle w:val="32"/>
          <w:rFonts w:hint="eastAsia"/>
        </w:rPr>
        <w:t>附录E（规范性）</w:t>
      </w:r>
      <w:r>
        <w:rPr>
          <w:rStyle w:val="32"/>
        </w:rPr>
        <w:t xml:space="preserve"> </w:t>
      </w:r>
      <w:r>
        <w:rPr>
          <w:rStyle w:val="32"/>
          <w:rFonts w:hint="eastAsia"/>
        </w:rPr>
        <w:t xml:space="preserve"> 地方森林草原火灾扑救指挥员考核合格证书</w:t>
      </w:r>
      <w:r>
        <w:rPr>
          <w:rFonts w:hint="eastAsia"/>
        </w:rPr>
        <w:tab/>
      </w:r>
      <w:r>
        <w:rPr>
          <w:rFonts w:hint="eastAsia"/>
        </w:rPr>
        <w:fldChar w:fldCharType="begin"/>
      </w:r>
      <w:r>
        <w:rPr>
          <w:rFonts w:hint="eastAsia"/>
        </w:rPr>
        <w:instrText xml:space="preserve"> </w:instrText>
      </w:r>
      <w:r>
        <w:instrText xml:space="preserve">PAGEREF _Toc203753138 \h</w:instrText>
      </w:r>
      <w:r>
        <w:rPr>
          <w:rFonts w:hint="eastAsia"/>
        </w:rPr>
        <w:instrText xml:space="preserve"> </w:instrText>
      </w:r>
      <w:r>
        <w:rPr>
          <w:rFonts w:hint="eastAsia"/>
        </w:rPr>
        <w:fldChar w:fldCharType="separate"/>
      </w:r>
      <w:r>
        <w:t>19</w:t>
      </w:r>
      <w:r>
        <w:rPr>
          <w:rFonts w:hint="eastAsia"/>
        </w:rPr>
        <w:fldChar w:fldCharType="end"/>
      </w:r>
      <w:r>
        <w:rPr>
          <w:rFonts w:hint="eastAsia"/>
        </w:rPr>
        <w:fldChar w:fldCharType="end"/>
      </w:r>
    </w:p>
    <w:p w14:paraId="54D39ED1">
      <w:pPr>
        <w:pStyle w:val="91"/>
        <w:spacing w:after="360"/>
        <w:sectPr>
          <w:headerReference r:id="rId10" w:type="default"/>
          <w:footerReference r:id="rId12" w:type="default"/>
          <w:headerReference r:id="rId11" w:type="even"/>
          <w:pgSz w:w="11906" w:h="16838"/>
          <w:pgMar w:top="1928" w:right="1134" w:bottom="1134" w:left="1134" w:header="1418" w:footer="1134" w:gutter="284"/>
          <w:pgNumType w:fmt="upperRoman" w:start="1"/>
          <w:cols w:space="425" w:num="1"/>
          <w:formProt w:val="0"/>
          <w:docGrid w:linePitch="312" w:charSpace="0"/>
        </w:sectPr>
      </w:pPr>
      <w:r>
        <w:fldChar w:fldCharType="end"/>
      </w:r>
    </w:p>
    <w:bookmarkEnd w:id="1"/>
    <w:p w14:paraId="5580A95E">
      <w:pPr>
        <w:pStyle w:val="89"/>
        <w:spacing w:before="900" w:after="360"/>
      </w:pPr>
      <w:bookmarkStart w:id="15" w:name="_Toc203753108"/>
      <w:bookmarkStart w:id="16" w:name="BookMark2"/>
      <w:r>
        <w:rPr>
          <w:spacing w:val="320"/>
        </w:rPr>
        <w:t>前</w:t>
      </w:r>
      <w:r>
        <w:t>言</w:t>
      </w:r>
      <w:bookmarkEnd w:id="2"/>
      <w:bookmarkEnd w:id="3"/>
      <w:bookmarkEnd w:id="4"/>
      <w:bookmarkEnd w:id="5"/>
      <w:bookmarkEnd w:id="6"/>
      <w:bookmarkEnd w:id="7"/>
      <w:bookmarkEnd w:id="8"/>
      <w:bookmarkEnd w:id="9"/>
      <w:bookmarkEnd w:id="10"/>
      <w:bookmarkEnd w:id="11"/>
      <w:bookmarkEnd w:id="12"/>
      <w:bookmarkEnd w:id="13"/>
      <w:bookmarkEnd w:id="14"/>
      <w:bookmarkEnd w:id="15"/>
    </w:p>
    <w:p w14:paraId="43EE5523">
      <w:pPr>
        <w:pStyle w:val="56"/>
        <w:ind w:firstLine="420"/>
      </w:pPr>
      <w:r>
        <w:rPr>
          <w:rFonts w:hint="eastAsia"/>
        </w:rPr>
        <w:t>本文件按照GB/T 1.1—2020《标准化工作导则  第1部分：标准化文件的结构和起草规则》的规定起草。</w:t>
      </w:r>
    </w:p>
    <w:p w14:paraId="2944FF53">
      <w:pPr>
        <w:pStyle w:val="56"/>
        <w:ind w:firstLine="420"/>
      </w:pPr>
      <w:r>
        <w:rPr>
          <w:rFonts w:hint="eastAsia"/>
        </w:rPr>
        <w:t>本文件由应急管理部风险监测和火灾综合防治司提出。</w:t>
      </w:r>
    </w:p>
    <w:p w14:paraId="5703E44C">
      <w:pPr>
        <w:pStyle w:val="56"/>
        <w:ind w:firstLine="420"/>
      </w:pPr>
      <w:r>
        <w:rPr>
          <w:rFonts w:hint="eastAsia"/>
        </w:rPr>
        <w:t>本文件由全国应急管理与减灾救灾标准化技术委员会（SAC/TC307）归口。</w:t>
      </w:r>
    </w:p>
    <w:p w14:paraId="4B5A2CF2">
      <w:pPr>
        <w:pStyle w:val="56"/>
        <w:ind w:firstLine="420"/>
      </w:pPr>
      <w:r>
        <w:rPr>
          <w:rFonts w:hint="eastAsia"/>
        </w:rPr>
        <w:t>本文件起草单位：</w:t>
      </w:r>
      <w:r>
        <w:t xml:space="preserve"> </w:t>
      </w:r>
    </w:p>
    <w:p w14:paraId="5D7B2AFC">
      <w:pPr>
        <w:pStyle w:val="56"/>
        <w:ind w:firstLine="420"/>
      </w:pPr>
      <w:r>
        <w:rPr>
          <w:rFonts w:hint="eastAsia"/>
        </w:rPr>
        <w:t>本文件主要起草人：</w:t>
      </w:r>
      <w:r>
        <w:t xml:space="preserve"> </w:t>
      </w:r>
    </w:p>
    <w:p w14:paraId="592CF50A">
      <w:pPr>
        <w:pStyle w:val="56"/>
        <w:ind w:firstLine="420"/>
      </w:pPr>
      <w:r>
        <w:rPr>
          <w:rFonts w:hint="eastAsia"/>
        </w:rPr>
        <w:t>本文件为首次发布。</w:t>
      </w:r>
    </w:p>
    <w:p w14:paraId="2CC16543">
      <w:pPr>
        <w:pStyle w:val="56"/>
        <w:ind w:firstLine="420"/>
        <w:sectPr>
          <w:pgSz w:w="11906" w:h="16838"/>
          <w:pgMar w:top="1928" w:right="1134" w:bottom="1134" w:left="1134" w:header="1418" w:footer="1134" w:gutter="284"/>
          <w:pgNumType w:fmt="upperRoman"/>
          <w:cols w:space="425" w:num="1"/>
          <w:formProt w:val="0"/>
          <w:docGrid w:linePitch="312" w:charSpace="0"/>
        </w:sectPr>
      </w:pPr>
    </w:p>
    <w:bookmarkEnd w:id="16"/>
    <w:p w14:paraId="12569302">
      <w:pPr>
        <w:spacing w:line="20" w:lineRule="exact"/>
        <w:jc w:val="center"/>
        <w:rPr>
          <w:rFonts w:hint="eastAsia" w:ascii="黑体" w:hAnsi="黑体" w:eastAsia="黑体"/>
          <w:sz w:val="32"/>
          <w:szCs w:val="32"/>
        </w:rPr>
      </w:pPr>
      <w:bookmarkStart w:id="17" w:name="BookMark4"/>
    </w:p>
    <w:p w14:paraId="1E527B23">
      <w:pPr>
        <w:spacing w:line="20" w:lineRule="exact"/>
        <w:jc w:val="center"/>
        <w:rPr>
          <w:rFonts w:hint="eastAsia" w:ascii="黑体" w:hAnsi="黑体" w:eastAsia="黑体"/>
          <w:sz w:val="32"/>
          <w:szCs w:val="32"/>
        </w:rPr>
      </w:pPr>
    </w:p>
    <w:sdt>
      <w:sdtPr>
        <w:tag w:val="NEW_STAND_NAME"/>
        <w:id w:val="595910757"/>
        <w:lock w:val="sdtLocked"/>
        <w:placeholder>
          <w:docPart w:val="DE1BFDCFFE48487B9BE7AE65140DFDD1"/>
        </w:placeholder>
      </w:sdtPr>
      <w:sdtContent>
        <w:p w14:paraId="5D4AA529">
          <w:pPr>
            <w:pStyle w:val="177"/>
            <w:spacing w:before="240" w:beforeLines="100" w:after="528" w:afterLines="220"/>
            <w:rPr>
              <w:rFonts w:hint="eastAsia"/>
            </w:rPr>
          </w:pPr>
          <w:bookmarkStart w:id="18" w:name="NEW_STAND_NAME"/>
          <w:bookmarkStart w:id="19" w:name="OLE_LINK36"/>
          <w:r>
            <w:rPr>
              <w:rFonts w:hint="eastAsia"/>
            </w:rPr>
            <w:t>地方森林草原火灾扑救指挥员培训与考核规范</w:t>
          </w:r>
        </w:p>
      </w:sdtContent>
    </w:sdt>
    <w:bookmarkEnd w:id="18"/>
    <w:bookmarkEnd w:id="19"/>
    <w:p w14:paraId="13AEFF9F">
      <w:pPr>
        <w:pStyle w:val="104"/>
        <w:spacing w:before="240" w:after="240"/>
      </w:pPr>
      <w:bookmarkStart w:id="20" w:name="_Toc203573387"/>
      <w:bookmarkStart w:id="21" w:name="_Toc203579137"/>
      <w:bookmarkStart w:id="22" w:name="_Toc202259576"/>
      <w:bookmarkStart w:id="23" w:name="_Toc184298248"/>
      <w:bookmarkStart w:id="24" w:name="_Toc185810720"/>
      <w:bookmarkStart w:id="25" w:name="_Toc203671176"/>
      <w:bookmarkStart w:id="26" w:name="_Toc202228899"/>
      <w:bookmarkStart w:id="27" w:name="_Toc185800446"/>
      <w:bookmarkStart w:id="28" w:name="_Toc24884218"/>
      <w:bookmarkStart w:id="29" w:name="_Toc17233325"/>
      <w:bookmarkStart w:id="30" w:name="_Toc24884211"/>
      <w:bookmarkStart w:id="31" w:name="_Toc26648465"/>
      <w:bookmarkStart w:id="32" w:name="_Toc169555223"/>
      <w:bookmarkStart w:id="33" w:name="_Toc185800562"/>
      <w:bookmarkStart w:id="34" w:name="_Toc97195091"/>
      <w:bookmarkStart w:id="35" w:name="_Toc26718930"/>
      <w:bookmarkStart w:id="36" w:name="_Toc17233333"/>
      <w:bookmarkStart w:id="37" w:name="_Toc185800419"/>
      <w:bookmarkStart w:id="38" w:name="_Toc184312865"/>
      <w:bookmarkStart w:id="39" w:name="_Toc201942511"/>
      <w:bookmarkStart w:id="40" w:name="_Toc26986530"/>
      <w:bookmarkStart w:id="41" w:name="_Toc26986771"/>
      <w:bookmarkStart w:id="42" w:name="_Toc203753109"/>
      <w:r>
        <w:rPr>
          <w:rFonts w:hint="eastAsia"/>
        </w:rPr>
        <w:t>范围</w:t>
      </w:r>
      <w:bookmarkEnd w:id="20"/>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bookmarkEnd w:id="36"/>
      <w:bookmarkEnd w:id="37"/>
      <w:bookmarkEnd w:id="38"/>
      <w:bookmarkEnd w:id="39"/>
      <w:bookmarkEnd w:id="40"/>
      <w:bookmarkEnd w:id="41"/>
      <w:bookmarkEnd w:id="42"/>
    </w:p>
    <w:p w14:paraId="3B91358D">
      <w:pPr>
        <w:pStyle w:val="56"/>
        <w:ind w:firstLine="420"/>
      </w:pPr>
      <w:bookmarkStart w:id="43" w:name="OLE_LINK1"/>
      <w:bookmarkStart w:id="44" w:name="_Hlk202087424"/>
      <w:bookmarkStart w:id="45" w:name="_Toc24884219"/>
      <w:bookmarkStart w:id="46" w:name="_Toc24884212"/>
      <w:bookmarkStart w:id="47" w:name="_Toc26648466"/>
      <w:bookmarkStart w:id="48" w:name="_Toc17233326"/>
      <w:bookmarkStart w:id="49" w:name="_Toc17233334"/>
      <w:r>
        <w:rPr>
          <w:rFonts w:hint="eastAsia"/>
        </w:rPr>
        <w:t>本文件规定了地方森林草原火灾扑救指挥员培训与考核的总体要求，以及培训对象类别、目标、内容、方式，流程与结果运用，考核对象类别、报考条件、内容、方式、流程、结果运用等方面的内容。</w:t>
      </w:r>
      <w:bookmarkEnd w:id="43"/>
    </w:p>
    <w:p w14:paraId="4CC0444E">
      <w:pPr>
        <w:pStyle w:val="56"/>
        <w:ind w:firstLine="420"/>
      </w:pPr>
      <w:bookmarkStart w:id="50" w:name="_Hlk202103526"/>
      <w:r>
        <w:rPr>
          <w:rFonts w:hint="eastAsia"/>
        </w:rPr>
        <w:t>本文件适用于</w:t>
      </w:r>
      <w:bookmarkEnd w:id="44"/>
      <w:bookmarkEnd w:id="50"/>
      <w:r>
        <w:rPr>
          <w:rFonts w:hint="eastAsia"/>
        </w:rPr>
        <w:t>地方森林草原火灾扑救指挥员的培训与考核</w:t>
      </w:r>
      <w:r>
        <w:rPr>
          <w:rStyle w:val="33"/>
          <w:rFonts w:hint="eastAsia"/>
        </w:rPr>
        <w:footnoteReference w:id="0"/>
      </w:r>
      <w:r>
        <w:rPr>
          <w:rStyle w:val="33"/>
        </w:rPr>
        <w:t>)</w:t>
      </w:r>
      <w:r>
        <w:rPr>
          <w:rFonts w:hint="eastAsia"/>
        </w:rPr>
        <w:t>。</w:t>
      </w:r>
    </w:p>
    <w:p w14:paraId="07093543">
      <w:pPr>
        <w:pStyle w:val="104"/>
        <w:spacing w:before="240" w:after="240"/>
      </w:pPr>
      <w:bookmarkStart w:id="51" w:name="_Toc202259577"/>
      <w:bookmarkStart w:id="52" w:name="_Toc202228900"/>
      <w:bookmarkStart w:id="53" w:name="_Toc185800420"/>
      <w:bookmarkStart w:id="54" w:name="_Toc185800563"/>
      <w:bookmarkStart w:id="55" w:name="_Toc203671177"/>
      <w:bookmarkStart w:id="56" w:name="_Toc26718931"/>
      <w:bookmarkStart w:id="57" w:name="_Toc185810721"/>
      <w:bookmarkStart w:id="58" w:name="_Toc169555224"/>
      <w:bookmarkStart w:id="59" w:name="_Toc184312866"/>
      <w:bookmarkStart w:id="60" w:name="_Toc203579138"/>
      <w:bookmarkStart w:id="61" w:name="_Toc201942512"/>
      <w:bookmarkStart w:id="62" w:name="_Toc26986531"/>
      <w:bookmarkStart w:id="63" w:name="_Toc184298249"/>
      <w:bookmarkStart w:id="64" w:name="_Toc97195092"/>
      <w:bookmarkStart w:id="65" w:name="_Toc185800447"/>
      <w:bookmarkStart w:id="66" w:name="_Toc26986772"/>
      <w:bookmarkStart w:id="67" w:name="_Toc203753110"/>
      <w:bookmarkStart w:id="68" w:name="_Toc203573388"/>
      <w:r>
        <w:rPr>
          <w:rFonts w:hint="eastAsia"/>
        </w:rPr>
        <w:t>规范性引用文件</w:t>
      </w:r>
      <w:bookmarkEnd w:id="45"/>
      <w:bookmarkEnd w:id="46"/>
      <w:bookmarkEnd w:id="47"/>
      <w:bookmarkEnd w:id="48"/>
      <w:bookmarkEnd w:id="49"/>
      <w:bookmarkEnd w:id="51"/>
      <w:bookmarkEnd w:id="52"/>
      <w:bookmarkEnd w:id="53"/>
      <w:bookmarkEnd w:id="54"/>
      <w:bookmarkEnd w:id="55"/>
      <w:bookmarkEnd w:id="56"/>
      <w:bookmarkEnd w:id="57"/>
      <w:bookmarkEnd w:id="58"/>
      <w:bookmarkEnd w:id="59"/>
      <w:bookmarkEnd w:id="60"/>
      <w:bookmarkEnd w:id="61"/>
      <w:bookmarkEnd w:id="62"/>
      <w:bookmarkEnd w:id="63"/>
      <w:bookmarkEnd w:id="64"/>
      <w:bookmarkEnd w:id="65"/>
      <w:bookmarkEnd w:id="66"/>
      <w:bookmarkEnd w:id="67"/>
      <w:bookmarkEnd w:id="68"/>
    </w:p>
    <w:sdt>
      <w:sdtPr>
        <w:rPr>
          <w:rFonts w:hint="eastAsia"/>
        </w:rPr>
        <w:id w:val="715848253"/>
        <w:placeholder>
          <w:docPart w:val="1DFEC00F45B54013963FD285E6A513BF"/>
        </w:placeholder>
        <w:dropDownList>
          <w:listItem w:displayText="下列文件中的内容通过文中的规范性引用而构成本文件必不可少的条款。其中，注日期的引用文件，仅该日期对应的版本适用于本文件；不注日期的引用文件，其最新版本（包括所有的修改单）适用于本文件。" w:value="下列文件中的内容通过文中的规范性引用而构成本文件必不可少的条款。其中，注日期的引用文件，仅该日期对应的版本适用于本文件；不注日期的引用文件，其最新版本（包括所有的修改单）适用于本文件。"/>
          <w:listItem w:displayText="本文件没有规范性引用文件。" w:value="本文件没有规范性引用文件。"/>
        </w:dropDownList>
      </w:sdtPr>
      <w:sdtEndPr>
        <w:rPr>
          <w:rFonts w:hint="eastAsia"/>
        </w:rPr>
      </w:sdtEndPr>
      <w:sdtContent>
        <w:p w14:paraId="074D056A">
          <w:pPr>
            <w:pStyle w:val="56"/>
            <w:ind w:firstLine="420"/>
          </w:pPr>
          <w:r>
            <w:rPr>
              <w:rFonts w:hint="eastAsia"/>
            </w:rPr>
            <w:t>下列文件中的内容通过文中的规范性引用而构成本文件必不可少的条款。其中，注日期的引用文件，仅该日期对应的版本适用于本文件；不注日期的引用文件，其最新版本（包括所有的修改单）适用于本文件。</w:t>
          </w:r>
        </w:p>
      </w:sdtContent>
    </w:sdt>
    <w:p w14:paraId="30D55E38">
      <w:pPr>
        <w:pStyle w:val="56"/>
        <w:ind w:firstLine="420"/>
      </w:pPr>
      <w:bookmarkStart w:id="69" w:name="_Hlk184316019"/>
      <w:bookmarkStart w:id="70" w:name="_Toc169555225"/>
      <w:bookmarkStart w:id="71" w:name="_Toc97195093"/>
      <w:r>
        <w:t>GB/T</w:t>
      </w:r>
      <w:r>
        <w:rPr>
          <w:rFonts w:hint="eastAsia"/>
        </w:rPr>
        <w:t xml:space="preserve"> 22258—2008 防伪标识通用技术条件</w:t>
      </w:r>
    </w:p>
    <w:p w14:paraId="048C525B">
      <w:pPr>
        <w:pStyle w:val="56"/>
        <w:ind w:firstLine="420"/>
      </w:pPr>
      <w:r>
        <w:t>GB/T 22467.1</w:t>
      </w:r>
      <w:r>
        <w:rPr>
          <w:rFonts w:hint="eastAsia"/>
        </w:rPr>
        <w:t>—2008 防伪材料通用技术条件 第一部分：防伪纸</w:t>
      </w:r>
    </w:p>
    <w:p w14:paraId="16400F87">
      <w:pPr>
        <w:pStyle w:val="56"/>
        <w:ind w:firstLine="420"/>
      </w:pPr>
      <w:r>
        <w:t>GB/T 26423</w:t>
      </w:r>
      <w:r>
        <w:rPr>
          <w:rFonts w:hint="eastAsia"/>
        </w:rPr>
        <w:t>—</w:t>
      </w:r>
      <w:r>
        <w:t>2010</w:t>
      </w:r>
      <w:r>
        <w:rPr>
          <w:rFonts w:hint="eastAsia"/>
        </w:rPr>
        <w:t xml:space="preserve"> 森林资源术语</w:t>
      </w:r>
    </w:p>
    <w:p w14:paraId="32A076CD">
      <w:pPr>
        <w:pStyle w:val="56"/>
        <w:ind w:firstLine="420"/>
      </w:pPr>
      <w:r>
        <w:t>GB/T 28921</w:t>
      </w:r>
      <w:r>
        <w:rPr>
          <w:rFonts w:hint="eastAsia"/>
        </w:rPr>
        <w:t>—</w:t>
      </w:r>
      <w:r>
        <w:t>2012</w:t>
      </w:r>
      <w:r>
        <w:rPr>
          <w:rFonts w:hint="eastAsia"/>
        </w:rPr>
        <w:t xml:space="preserve"> 自然灾害分类与代码</w:t>
      </w:r>
    </w:p>
    <w:p w14:paraId="50FA5842">
      <w:pPr>
        <w:pStyle w:val="56"/>
        <w:ind w:firstLine="420"/>
      </w:pPr>
      <w:r>
        <w:t>GB/T 19012</w:t>
      </w:r>
      <w:r>
        <w:rPr>
          <w:rFonts w:hint="eastAsia"/>
        </w:rPr>
        <w:t>—</w:t>
      </w:r>
      <w:r>
        <w:t>2019 质量管理 顾客满意 组织投诉处理指南</w:t>
      </w:r>
    </w:p>
    <w:p w14:paraId="2F18C840">
      <w:pPr>
        <w:pStyle w:val="56"/>
        <w:ind w:firstLine="420"/>
      </w:pPr>
      <w:r>
        <w:t>GB/T 40451</w:t>
      </w:r>
      <w:r>
        <w:rPr>
          <w:rFonts w:hint="eastAsia"/>
        </w:rPr>
        <w:t>—</w:t>
      </w:r>
      <w:r>
        <w:t>2021</w:t>
      </w:r>
      <w:r>
        <w:rPr>
          <w:rFonts w:hint="eastAsia"/>
        </w:rPr>
        <w:t xml:space="preserve"> 草原与牧草术语</w:t>
      </w:r>
    </w:p>
    <w:p w14:paraId="64C704C8">
      <w:pPr>
        <w:pStyle w:val="56"/>
        <w:ind w:firstLine="420"/>
      </w:pPr>
      <w:r>
        <w:rPr>
          <w:rFonts w:hint="eastAsia"/>
        </w:rPr>
        <w:t>LY/T 2796—2017 森林消防指挥员业务培训规范</w:t>
      </w:r>
    </w:p>
    <w:bookmarkEnd w:id="69"/>
    <w:p w14:paraId="420F5C13">
      <w:pPr>
        <w:pStyle w:val="104"/>
        <w:spacing w:before="240" w:after="240"/>
      </w:pPr>
      <w:bookmarkStart w:id="72" w:name="_Toc203573389"/>
      <w:bookmarkStart w:id="73" w:name="_Toc184298250"/>
      <w:bookmarkStart w:id="74" w:name="_Toc185800564"/>
      <w:bookmarkStart w:id="75" w:name="_Toc185800448"/>
      <w:bookmarkStart w:id="76" w:name="_Toc184312867"/>
      <w:bookmarkStart w:id="77" w:name="_Toc201942513"/>
      <w:bookmarkStart w:id="78" w:name="_Toc203579139"/>
      <w:bookmarkStart w:id="79" w:name="_Toc203753111"/>
      <w:bookmarkStart w:id="80" w:name="_Toc203671178"/>
      <w:bookmarkStart w:id="81" w:name="_Toc202228901"/>
      <w:bookmarkStart w:id="82" w:name="_Toc202259578"/>
      <w:bookmarkStart w:id="83" w:name="_Toc185800421"/>
      <w:bookmarkStart w:id="84" w:name="_Toc185810722"/>
      <w:r>
        <w:rPr>
          <w:rFonts w:hint="eastAsia"/>
          <w:szCs w:val="21"/>
        </w:rPr>
        <w:t>术语和定义</w:t>
      </w:r>
      <w:bookmarkEnd w:id="70"/>
      <w:bookmarkEnd w:id="71"/>
      <w:bookmarkEnd w:id="72"/>
      <w:bookmarkEnd w:id="73"/>
      <w:bookmarkEnd w:id="74"/>
      <w:bookmarkEnd w:id="75"/>
      <w:bookmarkEnd w:id="76"/>
      <w:bookmarkEnd w:id="77"/>
      <w:bookmarkEnd w:id="78"/>
      <w:bookmarkEnd w:id="79"/>
      <w:bookmarkEnd w:id="80"/>
      <w:bookmarkEnd w:id="81"/>
      <w:bookmarkEnd w:id="82"/>
      <w:bookmarkEnd w:id="83"/>
      <w:bookmarkEnd w:id="84"/>
    </w:p>
    <w:sdt>
      <w:sdtPr>
        <w:id w:val="-1909835108"/>
        <w:placeholder>
          <w:docPart w:val="CE286D82D8D241B59903466D139FC999"/>
        </w:placeholder>
        <w:comboBox>
          <w:listItem w:displayText="请选择适当的引导语" w:value="请选择适当的引导语"/>
          <w:listItem w:displayText="下列术语和定义适用于本文件。" w:value="下列术语和定义适用于本文件。"/>
          <w:listItem w:displayText="……界定的术语和定义适用于本文件。" w:value="……界定的术语和定义适用于本文件。"/>
          <w:listItem w:displayText="……界定的以及下列术语和定义适用于本文件。" w:value="……界定的以及下列术语和定义适用于本文件。"/>
          <w:listItem w:displayText="本文件没有需要界定的术语和定义。" w:value="本文件没有需要界定的术语和定义。"/>
        </w:comboBox>
      </w:sdtPr>
      <w:sdtContent>
        <w:p w14:paraId="624C2290">
          <w:pPr>
            <w:pStyle w:val="56"/>
            <w:ind w:firstLine="420"/>
          </w:pPr>
          <w:bookmarkStart w:id="85" w:name="_Toc26986532"/>
          <w:bookmarkEnd w:id="85"/>
          <w:r>
            <w:t>下列术语和定义适用于本文件。</w:t>
          </w:r>
        </w:p>
      </w:sdtContent>
    </w:sdt>
    <w:p w14:paraId="1DD6CA1A">
      <w:pPr>
        <w:pStyle w:val="105"/>
        <w:spacing w:before="120" w:after="120"/>
      </w:pPr>
      <w:bookmarkStart w:id="86" w:name="_Toc203671179"/>
      <w:bookmarkStart w:id="87" w:name="_Toc203579140"/>
      <w:bookmarkStart w:id="88" w:name="_Toc203753112"/>
      <w:bookmarkStart w:id="89" w:name="_Toc203573390"/>
      <w:r>
        <w:rPr>
          <w:rFonts w:hint="eastAsia"/>
        </w:rPr>
        <w:t>基本术语</w:t>
      </w:r>
      <w:bookmarkEnd w:id="86"/>
      <w:bookmarkEnd w:id="87"/>
      <w:bookmarkEnd w:id="88"/>
      <w:bookmarkEnd w:id="89"/>
    </w:p>
    <w:p w14:paraId="54140E7A">
      <w:pPr>
        <w:pStyle w:val="224"/>
        <w:ind w:left="420" w:hanging="420" w:hangingChars="200"/>
        <w:rPr>
          <w:rFonts w:hint="eastAsia" w:ascii="黑体" w:hAnsi="黑体" w:eastAsia="黑体"/>
        </w:rPr>
      </w:pPr>
      <w:r>
        <w:rPr>
          <w:rFonts w:ascii="黑体" w:hAnsi="黑体" w:eastAsia="黑体"/>
        </w:rPr>
        <w:br w:type="textWrapping"/>
      </w:r>
      <w:r>
        <w:rPr>
          <w:rFonts w:hint="eastAsia" w:ascii="黑体" w:hAnsi="黑体" w:eastAsia="黑体"/>
        </w:rPr>
        <w:t xml:space="preserve">森林 </w:t>
      </w:r>
      <w:r>
        <w:rPr>
          <w:rFonts w:ascii="Times New Roman" w:eastAsia="黑体"/>
        </w:rPr>
        <w:t>forest</w:t>
      </w:r>
    </w:p>
    <w:p w14:paraId="207C3FA8">
      <w:pPr>
        <w:pStyle w:val="56"/>
        <w:ind w:firstLine="420"/>
      </w:pPr>
      <w:r>
        <w:rPr>
          <w:rFonts w:hint="eastAsia"/>
        </w:rPr>
        <w:t>由乔木、直径2cm以上的竹子组成且郁闭度0.20以上，以及符合森林经营目的的灌木组成且覆盖度 30%以上的植物群落。包括郁闭度0.20以上的乔木林、竹林和红树林,国家特别规定的灌木林、农田林网以及村旁、路旁、水旁、宅旁林木等。</w:t>
      </w:r>
    </w:p>
    <w:p w14:paraId="59A2C1A2">
      <w:pPr>
        <w:pStyle w:val="56"/>
        <w:ind w:firstLine="420"/>
      </w:pPr>
      <w:r>
        <w:rPr>
          <w:rFonts w:hint="eastAsia"/>
        </w:rPr>
        <w:t>[来源：</w:t>
      </w:r>
      <w:bookmarkStart w:id="90" w:name="OLE_LINK5"/>
      <w:r>
        <w:t>GB/T 26423-2010</w:t>
      </w:r>
      <w:bookmarkEnd w:id="90"/>
      <w:r>
        <w:rPr>
          <w:rFonts w:hint="eastAsia"/>
        </w:rPr>
        <w:t>，7.5]</w:t>
      </w:r>
    </w:p>
    <w:p w14:paraId="53EB4721">
      <w:pPr>
        <w:pStyle w:val="224"/>
        <w:ind w:left="420" w:hanging="420" w:hangingChars="200"/>
        <w:rPr>
          <w:rFonts w:hint="eastAsia" w:ascii="黑体" w:hAnsi="黑体" w:eastAsia="黑体"/>
        </w:rPr>
      </w:pPr>
      <w:r>
        <w:rPr>
          <w:rFonts w:ascii="黑体" w:hAnsi="黑体" w:eastAsia="黑体"/>
        </w:rPr>
        <w:br w:type="textWrapping"/>
      </w:r>
      <w:r>
        <w:rPr>
          <w:rFonts w:hint="eastAsia" w:ascii="黑体" w:hAnsi="黑体" w:eastAsia="黑体"/>
        </w:rPr>
        <w:t xml:space="preserve">草原 </w:t>
      </w:r>
      <w:r>
        <w:rPr>
          <w:rFonts w:ascii="Times New Roman" w:eastAsia="黑体"/>
        </w:rPr>
        <w:t>grassland</w:t>
      </w:r>
    </w:p>
    <w:p w14:paraId="0414B0AE">
      <w:pPr>
        <w:pStyle w:val="56"/>
        <w:ind w:firstLine="420"/>
      </w:pPr>
      <w:r>
        <w:rPr>
          <w:rFonts w:hint="eastAsia"/>
        </w:rPr>
        <w:t>以草本植物为主，或兼有覆盖度小于40%的灌木和乔木，为家畜和野生动物提供栖息地，并具有社会文化等多种功能的自然综合体。</w:t>
      </w:r>
    </w:p>
    <w:p w14:paraId="28CAC812">
      <w:pPr>
        <w:pStyle w:val="180"/>
      </w:pPr>
      <w:r>
        <w:rPr>
          <w:rFonts w:hint="eastAsia"/>
        </w:rPr>
        <w:t>自然综合体是指自然地理各种要素相互联系，相互制约，有规律地结合成具有内部相对一致性的整体。</w:t>
      </w:r>
    </w:p>
    <w:p w14:paraId="066A319C">
      <w:pPr>
        <w:pStyle w:val="180"/>
      </w:pPr>
      <w:r>
        <w:rPr>
          <w:rFonts w:hint="eastAsia"/>
        </w:rPr>
        <w:t>一般包括天然草地、草、荒漠、草丛、灌草丛、疏林草地和冻原等植被类型。</w:t>
      </w:r>
    </w:p>
    <w:p w14:paraId="32FDE3B2">
      <w:pPr>
        <w:pStyle w:val="56"/>
        <w:ind w:firstLine="420"/>
      </w:pPr>
      <w:r>
        <w:rPr>
          <w:rFonts w:hint="eastAsia"/>
        </w:rPr>
        <w:t>[来源：</w:t>
      </w:r>
      <w:r>
        <w:t>GB/T 40451-2021</w:t>
      </w:r>
      <w:r>
        <w:rPr>
          <w:rFonts w:hint="eastAsia"/>
        </w:rPr>
        <w:t>，2.1]</w:t>
      </w:r>
    </w:p>
    <w:p w14:paraId="5114FC14">
      <w:pPr>
        <w:pStyle w:val="224"/>
        <w:ind w:left="420" w:hanging="420" w:hangingChars="200"/>
        <w:rPr>
          <w:rFonts w:hint="eastAsia" w:ascii="黑体" w:hAnsi="黑体" w:eastAsia="黑体"/>
        </w:rPr>
      </w:pPr>
      <w:r>
        <w:rPr>
          <w:rFonts w:ascii="黑体" w:hAnsi="黑体" w:eastAsia="黑体"/>
        </w:rPr>
        <w:br w:type="textWrapping"/>
      </w:r>
      <w:r>
        <w:rPr>
          <w:rFonts w:hint="eastAsia" w:ascii="黑体" w:hAnsi="黑体" w:eastAsia="黑体"/>
        </w:rPr>
        <w:t xml:space="preserve">森林草原火灾 </w:t>
      </w:r>
      <w:r>
        <w:rPr>
          <w:rFonts w:hint="eastAsia" w:ascii="Times New Roman" w:eastAsia="黑体"/>
        </w:rPr>
        <w:t>f</w:t>
      </w:r>
      <w:r>
        <w:rPr>
          <w:rFonts w:ascii="Times New Roman" w:eastAsia="黑体"/>
        </w:rPr>
        <w:t>orest and grassland fire</w:t>
      </w:r>
    </w:p>
    <w:p w14:paraId="2D1771FE">
      <w:pPr>
        <w:pStyle w:val="56"/>
        <w:ind w:firstLine="420"/>
      </w:pPr>
      <w:r>
        <w:rPr>
          <w:rFonts w:hint="eastAsia"/>
        </w:rPr>
        <w:t>由于雷电、自燃或在一定有利于起火的自然背景条件下由人为原因导致，在林地或草原上蔓延，对森林草原资源、人类生命财产、生态环境等造成损害的林火和草原火。</w:t>
      </w:r>
    </w:p>
    <w:p w14:paraId="777CF83C">
      <w:pPr>
        <w:pStyle w:val="56"/>
        <w:ind w:firstLine="420"/>
      </w:pPr>
      <w:r>
        <w:rPr>
          <w:rFonts w:hint="eastAsia"/>
        </w:rPr>
        <w:t>[来源：</w:t>
      </w:r>
      <w:r>
        <w:t>GB/T 28921-2012</w:t>
      </w:r>
      <w:r>
        <w:rPr>
          <w:rFonts w:hint="eastAsia"/>
        </w:rPr>
        <w:t>，5，有修改]</w:t>
      </w:r>
    </w:p>
    <w:p w14:paraId="104C0345">
      <w:pPr>
        <w:pStyle w:val="224"/>
        <w:ind w:left="420" w:hanging="420" w:hangingChars="200"/>
        <w:rPr>
          <w:rFonts w:hint="eastAsia" w:ascii="黑体" w:hAnsi="黑体" w:eastAsia="黑体"/>
        </w:rPr>
      </w:pPr>
      <w:r>
        <w:rPr>
          <w:rFonts w:ascii="黑体" w:hAnsi="黑体" w:eastAsia="黑体"/>
        </w:rPr>
        <w:br w:type="textWrapping"/>
      </w:r>
      <w:r>
        <w:rPr>
          <w:rFonts w:hint="eastAsia" w:ascii="黑体" w:hAnsi="黑体" w:eastAsia="黑体"/>
        </w:rPr>
        <w:t xml:space="preserve">森林草原火灾扑救指挥员 </w:t>
      </w:r>
      <w:r>
        <w:rPr>
          <w:rFonts w:ascii="Times New Roman" w:eastAsia="黑体"/>
        </w:rPr>
        <w:t>forest and grassland firefighting commander</w:t>
      </w:r>
    </w:p>
    <w:p w14:paraId="4F263014">
      <w:pPr>
        <w:pStyle w:val="56"/>
        <w:ind w:firstLine="420"/>
      </w:pPr>
      <w:r>
        <w:rPr>
          <w:rFonts w:hint="eastAsia"/>
        </w:rPr>
        <w:t>地方领导和组织扑救森林草原火灾的人员。</w:t>
      </w:r>
      <w:bookmarkStart w:id="91" w:name="OLE_LINK16"/>
    </w:p>
    <w:bookmarkEnd w:id="91"/>
    <w:p w14:paraId="070F4A15">
      <w:pPr>
        <w:pStyle w:val="56"/>
        <w:ind w:firstLine="420"/>
      </w:pPr>
      <w:r>
        <w:rPr>
          <w:rFonts w:hint="eastAsia"/>
        </w:rPr>
        <w:t>[来源：LY/T 2796-2017，定义2.1]</w:t>
      </w:r>
    </w:p>
    <w:p w14:paraId="7099C0CC">
      <w:pPr>
        <w:pStyle w:val="224"/>
        <w:ind w:left="420" w:hanging="420" w:hangingChars="200"/>
        <w:rPr>
          <w:rFonts w:ascii="Times New Roman" w:eastAsia="黑体"/>
        </w:rPr>
      </w:pPr>
      <w:r>
        <w:rPr>
          <w:rFonts w:ascii="黑体" w:hAnsi="黑体" w:eastAsia="黑体" w:cs="宋体"/>
        </w:rPr>
        <w:br w:type="textWrapping"/>
      </w:r>
      <w:r>
        <w:rPr>
          <w:rFonts w:hint="eastAsia" w:ascii="黑体" w:hAnsi="黑体" w:eastAsia="黑体" w:cs="宋体"/>
        </w:rPr>
        <w:t>地方森林草原消防队伍</w:t>
      </w:r>
      <w:r>
        <w:rPr>
          <w:rFonts w:hint="eastAsia" w:ascii="黑体" w:hAnsi="黑体" w:eastAsia="黑体" w:cs="宋体"/>
          <w:color w:val="FF0000"/>
        </w:rPr>
        <w:t xml:space="preserve"> </w:t>
      </w:r>
      <w:r>
        <w:rPr>
          <w:rFonts w:hint="eastAsia" w:ascii="Times New Roman" w:eastAsia="黑体"/>
        </w:rPr>
        <w:t>local forest and grassland firefighting team</w:t>
      </w:r>
    </w:p>
    <w:p w14:paraId="558642A7">
      <w:pPr>
        <w:pStyle w:val="56"/>
        <w:ind w:firstLine="420"/>
      </w:pPr>
      <w:r>
        <w:rPr>
          <w:rFonts w:hint="eastAsia"/>
        </w:rPr>
        <w:t>由地方政府在有森林草原防灭火任务的地区组建，全年或防火期内集中管理，主要担负森林草原火灾预防和扑救任务的消防队伍。</w:t>
      </w:r>
    </w:p>
    <w:p w14:paraId="1AB7D3EA">
      <w:pPr>
        <w:pStyle w:val="224"/>
        <w:ind w:left="420" w:hanging="420" w:hangingChars="200"/>
        <w:rPr>
          <w:rFonts w:hint="eastAsia" w:ascii="黑体" w:hAnsi="黑体" w:eastAsia="黑体"/>
        </w:rPr>
      </w:pPr>
      <w:r>
        <w:rPr>
          <w:rFonts w:ascii="黑体" w:hAnsi="黑体" w:eastAsia="黑体"/>
        </w:rPr>
        <w:br w:type="textWrapping"/>
      </w:r>
      <w:r>
        <w:rPr>
          <w:rFonts w:hint="eastAsia" w:ascii="黑体" w:hAnsi="黑体" w:eastAsia="黑体"/>
        </w:rPr>
        <w:t xml:space="preserve">指挥员培训 </w:t>
      </w:r>
      <w:r>
        <w:rPr>
          <w:rFonts w:ascii="Times New Roman" w:eastAsia="黑体"/>
        </w:rPr>
        <w:t>commander training</w:t>
      </w:r>
    </w:p>
    <w:p w14:paraId="19498A48">
      <w:pPr>
        <w:pStyle w:val="56"/>
        <w:ind w:firstLine="420"/>
      </w:pPr>
      <w:r>
        <w:rPr>
          <w:rFonts w:hint="eastAsia"/>
        </w:rPr>
        <w:t>为提升和强化指挥员火灾扑救指挥能力而开展的培训活动。</w:t>
      </w:r>
    </w:p>
    <w:p w14:paraId="354AB091">
      <w:pPr>
        <w:pStyle w:val="224"/>
        <w:ind w:left="420" w:hanging="420" w:hangingChars="200"/>
        <w:rPr>
          <w:rFonts w:hint="eastAsia" w:ascii="黑体" w:hAnsi="黑体" w:eastAsia="黑体"/>
        </w:rPr>
      </w:pPr>
      <w:r>
        <w:rPr>
          <w:rFonts w:hint="eastAsia" w:ascii="黑体" w:hAnsi="黑体" w:eastAsia="黑体"/>
        </w:rPr>
        <w:t xml:space="preserve">培训机构 </w:t>
      </w:r>
      <w:r>
        <w:rPr>
          <w:rFonts w:hint="eastAsia" w:ascii="Times New Roman" w:eastAsia="黑体"/>
        </w:rPr>
        <w:t>t</w:t>
      </w:r>
      <w:r>
        <w:rPr>
          <w:rFonts w:ascii="Times New Roman" w:eastAsia="黑体"/>
        </w:rPr>
        <w:t xml:space="preserve">raining </w:t>
      </w:r>
      <w:r>
        <w:rPr>
          <w:rFonts w:hint="eastAsia" w:ascii="Times New Roman" w:eastAsia="黑体"/>
        </w:rPr>
        <w:t>p</w:t>
      </w:r>
      <w:r>
        <w:rPr>
          <w:rFonts w:ascii="Times New Roman" w:eastAsia="黑体"/>
        </w:rPr>
        <w:t>rovider</w:t>
      </w:r>
    </w:p>
    <w:p w14:paraId="0D647E4D">
      <w:pPr>
        <w:pStyle w:val="56"/>
        <w:ind w:firstLine="420"/>
      </w:pPr>
      <w:r>
        <w:rPr>
          <w:rFonts w:hint="eastAsia"/>
        </w:rPr>
        <w:t>承办森林草原火灾扑救指挥员培训班或承接培训任务的机构。</w:t>
      </w:r>
    </w:p>
    <w:p w14:paraId="634DF85B">
      <w:pPr>
        <w:pStyle w:val="224"/>
        <w:ind w:left="420" w:hanging="420" w:hangingChars="200"/>
        <w:rPr>
          <w:rFonts w:hint="eastAsia" w:ascii="黑体" w:hAnsi="黑体" w:eastAsia="黑体"/>
        </w:rPr>
      </w:pPr>
      <w:r>
        <w:rPr>
          <w:rFonts w:ascii="黑体" w:hAnsi="黑体" w:eastAsia="黑体"/>
        </w:rPr>
        <w:br w:type="textWrapping"/>
      </w:r>
      <w:r>
        <w:rPr>
          <w:rFonts w:hint="eastAsia" w:ascii="黑体" w:hAnsi="黑体" w:eastAsia="黑体"/>
        </w:rPr>
        <w:t xml:space="preserve">结业考核 </w:t>
      </w:r>
      <w:r>
        <w:rPr>
          <w:rFonts w:hint="eastAsia" w:ascii="Times New Roman" w:eastAsia="黑体"/>
        </w:rPr>
        <w:t>g</w:t>
      </w:r>
      <w:r>
        <w:rPr>
          <w:rFonts w:ascii="Times New Roman" w:eastAsia="黑体"/>
        </w:rPr>
        <w:t>raduation assessment</w:t>
      </w:r>
    </w:p>
    <w:p w14:paraId="413DB797">
      <w:pPr>
        <w:pStyle w:val="56"/>
        <w:ind w:firstLine="420"/>
      </w:pPr>
      <w:r>
        <w:rPr>
          <w:rFonts w:hint="eastAsia"/>
        </w:rPr>
        <w:t>培训结束后，为检验培训效果而开展的考核。</w:t>
      </w:r>
    </w:p>
    <w:p w14:paraId="77B8F158">
      <w:pPr>
        <w:pStyle w:val="224"/>
        <w:ind w:left="420" w:hanging="420" w:hangingChars="200"/>
        <w:rPr>
          <w:rFonts w:hint="eastAsia" w:ascii="黑体" w:hAnsi="黑体" w:eastAsia="黑体"/>
        </w:rPr>
      </w:pPr>
      <w:r>
        <w:rPr>
          <w:rFonts w:ascii="黑体" w:hAnsi="黑体" w:eastAsia="黑体"/>
        </w:rPr>
        <w:br w:type="textWrapping"/>
      </w:r>
      <w:r>
        <w:rPr>
          <w:rFonts w:hint="eastAsia" w:ascii="黑体" w:hAnsi="黑体" w:eastAsia="黑体"/>
        </w:rPr>
        <w:t xml:space="preserve">指挥员考核 </w:t>
      </w:r>
      <w:r>
        <w:rPr>
          <w:rFonts w:ascii="Times New Roman" w:eastAsia="黑体"/>
        </w:rPr>
        <w:t>commander assessment</w:t>
      </w:r>
    </w:p>
    <w:p w14:paraId="0D0FC6D7">
      <w:pPr>
        <w:pStyle w:val="56"/>
        <w:ind w:firstLine="420"/>
      </w:pPr>
      <w:r>
        <w:rPr>
          <w:rFonts w:hint="eastAsia"/>
        </w:rPr>
        <w:t>面向符合报考条件的指挥员开展的考核。</w:t>
      </w:r>
    </w:p>
    <w:p w14:paraId="314BE1F9">
      <w:pPr>
        <w:pStyle w:val="224"/>
        <w:ind w:left="420" w:hanging="420" w:hangingChars="200"/>
        <w:rPr>
          <w:rFonts w:hint="eastAsia" w:ascii="黑体" w:hAnsi="黑体" w:eastAsia="黑体"/>
        </w:rPr>
      </w:pPr>
      <w:r>
        <w:rPr>
          <w:rFonts w:ascii="黑体" w:hAnsi="黑体" w:eastAsia="黑体"/>
        </w:rPr>
        <w:br w:type="textWrapping"/>
      </w:r>
      <w:r>
        <w:rPr>
          <w:rFonts w:hint="eastAsia" w:ascii="黑体" w:hAnsi="黑体" w:eastAsia="黑体"/>
        </w:rPr>
        <w:t xml:space="preserve">考核机构 </w:t>
      </w:r>
      <w:r>
        <w:rPr>
          <w:rFonts w:ascii="Times New Roman" w:eastAsia="黑体"/>
        </w:rPr>
        <w:t>assessment institution</w:t>
      </w:r>
    </w:p>
    <w:p w14:paraId="4728EC51">
      <w:pPr>
        <w:pStyle w:val="56"/>
        <w:ind w:firstLine="420"/>
      </w:pPr>
      <w:r>
        <w:rPr>
          <w:rFonts w:hint="eastAsia"/>
        </w:rPr>
        <w:t>经授权或认可，对指挥员进行考核及结果认定，并出具相应证明的机构。</w:t>
      </w:r>
    </w:p>
    <w:p w14:paraId="07FEB79F">
      <w:pPr>
        <w:pStyle w:val="224"/>
        <w:ind w:left="420" w:hanging="420" w:hangingChars="200"/>
        <w:rPr>
          <w:rFonts w:hint="eastAsia" w:ascii="黑体" w:hAnsi="黑体" w:eastAsia="黑体"/>
        </w:rPr>
      </w:pPr>
      <w:r>
        <w:rPr>
          <w:rFonts w:ascii="黑体" w:hAnsi="黑体" w:eastAsia="黑体"/>
        </w:rPr>
        <w:br w:type="textWrapping"/>
      </w:r>
      <w:r>
        <w:rPr>
          <w:rFonts w:hint="eastAsia" w:ascii="黑体" w:hAnsi="黑体" w:eastAsia="黑体"/>
        </w:rPr>
        <w:t xml:space="preserve">复训 </w:t>
      </w:r>
      <w:r>
        <w:rPr>
          <w:rFonts w:hint="eastAsia" w:ascii="Times New Roman" w:eastAsia="黑体"/>
        </w:rPr>
        <w:t>r</w:t>
      </w:r>
      <w:r>
        <w:rPr>
          <w:rFonts w:ascii="Times New Roman" w:eastAsia="黑体"/>
        </w:rPr>
        <w:t xml:space="preserve">efresher </w:t>
      </w:r>
      <w:r>
        <w:rPr>
          <w:rFonts w:hint="eastAsia" w:ascii="Times New Roman" w:eastAsia="黑体"/>
        </w:rPr>
        <w:t>t</w:t>
      </w:r>
      <w:r>
        <w:rPr>
          <w:rFonts w:ascii="Times New Roman" w:eastAsia="黑体"/>
        </w:rPr>
        <w:t>raining</w:t>
      </w:r>
    </w:p>
    <w:p w14:paraId="51D6FA38">
      <w:pPr>
        <w:pStyle w:val="56"/>
        <w:ind w:firstLine="420"/>
      </w:pPr>
      <w:r>
        <w:rPr>
          <w:rFonts w:hint="eastAsia"/>
        </w:rPr>
        <w:t>对培训和考核合格的人员进行相同或更新内容的再次训练，确保其知识、技能持续符合火灾扑救指挥要求。</w:t>
      </w:r>
    </w:p>
    <w:p w14:paraId="3F4A1DAC">
      <w:pPr>
        <w:pStyle w:val="105"/>
        <w:spacing w:before="120" w:after="120"/>
      </w:pPr>
      <w:bookmarkStart w:id="92" w:name="_Toc203579141"/>
      <w:bookmarkStart w:id="93" w:name="_Toc203753113"/>
      <w:bookmarkStart w:id="94" w:name="_Toc203573391"/>
      <w:bookmarkStart w:id="95" w:name="_Toc203671180"/>
      <w:r>
        <w:rPr>
          <w:rFonts w:hint="eastAsia"/>
        </w:rPr>
        <w:t>专业术语</w:t>
      </w:r>
      <w:bookmarkEnd w:id="92"/>
      <w:bookmarkEnd w:id="93"/>
      <w:bookmarkEnd w:id="94"/>
      <w:bookmarkEnd w:id="95"/>
    </w:p>
    <w:p w14:paraId="19611578">
      <w:pPr>
        <w:pStyle w:val="224"/>
        <w:ind w:left="420" w:hanging="420" w:hangingChars="200"/>
        <w:rPr>
          <w:rFonts w:hint="eastAsia" w:ascii="黑体" w:hAnsi="黑体" w:eastAsia="黑体"/>
        </w:rPr>
      </w:pPr>
      <w:r>
        <w:rPr>
          <w:rFonts w:ascii="黑体" w:hAnsi="黑体" w:eastAsia="黑体"/>
        </w:rPr>
        <w:br w:type="textWrapping"/>
      </w:r>
      <w:bookmarkStart w:id="96" w:name="OLE_LINK31"/>
      <w:r>
        <w:rPr>
          <w:rFonts w:hint="eastAsia" w:ascii="黑体" w:hAnsi="黑体" w:eastAsia="黑体"/>
        </w:rPr>
        <w:t>火灾扑救</w:t>
      </w:r>
      <w:bookmarkEnd w:id="96"/>
      <w:r>
        <w:rPr>
          <w:rFonts w:hint="eastAsia" w:ascii="黑体" w:hAnsi="黑体" w:eastAsia="黑体"/>
        </w:rPr>
        <w:t xml:space="preserve"> </w:t>
      </w:r>
      <w:r>
        <w:rPr>
          <w:rFonts w:hint="eastAsia" w:ascii="Times New Roman" w:eastAsia="黑体"/>
        </w:rPr>
        <w:t>f</w:t>
      </w:r>
      <w:r>
        <w:rPr>
          <w:rFonts w:ascii="Times New Roman" w:eastAsia="黑体"/>
        </w:rPr>
        <w:t>ire suppression</w:t>
      </w:r>
    </w:p>
    <w:p w14:paraId="3C816919">
      <w:pPr>
        <w:pStyle w:val="56"/>
        <w:ind w:firstLine="420"/>
      </w:pPr>
      <w:r>
        <w:rPr>
          <w:rFonts w:hint="eastAsia"/>
        </w:rPr>
        <w:t>扑救森林草原火灾的一系列方法策略。扑救工作包括：组织灭火行动、解救疏散人员、保护重要目标、转移重要物资、维护社会稳定等。</w:t>
      </w:r>
    </w:p>
    <w:p w14:paraId="4BA9A904">
      <w:pPr>
        <w:pStyle w:val="224"/>
        <w:ind w:left="420" w:hanging="420" w:hangingChars="200"/>
        <w:rPr>
          <w:rFonts w:hint="eastAsia" w:ascii="黑体" w:hAnsi="黑体" w:eastAsia="黑体"/>
        </w:rPr>
      </w:pPr>
      <w:r>
        <w:rPr>
          <w:rFonts w:ascii="黑体" w:hAnsi="黑体" w:eastAsia="黑体"/>
        </w:rPr>
        <w:br w:type="textWrapping"/>
      </w:r>
      <w:r>
        <w:rPr>
          <w:rFonts w:hint="eastAsia" w:ascii="黑体" w:hAnsi="黑体" w:eastAsia="黑体"/>
        </w:rPr>
        <w:t xml:space="preserve">灭火技术 </w:t>
      </w:r>
      <w:r>
        <w:rPr>
          <w:rFonts w:hint="eastAsia" w:ascii="Times New Roman" w:eastAsia="黑体"/>
        </w:rPr>
        <w:t>f</w:t>
      </w:r>
      <w:r>
        <w:rPr>
          <w:rFonts w:ascii="Times New Roman" w:eastAsia="黑体"/>
        </w:rPr>
        <w:t>irefighting technology</w:t>
      </w:r>
    </w:p>
    <w:p w14:paraId="46C5DC7D">
      <w:pPr>
        <w:pStyle w:val="56"/>
        <w:ind w:firstLine="420"/>
      </w:pPr>
      <w:r>
        <w:rPr>
          <w:rFonts w:hint="eastAsia"/>
        </w:rPr>
        <w:t>扑灭森林草原火灾的技术方法及运用，包括地面灭火技术和航空灭火技术，其中地面灭火技术包括风力灭火技术、以水灭火技术、化学灭火技术、火攻灭火技术、隔离灭火技术等；航空灭火技术包括直升飞机灭火技术、固定翼飞机灭火技术、无人航空器灭火技术等。</w:t>
      </w:r>
    </w:p>
    <w:p w14:paraId="2FA87FAD">
      <w:pPr>
        <w:pStyle w:val="224"/>
        <w:ind w:left="420" w:hanging="420" w:hangingChars="200"/>
        <w:rPr>
          <w:rFonts w:hint="eastAsia" w:ascii="黑体" w:hAnsi="黑体" w:eastAsia="黑体"/>
        </w:rPr>
      </w:pPr>
      <w:r>
        <w:rPr>
          <w:rFonts w:ascii="黑体" w:hAnsi="黑体" w:eastAsia="黑体"/>
        </w:rPr>
        <w:br w:type="textWrapping"/>
      </w:r>
      <w:r>
        <w:rPr>
          <w:rFonts w:hint="eastAsia" w:ascii="黑体" w:hAnsi="黑体" w:eastAsia="黑体"/>
        </w:rPr>
        <w:t xml:space="preserve">灭火战术 </w:t>
      </w:r>
      <w:r>
        <w:rPr>
          <w:rFonts w:hint="eastAsia" w:ascii="Times New Roman" w:eastAsia="黑体"/>
        </w:rPr>
        <w:t>f</w:t>
      </w:r>
      <w:r>
        <w:rPr>
          <w:rFonts w:ascii="Times New Roman" w:eastAsia="黑体"/>
        </w:rPr>
        <w:t>ire extinguishing tactics</w:t>
      </w:r>
    </w:p>
    <w:p w14:paraId="6E36E8A3">
      <w:pPr>
        <w:pStyle w:val="56"/>
        <w:ind w:firstLine="420"/>
      </w:pPr>
      <w:r>
        <w:rPr>
          <w:rFonts w:hint="eastAsia"/>
        </w:rPr>
        <w:t>指导遂行灭火任务的方法，可分为单人灭火战术、班（组）灭火战术、分队灭火战术等。</w:t>
      </w:r>
    </w:p>
    <w:p w14:paraId="4B87986B">
      <w:pPr>
        <w:pStyle w:val="224"/>
        <w:ind w:left="420" w:hanging="420" w:hangingChars="200"/>
        <w:rPr>
          <w:rFonts w:hint="eastAsia" w:ascii="黑体" w:hAnsi="黑体" w:eastAsia="黑体"/>
        </w:rPr>
      </w:pPr>
      <w:r>
        <w:rPr>
          <w:rFonts w:ascii="黑体" w:hAnsi="黑体" w:eastAsia="黑体"/>
        </w:rPr>
        <w:br w:type="textWrapping"/>
      </w:r>
      <w:r>
        <w:rPr>
          <w:rFonts w:hint="eastAsia" w:ascii="黑体" w:hAnsi="黑体" w:eastAsia="黑体"/>
        </w:rPr>
        <w:t xml:space="preserve">灭火战法 </w:t>
      </w:r>
      <w:r>
        <w:rPr>
          <w:rFonts w:ascii="Times New Roman" w:eastAsia="黑体"/>
        </w:rPr>
        <w:t xml:space="preserve">fire </w:t>
      </w:r>
      <w:r>
        <w:rPr>
          <w:rFonts w:hint="eastAsia" w:ascii="Times New Roman" w:eastAsia="黑体"/>
        </w:rPr>
        <w:t>s</w:t>
      </w:r>
      <w:r>
        <w:rPr>
          <w:rFonts w:ascii="Times New Roman" w:eastAsia="黑体"/>
        </w:rPr>
        <w:t xml:space="preserve">uppression </w:t>
      </w:r>
      <w:r>
        <w:rPr>
          <w:rFonts w:hint="eastAsia" w:ascii="Times New Roman" w:eastAsia="黑体"/>
        </w:rPr>
        <w:t>m</w:t>
      </w:r>
      <w:r>
        <w:rPr>
          <w:rFonts w:ascii="Times New Roman" w:eastAsia="黑体"/>
        </w:rPr>
        <w:t>ethod</w:t>
      </w:r>
    </w:p>
    <w:p w14:paraId="2BEF2D98">
      <w:pPr>
        <w:pStyle w:val="56"/>
        <w:ind w:firstLine="420"/>
      </w:pPr>
      <w:r>
        <w:rPr>
          <w:rFonts w:hint="eastAsia"/>
        </w:rPr>
        <w:t>灭火行动中采用的灭火手段、技术和战术的总称。</w:t>
      </w:r>
    </w:p>
    <w:p w14:paraId="11B4E934">
      <w:pPr>
        <w:pStyle w:val="224"/>
        <w:ind w:left="420" w:hanging="420" w:hangingChars="200"/>
        <w:rPr>
          <w:rFonts w:hint="eastAsia" w:ascii="黑体" w:hAnsi="黑体" w:eastAsia="黑体"/>
        </w:rPr>
      </w:pPr>
      <w:r>
        <w:rPr>
          <w:rFonts w:ascii="黑体" w:hAnsi="黑体" w:eastAsia="黑体"/>
        </w:rPr>
        <w:br w:type="textWrapping"/>
      </w:r>
      <w:r>
        <w:rPr>
          <w:rFonts w:hint="eastAsia" w:ascii="黑体" w:hAnsi="黑体" w:eastAsia="黑体"/>
        </w:rPr>
        <w:t xml:space="preserve">灭火指挥 </w:t>
      </w:r>
      <w:r>
        <w:rPr>
          <w:rFonts w:hint="eastAsia" w:ascii="Times New Roman" w:eastAsia="黑体"/>
        </w:rPr>
        <w:t>f</w:t>
      </w:r>
      <w:r>
        <w:rPr>
          <w:rFonts w:ascii="Times New Roman" w:eastAsia="黑体"/>
        </w:rPr>
        <w:t>ire extinguishing command</w:t>
      </w:r>
    </w:p>
    <w:p w14:paraId="64632038">
      <w:pPr>
        <w:pStyle w:val="56"/>
        <w:ind w:firstLine="420"/>
      </w:pPr>
      <w:r>
        <w:rPr>
          <w:rFonts w:hint="eastAsia"/>
        </w:rPr>
        <w:t>在某行政或责任区，为达到扑灭森林草原火灾，保护森林草原资源及人民群众生命财产安全的目的，森林草原防灭火指挥机构或指挥员，对火灾扑救全过程进行的运筹决策、计划组织、协调控制活动。</w:t>
      </w:r>
    </w:p>
    <w:p w14:paraId="49D7E440">
      <w:pPr>
        <w:pStyle w:val="104"/>
        <w:spacing w:before="240" w:after="240"/>
      </w:pPr>
      <w:bookmarkStart w:id="97" w:name="_Toc203573392"/>
      <w:bookmarkStart w:id="98" w:name="_Toc203579142"/>
      <w:bookmarkStart w:id="99" w:name="_Toc203671181"/>
      <w:bookmarkStart w:id="100" w:name="_Toc202259579"/>
      <w:bookmarkStart w:id="101" w:name="_Toc203753114"/>
      <w:r>
        <w:rPr>
          <w:rFonts w:hint="eastAsia"/>
        </w:rPr>
        <w:t>总体要求</w:t>
      </w:r>
      <w:bookmarkEnd w:id="97"/>
      <w:bookmarkEnd w:id="98"/>
      <w:bookmarkEnd w:id="99"/>
      <w:bookmarkEnd w:id="100"/>
      <w:bookmarkEnd w:id="101"/>
    </w:p>
    <w:p w14:paraId="7A5C5844">
      <w:pPr>
        <w:pStyle w:val="162"/>
      </w:pPr>
      <w:bookmarkStart w:id="102" w:name="_Toc185800566"/>
      <w:bookmarkStart w:id="103" w:name="_Toc201942515"/>
      <w:bookmarkStart w:id="104" w:name="_Toc185810724"/>
      <w:bookmarkStart w:id="105" w:name="_Toc184312869"/>
      <w:bookmarkStart w:id="106" w:name="_Toc202259580"/>
      <w:bookmarkStart w:id="107" w:name="_Toc185800450"/>
      <w:bookmarkStart w:id="108" w:name="_Toc185800423"/>
      <w:bookmarkStart w:id="109" w:name="_Toc202228903"/>
      <w:bookmarkStart w:id="110" w:name="_Hlk184316346"/>
      <w:r>
        <w:rPr>
          <w:rFonts w:hint="eastAsia" w:ascii="黑体" w:hAnsi="黑体" w:eastAsia="黑体"/>
        </w:rPr>
        <w:t>需求牵引</w:t>
      </w:r>
      <w:bookmarkEnd w:id="102"/>
      <w:bookmarkEnd w:id="103"/>
      <w:bookmarkEnd w:id="104"/>
      <w:bookmarkEnd w:id="105"/>
      <w:bookmarkEnd w:id="106"/>
      <w:bookmarkEnd w:id="107"/>
      <w:bookmarkEnd w:id="108"/>
      <w:bookmarkEnd w:id="109"/>
      <w:r>
        <w:rPr>
          <w:rFonts w:hint="eastAsia" w:ascii="黑体" w:hAnsi="黑体" w:eastAsia="黑体"/>
        </w:rPr>
        <w:t>。</w:t>
      </w:r>
      <w:bookmarkStart w:id="111" w:name="_Hlk184322005"/>
      <w:r>
        <w:rPr>
          <w:rFonts w:hint="eastAsia"/>
        </w:rPr>
        <w:t>培训与考核应根据各级各类森林草原火灾扑救指挥员岗位职责和任职能力需求，科学设置培训内容，考核评价其能力素质水平，以更好地适应形势任务需要。</w:t>
      </w:r>
    </w:p>
    <w:bookmarkEnd w:id="111"/>
    <w:p w14:paraId="43B333EC">
      <w:pPr>
        <w:pStyle w:val="162"/>
      </w:pPr>
      <w:bookmarkStart w:id="112" w:name="_Toc185800424"/>
      <w:bookmarkStart w:id="113" w:name="_Toc185800451"/>
      <w:bookmarkStart w:id="114" w:name="_Toc185810725"/>
      <w:bookmarkStart w:id="115" w:name="_Toc201942516"/>
      <w:bookmarkStart w:id="116" w:name="_Toc202259581"/>
      <w:bookmarkStart w:id="117" w:name="_Toc202228904"/>
      <w:bookmarkStart w:id="118" w:name="_Toc184312870"/>
      <w:bookmarkStart w:id="119" w:name="_Toc185800567"/>
      <w:r>
        <w:rPr>
          <w:rFonts w:hint="eastAsia" w:ascii="黑体" w:hAnsi="黑体" w:eastAsia="黑体"/>
        </w:rPr>
        <w:t>强化实践</w:t>
      </w:r>
      <w:bookmarkEnd w:id="112"/>
      <w:bookmarkEnd w:id="113"/>
      <w:bookmarkEnd w:id="114"/>
      <w:bookmarkEnd w:id="115"/>
      <w:bookmarkEnd w:id="116"/>
      <w:bookmarkEnd w:id="117"/>
      <w:bookmarkEnd w:id="118"/>
      <w:bookmarkEnd w:id="119"/>
      <w:r>
        <w:rPr>
          <w:rFonts w:hint="eastAsia" w:ascii="黑体" w:hAnsi="黑体" w:eastAsia="黑体"/>
        </w:rPr>
        <w:t>。</w:t>
      </w:r>
      <w:bookmarkStart w:id="120" w:name="_Hlk184322020"/>
      <w:r>
        <w:rPr>
          <w:rFonts w:hint="eastAsia"/>
        </w:rPr>
        <w:t>培训与考核应着眼于提高地方各级各类森林草原火灾扑救指挥员组织指挥能力，培训内容紧贴任务实际，培训方式注重实操实训，考核方式贴近灭火实战，促进专业知识向任职能力转化。</w:t>
      </w:r>
    </w:p>
    <w:bookmarkEnd w:id="120"/>
    <w:p w14:paraId="4CDBAB17">
      <w:pPr>
        <w:pStyle w:val="162"/>
      </w:pPr>
      <w:bookmarkStart w:id="121" w:name="_Toc202228905"/>
      <w:bookmarkStart w:id="122" w:name="_Toc202259582"/>
      <w:bookmarkStart w:id="123" w:name="_Toc185800568"/>
      <w:bookmarkStart w:id="124" w:name="_Toc201942517"/>
      <w:bookmarkStart w:id="125" w:name="_Toc185800452"/>
      <w:bookmarkStart w:id="126" w:name="_Toc185810726"/>
      <w:bookmarkStart w:id="127" w:name="_Toc185800425"/>
      <w:bookmarkStart w:id="128" w:name="_Toc184312871"/>
      <w:r>
        <w:rPr>
          <w:rFonts w:hint="eastAsia" w:ascii="黑体" w:hAnsi="黑体" w:eastAsia="黑体"/>
        </w:rPr>
        <w:t>先训后考</w:t>
      </w:r>
      <w:bookmarkEnd w:id="121"/>
      <w:bookmarkEnd w:id="122"/>
      <w:bookmarkEnd w:id="123"/>
      <w:bookmarkEnd w:id="124"/>
      <w:bookmarkEnd w:id="125"/>
      <w:bookmarkEnd w:id="126"/>
      <w:bookmarkEnd w:id="127"/>
      <w:bookmarkEnd w:id="128"/>
      <w:r>
        <w:rPr>
          <w:rFonts w:hint="eastAsia" w:ascii="黑体" w:hAnsi="黑体" w:eastAsia="黑体"/>
        </w:rPr>
        <w:t>。</w:t>
      </w:r>
      <w:bookmarkStart w:id="129" w:name="OLE_LINK2"/>
      <w:r>
        <w:rPr>
          <w:rFonts w:hint="eastAsia"/>
        </w:rPr>
        <w:t>报名参加森林草原火灾扑救指挥员考核，应先完成相应培训内容且结业考核合格，同时还应符合本文件规定的其他报考条件，方可报名考核。</w:t>
      </w:r>
    </w:p>
    <w:p w14:paraId="223F80B3">
      <w:pPr>
        <w:pStyle w:val="104"/>
        <w:spacing w:before="240" w:after="240"/>
      </w:pPr>
      <w:bookmarkStart w:id="130" w:name="_Toc203671182"/>
      <w:bookmarkStart w:id="131" w:name="_Toc203753115"/>
      <w:bookmarkStart w:id="132" w:name="_Toc202259583"/>
      <w:bookmarkStart w:id="133" w:name="_Toc203573393"/>
      <w:bookmarkStart w:id="134" w:name="_Toc203579143"/>
      <w:r>
        <w:rPr>
          <w:rFonts w:hint="eastAsia"/>
        </w:rPr>
        <w:t>培训与考核要求</w:t>
      </w:r>
      <w:bookmarkEnd w:id="130"/>
      <w:bookmarkEnd w:id="131"/>
      <w:bookmarkEnd w:id="132"/>
      <w:bookmarkEnd w:id="133"/>
      <w:bookmarkEnd w:id="134"/>
    </w:p>
    <w:p w14:paraId="793929B7">
      <w:pPr>
        <w:pStyle w:val="105"/>
        <w:spacing w:before="120" w:after="120"/>
      </w:pPr>
      <w:bookmarkStart w:id="135" w:name="_Toc202259584"/>
      <w:bookmarkStart w:id="136" w:name="_Toc203753116"/>
      <w:bookmarkStart w:id="137" w:name="_Toc203579144"/>
      <w:bookmarkStart w:id="138" w:name="_Toc203573394"/>
      <w:bookmarkStart w:id="139" w:name="_Toc203671183"/>
      <w:r>
        <w:rPr>
          <w:rFonts w:hint="eastAsia"/>
        </w:rPr>
        <w:t>培训要求</w:t>
      </w:r>
      <w:bookmarkEnd w:id="135"/>
      <w:bookmarkEnd w:id="136"/>
      <w:bookmarkEnd w:id="137"/>
      <w:bookmarkEnd w:id="138"/>
      <w:bookmarkEnd w:id="139"/>
    </w:p>
    <w:p w14:paraId="210257C1">
      <w:pPr>
        <w:pStyle w:val="165"/>
        <w:rPr>
          <w:rFonts w:hint="eastAsia" w:hAnsi="宋体"/>
        </w:rPr>
      </w:pPr>
      <w:r>
        <w:rPr>
          <w:rFonts w:hint="eastAsia" w:hAnsi="宋体"/>
        </w:rPr>
        <w:t>培训</w:t>
      </w:r>
      <w:bookmarkStart w:id="140" w:name="OLE_LINK35"/>
      <w:bookmarkStart w:id="141" w:name="_Hlk203593999"/>
      <w:r>
        <w:rPr>
          <w:rFonts w:hint="eastAsia" w:hAnsi="宋体"/>
        </w:rPr>
        <w:t>应</w:t>
      </w:r>
      <w:bookmarkStart w:id="142" w:name="OLE_LINK40"/>
      <w:bookmarkStart w:id="143" w:name="_Hlk203727373"/>
      <w:r>
        <w:rPr>
          <w:rFonts w:hint="eastAsia" w:hAnsi="宋体"/>
        </w:rPr>
        <w:t>根据指挥员岗位性质、指挥任务等，</w:t>
      </w:r>
      <w:bookmarkEnd w:id="140"/>
      <w:bookmarkEnd w:id="142"/>
      <w:r>
        <w:rPr>
          <w:rFonts w:hint="eastAsia" w:hAnsi="宋体"/>
        </w:rPr>
        <w:t>分类明确培训目标</w:t>
      </w:r>
      <w:bookmarkEnd w:id="141"/>
      <w:r>
        <w:rPr>
          <w:rFonts w:hint="eastAsia" w:hAnsi="宋体"/>
        </w:rPr>
        <w:t>，按类别组织培训</w:t>
      </w:r>
      <w:bookmarkEnd w:id="143"/>
      <w:r>
        <w:rPr>
          <w:rFonts w:hint="eastAsia" w:hAnsi="宋体"/>
        </w:rPr>
        <w:t>。</w:t>
      </w:r>
    </w:p>
    <w:p w14:paraId="71ED4DC5">
      <w:pPr>
        <w:pStyle w:val="165"/>
      </w:pPr>
      <w:r>
        <w:rPr>
          <w:rFonts w:hint="eastAsia"/>
        </w:rPr>
        <w:t>国家指导省、市两级指挥员培训，省级指导县级及以下、地方森林草原消防队伍指挥员培训。</w:t>
      </w:r>
    </w:p>
    <w:p w14:paraId="37CD636C">
      <w:pPr>
        <w:pStyle w:val="165"/>
        <w:rPr>
          <w:rFonts w:hint="eastAsia" w:hAnsi="宋体"/>
        </w:rPr>
      </w:pPr>
      <w:bookmarkStart w:id="144" w:name="OLE_LINK21"/>
      <w:r>
        <w:rPr>
          <w:rFonts w:hint="eastAsia"/>
        </w:rPr>
        <w:t>培训应由森林草原防灭火业务主管部门，委托具备相应条件的专业培训机构举办相应类别的指挥员培训班，</w:t>
      </w:r>
      <w:r>
        <w:rPr>
          <w:rFonts w:hint="eastAsia" w:hAnsi="宋体"/>
        </w:rPr>
        <w:t>集中组织进行</w:t>
      </w:r>
      <w:bookmarkEnd w:id="144"/>
      <w:r>
        <w:rPr>
          <w:rFonts w:hint="eastAsia"/>
        </w:rPr>
        <w:t>。</w:t>
      </w:r>
    </w:p>
    <w:p w14:paraId="5D6BEC97">
      <w:pPr>
        <w:pStyle w:val="165"/>
        <w:rPr>
          <w:rFonts w:hint="eastAsia" w:hAnsi="宋体"/>
        </w:rPr>
      </w:pPr>
      <w:bookmarkStart w:id="145" w:name="_Hlk202120297"/>
      <w:r>
        <w:rPr>
          <w:rFonts w:hint="eastAsia" w:hAnsi="宋体"/>
        </w:rPr>
        <w:t>培训机构应具备开展理论教学、虚拟仿真训练、真火实训、综合演练等场地设施和装备器材，具有专业基础扎实、实战经验丰富的教学团队，同时具备系统配套的专业教材</w:t>
      </w:r>
      <w:bookmarkEnd w:id="145"/>
      <w:bookmarkStart w:id="146" w:name="_Hlk202120572"/>
      <w:r>
        <w:rPr>
          <w:rFonts w:hint="eastAsia" w:hAnsi="宋体"/>
        </w:rPr>
        <w:t>、教案。</w:t>
      </w:r>
    </w:p>
    <w:bookmarkEnd w:id="146"/>
    <w:p w14:paraId="10604C34">
      <w:pPr>
        <w:pStyle w:val="165"/>
        <w:rPr>
          <w:rFonts w:hint="eastAsia" w:hAnsi="宋体"/>
        </w:rPr>
      </w:pPr>
      <w:r>
        <w:rPr>
          <w:rFonts w:hint="eastAsia" w:hAnsi="宋体"/>
        </w:rPr>
        <w:t>培训课程应按照本文件规定的内容及学时要求设置，分多次完成的，每次培训内容重复率应不超过30%。</w:t>
      </w:r>
    </w:p>
    <w:p w14:paraId="59581738">
      <w:pPr>
        <w:pStyle w:val="165"/>
        <w:rPr>
          <w:rFonts w:hint="eastAsia" w:hAnsi="宋体"/>
        </w:rPr>
      </w:pPr>
      <w:r>
        <w:rPr>
          <w:rFonts w:hint="eastAsia" w:hAnsi="宋体"/>
        </w:rPr>
        <w:t>培训机构应根据培训内容性质，合理选择培训方式，实现培训效果最大化。</w:t>
      </w:r>
    </w:p>
    <w:p w14:paraId="237F9F41">
      <w:pPr>
        <w:pStyle w:val="165"/>
        <w:rPr>
          <w:rFonts w:hint="eastAsia" w:hAnsi="宋体"/>
        </w:rPr>
      </w:pPr>
      <w:r>
        <w:rPr>
          <w:rFonts w:hint="eastAsia" w:hAnsi="宋体"/>
        </w:rPr>
        <w:t>培训过程应规范有序、安全高效、组织严密。</w:t>
      </w:r>
    </w:p>
    <w:p w14:paraId="720D4745">
      <w:pPr>
        <w:pStyle w:val="165"/>
        <w:rPr>
          <w:rFonts w:hint="eastAsia" w:hAnsi="宋体"/>
        </w:rPr>
      </w:pPr>
      <w:r>
        <w:rPr>
          <w:rFonts w:hint="eastAsia" w:hAnsi="宋体"/>
        </w:rPr>
        <w:t>培训结束，培训机构应组织开展培训结业考核，检验培训成效</w:t>
      </w:r>
      <w:bookmarkStart w:id="147" w:name="OLE_LINK23"/>
      <w:r>
        <w:rPr>
          <w:rFonts w:hint="eastAsia" w:hAnsi="宋体"/>
        </w:rPr>
        <w:t>。</w:t>
      </w:r>
    </w:p>
    <w:bookmarkEnd w:id="147"/>
    <w:p w14:paraId="027406ED">
      <w:pPr>
        <w:pStyle w:val="165"/>
        <w:rPr>
          <w:rFonts w:hint="eastAsia" w:hAnsi="宋体"/>
        </w:rPr>
      </w:pPr>
      <w:r>
        <w:rPr>
          <w:rFonts w:hint="eastAsia" w:hAnsi="宋体"/>
        </w:rPr>
        <w:t>培训机构应建立服务质量保障及评价机制，</w:t>
      </w:r>
      <w:r>
        <w:rPr>
          <w:rFonts w:hint="eastAsia"/>
        </w:rPr>
        <w:t>提升培训服务质量，</w:t>
      </w:r>
      <w:r>
        <w:rPr>
          <w:rFonts w:hint="eastAsia" w:hAnsi="宋体"/>
        </w:rPr>
        <w:t>包括但不限于：</w:t>
      </w:r>
    </w:p>
    <w:p w14:paraId="383A5218">
      <w:pPr>
        <w:pStyle w:val="109"/>
      </w:pPr>
      <w:r>
        <w:rPr>
          <w:rFonts w:hint="eastAsia"/>
        </w:rPr>
        <w:t>及时收集、分析参训人员的意见和建议，并进行相应改进；</w:t>
      </w:r>
    </w:p>
    <w:p w14:paraId="306C2BB4">
      <w:pPr>
        <w:pStyle w:val="109"/>
      </w:pPr>
      <w:r>
        <w:rPr>
          <w:rFonts w:hint="eastAsia"/>
        </w:rPr>
        <w:t>组织参训人员进行培训服务满意度调查；</w:t>
      </w:r>
    </w:p>
    <w:p w14:paraId="40D55FB9">
      <w:pPr>
        <w:pStyle w:val="109"/>
      </w:pPr>
      <w:r>
        <w:rPr>
          <w:rFonts w:hint="eastAsia"/>
        </w:rPr>
        <w:t>组织参训人员进行培训教师满意度调查；</w:t>
      </w:r>
    </w:p>
    <w:p w14:paraId="54C6130C">
      <w:pPr>
        <w:pStyle w:val="109"/>
      </w:pPr>
      <w:r>
        <w:rPr>
          <w:rFonts w:hint="eastAsia"/>
        </w:rPr>
        <w:t>建立投诉处理机制，及时有效处理服务对象的投诉</w:t>
      </w:r>
      <w:bookmarkStart w:id="148" w:name="OLE_LINK13"/>
      <w:r>
        <w:rPr>
          <w:rFonts w:hint="eastAsia"/>
        </w:rPr>
        <w:t>，处理程序应符合 GB/T 19012（所有部分）中的规定。</w:t>
      </w:r>
    </w:p>
    <w:bookmarkEnd w:id="110"/>
    <w:bookmarkEnd w:id="129"/>
    <w:bookmarkEnd w:id="148"/>
    <w:p w14:paraId="4DD5A134">
      <w:pPr>
        <w:pStyle w:val="105"/>
        <w:spacing w:before="120" w:after="120"/>
      </w:pPr>
      <w:bookmarkStart w:id="149" w:name="_Toc202228913"/>
      <w:bookmarkStart w:id="150" w:name="_Toc169555231"/>
      <w:bookmarkStart w:id="151" w:name="_Toc185800576"/>
      <w:bookmarkStart w:id="152" w:name="_Toc184298256"/>
      <w:bookmarkStart w:id="153" w:name="_Toc185810734"/>
      <w:bookmarkStart w:id="154" w:name="_Toc185800433"/>
      <w:bookmarkStart w:id="155" w:name="_Toc185800460"/>
      <w:bookmarkStart w:id="156" w:name="_Toc201942525"/>
      <w:bookmarkStart w:id="157" w:name="_Toc184312877"/>
      <w:bookmarkStart w:id="158" w:name="_Toc203579145"/>
      <w:bookmarkStart w:id="159" w:name="_Toc203753117"/>
      <w:bookmarkStart w:id="160" w:name="_Toc203671184"/>
      <w:bookmarkStart w:id="161" w:name="_Toc203573395"/>
      <w:bookmarkStart w:id="162" w:name="_Toc202259585"/>
      <w:r>
        <w:rPr>
          <w:rFonts w:hint="eastAsia"/>
        </w:rPr>
        <w:t>考核</w:t>
      </w:r>
      <w:bookmarkEnd w:id="149"/>
      <w:bookmarkEnd w:id="150"/>
      <w:bookmarkEnd w:id="151"/>
      <w:bookmarkEnd w:id="152"/>
      <w:bookmarkEnd w:id="153"/>
      <w:bookmarkEnd w:id="154"/>
      <w:bookmarkEnd w:id="155"/>
      <w:bookmarkEnd w:id="156"/>
      <w:bookmarkEnd w:id="157"/>
      <w:r>
        <w:rPr>
          <w:rFonts w:hint="eastAsia"/>
        </w:rPr>
        <w:t>要求</w:t>
      </w:r>
      <w:bookmarkEnd w:id="158"/>
      <w:bookmarkEnd w:id="159"/>
      <w:bookmarkEnd w:id="160"/>
      <w:bookmarkEnd w:id="161"/>
      <w:bookmarkEnd w:id="162"/>
    </w:p>
    <w:p w14:paraId="17962CAC">
      <w:pPr>
        <w:pStyle w:val="165"/>
      </w:pPr>
      <w:bookmarkStart w:id="163" w:name="_Hlk203728762"/>
      <w:r>
        <w:rPr>
          <w:rFonts w:hint="eastAsia"/>
        </w:rPr>
        <w:t>考核应</w:t>
      </w:r>
      <w:r>
        <w:rPr>
          <w:rFonts w:hint="eastAsia" w:hAnsi="宋体"/>
        </w:rPr>
        <w:t>根据指挥员岗位性质、指挥任务等，</w:t>
      </w:r>
      <w:r>
        <w:rPr>
          <w:rFonts w:hint="eastAsia"/>
        </w:rPr>
        <w:t>分类明确报考条件，按类别组织实施。</w:t>
      </w:r>
    </w:p>
    <w:bookmarkEnd w:id="163"/>
    <w:p w14:paraId="773C81B9">
      <w:pPr>
        <w:pStyle w:val="165"/>
      </w:pPr>
      <w:bookmarkStart w:id="164" w:name="_Hlk203728796"/>
      <w:r>
        <w:rPr>
          <w:rFonts w:hint="eastAsia"/>
        </w:rPr>
        <w:t>国家指导省、市两级指挥员考核，省级指导县级及以下、地方森林森林队伍指挥员考核。</w:t>
      </w:r>
    </w:p>
    <w:bookmarkEnd w:id="164"/>
    <w:p w14:paraId="67497BBC">
      <w:pPr>
        <w:pStyle w:val="165"/>
      </w:pPr>
      <w:r>
        <w:rPr>
          <w:rFonts w:hint="eastAsia"/>
        </w:rPr>
        <w:t>考核应由森林草原防灭火业务主管部门委托具备相应条件的专业考核机构，</w:t>
      </w:r>
      <w:r>
        <w:rPr>
          <w:rFonts w:hint="eastAsia" w:hAnsi="宋体"/>
        </w:rPr>
        <w:t>集中组织实施。</w:t>
      </w:r>
    </w:p>
    <w:p w14:paraId="091CB9EF">
      <w:pPr>
        <w:pStyle w:val="165"/>
      </w:pPr>
      <w:bookmarkStart w:id="165" w:name="OLE_LINK8"/>
      <w:bookmarkStart w:id="166" w:name="_Hlk184318280"/>
      <w:r>
        <w:rPr>
          <w:rFonts w:hint="eastAsia" w:hAnsi="宋体"/>
        </w:rPr>
        <w:t>考核机构</w:t>
      </w:r>
      <w:bookmarkStart w:id="167" w:name="OLE_LINK41"/>
      <w:r>
        <w:rPr>
          <w:rFonts w:hint="eastAsia" w:hAnsi="宋体"/>
        </w:rPr>
        <w:t>应具备提供与参考人数和内容相适应的场地设施、装备器材、监考人员的能力，并自觉接受考核委托方监督。</w:t>
      </w:r>
    </w:p>
    <w:p w14:paraId="2E15C91C">
      <w:pPr>
        <w:pStyle w:val="165"/>
      </w:pPr>
      <w:r>
        <w:rPr>
          <w:rFonts w:hint="eastAsia" w:hAnsi="宋体"/>
        </w:rPr>
        <w:t>考核机构应组建考核组</w:t>
      </w:r>
      <w:bookmarkEnd w:id="165"/>
      <w:bookmarkEnd w:id="166"/>
      <w:bookmarkEnd w:id="167"/>
      <w:r>
        <w:rPr>
          <w:rFonts w:hint="eastAsia" w:hAnsi="宋体"/>
        </w:rPr>
        <w:t>，</w:t>
      </w:r>
      <w:r>
        <w:rPr>
          <w:rFonts w:hint="eastAsia"/>
        </w:rPr>
        <w:t>考核组人数应不少于5名且为单数，设置考核组长1名，负责全面统筹考核工作，副组长2名，分别负责过程监督和技术协调，其他成员数量应依据考核人数和内容设置；组长及副组长应具备相关行业领域副高级（含）以上专业技术职称，或长期（10年以上）从事本级及以上森林草原火灾扑救指挥工作；成员应具备深厚的理论素养、丰富的灭火指挥经验，并熟悉政策法规。</w:t>
      </w:r>
    </w:p>
    <w:p w14:paraId="14D1155C">
      <w:pPr>
        <w:pStyle w:val="165"/>
      </w:pPr>
      <w:bookmarkStart w:id="168" w:name="_Hlk203729131"/>
      <w:r>
        <w:rPr>
          <w:rFonts w:hint="eastAsia" w:hAnsi="宋体"/>
        </w:rPr>
        <w:t>考核应坚持理论与实践相结合，包括专业理论考核和实践操作考核2项。</w:t>
      </w:r>
    </w:p>
    <w:bookmarkEnd w:id="168"/>
    <w:p w14:paraId="342D2A43">
      <w:pPr>
        <w:pStyle w:val="165"/>
        <w:rPr>
          <w:rFonts w:hint="eastAsia" w:hAnsi="宋体"/>
        </w:rPr>
      </w:pPr>
      <w:bookmarkStart w:id="169" w:name="_Toc202228915"/>
      <w:bookmarkStart w:id="170" w:name="_Toc185800463"/>
      <w:bookmarkStart w:id="171" w:name="_Toc185800436"/>
      <w:bookmarkStart w:id="172" w:name="_Toc184298258"/>
      <w:bookmarkStart w:id="173" w:name="_Toc185800579"/>
      <w:bookmarkStart w:id="174" w:name="_Toc201942528"/>
      <w:bookmarkStart w:id="175" w:name="_Toc184312879"/>
      <w:bookmarkStart w:id="176" w:name="_Toc169555235"/>
      <w:bookmarkStart w:id="177" w:name="_Toc202228917"/>
      <w:bookmarkStart w:id="178" w:name="_Toc185810737"/>
      <w:bookmarkStart w:id="179" w:name="OLE_LINK4"/>
      <w:r>
        <w:rPr>
          <w:rFonts w:hint="eastAsia" w:hAnsi="宋体"/>
        </w:rPr>
        <w:t>考核</w:t>
      </w:r>
      <w:bookmarkEnd w:id="169"/>
      <w:r>
        <w:rPr>
          <w:rFonts w:hint="eastAsia" w:hAnsi="宋体"/>
        </w:rPr>
        <w:t>机构应合理选定考核方式，科学设置分值比例，增强考核针对性。</w:t>
      </w:r>
      <w:bookmarkEnd w:id="170"/>
      <w:bookmarkEnd w:id="171"/>
      <w:bookmarkEnd w:id="172"/>
      <w:bookmarkEnd w:id="173"/>
      <w:bookmarkEnd w:id="174"/>
      <w:bookmarkEnd w:id="175"/>
      <w:bookmarkEnd w:id="176"/>
      <w:bookmarkEnd w:id="177"/>
      <w:bookmarkEnd w:id="178"/>
    </w:p>
    <w:p w14:paraId="43BB1CE3">
      <w:pPr>
        <w:pStyle w:val="165"/>
        <w:rPr>
          <w:rFonts w:hint="eastAsia" w:hAnsi="宋体"/>
        </w:rPr>
      </w:pPr>
      <w:r>
        <w:rPr>
          <w:rFonts w:hint="eastAsia" w:hAnsi="宋体"/>
        </w:rPr>
        <w:t>考核过程应严肃正规、安全高效、公正透明、贴近实战。</w:t>
      </w:r>
    </w:p>
    <w:bookmarkEnd w:id="179"/>
    <w:p w14:paraId="7C50146A">
      <w:pPr>
        <w:pStyle w:val="104"/>
        <w:spacing w:before="240" w:after="240"/>
      </w:pPr>
      <w:bookmarkStart w:id="180" w:name="_Toc203579146"/>
      <w:bookmarkStart w:id="181" w:name="_Toc203573396"/>
      <w:bookmarkStart w:id="182" w:name="_Toc203753118"/>
      <w:bookmarkStart w:id="183" w:name="_Toc203671185"/>
      <w:r>
        <w:rPr>
          <w:rFonts w:hint="eastAsia"/>
        </w:rPr>
        <w:t>培训</w:t>
      </w:r>
      <w:bookmarkEnd w:id="180"/>
      <w:bookmarkEnd w:id="181"/>
      <w:bookmarkEnd w:id="182"/>
      <w:bookmarkEnd w:id="183"/>
    </w:p>
    <w:p w14:paraId="272C328D">
      <w:pPr>
        <w:pStyle w:val="105"/>
        <w:spacing w:before="120" w:after="120"/>
      </w:pPr>
      <w:bookmarkStart w:id="184" w:name="_Toc203753119"/>
      <w:bookmarkStart w:id="185" w:name="_Toc203671186"/>
      <w:r>
        <w:rPr>
          <w:rFonts w:hint="eastAsia"/>
        </w:rPr>
        <w:t>培训对象类别</w:t>
      </w:r>
      <w:bookmarkEnd w:id="184"/>
      <w:bookmarkEnd w:id="185"/>
    </w:p>
    <w:p w14:paraId="659C116E">
      <w:pPr>
        <w:pStyle w:val="56"/>
        <w:ind w:firstLine="420"/>
      </w:pPr>
      <w:bookmarkStart w:id="186" w:name="_Hlk203643315"/>
      <w:r>
        <w:rPr>
          <w:rFonts w:hint="eastAsia"/>
        </w:rPr>
        <w:t>分为</w:t>
      </w:r>
      <w:bookmarkStart w:id="187" w:name="OLE_LINK50"/>
      <w:r>
        <w:rPr>
          <w:rFonts w:hint="eastAsia"/>
        </w:rPr>
        <w:t>地方森林草原防灭火有关业务部门火灾扑救指挥员</w:t>
      </w:r>
      <w:bookmarkEnd w:id="187"/>
      <w:r>
        <w:rPr>
          <w:rFonts w:hint="eastAsia"/>
        </w:rPr>
        <w:t>和</w:t>
      </w:r>
      <w:bookmarkStart w:id="188" w:name="OLE_LINK69"/>
      <w:r>
        <w:rPr>
          <w:rFonts w:hint="eastAsia"/>
        </w:rPr>
        <w:t>地方森林草原消防队伍指挥员</w:t>
      </w:r>
      <w:bookmarkEnd w:id="188"/>
      <w:r>
        <w:rPr>
          <w:rFonts w:hint="eastAsia"/>
        </w:rPr>
        <w:t>2类，前者可细分为</w:t>
      </w:r>
      <w:r>
        <w:rPr>
          <w:rFonts w:hint="eastAsia" w:hAnsi="宋体"/>
        </w:rPr>
        <w:t>县级及以下、市级、省级3类。</w:t>
      </w:r>
    </w:p>
    <w:bookmarkEnd w:id="186"/>
    <w:p w14:paraId="2F558A5E">
      <w:pPr>
        <w:pStyle w:val="105"/>
        <w:spacing w:before="120" w:after="120"/>
      </w:pPr>
      <w:bookmarkStart w:id="189" w:name="_Toc203671187"/>
      <w:bookmarkStart w:id="190" w:name="_Toc203753120"/>
      <w:bookmarkStart w:id="191" w:name="_Toc203579147"/>
      <w:bookmarkStart w:id="192" w:name="_Toc203573397"/>
      <w:r>
        <w:rPr>
          <w:rFonts w:hint="eastAsia"/>
        </w:rPr>
        <w:t>培训目标</w:t>
      </w:r>
      <w:bookmarkEnd w:id="189"/>
      <w:bookmarkEnd w:id="190"/>
      <w:bookmarkEnd w:id="191"/>
      <w:bookmarkEnd w:id="192"/>
    </w:p>
    <w:p w14:paraId="7FAA1714">
      <w:pPr>
        <w:pStyle w:val="65"/>
        <w:spacing w:before="120" w:after="120"/>
      </w:pPr>
      <w:bookmarkStart w:id="193" w:name="OLE_LINK62"/>
      <w:r>
        <w:rPr>
          <w:rFonts w:hint="eastAsia"/>
        </w:rPr>
        <w:t>地方森林草原防灭火有关业务部门火灾扑救指挥员</w:t>
      </w:r>
    </w:p>
    <w:bookmarkEnd w:id="193"/>
    <w:p w14:paraId="3B445FCA">
      <w:pPr>
        <w:pStyle w:val="94"/>
        <w:spacing w:before="120" w:after="120"/>
      </w:pPr>
      <w:r>
        <w:rPr>
          <w:rFonts w:hint="eastAsia"/>
        </w:rPr>
        <w:t>县级及以下指挥员</w:t>
      </w:r>
    </w:p>
    <w:p w14:paraId="491B963C">
      <w:pPr>
        <w:pStyle w:val="56"/>
        <w:ind w:firstLine="420"/>
      </w:pPr>
      <w:bookmarkStart w:id="194" w:name="OLE_LINK25"/>
      <w:r>
        <w:rPr>
          <w:rFonts w:hint="eastAsia"/>
        </w:rPr>
        <w:t>通过培训，具备一般、较大等级规模，或跨省（自治区、直辖市）界且预判为一般森林草原火灾的扑救指挥能力。包括火情综合研判、</w:t>
      </w:r>
      <w:bookmarkStart w:id="195" w:name="OLE_LINK33"/>
      <w:r>
        <w:rPr>
          <w:rFonts w:hint="eastAsia"/>
        </w:rPr>
        <w:t>灭火</w:t>
      </w:r>
      <w:bookmarkEnd w:id="195"/>
      <w:r>
        <w:rPr>
          <w:rFonts w:hint="eastAsia"/>
        </w:rPr>
        <w:t>战术运用决策、指挥控制、多部门协同，跨乡（镇）调度指挥、综合协调保障、统筹火灾善后等，</w:t>
      </w:r>
      <w:bookmarkStart w:id="196" w:name="OLE_LINK14"/>
      <w:r>
        <w:rPr>
          <w:rFonts w:hint="eastAsia"/>
        </w:rPr>
        <w:t>同时熟悉本级森林草原防灭火指挥机构运行机制，以及按照本级灭火预案规定完成火灾扑救指挥任务</w:t>
      </w:r>
      <w:bookmarkEnd w:id="196"/>
      <w:r>
        <w:rPr>
          <w:rFonts w:hint="eastAsia"/>
        </w:rPr>
        <w:t>。</w:t>
      </w:r>
    </w:p>
    <w:bookmarkEnd w:id="194"/>
    <w:p w14:paraId="425F4B12">
      <w:pPr>
        <w:pStyle w:val="94"/>
        <w:spacing w:before="120" w:after="120"/>
      </w:pPr>
      <w:r>
        <w:rPr>
          <w:rFonts w:hint="eastAsia"/>
        </w:rPr>
        <w:t>市级指挥员</w:t>
      </w:r>
    </w:p>
    <w:p w14:paraId="5CCFD21F">
      <w:pPr>
        <w:pStyle w:val="56"/>
        <w:ind w:firstLine="420"/>
      </w:pPr>
      <w:r>
        <w:rPr>
          <w:rFonts w:hint="eastAsia"/>
        </w:rPr>
        <w:t>通过培训，具备重大等级规模，或跨省（自治区、直辖市）界且预判为较大森林草原火灾的扑救指挥能力，包括火情</w:t>
      </w:r>
      <w:bookmarkStart w:id="197" w:name="_Hlk202113832"/>
      <w:r>
        <w:rPr>
          <w:rFonts w:hint="eastAsia"/>
        </w:rPr>
        <w:t>综合研判、灭火战术运用决策、指挥控制，</w:t>
      </w:r>
      <w:bookmarkStart w:id="198" w:name="OLE_LINK28"/>
      <w:bookmarkStart w:id="199" w:name="OLE_LINK24"/>
      <w:r>
        <w:rPr>
          <w:rFonts w:hint="eastAsia"/>
        </w:rPr>
        <w:t>多部门统筹协同、</w:t>
      </w:r>
      <w:bookmarkEnd w:id="198"/>
      <w:r>
        <w:rPr>
          <w:rFonts w:hint="eastAsia"/>
        </w:rPr>
        <w:t>跨区（县）调度指挥、综合协调保障</w:t>
      </w:r>
      <w:bookmarkEnd w:id="197"/>
      <w:bookmarkEnd w:id="199"/>
      <w:r>
        <w:rPr>
          <w:rFonts w:hint="eastAsia"/>
        </w:rPr>
        <w:t>、</w:t>
      </w:r>
      <w:bookmarkStart w:id="200" w:name="OLE_LINK26"/>
      <w:r>
        <w:rPr>
          <w:rFonts w:hint="eastAsia"/>
        </w:rPr>
        <w:t>统筹火灾善后</w:t>
      </w:r>
      <w:bookmarkEnd w:id="200"/>
      <w:r>
        <w:rPr>
          <w:rFonts w:hint="eastAsia"/>
        </w:rPr>
        <w:t>等，同时熟悉本级森林草原防灭火指挥机构运行机制，以及按照本级灭火预案规定完成火灾扑救指挥任务。</w:t>
      </w:r>
    </w:p>
    <w:p w14:paraId="2BBCCE46">
      <w:pPr>
        <w:pStyle w:val="94"/>
        <w:spacing w:before="120" w:after="120"/>
      </w:pPr>
      <w:r>
        <w:rPr>
          <w:rFonts w:hint="eastAsia"/>
        </w:rPr>
        <w:t>省级指挥员</w:t>
      </w:r>
    </w:p>
    <w:p w14:paraId="05421333">
      <w:pPr>
        <w:pStyle w:val="56"/>
        <w:ind w:firstLine="420"/>
      </w:pPr>
      <w:r>
        <w:rPr>
          <w:rFonts w:hint="eastAsia"/>
        </w:rPr>
        <w:t>通过培训，具备特别重大等级规模，或跨省（自治区、直辖市）界且预判为重大、特别重大森林草原火灾的扑救指挥能力，包括火情综合研判、灭火战术运用决策、指挥控制，多部门统筹协同、跨地（市）调度指挥、综合协调保障、统筹火灾善后等，同时熟悉本级森林草原防灭火指挥机构运行机制，以及按照本级灭火预案规定完成火灾扑救指挥任务。</w:t>
      </w:r>
    </w:p>
    <w:p w14:paraId="52E72EBE">
      <w:pPr>
        <w:pStyle w:val="65"/>
        <w:spacing w:before="120" w:after="120"/>
      </w:pPr>
      <w:bookmarkStart w:id="201" w:name="_Hlk202119554"/>
      <w:r>
        <w:rPr>
          <w:rFonts w:hint="eastAsia"/>
        </w:rPr>
        <w:t>地方森林草原消防队伍指挥员</w:t>
      </w:r>
    </w:p>
    <w:bookmarkEnd w:id="201"/>
    <w:p w14:paraId="09F9171A">
      <w:pPr>
        <w:pStyle w:val="56"/>
        <w:ind w:firstLine="420"/>
      </w:pPr>
      <w:r>
        <w:rPr>
          <w:rFonts w:hint="eastAsia"/>
        </w:rPr>
        <w:t>通过培训，具备开展森林防火勤务，参与并落实本级火灾现场指挥部决策部署，任务区域火场态势研判、战术协同，协助进行火灾善后，按照本级灭火预案规定完成火灾扑救指挥任务的能力。</w:t>
      </w:r>
    </w:p>
    <w:p w14:paraId="33F7FF63">
      <w:pPr>
        <w:pStyle w:val="105"/>
        <w:spacing w:before="120" w:after="120"/>
      </w:pPr>
      <w:bookmarkStart w:id="202" w:name="_Toc203579148"/>
      <w:bookmarkStart w:id="203" w:name="_Toc203671188"/>
      <w:bookmarkStart w:id="204" w:name="_Toc203573398"/>
      <w:bookmarkStart w:id="205" w:name="_Toc203753121"/>
      <w:r>
        <w:rPr>
          <w:rFonts w:hint="eastAsia"/>
        </w:rPr>
        <w:t>培训内容</w:t>
      </w:r>
      <w:bookmarkEnd w:id="202"/>
      <w:bookmarkEnd w:id="203"/>
      <w:bookmarkEnd w:id="204"/>
      <w:bookmarkEnd w:id="205"/>
    </w:p>
    <w:p w14:paraId="4C0D429E">
      <w:pPr>
        <w:pStyle w:val="165"/>
      </w:pPr>
      <w:r>
        <w:rPr>
          <w:rFonts w:hint="eastAsia" w:ascii="黑体" w:hAnsi="黑体" w:eastAsia="黑体"/>
        </w:rPr>
        <w:t>灭火基础</w:t>
      </w:r>
      <w:r>
        <w:rPr>
          <w:rFonts w:hint="eastAsia"/>
        </w:rPr>
        <w:t>，包括林学基础、气象学基础、地形学基础、指挥学基础、林火原理、防火勤务、林火管理政策与法规等内容。</w:t>
      </w:r>
      <w:bookmarkStart w:id="206" w:name="OLE_LINK61"/>
      <w:bookmarkStart w:id="207" w:name="OLE_LINK70"/>
      <w:r>
        <w:rPr>
          <w:rFonts w:hint="eastAsia"/>
        </w:rPr>
        <w:t>地方森林草原防灭火有关业务部门火灾扑救指挥员培训学时及知会程度要求见附录</w:t>
      </w:r>
      <w:r>
        <w:rPr>
          <w:rFonts w:ascii="Times New Roman"/>
        </w:rPr>
        <w:t>A</w:t>
      </w:r>
      <w:bookmarkEnd w:id="206"/>
      <w:r>
        <w:rPr>
          <w:rFonts w:ascii="Times New Roman"/>
        </w:rPr>
        <w:t>，地方森林草原消防队伍指挥员培训学时及知会程度要求见附录B</w:t>
      </w:r>
      <w:bookmarkEnd w:id="207"/>
      <w:r>
        <w:rPr>
          <w:rFonts w:ascii="Times New Roman"/>
        </w:rPr>
        <w:t>。</w:t>
      </w:r>
    </w:p>
    <w:p w14:paraId="33C19671">
      <w:pPr>
        <w:pStyle w:val="165"/>
      </w:pPr>
      <w:r>
        <w:rPr>
          <w:rFonts w:hint="eastAsia" w:ascii="黑体" w:hAnsi="黑体" w:eastAsia="黑体"/>
        </w:rPr>
        <w:t>灭火装备</w:t>
      </w:r>
      <w:r>
        <w:rPr>
          <w:rFonts w:hint="eastAsia"/>
        </w:rPr>
        <w:t>，包括指挥侦观、信息通信、灭火救援等装备操作与使用，以及装备体系建设等内容。</w:t>
      </w:r>
    </w:p>
    <w:p w14:paraId="24B54E3C">
      <w:pPr>
        <w:pStyle w:val="165"/>
      </w:pPr>
      <w:r>
        <w:rPr>
          <w:rFonts w:hint="eastAsia" w:ascii="黑体" w:hAnsi="黑体" w:eastAsia="黑体"/>
        </w:rPr>
        <w:t>灭火技术</w:t>
      </w:r>
      <w:r>
        <w:rPr>
          <w:rFonts w:hint="eastAsia"/>
        </w:rPr>
        <w:t>，包括地面灭火技术（含风力灭火技术、以水灭火技术、化学灭火技术、火攻灭火技术、阻隔灭火技术等）、航空灭火技术等内容。</w:t>
      </w:r>
    </w:p>
    <w:p w14:paraId="5A871DD3">
      <w:pPr>
        <w:pStyle w:val="165"/>
      </w:pPr>
      <w:r>
        <w:rPr>
          <w:rFonts w:hint="eastAsia" w:ascii="黑体" w:hAnsi="黑体" w:eastAsia="黑体"/>
        </w:rPr>
        <w:t>灭火战术</w:t>
      </w:r>
      <w:r>
        <w:rPr>
          <w:rFonts w:hint="eastAsia"/>
        </w:rPr>
        <w:t>，包括战术运用、战术作业等内容。</w:t>
      </w:r>
    </w:p>
    <w:p w14:paraId="0C90132E">
      <w:pPr>
        <w:pStyle w:val="165"/>
        <w:spacing w:before="120" w:after="120"/>
      </w:pPr>
      <w:r>
        <w:rPr>
          <w:rFonts w:hint="eastAsia" w:ascii="黑体" w:hAnsi="黑体" w:eastAsia="黑体"/>
        </w:rPr>
        <w:t>灭火指挥</w:t>
      </w:r>
      <w:r>
        <w:rPr>
          <w:rFonts w:hint="eastAsia"/>
        </w:rPr>
        <w:t>，包括灭火预案、指挥程序、指挥系统运用、典型战例研究、灭火演练、舆情应对等内容。</w:t>
      </w:r>
    </w:p>
    <w:p w14:paraId="0E3C71EE">
      <w:pPr>
        <w:pStyle w:val="165"/>
        <w:rPr>
          <w:strike/>
        </w:rPr>
      </w:pPr>
      <w:r>
        <w:rPr>
          <w:rFonts w:hint="eastAsia" w:ascii="黑体" w:hAnsi="黑体" w:eastAsia="黑体"/>
        </w:rPr>
        <w:t>灭火安全</w:t>
      </w:r>
      <w:r>
        <w:rPr>
          <w:rFonts w:hint="eastAsia"/>
        </w:rPr>
        <w:t>，包括安全风险评估、火场救护、紧急避险、事故处置、心理调试等内容。</w:t>
      </w:r>
      <w:bookmarkStart w:id="208" w:name="_Hlk184610437"/>
    </w:p>
    <w:p w14:paraId="3FEB5D00">
      <w:pPr>
        <w:pStyle w:val="105"/>
        <w:spacing w:before="120" w:after="120"/>
      </w:pPr>
      <w:bookmarkStart w:id="209" w:name="_Toc203753122"/>
      <w:bookmarkStart w:id="210" w:name="_Toc203671189"/>
      <w:r>
        <w:rPr>
          <w:rFonts w:hint="eastAsia"/>
        </w:rPr>
        <w:t>培训方式</w:t>
      </w:r>
      <w:bookmarkEnd w:id="209"/>
      <w:bookmarkEnd w:id="210"/>
    </w:p>
    <w:p w14:paraId="435BA2EA">
      <w:pPr>
        <w:pStyle w:val="56"/>
        <w:ind w:firstLine="420"/>
      </w:pPr>
      <w:bookmarkStart w:id="211" w:name="_Hlk203738077"/>
      <w:r>
        <w:rPr>
          <w:rFonts w:hint="eastAsia"/>
        </w:rPr>
        <w:t>培训方式包括理论教学和实践教学，其中实践教学方式包括实操训练、虚拟仿真训练、模拟训练等。</w:t>
      </w:r>
      <w:bookmarkEnd w:id="211"/>
      <w:r>
        <w:rPr>
          <w:rFonts w:hint="eastAsia"/>
        </w:rPr>
        <w:t>地方森林草原防灭火有关业务部门火灾扑救指挥员培训方式见附录A，地方森林草原消防队伍指挥员培训方式见附录B</w:t>
      </w:r>
      <w:r>
        <w:rPr>
          <w:rFonts w:hint="eastAsia" w:ascii="宋体" w:hAnsi="宋体"/>
        </w:rPr>
        <w:t>。</w:t>
      </w:r>
    </w:p>
    <w:bookmarkEnd w:id="208"/>
    <w:p w14:paraId="2D85C3A6">
      <w:pPr>
        <w:pStyle w:val="105"/>
        <w:spacing w:before="120" w:after="120"/>
      </w:pPr>
      <w:bookmarkStart w:id="212" w:name="_Toc203753123"/>
      <w:bookmarkStart w:id="213" w:name="_Toc203671190"/>
      <w:bookmarkStart w:id="214" w:name="_Toc203573399"/>
      <w:bookmarkStart w:id="215" w:name="_Toc203579149"/>
      <w:r>
        <w:rPr>
          <w:rFonts w:hint="eastAsia"/>
        </w:rPr>
        <w:t>培训流程</w:t>
      </w:r>
      <w:bookmarkEnd w:id="212"/>
      <w:bookmarkEnd w:id="213"/>
      <w:bookmarkEnd w:id="214"/>
      <w:bookmarkEnd w:id="215"/>
    </w:p>
    <w:p w14:paraId="7FAF8C92">
      <w:pPr>
        <w:pStyle w:val="65"/>
        <w:spacing w:before="120" w:after="120"/>
      </w:pPr>
      <w:r>
        <w:rPr>
          <w:rFonts w:hint="eastAsia"/>
        </w:rPr>
        <w:t>培训准备</w:t>
      </w:r>
    </w:p>
    <w:p w14:paraId="0CB0B201">
      <w:pPr>
        <w:pStyle w:val="94"/>
        <w:spacing w:before="120" w:after="120"/>
        <w:rPr>
          <w:rFonts w:hint="eastAsia" w:ascii="宋体" w:hAnsi="宋体" w:eastAsia="宋体"/>
        </w:rPr>
      </w:pPr>
      <w:r>
        <w:rPr>
          <w:rFonts w:hint="eastAsia"/>
        </w:rPr>
        <w:t>确定培训机构并制定培训方案</w:t>
      </w:r>
      <w:r>
        <w:rPr>
          <w:rFonts w:hint="eastAsia" w:ascii="宋体" w:hAnsi="宋体" w:eastAsia="宋体"/>
        </w:rPr>
        <w:t>，包括但不限于以下内容：</w:t>
      </w:r>
    </w:p>
    <w:p w14:paraId="71A998AB">
      <w:pPr>
        <w:pStyle w:val="109"/>
        <w:numPr>
          <w:ilvl w:val="1"/>
          <w:numId w:val="32"/>
        </w:numPr>
      </w:pPr>
      <w:r>
        <w:rPr>
          <w:rFonts w:hint="eastAsia"/>
        </w:rPr>
        <w:t>培训对象；</w:t>
      </w:r>
    </w:p>
    <w:p w14:paraId="1252BCD4">
      <w:pPr>
        <w:pStyle w:val="109"/>
      </w:pPr>
      <w:r>
        <w:rPr>
          <w:rFonts w:hint="eastAsia"/>
        </w:rPr>
        <w:t>培训时间及地点；</w:t>
      </w:r>
    </w:p>
    <w:p w14:paraId="0B22C94A">
      <w:pPr>
        <w:pStyle w:val="109"/>
      </w:pPr>
      <w:r>
        <w:rPr>
          <w:rFonts w:hint="eastAsia"/>
        </w:rPr>
        <w:t>培训课程及内容计划；</w:t>
      </w:r>
    </w:p>
    <w:p w14:paraId="5090DF2B">
      <w:pPr>
        <w:pStyle w:val="109"/>
      </w:pPr>
      <w:r>
        <w:rPr>
          <w:rFonts w:hint="eastAsia"/>
        </w:rPr>
        <w:t>培训机构及师资；</w:t>
      </w:r>
    </w:p>
    <w:p w14:paraId="60CE52CE">
      <w:pPr>
        <w:pStyle w:val="109"/>
      </w:pPr>
      <w:r>
        <w:rPr>
          <w:rFonts w:hint="eastAsia"/>
        </w:rPr>
        <w:t>培训考核要求；</w:t>
      </w:r>
    </w:p>
    <w:p w14:paraId="664B8F09">
      <w:pPr>
        <w:pStyle w:val="109"/>
      </w:pPr>
      <w:r>
        <w:rPr>
          <w:rFonts w:hint="eastAsia"/>
        </w:rPr>
        <w:t>有关保障；</w:t>
      </w:r>
    </w:p>
    <w:p w14:paraId="7BBB432D">
      <w:pPr>
        <w:pStyle w:val="109"/>
      </w:pPr>
      <w:r>
        <w:rPr>
          <w:rFonts w:hint="eastAsia"/>
        </w:rPr>
        <w:t>其他有关事项。</w:t>
      </w:r>
    </w:p>
    <w:p w14:paraId="5A0D1FAA">
      <w:pPr>
        <w:pStyle w:val="164"/>
      </w:pPr>
      <w:r>
        <w:rPr>
          <w:rFonts w:hint="eastAsia" w:ascii="黑体" w:hAnsi="黑体" w:eastAsia="黑体"/>
        </w:rPr>
        <w:t>发布培训通知</w:t>
      </w:r>
      <w:r>
        <w:rPr>
          <w:rFonts w:hint="eastAsia" w:hAnsi="宋体"/>
        </w:rPr>
        <w:t>，</w:t>
      </w:r>
      <w:r>
        <w:rPr>
          <w:rFonts w:hint="eastAsia"/>
        </w:rPr>
        <w:t>包括但不限于以下内容：</w:t>
      </w:r>
    </w:p>
    <w:p w14:paraId="4484A296">
      <w:pPr>
        <w:pStyle w:val="109"/>
        <w:numPr>
          <w:ilvl w:val="1"/>
          <w:numId w:val="33"/>
        </w:numPr>
      </w:pPr>
      <w:r>
        <w:rPr>
          <w:rFonts w:hint="eastAsia"/>
        </w:rPr>
        <w:t>培训主办单位；</w:t>
      </w:r>
    </w:p>
    <w:p w14:paraId="2F5E2890">
      <w:pPr>
        <w:pStyle w:val="109"/>
        <w:numPr>
          <w:ilvl w:val="1"/>
          <w:numId w:val="33"/>
        </w:numPr>
      </w:pPr>
      <w:r>
        <w:rPr>
          <w:rFonts w:hint="eastAsia"/>
        </w:rPr>
        <w:t>培训机构；</w:t>
      </w:r>
    </w:p>
    <w:p w14:paraId="4A46EE82">
      <w:pPr>
        <w:pStyle w:val="109"/>
      </w:pPr>
      <w:r>
        <w:rPr>
          <w:rFonts w:hint="eastAsia"/>
        </w:rPr>
        <w:t>培训对象；</w:t>
      </w:r>
    </w:p>
    <w:p w14:paraId="1E38D509">
      <w:pPr>
        <w:pStyle w:val="109"/>
      </w:pPr>
      <w:r>
        <w:rPr>
          <w:rFonts w:hint="eastAsia"/>
        </w:rPr>
        <w:t>培训时间及地点；</w:t>
      </w:r>
    </w:p>
    <w:p w14:paraId="05516BA7">
      <w:pPr>
        <w:pStyle w:val="109"/>
      </w:pPr>
      <w:r>
        <w:rPr>
          <w:rFonts w:hint="eastAsia"/>
        </w:rPr>
        <w:t>培训内容及计划；</w:t>
      </w:r>
    </w:p>
    <w:p w14:paraId="1F9B8DAF">
      <w:pPr>
        <w:pStyle w:val="109"/>
      </w:pPr>
      <w:r>
        <w:rPr>
          <w:rFonts w:hint="eastAsia"/>
        </w:rPr>
        <w:t>参训要求；</w:t>
      </w:r>
    </w:p>
    <w:p w14:paraId="2D9725E7">
      <w:pPr>
        <w:pStyle w:val="109"/>
      </w:pPr>
      <w:r>
        <w:rPr>
          <w:rFonts w:hint="eastAsia"/>
        </w:rPr>
        <w:t>培训咨询方式；</w:t>
      </w:r>
    </w:p>
    <w:p w14:paraId="1A95D2A8">
      <w:pPr>
        <w:pStyle w:val="109"/>
      </w:pPr>
      <w:r>
        <w:rPr>
          <w:rFonts w:hint="eastAsia"/>
        </w:rPr>
        <w:t>其他有关事项。</w:t>
      </w:r>
    </w:p>
    <w:p w14:paraId="00BF324E">
      <w:pPr>
        <w:pStyle w:val="164"/>
      </w:pPr>
      <w:r>
        <w:rPr>
          <w:rFonts w:hint="eastAsia" w:ascii="黑体" w:hAnsi="黑体" w:eastAsia="黑体"/>
        </w:rPr>
        <w:t>做好训前准备</w:t>
      </w:r>
      <w:r>
        <w:rPr>
          <w:rFonts w:hint="eastAsia" w:hAnsi="宋体"/>
        </w:rPr>
        <w:t>，</w:t>
      </w:r>
      <w:r>
        <w:rPr>
          <w:rFonts w:hint="eastAsia"/>
        </w:rPr>
        <w:t>包括但不限于以下内容：</w:t>
      </w:r>
    </w:p>
    <w:p w14:paraId="41F98173">
      <w:pPr>
        <w:pStyle w:val="109"/>
        <w:numPr>
          <w:ilvl w:val="1"/>
          <w:numId w:val="34"/>
        </w:numPr>
      </w:pPr>
      <w:r>
        <w:rPr>
          <w:rFonts w:hint="eastAsia"/>
        </w:rPr>
        <w:t>制定培训秩序册；</w:t>
      </w:r>
    </w:p>
    <w:p w14:paraId="1BE7EB94">
      <w:pPr>
        <w:pStyle w:val="109"/>
        <w:numPr>
          <w:ilvl w:val="1"/>
          <w:numId w:val="34"/>
        </w:numPr>
      </w:pPr>
      <w:r>
        <w:rPr>
          <w:rFonts w:hint="eastAsia"/>
        </w:rPr>
        <w:t>准备培训教材、讲义、教案等；</w:t>
      </w:r>
    </w:p>
    <w:p w14:paraId="2B4540B1">
      <w:pPr>
        <w:pStyle w:val="109"/>
        <w:numPr>
          <w:ilvl w:val="1"/>
          <w:numId w:val="34"/>
        </w:numPr>
      </w:pPr>
      <w:r>
        <w:rPr>
          <w:rFonts w:hint="eastAsia"/>
        </w:rPr>
        <w:t>明确教学场地、器材设施等；</w:t>
      </w:r>
    </w:p>
    <w:p w14:paraId="1ACF9B6C">
      <w:pPr>
        <w:pStyle w:val="109"/>
        <w:numPr>
          <w:ilvl w:val="1"/>
          <w:numId w:val="34"/>
        </w:numPr>
      </w:pPr>
      <w:r>
        <w:rPr>
          <w:rFonts w:hint="eastAsia"/>
        </w:rPr>
        <w:t>培训期间生活保障；</w:t>
      </w:r>
    </w:p>
    <w:p w14:paraId="298A3EE6">
      <w:pPr>
        <w:pStyle w:val="109"/>
        <w:numPr>
          <w:ilvl w:val="1"/>
          <w:numId w:val="34"/>
        </w:numPr>
      </w:pPr>
      <w:r>
        <w:rPr>
          <w:rFonts w:hint="eastAsia"/>
        </w:rPr>
        <w:t>主动做好与相关部门的协调工作；</w:t>
      </w:r>
    </w:p>
    <w:p w14:paraId="379BCE07">
      <w:pPr>
        <w:pStyle w:val="109"/>
        <w:numPr>
          <w:ilvl w:val="1"/>
          <w:numId w:val="34"/>
        </w:numPr>
      </w:pPr>
      <w:r>
        <w:rPr>
          <w:rFonts w:hint="eastAsia"/>
        </w:rPr>
        <w:t>其他有关事项。</w:t>
      </w:r>
    </w:p>
    <w:p w14:paraId="6F3BBF87">
      <w:pPr>
        <w:pStyle w:val="65"/>
        <w:spacing w:before="120" w:after="120"/>
      </w:pPr>
      <w:r>
        <w:rPr>
          <w:rFonts w:hint="eastAsia"/>
        </w:rPr>
        <w:t>培训实施</w:t>
      </w:r>
    </w:p>
    <w:p w14:paraId="622F87D7">
      <w:pPr>
        <w:pStyle w:val="164"/>
      </w:pPr>
      <w:r>
        <w:rPr>
          <w:rFonts w:hint="eastAsia" w:ascii="黑体" w:hAnsi="黑体" w:eastAsia="黑体"/>
        </w:rPr>
        <w:t>组织培训报到，</w:t>
      </w:r>
      <w:r>
        <w:rPr>
          <w:rFonts w:hint="eastAsia"/>
        </w:rPr>
        <w:t>包括但不限于以下内容：</w:t>
      </w:r>
    </w:p>
    <w:p w14:paraId="547B2F3A">
      <w:pPr>
        <w:pStyle w:val="109"/>
        <w:numPr>
          <w:ilvl w:val="1"/>
          <w:numId w:val="35"/>
        </w:numPr>
      </w:pPr>
      <w:r>
        <w:rPr>
          <w:rFonts w:hint="eastAsia"/>
        </w:rPr>
        <w:t>收集和登记参训人员身份信息；</w:t>
      </w:r>
    </w:p>
    <w:p w14:paraId="14CFA209">
      <w:pPr>
        <w:pStyle w:val="109"/>
      </w:pPr>
      <w:r>
        <w:rPr>
          <w:rFonts w:hint="eastAsia"/>
        </w:rPr>
        <w:t>发放培训资料和用品；</w:t>
      </w:r>
    </w:p>
    <w:p w14:paraId="7C87DE33">
      <w:pPr>
        <w:pStyle w:val="109"/>
      </w:pPr>
      <w:r>
        <w:rPr>
          <w:rFonts w:hint="eastAsia"/>
        </w:rPr>
        <w:t>帮助参训人员熟悉培训环境；</w:t>
      </w:r>
    </w:p>
    <w:p w14:paraId="03644DCE">
      <w:pPr>
        <w:pStyle w:val="109"/>
      </w:pPr>
      <w:r>
        <w:rPr>
          <w:rFonts w:hint="eastAsia"/>
        </w:rPr>
        <w:t>宣传培训政策及相关制度。</w:t>
      </w:r>
    </w:p>
    <w:p w14:paraId="3A09944E">
      <w:pPr>
        <w:pStyle w:val="164"/>
      </w:pPr>
      <w:r>
        <w:rPr>
          <w:rFonts w:hint="eastAsia" w:ascii="黑体" w:hAnsi="黑体" w:eastAsia="黑体"/>
        </w:rPr>
        <w:t>组织实施培训，</w:t>
      </w:r>
      <w:r>
        <w:rPr>
          <w:rFonts w:hint="eastAsia"/>
        </w:rPr>
        <w:t>包括但不限于以下内容：</w:t>
      </w:r>
    </w:p>
    <w:p w14:paraId="1C8B3E38">
      <w:pPr>
        <w:pStyle w:val="109"/>
        <w:numPr>
          <w:ilvl w:val="1"/>
          <w:numId w:val="36"/>
        </w:numPr>
      </w:pPr>
      <w:r>
        <w:rPr>
          <w:rFonts w:hint="eastAsia"/>
        </w:rPr>
        <w:t>根据培训课程特点确定教学形式；</w:t>
      </w:r>
    </w:p>
    <w:p w14:paraId="24DEA191">
      <w:pPr>
        <w:pStyle w:val="109"/>
      </w:pPr>
      <w:r>
        <w:rPr>
          <w:rFonts w:hint="eastAsia"/>
        </w:rPr>
        <w:t>按既定计划落实培训人员、内容、时间及质量；</w:t>
      </w:r>
    </w:p>
    <w:p w14:paraId="0BE90C80">
      <w:pPr>
        <w:pStyle w:val="109"/>
      </w:pPr>
      <w:r>
        <w:rPr>
          <w:rFonts w:hint="eastAsia"/>
        </w:rPr>
        <w:t>确保培训全过程安全；</w:t>
      </w:r>
    </w:p>
    <w:p w14:paraId="06912F4B">
      <w:pPr>
        <w:pStyle w:val="109"/>
      </w:pPr>
      <w:r>
        <w:rPr>
          <w:rFonts w:hint="eastAsia"/>
        </w:rPr>
        <w:t>做好培训保障工作，维护培训秩序；</w:t>
      </w:r>
    </w:p>
    <w:p w14:paraId="0AD00AD8">
      <w:pPr>
        <w:pStyle w:val="109"/>
      </w:pPr>
      <w:r>
        <w:rPr>
          <w:rFonts w:hint="eastAsia"/>
        </w:rPr>
        <w:t>及时收集受训对象的意见和建议，适时调整教学方法；</w:t>
      </w:r>
    </w:p>
    <w:p w14:paraId="6A3CB597">
      <w:pPr>
        <w:pStyle w:val="109"/>
      </w:pPr>
      <w:r>
        <w:rPr>
          <w:rFonts w:hint="eastAsia"/>
        </w:rPr>
        <w:t>做好培训过程中图文及音（影）像资料的记录。</w:t>
      </w:r>
      <w:bookmarkStart w:id="216" w:name="OLE_LINK6"/>
    </w:p>
    <w:bookmarkEnd w:id="216"/>
    <w:p w14:paraId="360F59BE">
      <w:pPr>
        <w:pStyle w:val="65"/>
        <w:spacing w:before="120" w:after="120"/>
      </w:pPr>
      <w:bookmarkStart w:id="217" w:name="OLE_LINK7"/>
      <w:r>
        <w:rPr>
          <w:rFonts w:hint="eastAsia"/>
        </w:rPr>
        <w:t>培训结束</w:t>
      </w:r>
    </w:p>
    <w:p w14:paraId="05F2997B">
      <w:pPr>
        <w:pStyle w:val="164"/>
      </w:pPr>
      <w:r>
        <w:rPr>
          <w:rFonts w:hint="eastAsia" w:ascii="黑体" w:hAnsi="黑体" w:eastAsia="黑体"/>
        </w:rPr>
        <w:t>结业考核</w:t>
      </w:r>
      <w:r>
        <w:rPr>
          <w:rFonts w:hint="eastAsia"/>
        </w:rPr>
        <w:t>包括专业理论考核和实践操作考核2项，其中专业理论考核采取闭卷笔试或计算机考试的方式进行，实践操作考核采取现场实操、模拟演练或虚拟仿真演练等方式进行。</w:t>
      </w:r>
    </w:p>
    <w:p w14:paraId="46F6B3CA">
      <w:pPr>
        <w:pStyle w:val="164"/>
      </w:pPr>
      <w:bookmarkStart w:id="218" w:name="_Hlk202122501"/>
      <w:r>
        <w:rPr>
          <w:rFonts w:hint="eastAsia" w:ascii="黑体" w:hAnsi="黑体" w:eastAsia="黑体"/>
        </w:rPr>
        <w:t>培训服务满意度调查，</w:t>
      </w:r>
      <w:r>
        <w:rPr>
          <w:rFonts w:hint="eastAsia"/>
        </w:rPr>
        <w:t>包括但不限于以下方面：</w:t>
      </w:r>
    </w:p>
    <w:p w14:paraId="015C1764">
      <w:pPr>
        <w:pStyle w:val="109"/>
        <w:numPr>
          <w:ilvl w:val="1"/>
          <w:numId w:val="37"/>
        </w:numPr>
      </w:pPr>
      <w:r>
        <w:rPr>
          <w:rFonts w:hint="eastAsia"/>
        </w:rPr>
        <w:t>培训内容的针对性；</w:t>
      </w:r>
    </w:p>
    <w:p w14:paraId="44FA03FC">
      <w:pPr>
        <w:pStyle w:val="109"/>
      </w:pPr>
      <w:r>
        <w:rPr>
          <w:rFonts w:hint="eastAsia"/>
        </w:rPr>
        <w:t>课程设置的合理性；</w:t>
      </w:r>
    </w:p>
    <w:p w14:paraId="4677BE47">
      <w:pPr>
        <w:pStyle w:val="109"/>
      </w:pPr>
      <w:r>
        <w:rPr>
          <w:rFonts w:hint="eastAsia"/>
        </w:rPr>
        <w:t>培训教师的专业性；</w:t>
      </w:r>
    </w:p>
    <w:p w14:paraId="7ACB8607">
      <w:pPr>
        <w:pStyle w:val="109"/>
      </w:pPr>
      <w:r>
        <w:rPr>
          <w:rFonts w:hint="eastAsia"/>
        </w:rPr>
        <w:t>教学方法的有效性；</w:t>
      </w:r>
    </w:p>
    <w:p w14:paraId="6CE1AB62">
      <w:pPr>
        <w:pStyle w:val="109"/>
      </w:pPr>
      <w:r>
        <w:rPr>
          <w:rFonts w:hint="eastAsia"/>
        </w:rPr>
        <w:t>设施设备的齐备性；</w:t>
      </w:r>
    </w:p>
    <w:p w14:paraId="2878BDB9">
      <w:pPr>
        <w:pStyle w:val="109"/>
      </w:pPr>
      <w:r>
        <w:rPr>
          <w:rFonts w:hint="eastAsia"/>
        </w:rPr>
        <w:t>培训管理的高效性；</w:t>
      </w:r>
    </w:p>
    <w:p w14:paraId="3B132412">
      <w:pPr>
        <w:pStyle w:val="109"/>
      </w:pPr>
      <w:r>
        <w:rPr>
          <w:rFonts w:hint="eastAsia"/>
        </w:rPr>
        <w:t>保障服务的有序性；</w:t>
      </w:r>
    </w:p>
    <w:p w14:paraId="685B936A">
      <w:pPr>
        <w:pStyle w:val="109"/>
      </w:pPr>
      <w:r>
        <w:rPr>
          <w:rFonts w:hint="eastAsia"/>
        </w:rPr>
        <w:t>其他意见和建议。</w:t>
      </w:r>
    </w:p>
    <w:p w14:paraId="1C333149">
      <w:pPr>
        <w:pStyle w:val="164"/>
      </w:pPr>
      <w:r>
        <w:rPr>
          <w:rFonts w:hint="eastAsia" w:ascii="黑体" w:hAnsi="黑体" w:eastAsia="黑体"/>
        </w:rPr>
        <w:t>培训教师满意度调查，</w:t>
      </w:r>
      <w:r>
        <w:rPr>
          <w:rFonts w:hint="eastAsia"/>
        </w:rPr>
        <w:t>包括但不限于以下方面：</w:t>
      </w:r>
    </w:p>
    <w:p w14:paraId="72F686F2">
      <w:pPr>
        <w:pStyle w:val="109"/>
        <w:numPr>
          <w:ilvl w:val="1"/>
          <w:numId w:val="38"/>
        </w:numPr>
      </w:pPr>
      <w:r>
        <w:rPr>
          <w:rFonts w:hint="eastAsia"/>
        </w:rPr>
        <w:t>教学计划的一致性；</w:t>
      </w:r>
    </w:p>
    <w:p w14:paraId="76A3F26A">
      <w:pPr>
        <w:pStyle w:val="109"/>
      </w:pPr>
      <w:r>
        <w:rPr>
          <w:rFonts w:hint="eastAsia"/>
        </w:rPr>
        <w:t>教学设计的科学性；</w:t>
      </w:r>
    </w:p>
    <w:p w14:paraId="0A97BA22">
      <w:pPr>
        <w:pStyle w:val="109"/>
      </w:pPr>
      <w:r>
        <w:rPr>
          <w:rFonts w:hint="eastAsia"/>
        </w:rPr>
        <w:t>教学内容的适用性；</w:t>
      </w:r>
    </w:p>
    <w:p w14:paraId="79CC53EF">
      <w:pPr>
        <w:pStyle w:val="109"/>
      </w:pPr>
      <w:r>
        <w:rPr>
          <w:rFonts w:hint="eastAsia"/>
        </w:rPr>
        <w:t>教学姿态的职业性；</w:t>
      </w:r>
    </w:p>
    <w:p w14:paraId="2EBCF0C3">
      <w:pPr>
        <w:pStyle w:val="109"/>
      </w:pPr>
      <w:r>
        <w:rPr>
          <w:rFonts w:hint="eastAsia"/>
        </w:rPr>
        <w:t>教学语言的规范性。</w:t>
      </w:r>
      <w:bookmarkEnd w:id="218"/>
    </w:p>
    <w:bookmarkEnd w:id="217"/>
    <w:p w14:paraId="216D22E9">
      <w:pPr>
        <w:pStyle w:val="104"/>
        <w:spacing w:before="240" w:after="240"/>
      </w:pPr>
      <w:bookmarkStart w:id="219" w:name="_Toc203573400"/>
      <w:bookmarkStart w:id="220" w:name="_Toc203753124"/>
      <w:bookmarkStart w:id="221" w:name="_Toc203671191"/>
      <w:bookmarkStart w:id="222" w:name="_Toc203579150"/>
      <w:r>
        <w:rPr>
          <w:rFonts w:hint="eastAsia"/>
        </w:rPr>
        <w:t>考核</w:t>
      </w:r>
      <w:bookmarkEnd w:id="219"/>
      <w:bookmarkEnd w:id="220"/>
      <w:bookmarkEnd w:id="221"/>
      <w:bookmarkEnd w:id="222"/>
    </w:p>
    <w:p w14:paraId="72E115B7">
      <w:pPr>
        <w:pStyle w:val="105"/>
        <w:spacing w:before="120" w:after="120"/>
      </w:pPr>
      <w:bookmarkStart w:id="223" w:name="_Toc203671192"/>
      <w:bookmarkStart w:id="224" w:name="_Toc203753125"/>
      <w:r>
        <w:rPr>
          <w:rFonts w:hint="eastAsia"/>
        </w:rPr>
        <w:t>考核对象类别</w:t>
      </w:r>
      <w:bookmarkEnd w:id="223"/>
      <w:bookmarkEnd w:id="224"/>
    </w:p>
    <w:p w14:paraId="400AFBDA">
      <w:pPr>
        <w:pStyle w:val="56"/>
        <w:ind w:firstLine="420"/>
      </w:pPr>
      <w:r>
        <w:rPr>
          <w:rFonts w:hint="eastAsia"/>
        </w:rPr>
        <w:t>同6.1。</w:t>
      </w:r>
    </w:p>
    <w:p w14:paraId="006CA31B">
      <w:pPr>
        <w:pStyle w:val="105"/>
        <w:spacing w:before="120" w:after="120"/>
      </w:pPr>
      <w:bookmarkStart w:id="225" w:name="_Toc203573401"/>
      <w:bookmarkStart w:id="226" w:name="_Toc201942527"/>
      <w:bookmarkStart w:id="227" w:name="_Toc202228916"/>
      <w:bookmarkStart w:id="228" w:name="_Toc203753126"/>
      <w:bookmarkStart w:id="229" w:name="_Toc203671193"/>
      <w:bookmarkStart w:id="230" w:name="_Toc203579151"/>
      <w:r>
        <w:rPr>
          <w:rFonts w:hint="eastAsia"/>
        </w:rPr>
        <w:t>报考条件</w:t>
      </w:r>
      <w:bookmarkEnd w:id="225"/>
      <w:bookmarkEnd w:id="226"/>
      <w:bookmarkEnd w:id="227"/>
      <w:bookmarkEnd w:id="228"/>
      <w:bookmarkEnd w:id="229"/>
      <w:bookmarkEnd w:id="230"/>
    </w:p>
    <w:p w14:paraId="62B9EC2B">
      <w:pPr>
        <w:pStyle w:val="65"/>
        <w:spacing w:before="120" w:after="120"/>
      </w:pPr>
      <w:r>
        <w:rPr>
          <w:rFonts w:hint="eastAsia"/>
        </w:rPr>
        <w:t>地方森林草原防灭火有关业务部门火灾扑救指挥员</w:t>
      </w:r>
    </w:p>
    <w:p w14:paraId="11A611A8">
      <w:pPr>
        <w:pStyle w:val="94"/>
        <w:spacing w:before="120" w:after="120"/>
      </w:pPr>
      <w:bookmarkStart w:id="231" w:name="_Hlk184719462"/>
      <w:r>
        <w:rPr>
          <w:rFonts w:hint="eastAsia"/>
        </w:rPr>
        <w:t>县级及以下指挥员</w:t>
      </w:r>
    </w:p>
    <w:bookmarkEnd w:id="231"/>
    <w:p w14:paraId="2B00056B">
      <w:pPr>
        <w:pStyle w:val="56"/>
        <w:ind w:firstLine="420"/>
      </w:pPr>
      <w:r>
        <w:rPr>
          <w:rFonts w:hint="eastAsia"/>
        </w:rPr>
        <w:t>在培训合格的基础上，还应至少符合以下其中1项条件：</w:t>
      </w:r>
    </w:p>
    <w:p w14:paraId="3ADC93DE">
      <w:pPr>
        <w:pStyle w:val="109"/>
        <w:numPr>
          <w:ilvl w:val="1"/>
          <w:numId w:val="39"/>
        </w:numPr>
      </w:pPr>
      <w:r>
        <w:rPr>
          <w:rFonts w:hint="eastAsia"/>
        </w:rPr>
        <w:t>具有</w:t>
      </w:r>
      <w:bookmarkStart w:id="232" w:name="OLE_LINK30"/>
      <w:r>
        <w:rPr>
          <w:rFonts w:hint="eastAsia"/>
        </w:rPr>
        <w:t>较大等级规模（含）以下</w:t>
      </w:r>
      <w:bookmarkEnd w:id="232"/>
      <w:r>
        <w:rPr>
          <w:rFonts w:hint="eastAsia"/>
        </w:rPr>
        <w:t>森林草原火灾扑救指挥经历；</w:t>
      </w:r>
    </w:p>
    <w:p w14:paraId="3B2175C1">
      <w:pPr>
        <w:pStyle w:val="109"/>
      </w:pPr>
      <w:r>
        <w:rPr>
          <w:rFonts w:hint="eastAsia"/>
        </w:rPr>
        <w:t xml:space="preserve">从事森林草原防灭火工作满1年（含）以上； </w:t>
      </w:r>
    </w:p>
    <w:p w14:paraId="0DAF393E">
      <w:pPr>
        <w:pStyle w:val="109"/>
      </w:pPr>
      <w:r>
        <w:rPr>
          <w:rFonts w:hint="eastAsia"/>
        </w:rPr>
        <w:t>在县级及以下</w:t>
      </w:r>
      <w:bookmarkStart w:id="233" w:name="_Hlk202127977"/>
      <w:r>
        <w:rPr>
          <w:rFonts w:hint="eastAsia"/>
        </w:rPr>
        <w:t>森林草原防灭火有关业务部门从事火灾扑救指挥工作。</w:t>
      </w:r>
      <w:bookmarkEnd w:id="233"/>
    </w:p>
    <w:p w14:paraId="1633C7FB">
      <w:pPr>
        <w:pStyle w:val="94"/>
        <w:spacing w:before="120" w:after="120"/>
      </w:pPr>
      <w:r>
        <w:rPr>
          <w:rFonts w:hint="eastAsia"/>
        </w:rPr>
        <w:t>市级指挥员</w:t>
      </w:r>
    </w:p>
    <w:p w14:paraId="5B8BB476">
      <w:pPr>
        <w:pStyle w:val="56"/>
        <w:ind w:firstLine="420"/>
      </w:pPr>
      <w:r>
        <w:rPr>
          <w:rFonts w:hint="eastAsia"/>
        </w:rPr>
        <w:t>在培训合格的基础上，还应至少符合以下其中1项条件：</w:t>
      </w:r>
    </w:p>
    <w:p w14:paraId="1996E943">
      <w:pPr>
        <w:pStyle w:val="109"/>
        <w:numPr>
          <w:ilvl w:val="1"/>
          <w:numId w:val="40"/>
        </w:numPr>
      </w:pPr>
      <w:r>
        <w:rPr>
          <w:rFonts w:hint="eastAsia"/>
        </w:rPr>
        <w:t>具有较大或重大等级规模森林草原火灾扑救指挥经历；</w:t>
      </w:r>
    </w:p>
    <w:p w14:paraId="4D7F7360">
      <w:pPr>
        <w:pStyle w:val="109"/>
      </w:pPr>
      <w:r>
        <w:rPr>
          <w:rFonts w:hint="eastAsia"/>
        </w:rPr>
        <w:t>从事森林草原防灭火工作满3年（含）以上；</w:t>
      </w:r>
    </w:p>
    <w:p w14:paraId="2D7A0105">
      <w:pPr>
        <w:pStyle w:val="109"/>
      </w:pPr>
      <w:r>
        <w:rPr>
          <w:rFonts w:hint="eastAsia"/>
        </w:rPr>
        <w:t>在市级森林草原防灭火有关业务部门从事火灾扑救指挥工作。</w:t>
      </w:r>
    </w:p>
    <w:p w14:paraId="3C85D9CF">
      <w:pPr>
        <w:pStyle w:val="94"/>
        <w:spacing w:before="120" w:after="120"/>
      </w:pPr>
      <w:bookmarkStart w:id="234" w:name="OLE_LINK3"/>
      <w:r>
        <w:rPr>
          <w:rFonts w:hint="eastAsia"/>
        </w:rPr>
        <w:t>省级指挥员</w:t>
      </w:r>
    </w:p>
    <w:p w14:paraId="7601AE7E">
      <w:pPr>
        <w:pStyle w:val="56"/>
        <w:ind w:firstLine="420"/>
      </w:pPr>
      <w:r>
        <w:rPr>
          <w:rFonts w:hint="eastAsia"/>
        </w:rPr>
        <w:t>在培训合格的基础上，还应至少符合以下其中1项条件：</w:t>
      </w:r>
    </w:p>
    <w:p w14:paraId="398FFEE0">
      <w:pPr>
        <w:pStyle w:val="109"/>
        <w:numPr>
          <w:ilvl w:val="1"/>
          <w:numId w:val="41"/>
        </w:numPr>
      </w:pPr>
      <w:r>
        <w:rPr>
          <w:rFonts w:hint="eastAsia"/>
        </w:rPr>
        <w:t>具有重大或特别重大等级规模森林草原火灾扑救指挥经历；</w:t>
      </w:r>
    </w:p>
    <w:p w14:paraId="6431AED0">
      <w:pPr>
        <w:pStyle w:val="109"/>
      </w:pPr>
      <w:r>
        <w:rPr>
          <w:rFonts w:hint="eastAsia"/>
        </w:rPr>
        <w:t>从事森林草原防灭火工作满5年（含）以上；</w:t>
      </w:r>
    </w:p>
    <w:p w14:paraId="610C60CA">
      <w:pPr>
        <w:pStyle w:val="109"/>
      </w:pPr>
      <w:r>
        <w:rPr>
          <w:rFonts w:hint="eastAsia"/>
        </w:rPr>
        <w:t>在省级森林草原防灭火</w:t>
      </w:r>
      <w:bookmarkStart w:id="235" w:name="OLE_LINK27"/>
      <w:r>
        <w:rPr>
          <w:rFonts w:hint="eastAsia"/>
        </w:rPr>
        <w:t>有关业务部门从事火灾扑救指挥工作。</w:t>
      </w:r>
      <w:bookmarkEnd w:id="235"/>
    </w:p>
    <w:p w14:paraId="32EA0F8F">
      <w:pPr>
        <w:pStyle w:val="65"/>
        <w:spacing w:before="120" w:after="120"/>
      </w:pPr>
      <w:bookmarkStart w:id="236" w:name="_Hlk202128065"/>
      <w:r>
        <w:rPr>
          <w:rFonts w:hint="eastAsia"/>
        </w:rPr>
        <w:t>地方森林草原消防队伍指挥员</w:t>
      </w:r>
    </w:p>
    <w:bookmarkEnd w:id="236"/>
    <w:p w14:paraId="5863A32F">
      <w:pPr>
        <w:pStyle w:val="56"/>
        <w:ind w:firstLine="420"/>
      </w:pPr>
      <w:bookmarkStart w:id="237" w:name="_Hlk202128108"/>
      <w:r>
        <w:rPr>
          <w:rFonts w:hint="eastAsia"/>
        </w:rPr>
        <w:t>在培训合格的基础上，还应至少符合以下其中1项条件：</w:t>
      </w:r>
    </w:p>
    <w:p w14:paraId="017831CC">
      <w:pPr>
        <w:pStyle w:val="109"/>
        <w:numPr>
          <w:ilvl w:val="1"/>
          <w:numId w:val="42"/>
        </w:numPr>
      </w:pPr>
      <w:r>
        <w:rPr>
          <w:rFonts w:hint="eastAsia"/>
        </w:rPr>
        <w:t>具有较大等级规模（含）以下森林草原火灾</w:t>
      </w:r>
      <w:bookmarkStart w:id="238" w:name="OLE_LINK15"/>
      <w:r>
        <w:rPr>
          <w:rFonts w:hint="eastAsia"/>
        </w:rPr>
        <w:t>扑救</w:t>
      </w:r>
      <w:bookmarkEnd w:id="238"/>
      <w:r>
        <w:rPr>
          <w:rFonts w:hint="eastAsia"/>
        </w:rPr>
        <w:t>指挥经历；</w:t>
      </w:r>
    </w:p>
    <w:p w14:paraId="7B1B0BEA">
      <w:pPr>
        <w:pStyle w:val="109"/>
      </w:pPr>
      <w:r>
        <w:rPr>
          <w:rFonts w:hint="eastAsia"/>
        </w:rPr>
        <w:t>担任地方森林草原消防队伍指挥员满1年及以上。</w:t>
      </w:r>
    </w:p>
    <w:p w14:paraId="57A501AD">
      <w:pPr>
        <w:pStyle w:val="105"/>
        <w:spacing w:before="120" w:after="120"/>
      </w:pPr>
      <w:bookmarkStart w:id="239" w:name="_Toc203753127"/>
      <w:bookmarkStart w:id="240" w:name="_Toc203579152"/>
      <w:bookmarkStart w:id="241" w:name="_Toc203671194"/>
      <w:bookmarkStart w:id="242" w:name="_Toc203573402"/>
      <w:r>
        <w:rPr>
          <w:rFonts w:hint="eastAsia"/>
        </w:rPr>
        <w:t>考核内容</w:t>
      </w:r>
      <w:bookmarkEnd w:id="239"/>
      <w:bookmarkEnd w:id="240"/>
      <w:bookmarkEnd w:id="241"/>
      <w:bookmarkEnd w:id="242"/>
    </w:p>
    <w:p w14:paraId="703E1DFD">
      <w:pPr>
        <w:pStyle w:val="56"/>
        <w:ind w:firstLine="420"/>
      </w:pPr>
      <w:bookmarkStart w:id="243" w:name="_Hlk203739681"/>
      <w:r>
        <w:rPr>
          <w:rFonts w:hint="eastAsia"/>
        </w:rPr>
        <w:t>包括灭火基础、灭火装备、灭火技术、灭火战术、灭火指挥、灭火安全等</w:t>
      </w:r>
      <w:bookmarkEnd w:id="243"/>
      <w:r>
        <w:rPr>
          <w:rFonts w:hint="eastAsia"/>
        </w:rPr>
        <w:t>。</w:t>
      </w:r>
      <w:bookmarkStart w:id="244" w:name="OLE_LINK44"/>
      <w:r>
        <w:rPr>
          <w:rFonts w:hint="eastAsia"/>
        </w:rPr>
        <w:t>考核分值比例见附录C。</w:t>
      </w:r>
      <w:bookmarkEnd w:id="244"/>
    </w:p>
    <w:p w14:paraId="1A117271">
      <w:pPr>
        <w:pStyle w:val="105"/>
        <w:spacing w:before="120" w:after="120"/>
      </w:pPr>
      <w:bookmarkStart w:id="245" w:name="_Toc203753128"/>
      <w:bookmarkStart w:id="246" w:name="_Toc203573403"/>
      <w:bookmarkStart w:id="247" w:name="_Toc203671195"/>
      <w:bookmarkStart w:id="248" w:name="_Toc203579153"/>
      <w:r>
        <w:rPr>
          <w:rFonts w:hint="eastAsia"/>
        </w:rPr>
        <w:t>考核方式</w:t>
      </w:r>
      <w:bookmarkEnd w:id="245"/>
      <w:bookmarkEnd w:id="246"/>
      <w:bookmarkEnd w:id="247"/>
      <w:bookmarkEnd w:id="248"/>
    </w:p>
    <w:p w14:paraId="2A601286">
      <w:pPr>
        <w:pStyle w:val="165"/>
      </w:pPr>
      <w:bookmarkStart w:id="249" w:name="_Hlk184318256"/>
      <w:bookmarkStart w:id="250" w:name="_Hlk202128357"/>
      <w:r>
        <w:rPr>
          <w:rFonts w:hint="eastAsia"/>
        </w:rPr>
        <w:t>专业理论考核采取闭卷笔试或计算机考核方式进行。各内容考核方式见附录C。</w:t>
      </w:r>
    </w:p>
    <w:p w14:paraId="42B35E5E">
      <w:pPr>
        <w:pStyle w:val="165"/>
      </w:pPr>
      <w:r>
        <w:rPr>
          <w:rFonts w:hint="eastAsia"/>
        </w:rPr>
        <w:t>实践操作考核采取现场实操、模拟演练、虚拟仿真演练等方式进行。</w:t>
      </w:r>
      <w:bookmarkEnd w:id="249"/>
      <w:bookmarkEnd w:id="250"/>
      <w:r>
        <w:t xml:space="preserve"> </w:t>
      </w:r>
    </w:p>
    <w:p w14:paraId="7638251F">
      <w:pPr>
        <w:pStyle w:val="165"/>
      </w:pPr>
      <w:r>
        <w:rPr>
          <w:rFonts w:hint="eastAsia"/>
        </w:rPr>
        <w:t>省级指挥员考核可采取评审制形式进行。</w:t>
      </w:r>
    </w:p>
    <w:bookmarkEnd w:id="234"/>
    <w:bookmarkEnd w:id="237"/>
    <w:p w14:paraId="62F50275">
      <w:pPr>
        <w:pStyle w:val="105"/>
        <w:spacing w:before="120" w:after="120"/>
      </w:pPr>
      <w:bookmarkStart w:id="251" w:name="_Toc184312880"/>
      <w:bookmarkStart w:id="252" w:name="_Toc184298259"/>
      <w:bookmarkStart w:id="253" w:name="_Toc169555238"/>
      <w:bookmarkStart w:id="254" w:name="_Toc203579154"/>
      <w:bookmarkStart w:id="255" w:name="_Toc202228918"/>
      <w:bookmarkStart w:id="256" w:name="_Toc185800464"/>
      <w:bookmarkStart w:id="257" w:name="_Toc185800580"/>
      <w:bookmarkStart w:id="258" w:name="_Toc203671196"/>
      <w:bookmarkStart w:id="259" w:name="_Toc201942529"/>
      <w:bookmarkStart w:id="260" w:name="_Toc185810738"/>
      <w:bookmarkStart w:id="261" w:name="_Toc203573404"/>
      <w:bookmarkStart w:id="262" w:name="_Toc185800437"/>
      <w:bookmarkStart w:id="263" w:name="_Toc203753129"/>
      <w:bookmarkStart w:id="264" w:name="_Hlk183974906"/>
      <w:r>
        <w:rPr>
          <w:rFonts w:hint="eastAsia"/>
        </w:rPr>
        <w:t>考核</w:t>
      </w:r>
      <w:bookmarkEnd w:id="251"/>
      <w:bookmarkEnd w:id="252"/>
      <w:bookmarkEnd w:id="253"/>
      <w:r>
        <w:rPr>
          <w:rFonts w:hint="eastAsia"/>
        </w:rPr>
        <w:t>流程</w:t>
      </w:r>
      <w:bookmarkEnd w:id="254"/>
      <w:bookmarkEnd w:id="255"/>
      <w:bookmarkEnd w:id="256"/>
      <w:bookmarkEnd w:id="257"/>
      <w:bookmarkEnd w:id="258"/>
      <w:bookmarkEnd w:id="259"/>
      <w:bookmarkEnd w:id="260"/>
      <w:bookmarkEnd w:id="261"/>
      <w:bookmarkEnd w:id="262"/>
      <w:bookmarkEnd w:id="263"/>
    </w:p>
    <w:p w14:paraId="6C6C276E">
      <w:pPr>
        <w:pStyle w:val="65"/>
        <w:spacing w:before="120" w:after="120"/>
      </w:pPr>
      <w:r>
        <w:rPr>
          <w:rFonts w:hint="eastAsia"/>
        </w:rPr>
        <w:t>考核准备</w:t>
      </w:r>
    </w:p>
    <w:p w14:paraId="0C319A81">
      <w:pPr>
        <w:pStyle w:val="164"/>
        <w:rPr>
          <w:rFonts w:hint="eastAsia" w:hAnsi="宋体"/>
        </w:rPr>
      </w:pPr>
      <w:r>
        <w:rPr>
          <w:rFonts w:hint="eastAsia" w:ascii="黑体" w:hAnsi="黑体" w:eastAsia="黑体"/>
        </w:rPr>
        <w:t>确定考核机构并制定考核方案</w:t>
      </w:r>
      <w:bookmarkStart w:id="265" w:name="OLE_LINK9"/>
      <w:r>
        <w:rPr>
          <w:rFonts w:hint="eastAsia" w:ascii="黑体" w:hAnsi="黑体" w:eastAsia="黑体"/>
        </w:rPr>
        <w:t>。</w:t>
      </w:r>
      <w:r>
        <w:rPr>
          <w:rFonts w:hint="eastAsia" w:hAnsi="宋体"/>
        </w:rPr>
        <w:t>由考核组和考核委托方共同研究制定，包括但不限于以下内容：</w:t>
      </w:r>
    </w:p>
    <w:p w14:paraId="6600FDEF">
      <w:pPr>
        <w:pStyle w:val="109"/>
        <w:numPr>
          <w:ilvl w:val="1"/>
          <w:numId w:val="43"/>
        </w:numPr>
      </w:pPr>
      <w:r>
        <w:rPr>
          <w:rFonts w:hint="eastAsia"/>
        </w:rPr>
        <w:t>考核对象及报考条件；</w:t>
      </w:r>
    </w:p>
    <w:p w14:paraId="4F1AA712">
      <w:pPr>
        <w:pStyle w:val="109"/>
        <w:numPr>
          <w:ilvl w:val="1"/>
          <w:numId w:val="43"/>
        </w:numPr>
      </w:pPr>
      <w:r>
        <w:rPr>
          <w:rFonts w:hint="eastAsia"/>
        </w:rPr>
        <w:t>考核时间及地点；</w:t>
      </w:r>
    </w:p>
    <w:p w14:paraId="4C8830EF">
      <w:pPr>
        <w:pStyle w:val="109"/>
        <w:numPr>
          <w:ilvl w:val="1"/>
          <w:numId w:val="43"/>
        </w:numPr>
      </w:pPr>
      <w:r>
        <w:rPr>
          <w:rFonts w:hint="eastAsia"/>
        </w:rPr>
        <w:t>考核内容及细则；</w:t>
      </w:r>
    </w:p>
    <w:p w14:paraId="1FCA2109">
      <w:pPr>
        <w:pStyle w:val="109"/>
        <w:numPr>
          <w:ilvl w:val="1"/>
          <w:numId w:val="43"/>
        </w:numPr>
      </w:pPr>
      <w:r>
        <w:rPr>
          <w:rFonts w:hint="eastAsia"/>
        </w:rPr>
        <w:t>考核机构及考核组；</w:t>
      </w:r>
    </w:p>
    <w:p w14:paraId="28621270">
      <w:pPr>
        <w:pStyle w:val="109"/>
        <w:numPr>
          <w:ilvl w:val="1"/>
          <w:numId w:val="43"/>
        </w:numPr>
      </w:pPr>
      <w:r>
        <w:rPr>
          <w:rFonts w:hint="eastAsia"/>
        </w:rPr>
        <w:t>考核日程计划；</w:t>
      </w:r>
    </w:p>
    <w:p w14:paraId="556A270E">
      <w:pPr>
        <w:pStyle w:val="109"/>
        <w:numPr>
          <w:ilvl w:val="1"/>
          <w:numId w:val="43"/>
        </w:numPr>
      </w:pPr>
      <w:r>
        <w:rPr>
          <w:rFonts w:hint="eastAsia"/>
        </w:rPr>
        <w:t>安全风险评估及应急预案；</w:t>
      </w:r>
    </w:p>
    <w:p w14:paraId="64693227">
      <w:pPr>
        <w:pStyle w:val="109"/>
        <w:numPr>
          <w:ilvl w:val="1"/>
          <w:numId w:val="43"/>
        </w:numPr>
      </w:pPr>
      <w:r>
        <w:rPr>
          <w:rFonts w:hint="eastAsia"/>
        </w:rPr>
        <w:t>有关保障；</w:t>
      </w:r>
    </w:p>
    <w:p w14:paraId="32B5FBDA">
      <w:pPr>
        <w:pStyle w:val="109"/>
        <w:numPr>
          <w:ilvl w:val="1"/>
          <w:numId w:val="43"/>
        </w:numPr>
      </w:pPr>
      <w:r>
        <w:rPr>
          <w:rFonts w:hint="eastAsia"/>
        </w:rPr>
        <w:t>其他有关事项。</w:t>
      </w:r>
    </w:p>
    <w:p w14:paraId="0A8BB370">
      <w:pPr>
        <w:pStyle w:val="164"/>
      </w:pPr>
      <w:r>
        <w:rPr>
          <w:rFonts w:hint="eastAsia" w:ascii="黑体" w:hAnsi="黑体" w:eastAsia="黑体"/>
        </w:rPr>
        <w:t>发布考核报名通知。</w:t>
      </w:r>
      <w:r>
        <w:rPr>
          <w:rFonts w:hint="eastAsia"/>
        </w:rPr>
        <w:t>由</w:t>
      </w:r>
      <w:r>
        <w:rPr>
          <w:rFonts w:hint="eastAsia" w:hAnsi="宋体"/>
        </w:rPr>
        <w:t>考核委托方</w:t>
      </w:r>
      <w:r>
        <w:rPr>
          <w:rFonts w:hint="eastAsia"/>
        </w:rPr>
        <w:t>发布，包括但不限于以下内容：</w:t>
      </w:r>
    </w:p>
    <w:p w14:paraId="2C6F8FFA">
      <w:pPr>
        <w:pStyle w:val="109"/>
        <w:numPr>
          <w:ilvl w:val="1"/>
          <w:numId w:val="44"/>
        </w:numPr>
      </w:pPr>
      <w:r>
        <w:rPr>
          <w:rFonts w:hint="eastAsia"/>
        </w:rPr>
        <w:t>考核机构名称；</w:t>
      </w:r>
    </w:p>
    <w:p w14:paraId="4EF33DD0">
      <w:pPr>
        <w:pStyle w:val="109"/>
      </w:pPr>
      <w:r>
        <w:rPr>
          <w:rFonts w:hint="eastAsia"/>
        </w:rPr>
        <w:t>考核对象及类别；</w:t>
      </w:r>
    </w:p>
    <w:p w14:paraId="64974627">
      <w:pPr>
        <w:pStyle w:val="109"/>
      </w:pPr>
      <w:r>
        <w:rPr>
          <w:rFonts w:hint="eastAsia"/>
        </w:rPr>
        <w:t>考核时间及地点；</w:t>
      </w:r>
    </w:p>
    <w:p w14:paraId="1A6B2E19">
      <w:pPr>
        <w:pStyle w:val="109"/>
      </w:pPr>
      <w:r>
        <w:rPr>
          <w:rFonts w:hint="eastAsia"/>
        </w:rPr>
        <w:t>报考条件；</w:t>
      </w:r>
    </w:p>
    <w:p w14:paraId="1CD42616">
      <w:pPr>
        <w:pStyle w:val="109"/>
      </w:pPr>
      <w:r>
        <w:rPr>
          <w:rFonts w:hint="eastAsia"/>
        </w:rPr>
        <w:t>考核内容及考核细则；</w:t>
      </w:r>
    </w:p>
    <w:p w14:paraId="11C5EBE4">
      <w:pPr>
        <w:pStyle w:val="109"/>
      </w:pPr>
      <w:r>
        <w:rPr>
          <w:rFonts w:hint="eastAsia"/>
        </w:rPr>
        <w:t>考核要求；</w:t>
      </w:r>
    </w:p>
    <w:p w14:paraId="70F751C2">
      <w:pPr>
        <w:pStyle w:val="109"/>
      </w:pPr>
      <w:r>
        <w:rPr>
          <w:rFonts w:hint="eastAsia"/>
        </w:rPr>
        <w:t>考核咨询方式；</w:t>
      </w:r>
    </w:p>
    <w:p w14:paraId="5B0867B3">
      <w:pPr>
        <w:pStyle w:val="109"/>
      </w:pPr>
      <w:r>
        <w:rPr>
          <w:rFonts w:hint="eastAsia"/>
        </w:rPr>
        <w:t>其他有关事项。</w:t>
      </w:r>
    </w:p>
    <w:p w14:paraId="6C7F3157">
      <w:pPr>
        <w:pStyle w:val="164"/>
      </w:pPr>
      <w:r>
        <w:rPr>
          <w:rFonts w:hint="eastAsia" w:ascii="黑体" w:hAnsi="黑体" w:eastAsia="黑体"/>
        </w:rPr>
        <w:t>确定参考人员。</w:t>
      </w:r>
      <w:r>
        <w:rPr>
          <w:rFonts w:hint="eastAsia"/>
        </w:rPr>
        <w:t>报名结束后，由考核机构会同</w:t>
      </w:r>
      <w:r>
        <w:rPr>
          <w:rFonts w:hint="eastAsia" w:hAnsi="宋体"/>
        </w:rPr>
        <w:t>考核委托方</w:t>
      </w:r>
      <w:r>
        <w:rPr>
          <w:rFonts w:hint="eastAsia"/>
        </w:rPr>
        <w:t>审查是否符合报考条件，确定考核人员，并做好考前准备工作，包括但不限于以下内容：</w:t>
      </w:r>
    </w:p>
    <w:p w14:paraId="6694C559">
      <w:pPr>
        <w:pStyle w:val="109"/>
        <w:numPr>
          <w:ilvl w:val="1"/>
          <w:numId w:val="45"/>
        </w:numPr>
      </w:pPr>
      <w:r>
        <w:rPr>
          <w:rFonts w:hint="eastAsia"/>
        </w:rPr>
        <w:t>组织考核人员培训；</w:t>
      </w:r>
    </w:p>
    <w:p w14:paraId="7463D327">
      <w:pPr>
        <w:pStyle w:val="109"/>
      </w:pPr>
      <w:r>
        <w:rPr>
          <w:rFonts w:hint="eastAsia"/>
        </w:rPr>
        <w:t>建立试题库、印制试卷等；</w:t>
      </w:r>
    </w:p>
    <w:p w14:paraId="34A8679E">
      <w:pPr>
        <w:pStyle w:val="109"/>
      </w:pPr>
      <w:r>
        <w:rPr>
          <w:rFonts w:hint="eastAsia"/>
        </w:rPr>
        <w:t>设置考核场地，准备考核用的装备器材等；</w:t>
      </w:r>
    </w:p>
    <w:p w14:paraId="3B9BFA55">
      <w:pPr>
        <w:pStyle w:val="109"/>
      </w:pPr>
      <w:r>
        <w:rPr>
          <w:rFonts w:hint="eastAsia"/>
        </w:rPr>
        <w:t>制作并发放准考证；</w:t>
      </w:r>
    </w:p>
    <w:p w14:paraId="69DF51DD">
      <w:pPr>
        <w:pStyle w:val="109"/>
      </w:pPr>
      <w:r>
        <w:rPr>
          <w:rFonts w:hint="eastAsia"/>
        </w:rPr>
        <w:t>安排食宿；</w:t>
      </w:r>
    </w:p>
    <w:p w14:paraId="375473F6">
      <w:pPr>
        <w:pStyle w:val="109"/>
      </w:pPr>
      <w:r>
        <w:rPr>
          <w:rFonts w:hint="eastAsia"/>
        </w:rPr>
        <w:t>主动做好与相关部门的协调工作；</w:t>
      </w:r>
    </w:p>
    <w:p w14:paraId="3DF174B1">
      <w:pPr>
        <w:pStyle w:val="109"/>
      </w:pPr>
      <w:r>
        <w:rPr>
          <w:rFonts w:hint="eastAsia"/>
        </w:rPr>
        <w:t>其他有关事项。</w:t>
      </w:r>
    </w:p>
    <w:bookmarkEnd w:id="265"/>
    <w:p w14:paraId="73167959">
      <w:pPr>
        <w:pStyle w:val="65"/>
        <w:spacing w:before="120" w:after="120"/>
      </w:pPr>
      <w:r>
        <w:rPr>
          <w:rFonts w:hint="eastAsia"/>
        </w:rPr>
        <w:t>考核实施</w:t>
      </w:r>
    </w:p>
    <w:p w14:paraId="403A3D60">
      <w:pPr>
        <w:pStyle w:val="56"/>
        <w:ind w:firstLine="420"/>
      </w:pPr>
      <w:r>
        <w:rPr>
          <w:rFonts w:hint="eastAsia"/>
        </w:rPr>
        <w:t>考核实施工作包括但不限于以下内容：</w:t>
      </w:r>
    </w:p>
    <w:p w14:paraId="15515109">
      <w:pPr>
        <w:pStyle w:val="109"/>
        <w:numPr>
          <w:ilvl w:val="1"/>
          <w:numId w:val="46"/>
        </w:numPr>
      </w:pPr>
      <w:r>
        <w:rPr>
          <w:rFonts w:hint="eastAsia"/>
        </w:rPr>
        <w:t>准确核对参考人员身份信息；</w:t>
      </w:r>
    </w:p>
    <w:p w14:paraId="6B9E92D8">
      <w:pPr>
        <w:pStyle w:val="109"/>
      </w:pPr>
      <w:r>
        <w:rPr>
          <w:rFonts w:hint="eastAsia"/>
        </w:rPr>
        <w:t>设置检录区、待考区、考核区；</w:t>
      </w:r>
    </w:p>
    <w:p w14:paraId="3D745ABC">
      <w:pPr>
        <w:pStyle w:val="109"/>
      </w:pPr>
      <w:r>
        <w:rPr>
          <w:rFonts w:hint="eastAsia"/>
        </w:rPr>
        <w:t>维护考核纪律，保证全过程安全有序；</w:t>
      </w:r>
    </w:p>
    <w:p w14:paraId="33C9B849">
      <w:pPr>
        <w:pStyle w:val="109"/>
      </w:pPr>
      <w:r>
        <w:rPr>
          <w:rFonts w:hint="eastAsia"/>
        </w:rPr>
        <w:t>及时准确登记实践操作考核成绩，考核组和考核人员签字后生效；</w:t>
      </w:r>
    </w:p>
    <w:p w14:paraId="5CAFA820">
      <w:pPr>
        <w:pStyle w:val="109"/>
      </w:pPr>
      <w:r>
        <w:rPr>
          <w:rFonts w:hint="eastAsia"/>
        </w:rPr>
        <w:t>做好有关图文及音（影）像资料的记录；</w:t>
      </w:r>
    </w:p>
    <w:p w14:paraId="59D1CB22">
      <w:pPr>
        <w:pStyle w:val="109"/>
      </w:pPr>
      <w:r>
        <w:rPr>
          <w:rFonts w:hint="eastAsia"/>
        </w:rPr>
        <w:t>主动做好与相关部门的协调工作；</w:t>
      </w:r>
    </w:p>
    <w:p w14:paraId="606ACCB0">
      <w:pPr>
        <w:pStyle w:val="109"/>
      </w:pPr>
      <w:r>
        <w:rPr>
          <w:rFonts w:hint="eastAsia"/>
        </w:rPr>
        <w:t>其他有关事项。</w:t>
      </w:r>
    </w:p>
    <w:bookmarkEnd w:id="264"/>
    <w:p w14:paraId="7C3B6702">
      <w:pPr>
        <w:pStyle w:val="65"/>
        <w:spacing w:before="120" w:after="120"/>
      </w:pPr>
      <w:bookmarkStart w:id="266" w:name="_Toc184312881"/>
      <w:bookmarkStart w:id="267" w:name="_Toc169555239"/>
      <w:bookmarkStart w:id="268" w:name="_Toc184298260"/>
      <w:bookmarkStart w:id="269" w:name="_Toc185800438"/>
      <w:bookmarkStart w:id="270" w:name="_Toc185800465"/>
      <w:r>
        <w:rPr>
          <w:rFonts w:hint="eastAsia"/>
        </w:rPr>
        <w:t>考核</w:t>
      </w:r>
      <w:bookmarkEnd w:id="266"/>
      <w:bookmarkEnd w:id="267"/>
      <w:bookmarkEnd w:id="268"/>
      <w:r>
        <w:rPr>
          <w:rFonts w:hint="eastAsia"/>
        </w:rPr>
        <w:t>结束</w:t>
      </w:r>
      <w:bookmarkEnd w:id="269"/>
      <w:bookmarkEnd w:id="270"/>
    </w:p>
    <w:p w14:paraId="0DEBA739">
      <w:pPr>
        <w:pStyle w:val="56"/>
        <w:ind w:firstLine="420"/>
      </w:pPr>
      <w:r>
        <w:rPr>
          <w:rFonts w:hint="eastAsia"/>
        </w:rPr>
        <w:t>考核结束工作包括但不限于以下内容：</w:t>
      </w:r>
    </w:p>
    <w:p w14:paraId="247AF3F9">
      <w:pPr>
        <w:pStyle w:val="109"/>
        <w:numPr>
          <w:ilvl w:val="1"/>
          <w:numId w:val="47"/>
        </w:numPr>
      </w:pPr>
      <w:r>
        <w:rPr>
          <w:rFonts w:hint="eastAsia"/>
        </w:rPr>
        <w:t>阅卷及成绩登记和录入；</w:t>
      </w:r>
    </w:p>
    <w:p w14:paraId="1BEE6F20">
      <w:pPr>
        <w:pStyle w:val="109"/>
      </w:pPr>
      <w:r>
        <w:rPr>
          <w:rFonts w:hint="eastAsia"/>
        </w:rPr>
        <w:t>考核结果评定；</w:t>
      </w:r>
    </w:p>
    <w:p w14:paraId="2529E609">
      <w:pPr>
        <w:pStyle w:val="109"/>
      </w:pPr>
      <w:r>
        <w:rPr>
          <w:rFonts w:hint="eastAsia"/>
        </w:rPr>
        <w:t>形成考核意见；</w:t>
      </w:r>
    </w:p>
    <w:p w14:paraId="536A9EB7">
      <w:pPr>
        <w:pStyle w:val="109"/>
      </w:pPr>
      <w:r>
        <w:rPr>
          <w:rFonts w:hint="eastAsia"/>
        </w:rPr>
        <w:t>考核资料归档；</w:t>
      </w:r>
    </w:p>
    <w:p w14:paraId="3C57BC34">
      <w:pPr>
        <w:pStyle w:val="109"/>
      </w:pPr>
      <w:r>
        <w:rPr>
          <w:rFonts w:hint="eastAsia"/>
        </w:rPr>
        <w:t>其他有关事项。</w:t>
      </w:r>
    </w:p>
    <w:p w14:paraId="0CDBFC0C">
      <w:pPr>
        <w:pStyle w:val="104"/>
        <w:spacing w:before="240" w:after="240"/>
      </w:pPr>
      <w:bookmarkStart w:id="271" w:name="_Toc185800466"/>
      <w:bookmarkStart w:id="272" w:name="_Toc185800581"/>
      <w:bookmarkStart w:id="273" w:name="_Toc185810739"/>
      <w:bookmarkStart w:id="274" w:name="_Toc185800439"/>
      <w:bookmarkStart w:id="275" w:name="_Toc202228919"/>
      <w:bookmarkStart w:id="276" w:name="_Toc201942530"/>
      <w:bookmarkStart w:id="277" w:name="_Toc203579155"/>
      <w:bookmarkStart w:id="278" w:name="_Toc202259586"/>
      <w:bookmarkStart w:id="279" w:name="_Toc203573405"/>
      <w:bookmarkStart w:id="280" w:name="_Toc203671197"/>
      <w:bookmarkStart w:id="281" w:name="_Toc203753130"/>
      <w:r>
        <w:rPr>
          <w:rFonts w:hint="eastAsia"/>
        </w:rPr>
        <w:t>培训与考核</w:t>
      </w:r>
      <w:bookmarkEnd w:id="271"/>
      <w:bookmarkEnd w:id="272"/>
      <w:bookmarkEnd w:id="273"/>
      <w:bookmarkEnd w:id="274"/>
      <w:bookmarkEnd w:id="275"/>
      <w:bookmarkEnd w:id="276"/>
      <w:r>
        <w:rPr>
          <w:rFonts w:hint="eastAsia"/>
        </w:rPr>
        <w:t>结果及运用</w:t>
      </w:r>
      <w:bookmarkEnd w:id="277"/>
      <w:bookmarkEnd w:id="278"/>
      <w:bookmarkEnd w:id="279"/>
      <w:bookmarkEnd w:id="280"/>
      <w:bookmarkEnd w:id="281"/>
    </w:p>
    <w:p w14:paraId="6E611413">
      <w:pPr>
        <w:pStyle w:val="105"/>
        <w:spacing w:before="120" w:after="120"/>
      </w:pPr>
      <w:bookmarkStart w:id="282" w:name="_Toc203573406"/>
      <w:bookmarkStart w:id="283" w:name="_Toc203671198"/>
      <w:bookmarkStart w:id="284" w:name="_Toc202259587"/>
      <w:bookmarkStart w:id="285" w:name="_Toc203753131"/>
      <w:bookmarkStart w:id="286" w:name="_Toc203579156"/>
      <w:r>
        <w:rPr>
          <w:rFonts w:hint="eastAsia"/>
        </w:rPr>
        <w:t>结果表达</w:t>
      </w:r>
      <w:bookmarkEnd w:id="282"/>
      <w:bookmarkEnd w:id="283"/>
      <w:bookmarkEnd w:id="284"/>
      <w:bookmarkEnd w:id="285"/>
      <w:bookmarkEnd w:id="286"/>
    </w:p>
    <w:p w14:paraId="1D4C1431">
      <w:pPr>
        <w:pStyle w:val="65"/>
        <w:spacing w:before="120" w:after="120"/>
      </w:pPr>
      <w:r>
        <w:rPr>
          <w:rFonts w:hint="eastAsia"/>
        </w:rPr>
        <w:t>培训结果</w:t>
      </w:r>
    </w:p>
    <w:p w14:paraId="0AAF55E0">
      <w:pPr>
        <w:pStyle w:val="164"/>
      </w:pPr>
      <w:bookmarkStart w:id="287" w:name="_Hlk203740683"/>
      <w:r>
        <w:rPr>
          <w:rFonts w:hint="eastAsia"/>
        </w:rPr>
        <w:t>结业考核采取百分制，分合格和不合格二级。</w:t>
      </w:r>
      <w:bookmarkStart w:id="288" w:name="OLE_LINK22"/>
      <w:r>
        <w:rPr>
          <w:rFonts w:hint="eastAsia"/>
        </w:rPr>
        <w:t>专业理论考核正确率60%（含）以上合格，否则不合格；实践操作考核依据评分细则进行综合评判，达标率70%（含）以上合格，否则不合格</w:t>
      </w:r>
      <w:bookmarkEnd w:id="288"/>
      <w:r>
        <w:rPr>
          <w:rFonts w:hint="eastAsia"/>
        </w:rPr>
        <w:t>。</w:t>
      </w:r>
    </w:p>
    <w:bookmarkEnd w:id="287"/>
    <w:p w14:paraId="037E1D17">
      <w:pPr>
        <w:pStyle w:val="164"/>
      </w:pPr>
      <w:bookmarkStart w:id="289" w:name="OLE_LINK38"/>
      <w:r>
        <w:rPr>
          <w:rFonts w:hint="eastAsia"/>
        </w:rPr>
        <w:t>专业理论和实践操作均合格，方可认定为</w:t>
      </w:r>
      <w:bookmarkEnd w:id="289"/>
      <w:bookmarkStart w:id="290" w:name="_Hlk202131005"/>
      <w:r>
        <w:rPr>
          <w:rFonts w:hint="eastAsia"/>
        </w:rPr>
        <w:t>培训合格，并由培训机构签发培训结业证书</w:t>
      </w:r>
      <w:bookmarkEnd w:id="290"/>
      <w:r>
        <w:rPr>
          <w:rFonts w:hint="eastAsia"/>
        </w:rPr>
        <w:t>。培训结业证书见附录D。</w:t>
      </w:r>
      <w:bookmarkStart w:id="291" w:name="_Hlk202123381"/>
    </w:p>
    <w:p w14:paraId="182E9D00">
      <w:pPr>
        <w:pStyle w:val="164"/>
      </w:pPr>
      <w:r>
        <w:rPr>
          <w:rFonts w:hint="eastAsia"/>
        </w:rPr>
        <w:t>培训不合格的不单独组织补考，应重新参加培训；合格的应根据工作需要，及时参加复训。</w:t>
      </w:r>
    </w:p>
    <w:bookmarkEnd w:id="291"/>
    <w:p w14:paraId="4F49D1D4">
      <w:pPr>
        <w:pStyle w:val="65"/>
        <w:spacing w:before="120" w:after="120"/>
      </w:pPr>
      <w:r>
        <w:rPr>
          <w:rFonts w:hint="eastAsia"/>
        </w:rPr>
        <w:t>考核结果</w:t>
      </w:r>
    </w:p>
    <w:p w14:paraId="5E03A122">
      <w:pPr>
        <w:pStyle w:val="164"/>
      </w:pPr>
      <w:r>
        <w:rPr>
          <w:rFonts w:hint="eastAsia"/>
        </w:rPr>
        <w:t>考核采取百分制，分合格和不合格二级。专业理论考核正确率70%（含）以上合格，否则不合格；实践操作考核由考核组依据评分细则综合评判，达标率80%（含）以上合格，否则不合格。</w:t>
      </w:r>
    </w:p>
    <w:p w14:paraId="4C497D80">
      <w:pPr>
        <w:pStyle w:val="164"/>
      </w:pPr>
      <w:r>
        <w:rPr>
          <w:rFonts w:hint="eastAsia"/>
        </w:rPr>
        <w:t>专业理论和实践操作均合格，方可认定为考核合格，并由考核机构发放考核合格证书。考核合格证书见附录E。</w:t>
      </w:r>
    </w:p>
    <w:p w14:paraId="3A6083C6">
      <w:pPr>
        <w:pStyle w:val="164"/>
      </w:pPr>
      <w:r>
        <w:rPr>
          <w:rFonts w:hint="eastAsia"/>
        </w:rPr>
        <w:t>考核不合格的可申请补考；合格的应根据工作需要，及时参加复训。</w:t>
      </w:r>
    </w:p>
    <w:p w14:paraId="23AC0877">
      <w:pPr>
        <w:pStyle w:val="105"/>
        <w:spacing w:before="120" w:after="120"/>
      </w:pPr>
      <w:bookmarkStart w:id="292" w:name="_Toc202259589"/>
      <w:bookmarkStart w:id="293" w:name="_Toc203753132"/>
      <w:bookmarkStart w:id="294" w:name="_Toc203671199"/>
      <w:bookmarkStart w:id="295" w:name="_Toc203573407"/>
      <w:bookmarkStart w:id="296" w:name="_Toc203579157"/>
      <w:r>
        <w:rPr>
          <w:rFonts w:hint="eastAsia"/>
        </w:rPr>
        <w:t>结果运用</w:t>
      </w:r>
      <w:bookmarkEnd w:id="292"/>
      <w:bookmarkEnd w:id="293"/>
      <w:bookmarkEnd w:id="294"/>
      <w:bookmarkEnd w:id="295"/>
      <w:bookmarkEnd w:id="296"/>
    </w:p>
    <w:p w14:paraId="19CD864A">
      <w:pPr>
        <w:pStyle w:val="165"/>
      </w:pPr>
      <w:r>
        <w:rPr>
          <w:rFonts w:hint="eastAsia" w:ascii="黑体" w:hAnsi="黑体" w:eastAsia="黑体"/>
        </w:rPr>
        <w:t>培训结果</w:t>
      </w:r>
      <w:bookmarkStart w:id="297" w:name="_Hlk203649138"/>
      <w:r>
        <w:rPr>
          <w:rFonts w:hint="eastAsia"/>
        </w:rPr>
        <w:t>宜考虑运用于以下方面：</w:t>
      </w:r>
    </w:p>
    <w:bookmarkEnd w:id="297"/>
    <w:p w14:paraId="7CA57C2D">
      <w:pPr>
        <w:pStyle w:val="109"/>
        <w:numPr>
          <w:ilvl w:val="1"/>
          <w:numId w:val="48"/>
        </w:numPr>
      </w:pPr>
      <w:r>
        <w:rPr>
          <w:rFonts w:hint="eastAsia"/>
        </w:rPr>
        <w:t>指挥员考核资格审查；</w:t>
      </w:r>
    </w:p>
    <w:p w14:paraId="7399CC7F">
      <w:pPr>
        <w:pStyle w:val="109"/>
        <w:numPr>
          <w:ilvl w:val="1"/>
          <w:numId w:val="48"/>
        </w:numPr>
      </w:pPr>
      <w:r>
        <w:rPr>
          <w:rFonts w:hint="eastAsia"/>
        </w:rPr>
        <w:t>指挥员岗位适配性评估；</w:t>
      </w:r>
    </w:p>
    <w:p w14:paraId="6E47119B">
      <w:pPr>
        <w:pStyle w:val="109"/>
      </w:pPr>
      <w:r>
        <w:rPr>
          <w:rFonts w:hint="eastAsia"/>
        </w:rPr>
        <w:t>扑救指挥任务分配；</w:t>
      </w:r>
    </w:p>
    <w:p w14:paraId="377B4FAF">
      <w:pPr>
        <w:pStyle w:val="109"/>
      </w:pPr>
      <w:r>
        <w:rPr>
          <w:rFonts w:hint="eastAsia"/>
        </w:rPr>
        <w:t>教育训练任务分配（如参与教学组训等）；</w:t>
      </w:r>
    </w:p>
    <w:p w14:paraId="10ACC777">
      <w:pPr>
        <w:pStyle w:val="109"/>
      </w:pPr>
      <w:r>
        <w:rPr>
          <w:rFonts w:hint="eastAsia"/>
        </w:rPr>
        <w:t>其他有关事项。</w:t>
      </w:r>
    </w:p>
    <w:p w14:paraId="4F6CE05E">
      <w:pPr>
        <w:pStyle w:val="165"/>
      </w:pPr>
      <w:r>
        <w:rPr>
          <w:rFonts w:hint="eastAsia" w:ascii="黑体" w:hAnsi="黑体" w:eastAsia="黑体"/>
        </w:rPr>
        <w:t>考核结果</w:t>
      </w:r>
      <w:r>
        <w:rPr>
          <w:rFonts w:hint="eastAsia"/>
        </w:rPr>
        <w:t>宜考虑运用于以下方面：</w:t>
      </w:r>
    </w:p>
    <w:p w14:paraId="1EE86292">
      <w:pPr>
        <w:pStyle w:val="109"/>
        <w:numPr>
          <w:ilvl w:val="1"/>
          <w:numId w:val="49"/>
        </w:numPr>
      </w:pPr>
      <w:r>
        <w:rPr>
          <w:rFonts w:hint="eastAsia"/>
        </w:rPr>
        <w:t>指挥员岗位胜任力评估</w:t>
      </w:r>
      <w:bookmarkStart w:id="298" w:name="_Hlk184321898"/>
      <w:r>
        <w:rPr>
          <w:rFonts w:hint="eastAsia"/>
        </w:rPr>
        <w:t>；</w:t>
      </w:r>
    </w:p>
    <w:p w14:paraId="541A4E82">
      <w:pPr>
        <w:pStyle w:val="109"/>
        <w:numPr>
          <w:ilvl w:val="1"/>
          <w:numId w:val="49"/>
        </w:numPr>
      </w:pPr>
      <w:r>
        <w:rPr>
          <w:rFonts w:hint="eastAsia"/>
        </w:rPr>
        <w:t>其他有关岗位选拔任用的参考条件；</w:t>
      </w:r>
    </w:p>
    <w:p w14:paraId="1042B868">
      <w:pPr>
        <w:pStyle w:val="109"/>
        <w:numPr>
          <w:ilvl w:val="1"/>
          <w:numId w:val="49"/>
        </w:numPr>
      </w:pPr>
      <w:r>
        <w:rPr>
          <w:rFonts w:hint="eastAsia"/>
        </w:rPr>
        <w:t>扑救指挥任务分配；</w:t>
      </w:r>
    </w:p>
    <w:p w14:paraId="6AA925D3">
      <w:pPr>
        <w:pStyle w:val="109"/>
        <w:numPr>
          <w:ilvl w:val="1"/>
          <w:numId w:val="49"/>
        </w:numPr>
      </w:pPr>
      <w:r>
        <w:rPr>
          <w:rFonts w:hint="eastAsia"/>
        </w:rPr>
        <w:t>教育训练任务分配（如组织教学组训等）；</w:t>
      </w:r>
    </w:p>
    <w:p w14:paraId="761D0AC2">
      <w:pPr>
        <w:pStyle w:val="109"/>
        <w:numPr>
          <w:ilvl w:val="1"/>
          <w:numId w:val="49"/>
        </w:numPr>
      </w:pPr>
      <w:r>
        <w:rPr>
          <w:rFonts w:hint="eastAsia"/>
        </w:rPr>
        <w:t>待遇绩效核定；</w:t>
      </w:r>
    </w:p>
    <w:p w14:paraId="53329F06">
      <w:pPr>
        <w:pStyle w:val="109"/>
        <w:numPr>
          <w:ilvl w:val="1"/>
          <w:numId w:val="49"/>
        </w:numPr>
      </w:pPr>
      <w:r>
        <w:rPr>
          <w:rFonts w:hint="eastAsia"/>
        </w:rPr>
        <w:t>建立指挥人才库；</w:t>
      </w:r>
    </w:p>
    <w:p w14:paraId="580B8E68">
      <w:pPr>
        <w:pStyle w:val="109"/>
        <w:numPr>
          <w:ilvl w:val="1"/>
          <w:numId w:val="49"/>
        </w:numPr>
      </w:pPr>
      <w:r>
        <w:rPr>
          <w:rFonts w:hint="eastAsia"/>
        </w:rPr>
        <w:t>其他有关事项。</w:t>
      </w:r>
    </w:p>
    <w:p w14:paraId="4E6314D5">
      <w:pPr>
        <w:pStyle w:val="105"/>
        <w:spacing w:before="120" w:after="120"/>
      </w:pPr>
      <w:bookmarkStart w:id="299" w:name="_Toc203579158"/>
      <w:bookmarkStart w:id="300" w:name="_Toc203573408"/>
      <w:bookmarkStart w:id="301" w:name="_Toc203753133"/>
      <w:bookmarkStart w:id="302" w:name="_Toc203671200"/>
      <w:bookmarkStart w:id="303" w:name="_Toc202259588"/>
      <w:r>
        <w:rPr>
          <w:rFonts w:hint="eastAsia"/>
        </w:rPr>
        <w:t>资料管理</w:t>
      </w:r>
      <w:bookmarkEnd w:id="299"/>
      <w:bookmarkEnd w:id="300"/>
      <w:bookmarkEnd w:id="301"/>
      <w:bookmarkEnd w:id="302"/>
      <w:bookmarkEnd w:id="303"/>
    </w:p>
    <w:p w14:paraId="4A22FC2E">
      <w:pPr>
        <w:pStyle w:val="65"/>
        <w:spacing w:before="120" w:after="120"/>
      </w:pPr>
      <w:r>
        <w:rPr>
          <w:rFonts w:hint="eastAsia"/>
        </w:rPr>
        <w:t>培训资料</w:t>
      </w:r>
    </w:p>
    <w:p w14:paraId="3B315185">
      <w:pPr>
        <w:pStyle w:val="56"/>
        <w:ind w:firstLine="420"/>
      </w:pPr>
      <w:r>
        <w:rPr>
          <w:rFonts w:hint="eastAsia"/>
        </w:rPr>
        <w:t>培训机构应建立培训档案，并长期保存（不少于5年），包括但不限于：培训方案、通知、签到与考勤记录、讲义、教案、试卷、以及相关图文、音（影）像记录等资料。</w:t>
      </w:r>
    </w:p>
    <w:p w14:paraId="6E1128DD">
      <w:pPr>
        <w:pStyle w:val="65"/>
        <w:spacing w:before="120" w:after="120"/>
      </w:pPr>
      <w:r>
        <w:rPr>
          <w:rFonts w:hint="eastAsia"/>
        </w:rPr>
        <w:t>考核资料</w:t>
      </w:r>
    </w:p>
    <w:p w14:paraId="2359A66A">
      <w:pPr>
        <w:pStyle w:val="56"/>
        <w:ind w:firstLine="420"/>
      </w:pPr>
      <w:r>
        <w:rPr>
          <w:rFonts w:hint="eastAsia"/>
        </w:rPr>
        <w:t>考核机构应建立考核档案，并长期保存</w:t>
      </w:r>
      <w:bookmarkStart w:id="304" w:name="OLE_LINK47"/>
      <w:r>
        <w:rPr>
          <w:rFonts w:hint="eastAsia"/>
        </w:rPr>
        <w:t>（不少于5年）</w:t>
      </w:r>
      <w:bookmarkEnd w:id="304"/>
      <w:r>
        <w:rPr>
          <w:rFonts w:hint="eastAsia"/>
        </w:rPr>
        <w:t>，包括但不限于：考核方案、通知、签到、试卷、成绩以及相关图文、音（影）像记录等</w:t>
      </w:r>
      <w:bookmarkEnd w:id="298"/>
      <w:r>
        <w:rPr>
          <w:rFonts w:hint="eastAsia"/>
        </w:rPr>
        <w:t>资料。</w:t>
      </w:r>
    </w:p>
    <w:p w14:paraId="4151FB5D">
      <w:pPr>
        <w:pStyle w:val="56"/>
        <w:ind w:firstLine="420"/>
        <w:sectPr>
          <w:pgSz w:w="11906" w:h="16838"/>
          <w:pgMar w:top="1928" w:right="1134" w:bottom="1134" w:left="1134" w:header="1418" w:footer="1134" w:gutter="284"/>
          <w:cols w:space="425" w:num="1"/>
          <w:formProt w:val="0"/>
          <w:docGrid w:linePitch="312" w:charSpace="0"/>
        </w:sectPr>
      </w:pPr>
    </w:p>
    <w:bookmarkEnd w:id="17"/>
    <w:p w14:paraId="0124E3E0">
      <w:pPr>
        <w:pStyle w:val="198"/>
        <w:rPr>
          <w:rFonts w:hint="eastAsia"/>
          <w:vanish w:val="0"/>
        </w:rPr>
      </w:pPr>
      <w:bookmarkStart w:id="305" w:name="BookMark5"/>
    </w:p>
    <w:p w14:paraId="7F46A79E">
      <w:pPr>
        <w:pStyle w:val="199"/>
        <w:rPr>
          <w:vanish w:val="0"/>
        </w:rPr>
      </w:pPr>
    </w:p>
    <w:p w14:paraId="54994EC9">
      <w:pPr>
        <w:pStyle w:val="76"/>
        <w:spacing w:after="120"/>
      </w:pPr>
      <w:r>
        <w:br w:type="textWrapping"/>
      </w:r>
      <w:bookmarkStart w:id="306" w:name="_Toc203573409"/>
      <w:bookmarkStart w:id="307" w:name="_Toc203579159"/>
      <w:bookmarkStart w:id="308" w:name="_Toc203671201"/>
      <w:bookmarkStart w:id="309" w:name="_Toc203753134"/>
      <w:r>
        <w:rPr>
          <w:rFonts w:hint="eastAsia"/>
        </w:rPr>
        <w:t>（规范性）</w:t>
      </w:r>
      <w:r>
        <w:br w:type="textWrapping"/>
      </w:r>
      <w:r>
        <w:rPr>
          <w:rFonts w:hint="eastAsia"/>
        </w:rPr>
        <w:t>地方森林草原防灭火有关业务部门火灾扑救指挥员</w:t>
      </w:r>
      <w:bookmarkEnd w:id="306"/>
      <w:bookmarkEnd w:id="307"/>
      <w:r>
        <w:rPr>
          <w:rFonts w:hint="eastAsia"/>
        </w:rPr>
        <w:t>培训设置</w:t>
      </w:r>
      <w:bookmarkEnd w:id="308"/>
      <w:bookmarkEnd w:id="309"/>
    </w:p>
    <w:p w14:paraId="18705A1A">
      <w:pPr>
        <w:pStyle w:val="56"/>
        <w:ind w:firstLine="420"/>
      </w:pPr>
      <w:bookmarkStart w:id="310" w:name="OLE_LINK43"/>
      <w:r>
        <w:rPr>
          <w:rFonts w:hint="eastAsia"/>
        </w:rPr>
        <w:t>表A.1和表A.2分别规定了县级及以下指挥员、市级和省级指挥员培训培训学时、培训方式、知会程度要求及结业考核方式。</w:t>
      </w:r>
    </w:p>
    <w:bookmarkEnd w:id="310"/>
    <w:p w14:paraId="293D4C32">
      <w:pPr>
        <w:pStyle w:val="77"/>
        <w:spacing w:before="120" w:after="120"/>
      </w:pPr>
      <w:r>
        <w:rPr>
          <w:rFonts w:hint="eastAsia"/>
        </w:rPr>
        <w:t>县级及以下指挥员培训设置</w:t>
      </w:r>
    </w:p>
    <w:tbl>
      <w:tblPr>
        <w:tblStyle w:val="27"/>
        <w:tblW w:w="9527" w:type="dxa"/>
        <w:jc w:val="center"/>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Layout w:type="autofit"/>
        <w:tblCellMar>
          <w:top w:w="0" w:type="dxa"/>
          <w:left w:w="100" w:type="dxa"/>
          <w:bottom w:w="0" w:type="dxa"/>
          <w:right w:w="100" w:type="dxa"/>
        </w:tblCellMar>
      </w:tblPr>
      <w:tblGrid>
        <w:gridCol w:w="986"/>
        <w:gridCol w:w="1279"/>
        <w:gridCol w:w="711"/>
        <w:gridCol w:w="995"/>
        <w:gridCol w:w="4135"/>
        <w:gridCol w:w="1421"/>
      </w:tblGrid>
      <w:tr w14:paraId="6420A275">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0" w:type="dxa"/>
            <w:bottom w:w="0" w:type="dxa"/>
            <w:right w:w="100" w:type="dxa"/>
          </w:tblCellMar>
        </w:tblPrEx>
        <w:trPr>
          <w:trHeight w:val="647" w:hRule="atLeast"/>
          <w:tblHeader/>
          <w:jc w:val="center"/>
        </w:trPr>
        <w:tc>
          <w:tcPr>
            <w:tcW w:w="986" w:type="dxa"/>
            <w:tcBorders>
              <w:top w:val="single" w:color="auto" w:sz="8" w:space="0"/>
            </w:tcBorders>
            <w:vAlign w:val="center"/>
          </w:tcPr>
          <w:p w14:paraId="2FA0EF36">
            <w:pPr>
              <w:pStyle w:val="178"/>
            </w:pPr>
            <w:bookmarkStart w:id="311" w:name="_Hlk203561672"/>
            <w:r>
              <w:rPr>
                <w:rFonts w:hint="eastAsia"/>
              </w:rPr>
              <w:t>课目</w:t>
            </w:r>
          </w:p>
        </w:tc>
        <w:tc>
          <w:tcPr>
            <w:tcW w:w="1279" w:type="dxa"/>
            <w:tcBorders>
              <w:top w:val="single" w:color="auto" w:sz="8" w:space="0"/>
            </w:tcBorders>
            <w:vAlign w:val="center"/>
          </w:tcPr>
          <w:p w14:paraId="4C05A450">
            <w:pPr>
              <w:pStyle w:val="178"/>
            </w:pPr>
            <w:r>
              <w:rPr>
                <w:rFonts w:hint="eastAsia"/>
              </w:rPr>
              <w:t>内容</w:t>
            </w:r>
          </w:p>
        </w:tc>
        <w:tc>
          <w:tcPr>
            <w:tcW w:w="711" w:type="dxa"/>
            <w:tcBorders>
              <w:top w:val="single" w:color="auto" w:sz="8" w:space="0"/>
            </w:tcBorders>
            <w:vAlign w:val="center"/>
          </w:tcPr>
          <w:p w14:paraId="0F7D65A9">
            <w:pPr>
              <w:pStyle w:val="178"/>
            </w:pPr>
            <w:r>
              <w:rPr>
                <w:rFonts w:hint="eastAsia"/>
              </w:rPr>
              <w:t>学时</w:t>
            </w:r>
          </w:p>
        </w:tc>
        <w:tc>
          <w:tcPr>
            <w:tcW w:w="995" w:type="dxa"/>
            <w:tcBorders>
              <w:top w:val="single" w:color="auto" w:sz="8" w:space="0"/>
            </w:tcBorders>
            <w:vAlign w:val="center"/>
          </w:tcPr>
          <w:p w14:paraId="58B1BAA4">
            <w:pPr>
              <w:pStyle w:val="178"/>
            </w:pPr>
            <w:r>
              <w:rPr>
                <w:rFonts w:hint="eastAsia"/>
              </w:rPr>
              <w:t>培训方式</w:t>
            </w:r>
          </w:p>
        </w:tc>
        <w:tc>
          <w:tcPr>
            <w:tcW w:w="4135" w:type="dxa"/>
            <w:tcBorders>
              <w:top w:val="single" w:color="auto" w:sz="8" w:space="0"/>
            </w:tcBorders>
            <w:vAlign w:val="center"/>
          </w:tcPr>
          <w:p w14:paraId="355212E6">
            <w:pPr>
              <w:pStyle w:val="178"/>
            </w:pPr>
            <w:r>
              <w:rPr>
                <w:rFonts w:hint="eastAsia"/>
              </w:rPr>
              <w:t>知会程度要求</w:t>
            </w:r>
          </w:p>
        </w:tc>
        <w:tc>
          <w:tcPr>
            <w:tcW w:w="1421" w:type="dxa"/>
            <w:tcBorders>
              <w:top w:val="single" w:color="auto" w:sz="8" w:space="0"/>
            </w:tcBorders>
            <w:vAlign w:val="center"/>
          </w:tcPr>
          <w:p w14:paraId="28ABDBEC">
            <w:pPr>
              <w:pStyle w:val="178"/>
            </w:pPr>
            <w:r>
              <w:rPr>
                <w:rFonts w:hint="eastAsia"/>
              </w:rPr>
              <w:t>结业考核方式</w:t>
            </w:r>
          </w:p>
        </w:tc>
      </w:tr>
      <w:tr w14:paraId="2EE43F88">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0" w:type="dxa"/>
            <w:bottom w:w="0" w:type="dxa"/>
            <w:right w:w="100" w:type="dxa"/>
          </w:tblCellMar>
        </w:tblPrEx>
        <w:trPr>
          <w:trHeight w:val="851" w:hRule="atLeast"/>
          <w:jc w:val="center"/>
        </w:trPr>
        <w:tc>
          <w:tcPr>
            <w:tcW w:w="986" w:type="dxa"/>
            <w:vMerge w:val="restart"/>
            <w:vAlign w:val="center"/>
          </w:tcPr>
          <w:p w14:paraId="53054569">
            <w:pPr>
              <w:pStyle w:val="178"/>
            </w:pPr>
            <w:bookmarkStart w:id="312" w:name="_Hlk203573285"/>
            <w:r>
              <w:rPr>
                <w:rFonts w:hint="eastAsia"/>
              </w:rPr>
              <w:t>灭火基础</w:t>
            </w:r>
          </w:p>
        </w:tc>
        <w:tc>
          <w:tcPr>
            <w:tcW w:w="1279" w:type="dxa"/>
            <w:vAlign w:val="center"/>
          </w:tcPr>
          <w:p w14:paraId="0C449DFF">
            <w:pPr>
              <w:pStyle w:val="178"/>
            </w:pPr>
            <w:r>
              <w:rPr>
                <w:rFonts w:hint="eastAsia"/>
                <w:color w:val="000000"/>
                <w:szCs w:val="18"/>
              </w:rPr>
              <w:t>林学基础</w:t>
            </w:r>
          </w:p>
        </w:tc>
        <w:tc>
          <w:tcPr>
            <w:tcW w:w="711" w:type="dxa"/>
            <w:vAlign w:val="center"/>
          </w:tcPr>
          <w:p w14:paraId="3F6DF2BD">
            <w:pPr>
              <w:pStyle w:val="178"/>
            </w:pPr>
            <w:r>
              <w:rPr>
                <w:rFonts w:hint="eastAsia"/>
                <w:color w:val="000000"/>
                <w:szCs w:val="18"/>
              </w:rPr>
              <w:t>2</w:t>
            </w:r>
          </w:p>
        </w:tc>
        <w:tc>
          <w:tcPr>
            <w:tcW w:w="995" w:type="dxa"/>
            <w:vAlign w:val="center"/>
          </w:tcPr>
          <w:p w14:paraId="780611DA">
            <w:pPr>
              <w:pStyle w:val="178"/>
            </w:pPr>
            <w:r>
              <w:rPr/>
              <w:sym w:font="Wingdings" w:char="F0A1"/>
            </w:r>
          </w:p>
        </w:tc>
        <w:tc>
          <w:tcPr>
            <w:tcW w:w="4135" w:type="dxa"/>
            <w:vAlign w:val="center"/>
          </w:tcPr>
          <w:p w14:paraId="1BE7C631">
            <w:pPr>
              <w:pStyle w:val="178"/>
              <w:jc w:val="both"/>
            </w:pPr>
            <w:r>
              <w:rPr>
                <w:rFonts w:hint="eastAsia"/>
                <w:color w:val="000000"/>
                <w:szCs w:val="18"/>
              </w:rPr>
              <w:t>了解林业和草原相关概念、熟悉辖区森林草原资源概况及植被结构特征，掌握辖区防火期植被物候特征。</w:t>
            </w:r>
          </w:p>
        </w:tc>
        <w:tc>
          <w:tcPr>
            <w:tcW w:w="1421" w:type="dxa"/>
            <w:vAlign w:val="center"/>
          </w:tcPr>
          <w:p w14:paraId="25AB1228">
            <w:pPr>
              <w:pStyle w:val="178"/>
            </w:pPr>
            <w:r>
              <w:rPr/>
              <w:sym w:font="Wingdings 2" w:char="F0A3"/>
            </w:r>
          </w:p>
        </w:tc>
      </w:tr>
      <w:tr w14:paraId="3C0E76F5">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0" w:type="dxa"/>
            <w:bottom w:w="0" w:type="dxa"/>
            <w:right w:w="100" w:type="dxa"/>
          </w:tblCellMar>
        </w:tblPrEx>
        <w:trPr>
          <w:trHeight w:val="851" w:hRule="atLeast"/>
          <w:jc w:val="center"/>
        </w:trPr>
        <w:tc>
          <w:tcPr>
            <w:tcW w:w="986" w:type="dxa"/>
            <w:vMerge w:val="continue"/>
            <w:vAlign w:val="center"/>
          </w:tcPr>
          <w:p w14:paraId="05660453">
            <w:pPr>
              <w:pStyle w:val="178"/>
            </w:pPr>
          </w:p>
        </w:tc>
        <w:tc>
          <w:tcPr>
            <w:tcW w:w="1279" w:type="dxa"/>
            <w:vAlign w:val="center"/>
          </w:tcPr>
          <w:p w14:paraId="35C0954E">
            <w:pPr>
              <w:pStyle w:val="178"/>
            </w:pPr>
            <w:r>
              <w:rPr>
                <w:rFonts w:hint="eastAsia"/>
                <w:color w:val="000000"/>
                <w:szCs w:val="18"/>
              </w:rPr>
              <w:t>气象学基础</w:t>
            </w:r>
          </w:p>
        </w:tc>
        <w:tc>
          <w:tcPr>
            <w:tcW w:w="711" w:type="dxa"/>
            <w:vAlign w:val="center"/>
          </w:tcPr>
          <w:p w14:paraId="382CB12C">
            <w:pPr>
              <w:pStyle w:val="178"/>
            </w:pPr>
            <w:r>
              <w:rPr>
                <w:rFonts w:hint="eastAsia"/>
                <w:color w:val="000000"/>
                <w:szCs w:val="18"/>
              </w:rPr>
              <w:t>2</w:t>
            </w:r>
          </w:p>
        </w:tc>
        <w:tc>
          <w:tcPr>
            <w:tcW w:w="995" w:type="dxa"/>
            <w:vAlign w:val="center"/>
          </w:tcPr>
          <w:p w14:paraId="2595A4AD">
            <w:pPr>
              <w:pStyle w:val="178"/>
            </w:pPr>
            <w:r>
              <w:rPr/>
              <w:sym w:font="Wingdings" w:char="F0A1"/>
            </w:r>
          </w:p>
        </w:tc>
        <w:tc>
          <w:tcPr>
            <w:tcW w:w="4135" w:type="dxa"/>
            <w:vAlign w:val="center"/>
          </w:tcPr>
          <w:p w14:paraId="78DB4375">
            <w:pPr>
              <w:pStyle w:val="178"/>
              <w:jc w:val="both"/>
            </w:pPr>
            <w:r>
              <w:rPr>
                <w:rFonts w:hint="eastAsia"/>
                <w:color w:val="000000"/>
                <w:szCs w:val="18"/>
              </w:rPr>
              <w:t>了解森林草原火险气象因子种类，熟悉气象对火灾的影响机理，掌握属地森林草原火险气象规律。</w:t>
            </w:r>
          </w:p>
        </w:tc>
        <w:tc>
          <w:tcPr>
            <w:tcW w:w="1421" w:type="dxa"/>
            <w:vAlign w:val="center"/>
          </w:tcPr>
          <w:p w14:paraId="0EB7CBB4">
            <w:pPr>
              <w:pStyle w:val="178"/>
            </w:pPr>
            <w:r>
              <w:rPr/>
              <w:sym w:font="Wingdings 2" w:char="F0A3"/>
            </w:r>
          </w:p>
        </w:tc>
      </w:tr>
      <w:tr w14:paraId="0ABEEB21">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0" w:type="dxa"/>
            <w:bottom w:w="0" w:type="dxa"/>
            <w:right w:w="100" w:type="dxa"/>
          </w:tblCellMar>
        </w:tblPrEx>
        <w:trPr>
          <w:trHeight w:val="851" w:hRule="atLeast"/>
          <w:jc w:val="center"/>
        </w:trPr>
        <w:tc>
          <w:tcPr>
            <w:tcW w:w="986" w:type="dxa"/>
            <w:vMerge w:val="continue"/>
            <w:vAlign w:val="center"/>
          </w:tcPr>
          <w:p w14:paraId="11F6622F">
            <w:pPr>
              <w:pStyle w:val="178"/>
            </w:pPr>
          </w:p>
        </w:tc>
        <w:tc>
          <w:tcPr>
            <w:tcW w:w="1279" w:type="dxa"/>
            <w:vAlign w:val="center"/>
          </w:tcPr>
          <w:p w14:paraId="34215BFF">
            <w:pPr>
              <w:pStyle w:val="178"/>
            </w:pPr>
            <w:r>
              <w:rPr>
                <w:rFonts w:hint="eastAsia"/>
                <w:color w:val="000000"/>
                <w:szCs w:val="18"/>
              </w:rPr>
              <w:t>地形学基础</w:t>
            </w:r>
          </w:p>
        </w:tc>
        <w:tc>
          <w:tcPr>
            <w:tcW w:w="711" w:type="dxa"/>
            <w:vAlign w:val="center"/>
          </w:tcPr>
          <w:p w14:paraId="7ED324F1">
            <w:pPr>
              <w:pStyle w:val="178"/>
            </w:pPr>
            <w:r>
              <w:rPr>
                <w:rFonts w:hint="eastAsia"/>
                <w:color w:val="000000"/>
                <w:szCs w:val="18"/>
              </w:rPr>
              <w:t>2</w:t>
            </w:r>
          </w:p>
        </w:tc>
        <w:tc>
          <w:tcPr>
            <w:tcW w:w="995" w:type="dxa"/>
            <w:vAlign w:val="center"/>
          </w:tcPr>
          <w:p w14:paraId="053D338E">
            <w:pPr>
              <w:pStyle w:val="178"/>
            </w:pPr>
            <w:r>
              <w:rPr/>
              <w:sym w:font="Wingdings" w:char="F0A1"/>
            </w:r>
          </w:p>
        </w:tc>
        <w:tc>
          <w:tcPr>
            <w:tcW w:w="4135" w:type="dxa"/>
            <w:vAlign w:val="center"/>
          </w:tcPr>
          <w:p w14:paraId="17EF87C2">
            <w:pPr>
              <w:pStyle w:val="178"/>
              <w:jc w:val="both"/>
            </w:pPr>
            <w:r>
              <w:rPr>
                <w:rFonts w:hint="eastAsia"/>
                <w:color w:val="000000"/>
                <w:szCs w:val="18"/>
              </w:rPr>
              <w:t>了解森地形对火灾的影响机理，熟悉辖区地形地貌征，掌握火场地形图、态势图判读方法。</w:t>
            </w:r>
          </w:p>
        </w:tc>
        <w:tc>
          <w:tcPr>
            <w:tcW w:w="1421" w:type="dxa"/>
            <w:vAlign w:val="center"/>
          </w:tcPr>
          <w:p w14:paraId="5B37E7A7">
            <w:pPr>
              <w:pStyle w:val="178"/>
            </w:pPr>
            <w:r>
              <w:rPr/>
              <w:sym w:font="Wingdings 2" w:char="F0A3"/>
            </w:r>
          </w:p>
        </w:tc>
      </w:tr>
      <w:tr w14:paraId="6B3B0A9E">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0" w:type="dxa"/>
            <w:bottom w:w="0" w:type="dxa"/>
            <w:right w:w="100" w:type="dxa"/>
          </w:tblCellMar>
        </w:tblPrEx>
        <w:trPr>
          <w:trHeight w:val="851" w:hRule="atLeast"/>
          <w:jc w:val="center"/>
        </w:trPr>
        <w:tc>
          <w:tcPr>
            <w:tcW w:w="986" w:type="dxa"/>
            <w:vMerge w:val="continue"/>
            <w:vAlign w:val="center"/>
          </w:tcPr>
          <w:p w14:paraId="594F1552">
            <w:pPr>
              <w:pStyle w:val="178"/>
            </w:pPr>
          </w:p>
        </w:tc>
        <w:tc>
          <w:tcPr>
            <w:tcW w:w="1279" w:type="dxa"/>
            <w:vAlign w:val="center"/>
          </w:tcPr>
          <w:p w14:paraId="49F1DDCE">
            <w:pPr>
              <w:pStyle w:val="178"/>
            </w:pPr>
            <w:r>
              <w:rPr>
                <w:rFonts w:hint="eastAsia"/>
                <w:color w:val="000000"/>
                <w:szCs w:val="18"/>
              </w:rPr>
              <w:t>指挥学基础</w:t>
            </w:r>
          </w:p>
        </w:tc>
        <w:tc>
          <w:tcPr>
            <w:tcW w:w="711" w:type="dxa"/>
            <w:vAlign w:val="center"/>
          </w:tcPr>
          <w:p w14:paraId="5ED6FAB4">
            <w:pPr>
              <w:pStyle w:val="178"/>
            </w:pPr>
            <w:r>
              <w:rPr>
                <w:rFonts w:hint="eastAsia"/>
                <w:color w:val="000000"/>
                <w:szCs w:val="18"/>
              </w:rPr>
              <w:t>2</w:t>
            </w:r>
          </w:p>
        </w:tc>
        <w:tc>
          <w:tcPr>
            <w:tcW w:w="995" w:type="dxa"/>
            <w:vAlign w:val="center"/>
          </w:tcPr>
          <w:p w14:paraId="785CC78B">
            <w:pPr>
              <w:pStyle w:val="178"/>
            </w:pPr>
            <w:r>
              <w:rPr/>
              <w:sym w:font="Wingdings" w:char="F0A1"/>
            </w:r>
          </w:p>
        </w:tc>
        <w:tc>
          <w:tcPr>
            <w:tcW w:w="4135" w:type="dxa"/>
            <w:vAlign w:val="center"/>
          </w:tcPr>
          <w:p w14:paraId="1A601EE0">
            <w:pPr>
              <w:pStyle w:val="178"/>
              <w:jc w:val="both"/>
            </w:pPr>
            <w:r>
              <w:rPr>
                <w:rFonts w:hint="eastAsia"/>
                <w:color w:val="000000"/>
                <w:szCs w:val="18"/>
              </w:rPr>
              <w:t>了解森林草原灭火指挥特征，熟悉灭火指挥要素及任务，掌握灭火指挥原则。</w:t>
            </w:r>
          </w:p>
        </w:tc>
        <w:tc>
          <w:tcPr>
            <w:tcW w:w="1421" w:type="dxa"/>
            <w:vAlign w:val="center"/>
          </w:tcPr>
          <w:p w14:paraId="748D491E">
            <w:pPr>
              <w:pStyle w:val="178"/>
            </w:pPr>
            <w:r>
              <w:rPr/>
              <w:sym w:font="Wingdings 2" w:char="F0A3"/>
            </w:r>
          </w:p>
        </w:tc>
      </w:tr>
      <w:tr w14:paraId="53EF1110">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0" w:type="dxa"/>
            <w:bottom w:w="0" w:type="dxa"/>
            <w:right w:w="100" w:type="dxa"/>
          </w:tblCellMar>
        </w:tblPrEx>
        <w:trPr>
          <w:trHeight w:val="851" w:hRule="atLeast"/>
          <w:jc w:val="center"/>
        </w:trPr>
        <w:tc>
          <w:tcPr>
            <w:tcW w:w="986" w:type="dxa"/>
            <w:vMerge w:val="continue"/>
            <w:vAlign w:val="center"/>
          </w:tcPr>
          <w:p w14:paraId="53134004">
            <w:pPr>
              <w:pStyle w:val="178"/>
            </w:pPr>
          </w:p>
        </w:tc>
        <w:tc>
          <w:tcPr>
            <w:tcW w:w="1279" w:type="dxa"/>
            <w:vAlign w:val="center"/>
          </w:tcPr>
          <w:p w14:paraId="248BB398">
            <w:pPr>
              <w:pStyle w:val="178"/>
            </w:pPr>
            <w:r>
              <w:rPr>
                <w:rFonts w:hint="eastAsia"/>
                <w:color w:val="000000"/>
                <w:szCs w:val="18"/>
              </w:rPr>
              <w:t>林火原理</w:t>
            </w:r>
          </w:p>
        </w:tc>
        <w:tc>
          <w:tcPr>
            <w:tcW w:w="711" w:type="dxa"/>
            <w:vAlign w:val="center"/>
          </w:tcPr>
          <w:p w14:paraId="1E759567">
            <w:pPr>
              <w:pStyle w:val="178"/>
            </w:pPr>
            <w:r>
              <w:rPr>
                <w:rFonts w:hint="eastAsia"/>
                <w:color w:val="000000"/>
                <w:szCs w:val="18"/>
              </w:rPr>
              <w:t>2</w:t>
            </w:r>
          </w:p>
        </w:tc>
        <w:tc>
          <w:tcPr>
            <w:tcW w:w="995" w:type="dxa"/>
            <w:vAlign w:val="center"/>
          </w:tcPr>
          <w:p w14:paraId="1FF15953">
            <w:pPr>
              <w:pStyle w:val="178"/>
            </w:pPr>
            <w:r>
              <w:rPr/>
              <w:sym w:font="Wingdings" w:char="F0A1"/>
            </w:r>
          </w:p>
        </w:tc>
        <w:tc>
          <w:tcPr>
            <w:tcW w:w="4135" w:type="dxa"/>
            <w:vAlign w:val="center"/>
          </w:tcPr>
          <w:p w14:paraId="08FC94E1">
            <w:pPr>
              <w:pStyle w:val="178"/>
              <w:jc w:val="both"/>
            </w:pPr>
            <w:r>
              <w:rPr>
                <w:rFonts w:hint="eastAsia"/>
                <w:color w:val="000000"/>
                <w:szCs w:val="18"/>
              </w:rPr>
              <w:t>了解常见森林草原可燃物种类，熟悉辖区森林草原燃烧机理及可燃物燃烧性，掌握林火和草原火行为特征及灭火机理。</w:t>
            </w:r>
          </w:p>
        </w:tc>
        <w:tc>
          <w:tcPr>
            <w:tcW w:w="1421" w:type="dxa"/>
            <w:vAlign w:val="center"/>
          </w:tcPr>
          <w:p w14:paraId="5CE83967">
            <w:pPr>
              <w:pStyle w:val="178"/>
            </w:pPr>
            <w:r>
              <w:rPr/>
              <w:sym w:font="Wingdings 2" w:char="F0A3"/>
            </w:r>
          </w:p>
        </w:tc>
      </w:tr>
      <w:tr w14:paraId="485FF285">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0" w:type="dxa"/>
            <w:bottom w:w="0" w:type="dxa"/>
            <w:right w:w="100" w:type="dxa"/>
          </w:tblCellMar>
        </w:tblPrEx>
        <w:trPr>
          <w:trHeight w:val="851" w:hRule="atLeast"/>
          <w:jc w:val="center"/>
        </w:trPr>
        <w:tc>
          <w:tcPr>
            <w:tcW w:w="986" w:type="dxa"/>
            <w:vMerge w:val="continue"/>
            <w:vAlign w:val="center"/>
          </w:tcPr>
          <w:p w14:paraId="156E7B31">
            <w:pPr>
              <w:pStyle w:val="178"/>
            </w:pPr>
          </w:p>
        </w:tc>
        <w:tc>
          <w:tcPr>
            <w:tcW w:w="1279" w:type="dxa"/>
            <w:vAlign w:val="center"/>
          </w:tcPr>
          <w:p w14:paraId="4A78BB40">
            <w:pPr>
              <w:pStyle w:val="178"/>
            </w:pPr>
            <w:r>
              <w:rPr>
                <w:rFonts w:hint="eastAsia"/>
                <w:color w:val="000000"/>
                <w:szCs w:val="18"/>
              </w:rPr>
              <w:t>防火勤务</w:t>
            </w:r>
          </w:p>
        </w:tc>
        <w:tc>
          <w:tcPr>
            <w:tcW w:w="711" w:type="dxa"/>
            <w:vAlign w:val="center"/>
          </w:tcPr>
          <w:p w14:paraId="14B465C9">
            <w:pPr>
              <w:pStyle w:val="178"/>
            </w:pPr>
            <w:r>
              <w:rPr>
                <w:rFonts w:hint="eastAsia"/>
                <w:color w:val="000000"/>
                <w:szCs w:val="18"/>
              </w:rPr>
              <w:t>2</w:t>
            </w:r>
          </w:p>
        </w:tc>
        <w:tc>
          <w:tcPr>
            <w:tcW w:w="995" w:type="dxa"/>
            <w:vAlign w:val="center"/>
          </w:tcPr>
          <w:p w14:paraId="67B19A32">
            <w:pPr>
              <w:pStyle w:val="178"/>
            </w:pPr>
            <w:r>
              <w:rPr/>
              <w:sym w:font="Wingdings" w:char="F0A1"/>
            </w:r>
          </w:p>
        </w:tc>
        <w:tc>
          <w:tcPr>
            <w:tcW w:w="4135" w:type="dxa"/>
            <w:vAlign w:val="center"/>
          </w:tcPr>
          <w:p w14:paraId="237569A0">
            <w:pPr>
              <w:pStyle w:val="178"/>
              <w:jc w:val="both"/>
            </w:pPr>
            <w:r>
              <w:rPr>
                <w:rFonts w:hint="eastAsia"/>
                <w:color w:val="000000"/>
                <w:szCs w:val="18"/>
              </w:rPr>
              <w:t>了解森林防火勤务种类，熟悉勤务主要工作内容。</w:t>
            </w:r>
          </w:p>
        </w:tc>
        <w:tc>
          <w:tcPr>
            <w:tcW w:w="1421" w:type="dxa"/>
            <w:vAlign w:val="center"/>
          </w:tcPr>
          <w:p w14:paraId="6A61E375">
            <w:pPr>
              <w:pStyle w:val="178"/>
            </w:pPr>
            <w:r>
              <w:rPr/>
              <w:sym w:font="Wingdings 2" w:char="F0A3"/>
            </w:r>
          </w:p>
        </w:tc>
      </w:tr>
      <w:tr w14:paraId="26721FCA">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0" w:type="dxa"/>
            <w:bottom w:w="0" w:type="dxa"/>
            <w:right w:w="100" w:type="dxa"/>
          </w:tblCellMar>
        </w:tblPrEx>
        <w:trPr>
          <w:trHeight w:val="851" w:hRule="atLeast"/>
          <w:jc w:val="center"/>
        </w:trPr>
        <w:tc>
          <w:tcPr>
            <w:tcW w:w="986" w:type="dxa"/>
            <w:vMerge w:val="continue"/>
            <w:vAlign w:val="center"/>
          </w:tcPr>
          <w:p w14:paraId="23E7AB30">
            <w:pPr>
              <w:pStyle w:val="178"/>
            </w:pPr>
          </w:p>
        </w:tc>
        <w:tc>
          <w:tcPr>
            <w:tcW w:w="1279" w:type="dxa"/>
            <w:vAlign w:val="center"/>
          </w:tcPr>
          <w:p w14:paraId="099F263C">
            <w:pPr>
              <w:pStyle w:val="178"/>
            </w:pPr>
            <w:r>
              <w:rPr>
                <w:rFonts w:hint="eastAsia"/>
                <w:color w:val="000000"/>
                <w:szCs w:val="18"/>
              </w:rPr>
              <w:t>林火管理政策与法规</w:t>
            </w:r>
          </w:p>
        </w:tc>
        <w:tc>
          <w:tcPr>
            <w:tcW w:w="711" w:type="dxa"/>
            <w:vAlign w:val="center"/>
          </w:tcPr>
          <w:p w14:paraId="398A7E73">
            <w:pPr>
              <w:pStyle w:val="178"/>
            </w:pPr>
            <w:r>
              <w:rPr>
                <w:rFonts w:hint="eastAsia"/>
                <w:color w:val="000000"/>
                <w:szCs w:val="18"/>
              </w:rPr>
              <w:t>4</w:t>
            </w:r>
          </w:p>
        </w:tc>
        <w:tc>
          <w:tcPr>
            <w:tcW w:w="995" w:type="dxa"/>
            <w:vAlign w:val="center"/>
          </w:tcPr>
          <w:p w14:paraId="1121D387">
            <w:pPr>
              <w:pStyle w:val="178"/>
            </w:pPr>
            <w:r>
              <w:rPr/>
              <w:sym w:font="Wingdings" w:char="F0A1"/>
            </w:r>
          </w:p>
        </w:tc>
        <w:tc>
          <w:tcPr>
            <w:tcW w:w="4135" w:type="dxa"/>
            <w:vAlign w:val="center"/>
          </w:tcPr>
          <w:p w14:paraId="59BC9C09">
            <w:pPr>
              <w:pStyle w:val="178"/>
              <w:jc w:val="both"/>
            </w:pPr>
            <w:r>
              <w:rPr>
                <w:rFonts w:hint="eastAsia"/>
                <w:color w:val="000000"/>
                <w:szCs w:val="18"/>
              </w:rPr>
              <w:t>了解国内外森林草原火灾形势，熟悉森林草原防灭火有关法规，掌握森林草原防灭火工作政策。</w:t>
            </w:r>
          </w:p>
        </w:tc>
        <w:tc>
          <w:tcPr>
            <w:tcW w:w="1421" w:type="dxa"/>
            <w:vAlign w:val="center"/>
          </w:tcPr>
          <w:p w14:paraId="33BAF5BD">
            <w:pPr>
              <w:pStyle w:val="178"/>
            </w:pPr>
            <w:r>
              <w:rPr/>
              <w:sym w:font="Wingdings 2" w:char="F0A3"/>
            </w:r>
          </w:p>
        </w:tc>
      </w:tr>
      <w:tr w14:paraId="37EE6445">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0" w:type="dxa"/>
            <w:bottom w:w="0" w:type="dxa"/>
            <w:right w:w="100" w:type="dxa"/>
          </w:tblCellMar>
        </w:tblPrEx>
        <w:trPr>
          <w:trHeight w:val="851" w:hRule="atLeast"/>
          <w:jc w:val="center"/>
        </w:trPr>
        <w:tc>
          <w:tcPr>
            <w:tcW w:w="986" w:type="dxa"/>
            <w:vMerge w:val="restart"/>
            <w:vAlign w:val="center"/>
          </w:tcPr>
          <w:p w14:paraId="033A50D8">
            <w:pPr>
              <w:pStyle w:val="178"/>
            </w:pPr>
            <w:r>
              <w:rPr>
                <w:rFonts w:hint="eastAsia"/>
              </w:rPr>
              <w:t>灭火装备</w:t>
            </w:r>
          </w:p>
        </w:tc>
        <w:tc>
          <w:tcPr>
            <w:tcW w:w="1279" w:type="dxa"/>
            <w:tcBorders>
              <w:bottom w:val="single" w:color="auto" w:sz="4" w:space="0"/>
            </w:tcBorders>
            <w:vAlign w:val="center"/>
          </w:tcPr>
          <w:p w14:paraId="6F3C1461">
            <w:pPr>
              <w:pStyle w:val="178"/>
            </w:pPr>
            <w:r>
              <w:rPr>
                <w:rFonts w:hint="eastAsia"/>
                <w:color w:val="000000"/>
                <w:szCs w:val="18"/>
              </w:rPr>
              <w:t>装备操作与使用</w:t>
            </w:r>
          </w:p>
        </w:tc>
        <w:tc>
          <w:tcPr>
            <w:tcW w:w="711" w:type="dxa"/>
            <w:tcBorders>
              <w:bottom w:val="single" w:color="auto" w:sz="4" w:space="0"/>
            </w:tcBorders>
            <w:vAlign w:val="center"/>
          </w:tcPr>
          <w:p w14:paraId="6EE6C9FE">
            <w:pPr>
              <w:pStyle w:val="178"/>
            </w:pPr>
            <w:r>
              <w:rPr>
                <w:rFonts w:hint="eastAsia"/>
              </w:rPr>
              <w:t>—</w:t>
            </w:r>
          </w:p>
        </w:tc>
        <w:tc>
          <w:tcPr>
            <w:tcW w:w="995" w:type="dxa"/>
            <w:tcBorders>
              <w:bottom w:val="single" w:color="auto" w:sz="4" w:space="0"/>
            </w:tcBorders>
            <w:vAlign w:val="center"/>
          </w:tcPr>
          <w:p w14:paraId="26E016AD">
            <w:pPr>
              <w:pStyle w:val="178"/>
            </w:pPr>
            <w:bookmarkStart w:id="313" w:name="OLE_LINK37"/>
            <w:r>
              <w:rPr>
                <w:rFonts w:hint="eastAsia"/>
              </w:rPr>
              <w:t>—</w:t>
            </w:r>
            <w:bookmarkEnd w:id="313"/>
          </w:p>
        </w:tc>
        <w:tc>
          <w:tcPr>
            <w:tcW w:w="4135" w:type="dxa"/>
            <w:tcBorders>
              <w:bottom w:val="single" w:color="auto" w:sz="4" w:space="0"/>
            </w:tcBorders>
            <w:vAlign w:val="center"/>
          </w:tcPr>
          <w:p w14:paraId="7DD2B8FF">
            <w:pPr>
              <w:pStyle w:val="178"/>
            </w:pPr>
            <w:r>
              <w:rPr>
                <w:rFonts w:hint="eastAsia"/>
                <w:color w:val="000000"/>
                <w:szCs w:val="18"/>
              </w:rPr>
              <w:t>—</w:t>
            </w:r>
          </w:p>
        </w:tc>
        <w:tc>
          <w:tcPr>
            <w:tcW w:w="1421" w:type="dxa"/>
            <w:tcBorders>
              <w:bottom w:val="single" w:color="auto" w:sz="4" w:space="0"/>
            </w:tcBorders>
            <w:vAlign w:val="center"/>
          </w:tcPr>
          <w:p w14:paraId="180FF9C9">
            <w:pPr>
              <w:pStyle w:val="178"/>
            </w:pPr>
            <w:r>
              <w:rPr>
                <w:rFonts w:hint="eastAsia"/>
              </w:rPr>
              <w:t>—</w:t>
            </w:r>
          </w:p>
        </w:tc>
      </w:tr>
      <w:tr w14:paraId="268F9E4C">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0" w:type="dxa"/>
            <w:bottom w:w="0" w:type="dxa"/>
            <w:right w:w="100" w:type="dxa"/>
          </w:tblCellMar>
        </w:tblPrEx>
        <w:trPr>
          <w:trHeight w:val="851" w:hRule="atLeast"/>
          <w:jc w:val="center"/>
        </w:trPr>
        <w:tc>
          <w:tcPr>
            <w:tcW w:w="986" w:type="dxa"/>
            <w:vMerge w:val="continue"/>
            <w:tcBorders>
              <w:bottom w:val="single" w:color="auto" w:sz="4" w:space="0"/>
            </w:tcBorders>
            <w:vAlign w:val="center"/>
          </w:tcPr>
          <w:p w14:paraId="4F897326">
            <w:pPr>
              <w:pStyle w:val="178"/>
            </w:pPr>
          </w:p>
        </w:tc>
        <w:tc>
          <w:tcPr>
            <w:tcW w:w="1279" w:type="dxa"/>
            <w:tcBorders>
              <w:top w:val="single" w:color="auto" w:sz="4" w:space="0"/>
              <w:bottom w:val="single" w:color="auto" w:sz="4" w:space="0"/>
            </w:tcBorders>
            <w:vAlign w:val="center"/>
          </w:tcPr>
          <w:p w14:paraId="6713489A">
            <w:pPr>
              <w:pStyle w:val="178"/>
            </w:pPr>
            <w:r>
              <w:rPr>
                <w:rFonts w:hint="eastAsia"/>
                <w:color w:val="000000"/>
                <w:szCs w:val="18"/>
              </w:rPr>
              <w:t>装备体系建设</w:t>
            </w:r>
          </w:p>
        </w:tc>
        <w:tc>
          <w:tcPr>
            <w:tcW w:w="711" w:type="dxa"/>
            <w:tcBorders>
              <w:top w:val="single" w:color="auto" w:sz="4" w:space="0"/>
              <w:bottom w:val="single" w:color="auto" w:sz="4" w:space="0"/>
            </w:tcBorders>
            <w:vAlign w:val="center"/>
          </w:tcPr>
          <w:p w14:paraId="69D526F1">
            <w:pPr>
              <w:pStyle w:val="178"/>
            </w:pPr>
            <w:r>
              <w:rPr>
                <w:rFonts w:hint="eastAsia"/>
                <w:color w:val="000000"/>
                <w:szCs w:val="18"/>
              </w:rPr>
              <w:t>4</w:t>
            </w:r>
          </w:p>
        </w:tc>
        <w:tc>
          <w:tcPr>
            <w:tcW w:w="995" w:type="dxa"/>
            <w:tcBorders>
              <w:top w:val="single" w:color="auto" w:sz="4" w:space="0"/>
            </w:tcBorders>
            <w:vAlign w:val="center"/>
          </w:tcPr>
          <w:p w14:paraId="3143D414">
            <w:pPr>
              <w:pStyle w:val="178"/>
            </w:pPr>
            <w:r>
              <w:rPr/>
              <w:sym w:font="Wingdings" w:char="F0A1"/>
            </w:r>
          </w:p>
        </w:tc>
        <w:tc>
          <w:tcPr>
            <w:tcW w:w="4135" w:type="dxa"/>
            <w:tcBorders>
              <w:top w:val="single" w:color="auto" w:sz="4" w:space="0"/>
              <w:bottom w:val="single" w:color="auto" w:sz="4" w:space="0"/>
            </w:tcBorders>
            <w:vAlign w:val="center"/>
          </w:tcPr>
          <w:p w14:paraId="122BC5A8">
            <w:pPr>
              <w:pStyle w:val="178"/>
              <w:jc w:val="both"/>
            </w:pPr>
            <w:bookmarkStart w:id="314" w:name="RANGE!D10"/>
            <w:r>
              <w:rPr>
                <w:rFonts w:hint="eastAsia"/>
                <w:color w:val="000000"/>
                <w:szCs w:val="18"/>
              </w:rPr>
              <w:t>了解国内外森林草原灭火装备前沿技术，熟悉灭火装备体系结构，掌握装备体系建设方法。</w:t>
            </w:r>
            <w:bookmarkEnd w:id="314"/>
          </w:p>
        </w:tc>
        <w:tc>
          <w:tcPr>
            <w:tcW w:w="1421" w:type="dxa"/>
            <w:tcBorders>
              <w:top w:val="single" w:color="auto" w:sz="4" w:space="0"/>
              <w:bottom w:val="single" w:color="auto" w:sz="4" w:space="0"/>
            </w:tcBorders>
            <w:vAlign w:val="center"/>
          </w:tcPr>
          <w:p w14:paraId="344A6EF6">
            <w:pPr>
              <w:pStyle w:val="178"/>
            </w:pPr>
            <w:r>
              <w:rPr/>
              <w:sym w:font="Wingdings 2" w:char="F0A3"/>
            </w:r>
          </w:p>
        </w:tc>
      </w:tr>
      <w:tr w14:paraId="25C1E0AB">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0" w:type="dxa"/>
            <w:bottom w:w="0" w:type="dxa"/>
            <w:right w:w="100" w:type="dxa"/>
          </w:tblCellMar>
        </w:tblPrEx>
        <w:trPr>
          <w:trHeight w:val="851" w:hRule="atLeast"/>
          <w:jc w:val="center"/>
        </w:trPr>
        <w:tc>
          <w:tcPr>
            <w:tcW w:w="986" w:type="dxa"/>
            <w:vMerge w:val="restart"/>
            <w:tcBorders>
              <w:top w:val="single" w:color="auto" w:sz="4" w:space="0"/>
              <w:bottom w:val="single" w:color="auto" w:sz="4" w:space="0"/>
            </w:tcBorders>
            <w:vAlign w:val="center"/>
          </w:tcPr>
          <w:p w14:paraId="6EB895A9">
            <w:pPr>
              <w:pStyle w:val="178"/>
            </w:pPr>
            <w:r>
              <w:rPr>
                <w:rFonts w:hint="eastAsia"/>
              </w:rPr>
              <w:t>灭火技术</w:t>
            </w:r>
          </w:p>
        </w:tc>
        <w:tc>
          <w:tcPr>
            <w:tcW w:w="1279" w:type="dxa"/>
            <w:tcBorders>
              <w:top w:val="single" w:color="auto" w:sz="4" w:space="0"/>
              <w:bottom w:val="single" w:color="auto" w:sz="4" w:space="0"/>
            </w:tcBorders>
            <w:vAlign w:val="center"/>
          </w:tcPr>
          <w:p w14:paraId="3A525C3F">
            <w:pPr>
              <w:pStyle w:val="178"/>
            </w:pPr>
            <w:r>
              <w:rPr>
                <w:rFonts w:hint="eastAsia"/>
                <w:color w:val="000000"/>
                <w:szCs w:val="18"/>
              </w:rPr>
              <w:t>地面灭火技术</w:t>
            </w:r>
          </w:p>
        </w:tc>
        <w:tc>
          <w:tcPr>
            <w:tcW w:w="711" w:type="dxa"/>
            <w:tcBorders>
              <w:top w:val="single" w:color="auto" w:sz="4" w:space="0"/>
              <w:bottom w:val="single" w:color="auto" w:sz="4" w:space="0"/>
            </w:tcBorders>
            <w:vAlign w:val="center"/>
          </w:tcPr>
          <w:p w14:paraId="04A9AD70">
            <w:pPr>
              <w:pStyle w:val="178"/>
            </w:pPr>
            <w:r>
              <w:rPr>
                <w:rFonts w:hint="eastAsia"/>
                <w:color w:val="000000"/>
                <w:szCs w:val="18"/>
              </w:rPr>
              <w:t>2</w:t>
            </w:r>
          </w:p>
        </w:tc>
        <w:tc>
          <w:tcPr>
            <w:tcW w:w="995" w:type="dxa"/>
            <w:vAlign w:val="center"/>
          </w:tcPr>
          <w:p w14:paraId="7C6F5F46">
            <w:pPr>
              <w:pStyle w:val="178"/>
            </w:pPr>
            <w:r>
              <w:rPr/>
              <w:sym w:font="Wingdings" w:char="F0A1"/>
            </w:r>
          </w:p>
        </w:tc>
        <w:tc>
          <w:tcPr>
            <w:tcW w:w="4135" w:type="dxa"/>
            <w:tcBorders>
              <w:top w:val="single" w:color="auto" w:sz="4" w:space="0"/>
              <w:bottom w:val="single" w:color="auto" w:sz="4" w:space="0"/>
            </w:tcBorders>
            <w:vAlign w:val="center"/>
          </w:tcPr>
          <w:p w14:paraId="57A70C78">
            <w:pPr>
              <w:pStyle w:val="178"/>
              <w:jc w:val="both"/>
            </w:pPr>
            <w:r>
              <w:rPr>
                <w:rFonts w:hint="eastAsia"/>
                <w:color w:val="000000"/>
                <w:szCs w:val="18"/>
              </w:rPr>
              <w:t>了解地面灭火技术种类及技术原理，熟悉多种灭火技术协同方法。</w:t>
            </w:r>
          </w:p>
        </w:tc>
        <w:tc>
          <w:tcPr>
            <w:tcW w:w="1421" w:type="dxa"/>
            <w:tcBorders>
              <w:top w:val="single" w:color="auto" w:sz="4" w:space="0"/>
              <w:bottom w:val="single" w:color="auto" w:sz="4" w:space="0"/>
            </w:tcBorders>
            <w:vAlign w:val="center"/>
          </w:tcPr>
          <w:p w14:paraId="3E96442A">
            <w:pPr>
              <w:pStyle w:val="178"/>
            </w:pPr>
            <w:r>
              <w:rPr/>
              <w:sym w:font="Wingdings 2" w:char="F0A3"/>
            </w:r>
          </w:p>
        </w:tc>
      </w:tr>
      <w:tr w14:paraId="6F84ECB0">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0" w:type="dxa"/>
            <w:bottom w:w="0" w:type="dxa"/>
            <w:right w:w="100" w:type="dxa"/>
          </w:tblCellMar>
        </w:tblPrEx>
        <w:trPr>
          <w:trHeight w:val="851" w:hRule="atLeast"/>
          <w:jc w:val="center"/>
        </w:trPr>
        <w:tc>
          <w:tcPr>
            <w:tcW w:w="986" w:type="dxa"/>
            <w:vMerge w:val="continue"/>
            <w:tcBorders>
              <w:top w:val="single" w:color="auto" w:sz="4" w:space="0"/>
              <w:bottom w:val="single" w:color="auto" w:sz="4" w:space="0"/>
            </w:tcBorders>
            <w:vAlign w:val="center"/>
          </w:tcPr>
          <w:p w14:paraId="19D4B8B2">
            <w:pPr>
              <w:pStyle w:val="178"/>
            </w:pPr>
          </w:p>
        </w:tc>
        <w:tc>
          <w:tcPr>
            <w:tcW w:w="1279" w:type="dxa"/>
            <w:tcBorders>
              <w:top w:val="single" w:color="auto" w:sz="4" w:space="0"/>
              <w:bottom w:val="single" w:color="auto" w:sz="4" w:space="0"/>
            </w:tcBorders>
            <w:vAlign w:val="center"/>
          </w:tcPr>
          <w:p w14:paraId="10BE3D77">
            <w:pPr>
              <w:pStyle w:val="178"/>
            </w:pPr>
            <w:r>
              <w:rPr>
                <w:rFonts w:hint="eastAsia"/>
                <w:color w:val="000000"/>
                <w:szCs w:val="18"/>
              </w:rPr>
              <w:t>航空灭火技术</w:t>
            </w:r>
          </w:p>
        </w:tc>
        <w:tc>
          <w:tcPr>
            <w:tcW w:w="711" w:type="dxa"/>
            <w:tcBorders>
              <w:top w:val="single" w:color="auto" w:sz="4" w:space="0"/>
              <w:bottom w:val="single" w:color="auto" w:sz="4" w:space="0"/>
            </w:tcBorders>
            <w:vAlign w:val="center"/>
          </w:tcPr>
          <w:p w14:paraId="6D48A591">
            <w:pPr>
              <w:pStyle w:val="178"/>
            </w:pPr>
            <w:r>
              <w:rPr>
                <w:rFonts w:hint="eastAsia"/>
                <w:color w:val="000000"/>
                <w:szCs w:val="18"/>
              </w:rPr>
              <w:t>2</w:t>
            </w:r>
          </w:p>
        </w:tc>
        <w:tc>
          <w:tcPr>
            <w:tcW w:w="995" w:type="dxa"/>
            <w:tcBorders>
              <w:bottom w:val="single" w:color="auto" w:sz="4" w:space="0"/>
            </w:tcBorders>
            <w:vAlign w:val="center"/>
          </w:tcPr>
          <w:p w14:paraId="17049361">
            <w:pPr>
              <w:pStyle w:val="178"/>
            </w:pPr>
            <w:r>
              <w:rPr/>
              <w:sym w:font="Wingdings" w:char="F0A1"/>
            </w:r>
          </w:p>
        </w:tc>
        <w:tc>
          <w:tcPr>
            <w:tcW w:w="4135" w:type="dxa"/>
            <w:tcBorders>
              <w:top w:val="single" w:color="auto" w:sz="4" w:space="0"/>
              <w:bottom w:val="single" w:color="auto" w:sz="4" w:space="0"/>
            </w:tcBorders>
            <w:vAlign w:val="center"/>
          </w:tcPr>
          <w:p w14:paraId="2596B2B4">
            <w:pPr>
              <w:pStyle w:val="178"/>
              <w:jc w:val="both"/>
            </w:pPr>
            <w:r>
              <w:rPr>
                <w:rFonts w:hint="eastAsia"/>
                <w:color w:val="000000"/>
                <w:szCs w:val="18"/>
              </w:rPr>
              <w:t>了解国内外航空灭火技术现状，熟悉航空灭火装备种类，掌握航空灭火技术原理，掌握航空灭火力量调度机制。</w:t>
            </w:r>
          </w:p>
        </w:tc>
        <w:tc>
          <w:tcPr>
            <w:tcW w:w="1421" w:type="dxa"/>
            <w:tcBorders>
              <w:top w:val="single" w:color="auto" w:sz="4" w:space="0"/>
              <w:bottom w:val="single" w:color="auto" w:sz="4" w:space="0"/>
            </w:tcBorders>
            <w:vAlign w:val="center"/>
          </w:tcPr>
          <w:p w14:paraId="21525B4A">
            <w:pPr>
              <w:pStyle w:val="178"/>
            </w:pPr>
            <w:r>
              <w:rPr/>
              <w:sym w:font="Wingdings 2" w:char="F0A3"/>
            </w:r>
          </w:p>
        </w:tc>
      </w:tr>
    </w:tbl>
    <w:p w14:paraId="59790EBA">
      <w:pPr>
        <w:jc w:val="center"/>
        <w:rPr>
          <w:rFonts w:hint="eastAsia" w:ascii="宋体" w:hAnsi="宋体"/>
        </w:rPr>
      </w:pPr>
      <w:r>
        <w:br w:type="page"/>
      </w:r>
      <w:r>
        <w:rPr>
          <w:rFonts w:hint="eastAsia" w:ascii="黑体" w:hAnsi="黑体" w:eastAsia="黑体"/>
        </w:rPr>
        <w:t>表A.1  县级及以下指挥员培训设置</w:t>
      </w:r>
      <w:r>
        <w:rPr>
          <w:rFonts w:hint="eastAsia" w:ascii="宋体" w:hAnsi="宋体"/>
        </w:rPr>
        <w:t>（续）</w:t>
      </w:r>
    </w:p>
    <w:tbl>
      <w:tblPr>
        <w:tblStyle w:val="27"/>
        <w:tblW w:w="9498" w:type="dxa"/>
        <w:jc w:val="center"/>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Layout w:type="autofit"/>
        <w:tblCellMar>
          <w:top w:w="0" w:type="dxa"/>
          <w:left w:w="100" w:type="dxa"/>
          <w:bottom w:w="0" w:type="dxa"/>
          <w:right w:w="100" w:type="dxa"/>
        </w:tblCellMar>
      </w:tblPr>
      <w:tblGrid>
        <w:gridCol w:w="983"/>
        <w:gridCol w:w="1275"/>
        <w:gridCol w:w="709"/>
        <w:gridCol w:w="992"/>
        <w:gridCol w:w="4122"/>
        <w:gridCol w:w="1417"/>
      </w:tblGrid>
      <w:tr w14:paraId="6A98AF1F">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0" w:type="dxa"/>
            <w:bottom w:w="0" w:type="dxa"/>
            <w:right w:w="100" w:type="dxa"/>
          </w:tblCellMar>
        </w:tblPrEx>
        <w:trPr>
          <w:trHeight w:val="711" w:hRule="atLeast"/>
          <w:tblHeader/>
          <w:jc w:val="center"/>
        </w:trPr>
        <w:tc>
          <w:tcPr>
            <w:tcW w:w="983" w:type="dxa"/>
            <w:tcBorders>
              <w:top w:val="single" w:color="auto" w:sz="8" w:space="0"/>
            </w:tcBorders>
            <w:vAlign w:val="center"/>
          </w:tcPr>
          <w:p w14:paraId="1436D9E7">
            <w:pPr>
              <w:pStyle w:val="178"/>
            </w:pPr>
            <w:r>
              <w:rPr>
                <w:rFonts w:hint="eastAsia"/>
              </w:rPr>
              <w:t>课目</w:t>
            </w:r>
          </w:p>
        </w:tc>
        <w:tc>
          <w:tcPr>
            <w:tcW w:w="1275" w:type="dxa"/>
            <w:tcBorders>
              <w:top w:val="single" w:color="auto" w:sz="8" w:space="0"/>
            </w:tcBorders>
            <w:vAlign w:val="center"/>
          </w:tcPr>
          <w:p w14:paraId="17522EB7">
            <w:pPr>
              <w:pStyle w:val="178"/>
            </w:pPr>
            <w:r>
              <w:rPr>
                <w:rFonts w:hint="eastAsia"/>
              </w:rPr>
              <w:t>内容</w:t>
            </w:r>
          </w:p>
        </w:tc>
        <w:tc>
          <w:tcPr>
            <w:tcW w:w="709" w:type="dxa"/>
            <w:tcBorders>
              <w:top w:val="single" w:color="auto" w:sz="8" w:space="0"/>
            </w:tcBorders>
            <w:vAlign w:val="center"/>
          </w:tcPr>
          <w:p w14:paraId="46D6D402">
            <w:pPr>
              <w:pStyle w:val="178"/>
            </w:pPr>
            <w:r>
              <w:rPr>
                <w:rFonts w:hint="eastAsia"/>
              </w:rPr>
              <w:t>学时</w:t>
            </w:r>
          </w:p>
        </w:tc>
        <w:tc>
          <w:tcPr>
            <w:tcW w:w="992" w:type="dxa"/>
            <w:tcBorders>
              <w:top w:val="single" w:color="auto" w:sz="8" w:space="0"/>
            </w:tcBorders>
            <w:vAlign w:val="center"/>
          </w:tcPr>
          <w:p w14:paraId="3A902D0A">
            <w:pPr>
              <w:pStyle w:val="178"/>
            </w:pPr>
            <w:r>
              <w:rPr>
                <w:rFonts w:hint="eastAsia"/>
              </w:rPr>
              <w:t>培训方式</w:t>
            </w:r>
          </w:p>
        </w:tc>
        <w:tc>
          <w:tcPr>
            <w:tcW w:w="4122" w:type="dxa"/>
            <w:tcBorders>
              <w:top w:val="single" w:color="auto" w:sz="8" w:space="0"/>
            </w:tcBorders>
            <w:vAlign w:val="center"/>
          </w:tcPr>
          <w:p w14:paraId="481CAA14">
            <w:pPr>
              <w:pStyle w:val="178"/>
            </w:pPr>
            <w:r>
              <w:rPr>
                <w:rFonts w:hint="eastAsia"/>
              </w:rPr>
              <w:t>知会程度要求</w:t>
            </w:r>
          </w:p>
        </w:tc>
        <w:tc>
          <w:tcPr>
            <w:tcW w:w="1417" w:type="dxa"/>
            <w:tcBorders>
              <w:top w:val="single" w:color="auto" w:sz="8" w:space="0"/>
            </w:tcBorders>
            <w:vAlign w:val="center"/>
          </w:tcPr>
          <w:p w14:paraId="0EB5AC1E">
            <w:pPr>
              <w:pStyle w:val="178"/>
            </w:pPr>
            <w:r>
              <w:rPr>
                <w:rFonts w:hint="eastAsia"/>
              </w:rPr>
              <w:t>结业考核方式</w:t>
            </w:r>
          </w:p>
        </w:tc>
      </w:tr>
      <w:tr w14:paraId="3B83B3E2">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0" w:type="dxa"/>
            <w:bottom w:w="0" w:type="dxa"/>
            <w:right w:w="100" w:type="dxa"/>
          </w:tblCellMar>
        </w:tblPrEx>
        <w:trPr>
          <w:trHeight w:val="794" w:hRule="atLeast"/>
          <w:jc w:val="center"/>
        </w:trPr>
        <w:tc>
          <w:tcPr>
            <w:tcW w:w="983" w:type="dxa"/>
            <w:vMerge w:val="restart"/>
            <w:tcBorders>
              <w:top w:val="single" w:color="auto" w:sz="4" w:space="0"/>
              <w:bottom w:val="single" w:color="auto" w:sz="4" w:space="0"/>
            </w:tcBorders>
            <w:vAlign w:val="center"/>
          </w:tcPr>
          <w:p w14:paraId="7E832940">
            <w:pPr>
              <w:pStyle w:val="178"/>
            </w:pPr>
            <w:r>
              <w:rPr>
                <w:rFonts w:hint="eastAsia"/>
              </w:rPr>
              <w:t>灭火战术</w:t>
            </w:r>
          </w:p>
        </w:tc>
        <w:tc>
          <w:tcPr>
            <w:tcW w:w="1275" w:type="dxa"/>
            <w:tcBorders>
              <w:top w:val="single" w:color="auto" w:sz="4" w:space="0"/>
              <w:bottom w:val="single" w:color="auto" w:sz="4" w:space="0"/>
            </w:tcBorders>
            <w:vAlign w:val="center"/>
          </w:tcPr>
          <w:p w14:paraId="08D27929">
            <w:pPr>
              <w:pStyle w:val="178"/>
            </w:pPr>
            <w:r>
              <w:rPr>
                <w:rFonts w:hint="eastAsia"/>
                <w:color w:val="000000"/>
                <w:szCs w:val="18"/>
              </w:rPr>
              <w:t>战术运用</w:t>
            </w:r>
          </w:p>
        </w:tc>
        <w:tc>
          <w:tcPr>
            <w:tcW w:w="709" w:type="dxa"/>
            <w:tcBorders>
              <w:top w:val="single" w:color="auto" w:sz="4" w:space="0"/>
              <w:bottom w:val="single" w:color="auto" w:sz="4" w:space="0"/>
            </w:tcBorders>
            <w:vAlign w:val="center"/>
          </w:tcPr>
          <w:p w14:paraId="0D7EC595">
            <w:pPr>
              <w:pStyle w:val="178"/>
            </w:pPr>
            <w:r>
              <w:rPr>
                <w:rFonts w:hint="eastAsia"/>
                <w:color w:val="000000"/>
                <w:szCs w:val="18"/>
              </w:rPr>
              <w:t>4</w:t>
            </w:r>
          </w:p>
        </w:tc>
        <w:tc>
          <w:tcPr>
            <w:tcW w:w="992" w:type="dxa"/>
            <w:tcBorders>
              <w:top w:val="single" w:color="auto" w:sz="4" w:space="0"/>
              <w:bottom w:val="single" w:color="auto" w:sz="4" w:space="0"/>
            </w:tcBorders>
            <w:vAlign w:val="center"/>
          </w:tcPr>
          <w:p w14:paraId="536E94A2">
            <w:pPr>
              <w:pStyle w:val="178"/>
            </w:pPr>
            <w:bookmarkStart w:id="315" w:name="OLE_LINK52"/>
            <w:r>
              <w:rPr/>
              <w:sym w:font="Wingdings" w:char="F0A1"/>
            </w:r>
            <w:r>
              <w:rPr/>
              <w:sym w:font="Wingdings 2" w:char="F098"/>
            </w:r>
            <w:bookmarkEnd w:id="315"/>
          </w:p>
        </w:tc>
        <w:tc>
          <w:tcPr>
            <w:tcW w:w="4122" w:type="dxa"/>
            <w:tcBorders>
              <w:top w:val="single" w:color="auto" w:sz="4" w:space="0"/>
              <w:bottom w:val="single" w:color="auto" w:sz="4" w:space="0"/>
            </w:tcBorders>
            <w:vAlign w:val="center"/>
          </w:tcPr>
          <w:p w14:paraId="5448EAD5">
            <w:pPr>
              <w:pStyle w:val="178"/>
              <w:jc w:val="both"/>
            </w:pPr>
            <w:r>
              <w:rPr>
                <w:rFonts w:hint="eastAsia"/>
                <w:color w:val="000000"/>
                <w:szCs w:val="18"/>
              </w:rPr>
              <w:t>了解战术和战法的概念，熟悉战术影响因素，掌握战术原则及战术运用方法。</w:t>
            </w:r>
          </w:p>
        </w:tc>
        <w:tc>
          <w:tcPr>
            <w:tcW w:w="1417" w:type="dxa"/>
            <w:tcBorders>
              <w:top w:val="single" w:color="auto" w:sz="4" w:space="0"/>
              <w:bottom w:val="single" w:color="auto" w:sz="4" w:space="0"/>
            </w:tcBorders>
            <w:vAlign w:val="center"/>
          </w:tcPr>
          <w:p w14:paraId="0C65E15F">
            <w:pPr>
              <w:pStyle w:val="178"/>
            </w:pPr>
            <w:r>
              <w:rPr/>
              <w:sym w:font="Wingdings 2" w:char="F0A3"/>
            </w:r>
            <w:r>
              <w:rPr>
                <w:rFonts w:hint="eastAsia"/>
              </w:rPr>
              <w:sym w:font="Wingdings 2" w:char="F0A2"/>
            </w:r>
          </w:p>
        </w:tc>
      </w:tr>
      <w:tr w14:paraId="49880020">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0" w:type="dxa"/>
            <w:bottom w:w="0" w:type="dxa"/>
            <w:right w:w="100" w:type="dxa"/>
          </w:tblCellMar>
        </w:tblPrEx>
        <w:trPr>
          <w:trHeight w:val="794" w:hRule="atLeast"/>
          <w:jc w:val="center"/>
        </w:trPr>
        <w:tc>
          <w:tcPr>
            <w:tcW w:w="983" w:type="dxa"/>
            <w:vMerge w:val="continue"/>
            <w:tcBorders>
              <w:top w:val="single" w:color="auto" w:sz="4" w:space="0"/>
              <w:bottom w:val="single" w:color="auto" w:sz="4" w:space="0"/>
            </w:tcBorders>
            <w:vAlign w:val="center"/>
          </w:tcPr>
          <w:p w14:paraId="4698ABAF">
            <w:pPr>
              <w:pStyle w:val="178"/>
            </w:pPr>
          </w:p>
        </w:tc>
        <w:tc>
          <w:tcPr>
            <w:tcW w:w="1275" w:type="dxa"/>
            <w:tcBorders>
              <w:top w:val="single" w:color="auto" w:sz="4" w:space="0"/>
              <w:bottom w:val="single" w:color="auto" w:sz="4" w:space="0"/>
            </w:tcBorders>
            <w:vAlign w:val="center"/>
          </w:tcPr>
          <w:p w14:paraId="69FF3675">
            <w:pPr>
              <w:pStyle w:val="178"/>
            </w:pPr>
            <w:r>
              <w:rPr>
                <w:rFonts w:hint="eastAsia"/>
                <w:color w:val="000000"/>
                <w:szCs w:val="18"/>
              </w:rPr>
              <w:t>战术作业</w:t>
            </w:r>
          </w:p>
        </w:tc>
        <w:tc>
          <w:tcPr>
            <w:tcW w:w="709" w:type="dxa"/>
            <w:tcBorders>
              <w:top w:val="single" w:color="auto" w:sz="4" w:space="0"/>
              <w:bottom w:val="single" w:color="auto" w:sz="4" w:space="0"/>
            </w:tcBorders>
            <w:vAlign w:val="center"/>
          </w:tcPr>
          <w:p w14:paraId="7ED91731">
            <w:pPr>
              <w:pStyle w:val="178"/>
            </w:pPr>
            <w:r>
              <w:rPr>
                <w:rFonts w:hint="eastAsia"/>
                <w:color w:val="000000"/>
                <w:szCs w:val="18"/>
              </w:rPr>
              <w:t>2</w:t>
            </w:r>
          </w:p>
        </w:tc>
        <w:tc>
          <w:tcPr>
            <w:tcW w:w="992" w:type="dxa"/>
            <w:tcBorders>
              <w:top w:val="single" w:color="auto" w:sz="4" w:space="0"/>
              <w:bottom w:val="single" w:color="auto" w:sz="4" w:space="0"/>
            </w:tcBorders>
            <w:vAlign w:val="center"/>
          </w:tcPr>
          <w:p w14:paraId="695BBA32">
            <w:pPr>
              <w:pStyle w:val="178"/>
            </w:pPr>
            <w:r>
              <w:rPr/>
              <w:sym w:font="Wingdings 2" w:char="F098"/>
            </w:r>
          </w:p>
        </w:tc>
        <w:tc>
          <w:tcPr>
            <w:tcW w:w="4122" w:type="dxa"/>
            <w:tcBorders>
              <w:top w:val="single" w:color="auto" w:sz="4" w:space="0"/>
              <w:bottom w:val="single" w:color="auto" w:sz="4" w:space="0"/>
            </w:tcBorders>
            <w:vAlign w:val="center"/>
          </w:tcPr>
          <w:p w14:paraId="7F02F2B1">
            <w:pPr>
              <w:pStyle w:val="178"/>
              <w:jc w:val="both"/>
            </w:pPr>
            <w:r>
              <w:rPr>
                <w:rFonts w:hint="eastAsia"/>
                <w:color w:val="000000"/>
                <w:szCs w:val="18"/>
              </w:rPr>
              <w:t>了解战术作业含义，熟悉作业内容及方法。</w:t>
            </w:r>
          </w:p>
        </w:tc>
        <w:tc>
          <w:tcPr>
            <w:tcW w:w="1417" w:type="dxa"/>
            <w:tcBorders>
              <w:top w:val="single" w:color="auto" w:sz="4" w:space="0"/>
              <w:bottom w:val="single" w:color="auto" w:sz="4" w:space="0"/>
            </w:tcBorders>
            <w:vAlign w:val="center"/>
          </w:tcPr>
          <w:p w14:paraId="2F256B09">
            <w:pPr>
              <w:pStyle w:val="178"/>
            </w:pPr>
            <w:bookmarkStart w:id="316" w:name="OLE_LINK60"/>
            <w:r>
              <w:rPr>
                <w:rFonts w:hint="eastAsia"/>
              </w:rPr>
              <w:sym w:font="Wingdings 2" w:char="F0A2"/>
            </w:r>
            <w:bookmarkEnd w:id="316"/>
          </w:p>
        </w:tc>
      </w:tr>
      <w:tr w14:paraId="7C637C39">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0" w:type="dxa"/>
            <w:bottom w:w="0" w:type="dxa"/>
            <w:right w:w="100" w:type="dxa"/>
          </w:tblCellMar>
        </w:tblPrEx>
        <w:trPr>
          <w:trHeight w:val="794" w:hRule="atLeast"/>
          <w:jc w:val="center"/>
        </w:trPr>
        <w:tc>
          <w:tcPr>
            <w:tcW w:w="983" w:type="dxa"/>
            <w:vMerge w:val="restart"/>
            <w:tcBorders>
              <w:top w:val="single" w:color="auto" w:sz="4" w:space="0"/>
            </w:tcBorders>
            <w:vAlign w:val="center"/>
          </w:tcPr>
          <w:p w14:paraId="0179ACE3">
            <w:pPr>
              <w:pStyle w:val="178"/>
            </w:pPr>
            <w:bookmarkStart w:id="317" w:name="_Hlk203749441"/>
            <w:r>
              <w:rPr>
                <w:rFonts w:hint="eastAsia"/>
              </w:rPr>
              <w:t>灭火指挥</w:t>
            </w:r>
          </w:p>
        </w:tc>
        <w:tc>
          <w:tcPr>
            <w:tcW w:w="1275" w:type="dxa"/>
            <w:tcBorders>
              <w:top w:val="single" w:color="auto" w:sz="4" w:space="0"/>
            </w:tcBorders>
            <w:vAlign w:val="center"/>
          </w:tcPr>
          <w:p w14:paraId="33EA2B1A">
            <w:pPr>
              <w:pStyle w:val="178"/>
            </w:pPr>
            <w:r>
              <w:rPr>
                <w:rFonts w:hint="eastAsia"/>
                <w:color w:val="000000"/>
                <w:szCs w:val="18"/>
              </w:rPr>
              <w:t>灭火预案</w:t>
            </w:r>
          </w:p>
        </w:tc>
        <w:tc>
          <w:tcPr>
            <w:tcW w:w="709" w:type="dxa"/>
            <w:tcBorders>
              <w:top w:val="single" w:color="auto" w:sz="4" w:space="0"/>
            </w:tcBorders>
            <w:vAlign w:val="center"/>
          </w:tcPr>
          <w:p w14:paraId="3984457C">
            <w:pPr>
              <w:pStyle w:val="178"/>
            </w:pPr>
            <w:r>
              <w:rPr>
                <w:rFonts w:hint="eastAsia"/>
                <w:color w:val="000000"/>
                <w:szCs w:val="18"/>
              </w:rPr>
              <w:t>4</w:t>
            </w:r>
          </w:p>
        </w:tc>
        <w:tc>
          <w:tcPr>
            <w:tcW w:w="992" w:type="dxa"/>
            <w:tcBorders>
              <w:top w:val="single" w:color="auto" w:sz="4" w:space="0"/>
            </w:tcBorders>
            <w:vAlign w:val="center"/>
          </w:tcPr>
          <w:p w14:paraId="226A7E80">
            <w:pPr>
              <w:pStyle w:val="178"/>
            </w:pPr>
            <w:r>
              <w:rPr/>
              <w:sym w:font="Wingdings" w:char="F0A1"/>
            </w:r>
          </w:p>
        </w:tc>
        <w:tc>
          <w:tcPr>
            <w:tcW w:w="4122" w:type="dxa"/>
            <w:tcBorders>
              <w:top w:val="single" w:color="auto" w:sz="4" w:space="0"/>
            </w:tcBorders>
            <w:vAlign w:val="center"/>
          </w:tcPr>
          <w:p w14:paraId="6A83CB90">
            <w:pPr>
              <w:pStyle w:val="178"/>
              <w:jc w:val="both"/>
            </w:pPr>
            <w:bookmarkStart w:id="318" w:name="RANGE!D15"/>
            <w:r>
              <w:rPr>
                <w:rFonts w:hint="eastAsia"/>
                <w:color w:val="000000"/>
                <w:szCs w:val="18"/>
              </w:rPr>
              <w:t>了解森林草原灭火预案组成要素，熟悉预案拟制流程，掌握本级灭火预案拟制及管理方法。</w:t>
            </w:r>
            <w:bookmarkEnd w:id="318"/>
          </w:p>
        </w:tc>
        <w:tc>
          <w:tcPr>
            <w:tcW w:w="1417" w:type="dxa"/>
            <w:tcBorders>
              <w:top w:val="single" w:color="auto" w:sz="4" w:space="0"/>
            </w:tcBorders>
            <w:vAlign w:val="center"/>
          </w:tcPr>
          <w:p w14:paraId="5D255610">
            <w:pPr>
              <w:pStyle w:val="178"/>
            </w:pPr>
            <w:r>
              <w:rPr/>
              <w:sym w:font="Wingdings 2" w:char="F0A3"/>
            </w:r>
          </w:p>
        </w:tc>
      </w:tr>
      <w:tr w14:paraId="0A9C727A">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0" w:type="dxa"/>
            <w:bottom w:w="0" w:type="dxa"/>
            <w:right w:w="100" w:type="dxa"/>
          </w:tblCellMar>
        </w:tblPrEx>
        <w:trPr>
          <w:trHeight w:val="794" w:hRule="atLeast"/>
          <w:jc w:val="center"/>
        </w:trPr>
        <w:tc>
          <w:tcPr>
            <w:tcW w:w="983" w:type="dxa"/>
            <w:vMerge w:val="continue"/>
            <w:vAlign w:val="center"/>
          </w:tcPr>
          <w:p w14:paraId="0FA1A3CD">
            <w:pPr>
              <w:pStyle w:val="178"/>
            </w:pPr>
          </w:p>
        </w:tc>
        <w:tc>
          <w:tcPr>
            <w:tcW w:w="1275" w:type="dxa"/>
            <w:vAlign w:val="center"/>
          </w:tcPr>
          <w:p w14:paraId="4715A426">
            <w:pPr>
              <w:pStyle w:val="178"/>
            </w:pPr>
            <w:r>
              <w:rPr>
                <w:rFonts w:hint="eastAsia"/>
                <w:color w:val="000000"/>
                <w:szCs w:val="18"/>
              </w:rPr>
              <w:t>指挥程序</w:t>
            </w:r>
          </w:p>
        </w:tc>
        <w:tc>
          <w:tcPr>
            <w:tcW w:w="709" w:type="dxa"/>
            <w:vAlign w:val="center"/>
          </w:tcPr>
          <w:p w14:paraId="244713E2">
            <w:pPr>
              <w:pStyle w:val="178"/>
            </w:pPr>
            <w:r>
              <w:rPr>
                <w:rFonts w:hint="eastAsia"/>
                <w:color w:val="000000"/>
                <w:szCs w:val="18"/>
              </w:rPr>
              <w:t>4</w:t>
            </w:r>
          </w:p>
        </w:tc>
        <w:tc>
          <w:tcPr>
            <w:tcW w:w="992" w:type="dxa"/>
            <w:vAlign w:val="center"/>
          </w:tcPr>
          <w:p w14:paraId="55D282EB">
            <w:pPr>
              <w:pStyle w:val="178"/>
            </w:pPr>
            <w:r>
              <w:rPr/>
              <w:sym w:font="Wingdings" w:char="F0A1"/>
            </w:r>
            <w:r>
              <w:rPr/>
              <w:sym w:font="Wingdings 2" w:char="F098"/>
            </w:r>
          </w:p>
        </w:tc>
        <w:tc>
          <w:tcPr>
            <w:tcW w:w="4122" w:type="dxa"/>
            <w:vAlign w:val="center"/>
          </w:tcPr>
          <w:p w14:paraId="07F54598">
            <w:pPr>
              <w:pStyle w:val="178"/>
              <w:jc w:val="both"/>
            </w:pPr>
            <w:r>
              <w:rPr>
                <w:rFonts w:hint="eastAsia"/>
                <w:color w:val="000000"/>
                <w:szCs w:val="18"/>
              </w:rPr>
              <w:t>掌握森林草原火灾现场指挥部组成、工作机制、组织指挥流程，以及各扑救阶段的主要任务及方法。</w:t>
            </w:r>
          </w:p>
        </w:tc>
        <w:tc>
          <w:tcPr>
            <w:tcW w:w="1417" w:type="dxa"/>
            <w:vAlign w:val="center"/>
          </w:tcPr>
          <w:p w14:paraId="677B91FD">
            <w:pPr>
              <w:pStyle w:val="178"/>
            </w:pPr>
            <w:r>
              <w:rPr/>
              <w:sym w:font="Wingdings 2" w:char="F0A3"/>
            </w:r>
            <w:r>
              <w:rPr>
                <w:rFonts w:hint="eastAsia"/>
              </w:rPr>
              <w:sym w:font="Wingdings 2" w:char="F0A2"/>
            </w:r>
          </w:p>
        </w:tc>
      </w:tr>
      <w:tr w14:paraId="4F8BF0A1">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0" w:type="dxa"/>
            <w:bottom w:w="0" w:type="dxa"/>
            <w:right w:w="100" w:type="dxa"/>
          </w:tblCellMar>
        </w:tblPrEx>
        <w:trPr>
          <w:trHeight w:val="794" w:hRule="atLeast"/>
          <w:jc w:val="center"/>
        </w:trPr>
        <w:tc>
          <w:tcPr>
            <w:tcW w:w="983" w:type="dxa"/>
            <w:vMerge w:val="continue"/>
            <w:vAlign w:val="center"/>
          </w:tcPr>
          <w:p w14:paraId="2EE06473">
            <w:pPr>
              <w:pStyle w:val="178"/>
            </w:pPr>
          </w:p>
        </w:tc>
        <w:tc>
          <w:tcPr>
            <w:tcW w:w="1275" w:type="dxa"/>
            <w:vAlign w:val="center"/>
          </w:tcPr>
          <w:p w14:paraId="717A571B">
            <w:pPr>
              <w:pStyle w:val="178"/>
            </w:pPr>
            <w:r>
              <w:rPr>
                <w:rFonts w:hint="eastAsia"/>
                <w:color w:val="000000"/>
                <w:szCs w:val="18"/>
              </w:rPr>
              <w:t>指挥系统运用</w:t>
            </w:r>
          </w:p>
        </w:tc>
        <w:tc>
          <w:tcPr>
            <w:tcW w:w="709" w:type="dxa"/>
            <w:vAlign w:val="center"/>
          </w:tcPr>
          <w:p w14:paraId="7D6CA403">
            <w:pPr>
              <w:pStyle w:val="178"/>
            </w:pPr>
            <w:r>
              <w:rPr>
                <w:rFonts w:hint="eastAsia"/>
                <w:color w:val="000000"/>
                <w:szCs w:val="18"/>
              </w:rPr>
              <w:t>2</w:t>
            </w:r>
          </w:p>
        </w:tc>
        <w:tc>
          <w:tcPr>
            <w:tcW w:w="992" w:type="dxa"/>
            <w:vAlign w:val="center"/>
          </w:tcPr>
          <w:p w14:paraId="4BDCF502">
            <w:pPr>
              <w:pStyle w:val="178"/>
            </w:pPr>
            <w:r>
              <w:rPr/>
              <w:sym w:font="Wingdings" w:char="F0A1"/>
            </w:r>
          </w:p>
        </w:tc>
        <w:tc>
          <w:tcPr>
            <w:tcW w:w="4122" w:type="dxa"/>
            <w:vAlign w:val="center"/>
          </w:tcPr>
          <w:p w14:paraId="76B0398C">
            <w:pPr>
              <w:pStyle w:val="178"/>
              <w:jc w:val="both"/>
            </w:pPr>
            <w:r>
              <w:rPr>
                <w:rFonts w:hint="eastAsia"/>
                <w:color w:val="000000"/>
                <w:szCs w:val="18"/>
              </w:rPr>
              <w:t>了解指挥系统基本架构，熟悉指挥挥信息化发展路径。</w:t>
            </w:r>
          </w:p>
        </w:tc>
        <w:tc>
          <w:tcPr>
            <w:tcW w:w="1417" w:type="dxa"/>
            <w:vAlign w:val="center"/>
          </w:tcPr>
          <w:p w14:paraId="619C984F">
            <w:pPr>
              <w:pStyle w:val="178"/>
            </w:pPr>
            <w:r>
              <w:rPr/>
              <w:sym w:font="Wingdings 2" w:char="F0A3"/>
            </w:r>
          </w:p>
        </w:tc>
      </w:tr>
      <w:tr w14:paraId="16CF8A2A">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0" w:type="dxa"/>
            <w:bottom w:w="0" w:type="dxa"/>
            <w:right w:w="100" w:type="dxa"/>
          </w:tblCellMar>
        </w:tblPrEx>
        <w:trPr>
          <w:trHeight w:val="794" w:hRule="atLeast"/>
          <w:jc w:val="center"/>
        </w:trPr>
        <w:tc>
          <w:tcPr>
            <w:tcW w:w="983" w:type="dxa"/>
            <w:vMerge w:val="continue"/>
            <w:vAlign w:val="center"/>
          </w:tcPr>
          <w:p w14:paraId="469B39D6">
            <w:pPr>
              <w:pStyle w:val="178"/>
            </w:pPr>
          </w:p>
        </w:tc>
        <w:tc>
          <w:tcPr>
            <w:tcW w:w="1275" w:type="dxa"/>
            <w:vAlign w:val="center"/>
          </w:tcPr>
          <w:p w14:paraId="4C06AF6B">
            <w:pPr>
              <w:pStyle w:val="178"/>
            </w:pPr>
            <w:r>
              <w:rPr>
                <w:rFonts w:hint="eastAsia"/>
                <w:color w:val="000000"/>
                <w:szCs w:val="18"/>
              </w:rPr>
              <w:t>典型战例研究</w:t>
            </w:r>
          </w:p>
        </w:tc>
        <w:tc>
          <w:tcPr>
            <w:tcW w:w="709" w:type="dxa"/>
            <w:vAlign w:val="center"/>
          </w:tcPr>
          <w:p w14:paraId="37846C32">
            <w:pPr>
              <w:pStyle w:val="178"/>
            </w:pPr>
            <w:r>
              <w:rPr>
                <w:rFonts w:hint="eastAsia"/>
                <w:color w:val="000000"/>
                <w:szCs w:val="18"/>
              </w:rPr>
              <w:t>8</w:t>
            </w:r>
          </w:p>
        </w:tc>
        <w:tc>
          <w:tcPr>
            <w:tcW w:w="992" w:type="dxa"/>
            <w:vAlign w:val="center"/>
          </w:tcPr>
          <w:p w14:paraId="6E378936">
            <w:pPr>
              <w:pStyle w:val="178"/>
            </w:pPr>
            <w:r>
              <w:rPr/>
              <w:sym w:font="Wingdings 2" w:char="F098"/>
            </w:r>
          </w:p>
        </w:tc>
        <w:tc>
          <w:tcPr>
            <w:tcW w:w="4122" w:type="dxa"/>
            <w:vAlign w:val="center"/>
          </w:tcPr>
          <w:p w14:paraId="6397CEA8">
            <w:pPr>
              <w:pStyle w:val="178"/>
              <w:jc w:val="both"/>
            </w:pPr>
            <w:r>
              <w:rPr>
                <w:rFonts w:hint="eastAsia"/>
                <w:color w:val="000000"/>
                <w:szCs w:val="18"/>
              </w:rPr>
              <w:t>了解战例研究含义，熟悉战例研究的内容及流程，掌握战例研究方法。</w:t>
            </w:r>
          </w:p>
        </w:tc>
        <w:tc>
          <w:tcPr>
            <w:tcW w:w="1417" w:type="dxa"/>
            <w:vAlign w:val="center"/>
          </w:tcPr>
          <w:p w14:paraId="51DFEE8D">
            <w:pPr>
              <w:pStyle w:val="178"/>
            </w:pPr>
            <w:r>
              <w:rPr>
                <w:rFonts w:hint="eastAsia"/>
              </w:rPr>
              <w:sym w:font="Wingdings 2" w:char="F0A2"/>
            </w:r>
          </w:p>
        </w:tc>
      </w:tr>
      <w:tr w14:paraId="0E5BACF6">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0" w:type="dxa"/>
            <w:bottom w:w="0" w:type="dxa"/>
            <w:right w:w="100" w:type="dxa"/>
          </w:tblCellMar>
        </w:tblPrEx>
        <w:trPr>
          <w:trHeight w:val="794" w:hRule="atLeast"/>
          <w:jc w:val="center"/>
        </w:trPr>
        <w:tc>
          <w:tcPr>
            <w:tcW w:w="983" w:type="dxa"/>
            <w:vMerge w:val="continue"/>
            <w:vAlign w:val="center"/>
          </w:tcPr>
          <w:p w14:paraId="32F43929">
            <w:pPr>
              <w:pStyle w:val="178"/>
            </w:pPr>
          </w:p>
        </w:tc>
        <w:tc>
          <w:tcPr>
            <w:tcW w:w="1275" w:type="dxa"/>
            <w:vAlign w:val="center"/>
          </w:tcPr>
          <w:p w14:paraId="5E41B3CF">
            <w:pPr>
              <w:pStyle w:val="178"/>
            </w:pPr>
            <w:r>
              <w:rPr>
                <w:rFonts w:hint="eastAsia"/>
                <w:color w:val="000000"/>
                <w:szCs w:val="18"/>
              </w:rPr>
              <w:t>灭火演练</w:t>
            </w:r>
          </w:p>
        </w:tc>
        <w:tc>
          <w:tcPr>
            <w:tcW w:w="709" w:type="dxa"/>
            <w:vAlign w:val="center"/>
          </w:tcPr>
          <w:p w14:paraId="199BE4D8">
            <w:pPr>
              <w:pStyle w:val="178"/>
            </w:pPr>
            <w:r>
              <w:rPr>
                <w:rFonts w:hint="eastAsia"/>
                <w:color w:val="000000"/>
                <w:szCs w:val="18"/>
              </w:rPr>
              <w:t>4</w:t>
            </w:r>
          </w:p>
        </w:tc>
        <w:tc>
          <w:tcPr>
            <w:tcW w:w="992" w:type="dxa"/>
            <w:vAlign w:val="center"/>
          </w:tcPr>
          <w:p w14:paraId="0CA6E161">
            <w:pPr>
              <w:pStyle w:val="178"/>
            </w:pPr>
            <w:bookmarkStart w:id="319" w:name="OLE_LINK53"/>
            <w:r>
              <w:rPr/>
              <w:sym w:font="Wingdings" w:char="F0A1"/>
            </w:r>
            <w:r>
              <w:rPr/>
              <w:sym w:font="Wingdings 2" w:char="F098"/>
            </w:r>
            <w:bookmarkEnd w:id="319"/>
          </w:p>
        </w:tc>
        <w:tc>
          <w:tcPr>
            <w:tcW w:w="4122" w:type="dxa"/>
            <w:vAlign w:val="center"/>
          </w:tcPr>
          <w:p w14:paraId="7920EE79">
            <w:pPr>
              <w:pStyle w:val="178"/>
              <w:jc w:val="both"/>
            </w:pPr>
            <w:r>
              <w:rPr>
                <w:rFonts w:hint="eastAsia"/>
                <w:color w:val="000000"/>
                <w:szCs w:val="18"/>
              </w:rPr>
              <w:t>会制定灭火演练计划和方案，熟悉灭火演练组织程序，会通过演练完善灭火预案。</w:t>
            </w:r>
          </w:p>
        </w:tc>
        <w:tc>
          <w:tcPr>
            <w:tcW w:w="1417" w:type="dxa"/>
            <w:vAlign w:val="center"/>
          </w:tcPr>
          <w:p w14:paraId="7F69868C">
            <w:pPr>
              <w:pStyle w:val="178"/>
            </w:pPr>
            <w:r>
              <w:rPr/>
              <w:sym w:font="Wingdings 2" w:char="F0A3"/>
            </w:r>
            <w:r>
              <w:rPr>
                <w:rFonts w:hint="eastAsia"/>
              </w:rPr>
              <w:sym w:font="Wingdings 2" w:char="F0A2"/>
            </w:r>
          </w:p>
        </w:tc>
      </w:tr>
      <w:tr w14:paraId="0CB35E66">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0" w:type="dxa"/>
            <w:bottom w:w="0" w:type="dxa"/>
            <w:right w:w="100" w:type="dxa"/>
          </w:tblCellMar>
        </w:tblPrEx>
        <w:trPr>
          <w:trHeight w:val="794" w:hRule="atLeast"/>
          <w:jc w:val="center"/>
        </w:trPr>
        <w:tc>
          <w:tcPr>
            <w:tcW w:w="983" w:type="dxa"/>
            <w:vMerge w:val="continue"/>
            <w:tcBorders>
              <w:bottom w:val="single" w:color="auto" w:sz="4" w:space="0"/>
            </w:tcBorders>
            <w:vAlign w:val="center"/>
          </w:tcPr>
          <w:p w14:paraId="6E0715D5">
            <w:pPr>
              <w:pStyle w:val="178"/>
            </w:pPr>
          </w:p>
        </w:tc>
        <w:tc>
          <w:tcPr>
            <w:tcW w:w="1275" w:type="dxa"/>
            <w:tcBorders>
              <w:bottom w:val="single" w:color="auto" w:sz="4" w:space="0"/>
            </w:tcBorders>
            <w:vAlign w:val="center"/>
          </w:tcPr>
          <w:p w14:paraId="20DD7CA0">
            <w:pPr>
              <w:pStyle w:val="178"/>
            </w:pPr>
            <w:r>
              <w:rPr>
                <w:rFonts w:hint="eastAsia"/>
                <w:color w:val="000000"/>
                <w:szCs w:val="18"/>
              </w:rPr>
              <w:t>舆情应对</w:t>
            </w:r>
          </w:p>
        </w:tc>
        <w:tc>
          <w:tcPr>
            <w:tcW w:w="709" w:type="dxa"/>
            <w:tcBorders>
              <w:bottom w:val="single" w:color="auto" w:sz="4" w:space="0"/>
            </w:tcBorders>
            <w:vAlign w:val="center"/>
          </w:tcPr>
          <w:p w14:paraId="6C02BD7F">
            <w:pPr>
              <w:pStyle w:val="178"/>
            </w:pPr>
            <w:r>
              <w:rPr>
                <w:rFonts w:hint="eastAsia"/>
                <w:color w:val="000000"/>
                <w:szCs w:val="18"/>
              </w:rPr>
              <w:t>4</w:t>
            </w:r>
          </w:p>
        </w:tc>
        <w:tc>
          <w:tcPr>
            <w:tcW w:w="992" w:type="dxa"/>
            <w:tcBorders>
              <w:bottom w:val="single" w:color="auto" w:sz="4" w:space="0"/>
            </w:tcBorders>
            <w:vAlign w:val="center"/>
          </w:tcPr>
          <w:p w14:paraId="402C93E4">
            <w:pPr>
              <w:pStyle w:val="178"/>
            </w:pPr>
            <w:r>
              <w:rPr/>
              <w:sym w:font="Wingdings" w:char="F0A1"/>
            </w:r>
            <w:bookmarkStart w:id="320" w:name="OLE_LINK54"/>
            <w:r>
              <w:rPr/>
              <w:sym w:font="Wingdings 2" w:char="F098"/>
            </w:r>
            <w:bookmarkEnd w:id="320"/>
          </w:p>
        </w:tc>
        <w:tc>
          <w:tcPr>
            <w:tcW w:w="4122" w:type="dxa"/>
            <w:tcBorders>
              <w:bottom w:val="single" w:color="auto" w:sz="4" w:space="0"/>
            </w:tcBorders>
            <w:vAlign w:val="center"/>
          </w:tcPr>
          <w:p w14:paraId="09327B42">
            <w:pPr>
              <w:pStyle w:val="178"/>
              <w:jc w:val="both"/>
            </w:pPr>
            <w:r>
              <w:rPr>
                <w:rFonts w:hint="eastAsia"/>
                <w:color w:val="000000"/>
                <w:szCs w:val="18"/>
              </w:rPr>
              <w:t>了解森林草原火灾舆情特征，熟悉舆情应对原则，掌握常见舆情应对方法。</w:t>
            </w:r>
          </w:p>
        </w:tc>
        <w:tc>
          <w:tcPr>
            <w:tcW w:w="1417" w:type="dxa"/>
            <w:tcBorders>
              <w:bottom w:val="single" w:color="auto" w:sz="4" w:space="0"/>
            </w:tcBorders>
            <w:vAlign w:val="center"/>
          </w:tcPr>
          <w:p w14:paraId="70AF35E4">
            <w:pPr>
              <w:pStyle w:val="178"/>
            </w:pPr>
            <w:r>
              <w:rPr/>
              <w:sym w:font="Wingdings 2" w:char="F0A3"/>
            </w:r>
            <w:r>
              <w:rPr>
                <w:rFonts w:hint="eastAsia"/>
              </w:rPr>
              <w:sym w:font="Wingdings 2" w:char="F0A2"/>
            </w:r>
          </w:p>
        </w:tc>
      </w:tr>
      <w:bookmarkEnd w:id="317"/>
      <w:tr w14:paraId="2CEE5237">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0" w:type="dxa"/>
            <w:bottom w:w="0" w:type="dxa"/>
            <w:right w:w="100" w:type="dxa"/>
          </w:tblCellMar>
        </w:tblPrEx>
        <w:trPr>
          <w:trHeight w:val="794" w:hRule="atLeast"/>
          <w:jc w:val="center"/>
        </w:trPr>
        <w:tc>
          <w:tcPr>
            <w:tcW w:w="983" w:type="dxa"/>
            <w:vMerge w:val="restart"/>
            <w:tcBorders>
              <w:top w:val="single" w:color="auto" w:sz="4" w:space="0"/>
              <w:bottom w:val="single" w:color="auto" w:sz="4" w:space="0"/>
            </w:tcBorders>
            <w:vAlign w:val="center"/>
          </w:tcPr>
          <w:p w14:paraId="58391830">
            <w:pPr>
              <w:pStyle w:val="178"/>
            </w:pPr>
            <w:r>
              <w:rPr>
                <w:rFonts w:hint="eastAsia"/>
              </w:rPr>
              <w:t>灭火安全</w:t>
            </w:r>
          </w:p>
        </w:tc>
        <w:tc>
          <w:tcPr>
            <w:tcW w:w="1275" w:type="dxa"/>
            <w:tcBorders>
              <w:top w:val="single" w:color="auto" w:sz="4" w:space="0"/>
              <w:bottom w:val="single" w:color="auto" w:sz="4" w:space="0"/>
            </w:tcBorders>
            <w:vAlign w:val="center"/>
          </w:tcPr>
          <w:p w14:paraId="2161DEED">
            <w:pPr>
              <w:pStyle w:val="178"/>
            </w:pPr>
            <w:r>
              <w:rPr>
                <w:rFonts w:hint="eastAsia"/>
                <w:color w:val="000000"/>
                <w:szCs w:val="18"/>
              </w:rPr>
              <w:t>风险评估</w:t>
            </w:r>
          </w:p>
        </w:tc>
        <w:tc>
          <w:tcPr>
            <w:tcW w:w="709" w:type="dxa"/>
            <w:tcBorders>
              <w:top w:val="single" w:color="auto" w:sz="4" w:space="0"/>
              <w:bottom w:val="single" w:color="auto" w:sz="4" w:space="0"/>
            </w:tcBorders>
            <w:vAlign w:val="center"/>
          </w:tcPr>
          <w:p w14:paraId="42B1FCBE">
            <w:pPr>
              <w:pStyle w:val="178"/>
            </w:pPr>
            <w:r>
              <w:rPr>
                <w:rFonts w:hint="eastAsia"/>
                <w:color w:val="000000"/>
                <w:szCs w:val="18"/>
              </w:rPr>
              <w:t>2</w:t>
            </w:r>
          </w:p>
        </w:tc>
        <w:tc>
          <w:tcPr>
            <w:tcW w:w="992" w:type="dxa"/>
            <w:tcBorders>
              <w:top w:val="single" w:color="auto" w:sz="4" w:space="0"/>
              <w:bottom w:val="single" w:color="auto" w:sz="4" w:space="0"/>
            </w:tcBorders>
            <w:vAlign w:val="center"/>
          </w:tcPr>
          <w:p w14:paraId="4139EC46">
            <w:pPr>
              <w:pStyle w:val="178"/>
            </w:pPr>
            <w:bookmarkStart w:id="321" w:name="OLE_LINK55"/>
            <w:r>
              <w:rPr/>
              <w:sym w:font="Wingdings" w:char="F0A1"/>
            </w:r>
            <w:bookmarkEnd w:id="321"/>
          </w:p>
        </w:tc>
        <w:tc>
          <w:tcPr>
            <w:tcW w:w="4122" w:type="dxa"/>
            <w:tcBorders>
              <w:top w:val="single" w:color="auto" w:sz="4" w:space="0"/>
              <w:bottom w:val="single" w:color="auto" w:sz="4" w:space="0"/>
            </w:tcBorders>
            <w:vAlign w:val="center"/>
          </w:tcPr>
          <w:p w14:paraId="662A1ECE">
            <w:pPr>
              <w:pStyle w:val="178"/>
              <w:jc w:val="both"/>
            </w:pPr>
            <w:r>
              <w:rPr>
                <w:rFonts w:hint="eastAsia"/>
                <w:color w:val="000000"/>
                <w:szCs w:val="18"/>
              </w:rPr>
              <w:t>熟悉火场安全风险源，掌握火场安全风险评估方法。</w:t>
            </w:r>
          </w:p>
        </w:tc>
        <w:tc>
          <w:tcPr>
            <w:tcW w:w="1417" w:type="dxa"/>
            <w:tcBorders>
              <w:top w:val="single" w:color="auto" w:sz="4" w:space="0"/>
              <w:bottom w:val="single" w:color="auto" w:sz="4" w:space="0"/>
            </w:tcBorders>
            <w:vAlign w:val="center"/>
          </w:tcPr>
          <w:p w14:paraId="78ECBBD2">
            <w:pPr>
              <w:pStyle w:val="178"/>
            </w:pPr>
            <w:bookmarkStart w:id="322" w:name="OLE_LINK58"/>
            <w:r>
              <w:rPr/>
              <w:sym w:font="Wingdings 2" w:char="F0A3"/>
            </w:r>
            <w:bookmarkEnd w:id="322"/>
          </w:p>
        </w:tc>
      </w:tr>
      <w:tr w14:paraId="2FB230D4">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0" w:type="dxa"/>
            <w:bottom w:w="0" w:type="dxa"/>
            <w:right w:w="100" w:type="dxa"/>
          </w:tblCellMar>
        </w:tblPrEx>
        <w:trPr>
          <w:trHeight w:val="794" w:hRule="atLeast"/>
          <w:jc w:val="center"/>
        </w:trPr>
        <w:tc>
          <w:tcPr>
            <w:tcW w:w="983" w:type="dxa"/>
            <w:vMerge w:val="continue"/>
            <w:tcBorders>
              <w:top w:val="single" w:color="auto" w:sz="4" w:space="0"/>
            </w:tcBorders>
            <w:vAlign w:val="center"/>
          </w:tcPr>
          <w:p w14:paraId="4DD4C340">
            <w:pPr>
              <w:pStyle w:val="178"/>
            </w:pPr>
            <w:bookmarkStart w:id="323" w:name="_Hlk203550906"/>
          </w:p>
        </w:tc>
        <w:tc>
          <w:tcPr>
            <w:tcW w:w="1275" w:type="dxa"/>
            <w:tcBorders>
              <w:top w:val="single" w:color="auto" w:sz="4" w:space="0"/>
            </w:tcBorders>
            <w:vAlign w:val="center"/>
          </w:tcPr>
          <w:p w14:paraId="76533BB9">
            <w:pPr>
              <w:pStyle w:val="178"/>
            </w:pPr>
            <w:r>
              <w:rPr>
                <w:rFonts w:hint="eastAsia"/>
                <w:color w:val="000000"/>
                <w:szCs w:val="18"/>
              </w:rPr>
              <w:t>火场救护</w:t>
            </w:r>
          </w:p>
        </w:tc>
        <w:tc>
          <w:tcPr>
            <w:tcW w:w="709" w:type="dxa"/>
            <w:tcBorders>
              <w:top w:val="single" w:color="auto" w:sz="4" w:space="0"/>
            </w:tcBorders>
            <w:vAlign w:val="center"/>
          </w:tcPr>
          <w:p w14:paraId="7227215D">
            <w:pPr>
              <w:pStyle w:val="178"/>
            </w:pPr>
            <w:r>
              <w:rPr>
                <w:rFonts w:hint="eastAsia"/>
                <w:color w:val="000000"/>
                <w:szCs w:val="18"/>
              </w:rPr>
              <w:t>—</w:t>
            </w:r>
          </w:p>
        </w:tc>
        <w:tc>
          <w:tcPr>
            <w:tcW w:w="992" w:type="dxa"/>
            <w:tcBorders>
              <w:top w:val="single" w:color="auto" w:sz="4" w:space="0"/>
            </w:tcBorders>
            <w:vAlign w:val="center"/>
          </w:tcPr>
          <w:p w14:paraId="6237E20C">
            <w:pPr>
              <w:pStyle w:val="178"/>
            </w:pPr>
            <w:r>
              <w:rPr>
                <w:rFonts w:hint="eastAsia"/>
                <w:color w:val="000000"/>
                <w:szCs w:val="18"/>
              </w:rPr>
              <w:t>—</w:t>
            </w:r>
          </w:p>
        </w:tc>
        <w:tc>
          <w:tcPr>
            <w:tcW w:w="4122" w:type="dxa"/>
            <w:tcBorders>
              <w:top w:val="single" w:color="auto" w:sz="4" w:space="0"/>
            </w:tcBorders>
            <w:vAlign w:val="center"/>
          </w:tcPr>
          <w:p w14:paraId="14E7CA8B">
            <w:pPr>
              <w:pStyle w:val="178"/>
            </w:pPr>
            <w:r>
              <w:rPr>
                <w:rFonts w:hint="eastAsia"/>
                <w:color w:val="000000"/>
                <w:szCs w:val="18"/>
              </w:rPr>
              <w:t>—</w:t>
            </w:r>
          </w:p>
        </w:tc>
        <w:tc>
          <w:tcPr>
            <w:tcW w:w="1417" w:type="dxa"/>
            <w:tcBorders>
              <w:top w:val="single" w:color="auto" w:sz="4" w:space="0"/>
            </w:tcBorders>
            <w:vAlign w:val="center"/>
          </w:tcPr>
          <w:p w14:paraId="1B51E45B">
            <w:pPr>
              <w:pStyle w:val="178"/>
            </w:pPr>
            <w:r>
              <w:rPr>
                <w:rFonts w:hint="eastAsia"/>
                <w:color w:val="000000"/>
                <w:szCs w:val="18"/>
              </w:rPr>
              <w:t>—</w:t>
            </w:r>
          </w:p>
        </w:tc>
      </w:tr>
      <w:bookmarkEnd w:id="323"/>
      <w:tr w14:paraId="1552AF30">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0" w:type="dxa"/>
            <w:bottom w:w="0" w:type="dxa"/>
            <w:right w:w="100" w:type="dxa"/>
          </w:tblCellMar>
        </w:tblPrEx>
        <w:trPr>
          <w:trHeight w:val="794" w:hRule="atLeast"/>
          <w:jc w:val="center"/>
        </w:trPr>
        <w:tc>
          <w:tcPr>
            <w:tcW w:w="983" w:type="dxa"/>
            <w:vMerge w:val="continue"/>
            <w:vAlign w:val="center"/>
          </w:tcPr>
          <w:p w14:paraId="62081094">
            <w:pPr>
              <w:pStyle w:val="178"/>
            </w:pPr>
          </w:p>
        </w:tc>
        <w:tc>
          <w:tcPr>
            <w:tcW w:w="1275" w:type="dxa"/>
            <w:vAlign w:val="center"/>
          </w:tcPr>
          <w:p w14:paraId="6A70D641">
            <w:pPr>
              <w:pStyle w:val="178"/>
            </w:pPr>
            <w:r>
              <w:rPr>
                <w:rFonts w:hint="eastAsia"/>
                <w:color w:val="000000"/>
                <w:szCs w:val="18"/>
              </w:rPr>
              <w:t>紧急避险</w:t>
            </w:r>
          </w:p>
        </w:tc>
        <w:tc>
          <w:tcPr>
            <w:tcW w:w="709" w:type="dxa"/>
            <w:vAlign w:val="center"/>
          </w:tcPr>
          <w:p w14:paraId="05D86950">
            <w:pPr>
              <w:pStyle w:val="178"/>
            </w:pPr>
            <w:r>
              <w:rPr>
                <w:rFonts w:hint="eastAsia"/>
                <w:color w:val="000000"/>
                <w:szCs w:val="18"/>
              </w:rPr>
              <w:t>4</w:t>
            </w:r>
          </w:p>
        </w:tc>
        <w:tc>
          <w:tcPr>
            <w:tcW w:w="992" w:type="dxa"/>
            <w:vAlign w:val="center"/>
          </w:tcPr>
          <w:p w14:paraId="5A4CD28A">
            <w:pPr>
              <w:pStyle w:val="178"/>
            </w:pPr>
            <w:r>
              <w:rPr/>
              <w:sym w:font="Wingdings 2" w:char="F098"/>
            </w:r>
          </w:p>
        </w:tc>
        <w:tc>
          <w:tcPr>
            <w:tcW w:w="4122" w:type="dxa"/>
            <w:vAlign w:val="center"/>
          </w:tcPr>
          <w:p w14:paraId="5035E5FA">
            <w:pPr>
              <w:pStyle w:val="178"/>
              <w:jc w:val="both"/>
            </w:pPr>
            <w:r>
              <w:rPr>
                <w:rFonts w:hint="eastAsia"/>
                <w:color w:val="000000"/>
                <w:szCs w:val="18"/>
              </w:rPr>
              <w:t>掌握火场险情规律、紧急避险方法。</w:t>
            </w:r>
          </w:p>
        </w:tc>
        <w:tc>
          <w:tcPr>
            <w:tcW w:w="1417" w:type="dxa"/>
            <w:vAlign w:val="center"/>
          </w:tcPr>
          <w:p w14:paraId="3EC48C99">
            <w:pPr>
              <w:pStyle w:val="178"/>
            </w:pPr>
            <w:r>
              <w:rPr>
                <w:rFonts w:hint="eastAsia"/>
              </w:rPr>
              <w:sym w:font="Wingdings 2" w:char="F0A2"/>
            </w:r>
          </w:p>
        </w:tc>
      </w:tr>
      <w:tr w14:paraId="24C2F632">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0" w:type="dxa"/>
            <w:bottom w:w="0" w:type="dxa"/>
            <w:right w:w="100" w:type="dxa"/>
          </w:tblCellMar>
        </w:tblPrEx>
        <w:trPr>
          <w:trHeight w:val="794" w:hRule="atLeast"/>
          <w:jc w:val="center"/>
        </w:trPr>
        <w:tc>
          <w:tcPr>
            <w:tcW w:w="983" w:type="dxa"/>
            <w:vMerge w:val="continue"/>
            <w:vAlign w:val="center"/>
          </w:tcPr>
          <w:p w14:paraId="2017839B">
            <w:pPr>
              <w:pStyle w:val="178"/>
            </w:pPr>
          </w:p>
        </w:tc>
        <w:tc>
          <w:tcPr>
            <w:tcW w:w="1275" w:type="dxa"/>
            <w:vAlign w:val="center"/>
          </w:tcPr>
          <w:p w14:paraId="41208981">
            <w:pPr>
              <w:pStyle w:val="178"/>
            </w:pPr>
            <w:r>
              <w:rPr>
                <w:rFonts w:hint="eastAsia"/>
                <w:color w:val="000000"/>
                <w:szCs w:val="18"/>
              </w:rPr>
              <w:t>事故处置</w:t>
            </w:r>
          </w:p>
        </w:tc>
        <w:tc>
          <w:tcPr>
            <w:tcW w:w="709" w:type="dxa"/>
            <w:vAlign w:val="center"/>
          </w:tcPr>
          <w:p w14:paraId="1847FC8C">
            <w:pPr>
              <w:pStyle w:val="178"/>
            </w:pPr>
            <w:r>
              <w:rPr>
                <w:rFonts w:hint="eastAsia"/>
                <w:color w:val="000000"/>
                <w:szCs w:val="18"/>
              </w:rPr>
              <w:t>2</w:t>
            </w:r>
          </w:p>
        </w:tc>
        <w:tc>
          <w:tcPr>
            <w:tcW w:w="992" w:type="dxa"/>
            <w:vAlign w:val="center"/>
          </w:tcPr>
          <w:p w14:paraId="1CB042CE">
            <w:pPr>
              <w:pStyle w:val="178"/>
            </w:pPr>
            <w:r>
              <w:rPr/>
              <w:sym w:font="Wingdings" w:char="F0A1"/>
            </w:r>
          </w:p>
        </w:tc>
        <w:tc>
          <w:tcPr>
            <w:tcW w:w="4122" w:type="dxa"/>
            <w:vAlign w:val="center"/>
          </w:tcPr>
          <w:p w14:paraId="30FF984D">
            <w:pPr>
              <w:pStyle w:val="178"/>
              <w:jc w:val="both"/>
            </w:pPr>
            <w:r>
              <w:rPr>
                <w:rFonts w:hint="eastAsia"/>
                <w:color w:val="000000"/>
                <w:szCs w:val="18"/>
              </w:rPr>
              <w:t>了解火场事故规律，熟悉事故处置程序及方法。</w:t>
            </w:r>
          </w:p>
        </w:tc>
        <w:tc>
          <w:tcPr>
            <w:tcW w:w="1417" w:type="dxa"/>
            <w:vAlign w:val="center"/>
          </w:tcPr>
          <w:p w14:paraId="5882960B">
            <w:pPr>
              <w:pStyle w:val="178"/>
            </w:pPr>
            <w:r>
              <w:rPr/>
              <w:sym w:font="Wingdings 2" w:char="F0A3"/>
            </w:r>
          </w:p>
        </w:tc>
      </w:tr>
      <w:tr w14:paraId="530523CE">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0" w:type="dxa"/>
            <w:bottom w:w="0" w:type="dxa"/>
            <w:right w:w="100" w:type="dxa"/>
          </w:tblCellMar>
        </w:tblPrEx>
        <w:trPr>
          <w:trHeight w:val="794" w:hRule="atLeast"/>
          <w:jc w:val="center"/>
        </w:trPr>
        <w:tc>
          <w:tcPr>
            <w:tcW w:w="983" w:type="dxa"/>
            <w:vMerge w:val="continue"/>
            <w:vAlign w:val="center"/>
          </w:tcPr>
          <w:p w14:paraId="666B999A">
            <w:pPr>
              <w:pStyle w:val="178"/>
            </w:pPr>
          </w:p>
        </w:tc>
        <w:tc>
          <w:tcPr>
            <w:tcW w:w="1275" w:type="dxa"/>
            <w:vAlign w:val="center"/>
          </w:tcPr>
          <w:p w14:paraId="48F0A70D">
            <w:pPr>
              <w:pStyle w:val="178"/>
            </w:pPr>
            <w:r>
              <w:rPr>
                <w:rFonts w:hint="eastAsia"/>
                <w:color w:val="000000"/>
                <w:szCs w:val="18"/>
              </w:rPr>
              <w:t>心理调适</w:t>
            </w:r>
          </w:p>
        </w:tc>
        <w:tc>
          <w:tcPr>
            <w:tcW w:w="709" w:type="dxa"/>
            <w:vAlign w:val="center"/>
          </w:tcPr>
          <w:p w14:paraId="53456C19">
            <w:pPr>
              <w:pStyle w:val="178"/>
            </w:pPr>
            <w:r>
              <w:rPr>
                <w:rFonts w:hint="eastAsia"/>
                <w:color w:val="000000"/>
                <w:szCs w:val="18"/>
              </w:rPr>
              <w:t>0</w:t>
            </w:r>
          </w:p>
        </w:tc>
        <w:tc>
          <w:tcPr>
            <w:tcW w:w="992" w:type="dxa"/>
            <w:vAlign w:val="center"/>
          </w:tcPr>
          <w:p w14:paraId="2950D4C6">
            <w:pPr>
              <w:pStyle w:val="178"/>
            </w:pPr>
            <w:r>
              <w:rPr>
                <w:rFonts w:hint="eastAsia"/>
                <w:color w:val="000000"/>
                <w:szCs w:val="18"/>
              </w:rPr>
              <w:t>—</w:t>
            </w:r>
          </w:p>
        </w:tc>
        <w:tc>
          <w:tcPr>
            <w:tcW w:w="4122" w:type="dxa"/>
            <w:vAlign w:val="center"/>
          </w:tcPr>
          <w:p w14:paraId="1CFF73AB">
            <w:pPr>
              <w:pStyle w:val="178"/>
            </w:pPr>
            <w:r>
              <w:rPr>
                <w:rFonts w:hint="eastAsia"/>
                <w:color w:val="000000"/>
                <w:szCs w:val="18"/>
              </w:rPr>
              <w:t>—</w:t>
            </w:r>
          </w:p>
        </w:tc>
        <w:tc>
          <w:tcPr>
            <w:tcW w:w="1417" w:type="dxa"/>
            <w:vAlign w:val="center"/>
          </w:tcPr>
          <w:p w14:paraId="0F052265">
            <w:pPr>
              <w:pStyle w:val="178"/>
            </w:pPr>
            <w:r>
              <w:rPr>
                <w:rFonts w:hint="eastAsia"/>
                <w:color w:val="000000"/>
                <w:szCs w:val="18"/>
              </w:rPr>
              <w:t>—</w:t>
            </w:r>
          </w:p>
        </w:tc>
      </w:tr>
      <w:bookmarkEnd w:id="312"/>
      <w:tr w14:paraId="5A9FF19F">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0" w:type="dxa"/>
            <w:bottom w:w="0" w:type="dxa"/>
            <w:right w:w="100" w:type="dxa"/>
          </w:tblCellMar>
        </w:tblPrEx>
        <w:trPr>
          <w:trHeight w:val="794" w:hRule="atLeast"/>
          <w:jc w:val="center"/>
        </w:trPr>
        <w:tc>
          <w:tcPr>
            <w:tcW w:w="983" w:type="dxa"/>
            <w:tcBorders>
              <w:bottom w:val="single" w:color="auto" w:sz="8" w:space="0"/>
            </w:tcBorders>
            <w:vAlign w:val="center"/>
          </w:tcPr>
          <w:p w14:paraId="073B68A3">
            <w:pPr>
              <w:pStyle w:val="178"/>
            </w:pPr>
            <w:r>
              <w:rPr>
                <w:rFonts w:hint="eastAsia"/>
              </w:rPr>
              <w:t>合计</w:t>
            </w:r>
          </w:p>
        </w:tc>
        <w:tc>
          <w:tcPr>
            <w:tcW w:w="1275" w:type="dxa"/>
            <w:tcBorders>
              <w:bottom w:val="single" w:color="auto" w:sz="8" w:space="0"/>
            </w:tcBorders>
            <w:vAlign w:val="center"/>
          </w:tcPr>
          <w:p w14:paraId="0D29DDAE">
            <w:pPr>
              <w:pStyle w:val="178"/>
              <w:rPr>
                <w:color w:val="000000"/>
                <w:szCs w:val="18"/>
              </w:rPr>
            </w:pPr>
            <w:r>
              <w:rPr>
                <w:rFonts w:hint="eastAsia"/>
                <w:color w:val="000000"/>
                <w:szCs w:val="18"/>
              </w:rPr>
              <w:t>—</w:t>
            </w:r>
          </w:p>
        </w:tc>
        <w:tc>
          <w:tcPr>
            <w:tcW w:w="709" w:type="dxa"/>
            <w:tcBorders>
              <w:bottom w:val="single" w:color="auto" w:sz="8" w:space="0"/>
            </w:tcBorders>
            <w:vAlign w:val="center"/>
          </w:tcPr>
          <w:p w14:paraId="1A2A12FC">
            <w:pPr>
              <w:pStyle w:val="178"/>
              <w:rPr>
                <w:color w:val="000000"/>
                <w:szCs w:val="18"/>
              </w:rPr>
            </w:pPr>
            <w:r>
              <w:rPr>
                <w:rFonts w:hint="eastAsia"/>
                <w:color w:val="000000"/>
                <w:szCs w:val="18"/>
              </w:rPr>
              <w:t>64</w:t>
            </w:r>
          </w:p>
        </w:tc>
        <w:tc>
          <w:tcPr>
            <w:tcW w:w="992" w:type="dxa"/>
            <w:tcBorders>
              <w:bottom w:val="single" w:color="auto" w:sz="8" w:space="0"/>
            </w:tcBorders>
            <w:vAlign w:val="center"/>
          </w:tcPr>
          <w:p w14:paraId="5B271EEB">
            <w:pPr>
              <w:pStyle w:val="178"/>
            </w:pPr>
            <w:r>
              <w:rPr>
                <w:rFonts w:hint="eastAsia"/>
                <w:color w:val="000000"/>
                <w:szCs w:val="18"/>
              </w:rPr>
              <w:t>—</w:t>
            </w:r>
          </w:p>
        </w:tc>
        <w:tc>
          <w:tcPr>
            <w:tcW w:w="4122" w:type="dxa"/>
            <w:tcBorders>
              <w:bottom w:val="single" w:color="auto" w:sz="8" w:space="0"/>
            </w:tcBorders>
            <w:vAlign w:val="center"/>
          </w:tcPr>
          <w:p w14:paraId="06DA0141">
            <w:pPr>
              <w:pStyle w:val="178"/>
            </w:pPr>
            <w:bookmarkStart w:id="324" w:name="OLE_LINK18"/>
            <w:r>
              <w:rPr>
                <w:rFonts w:hint="eastAsia"/>
                <w:color w:val="000000"/>
                <w:szCs w:val="18"/>
              </w:rPr>
              <w:t>—</w:t>
            </w:r>
            <w:bookmarkEnd w:id="324"/>
          </w:p>
        </w:tc>
        <w:tc>
          <w:tcPr>
            <w:tcW w:w="1417" w:type="dxa"/>
            <w:tcBorders>
              <w:bottom w:val="single" w:color="auto" w:sz="8" w:space="0"/>
            </w:tcBorders>
            <w:vAlign w:val="center"/>
          </w:tcPr>
          <w:p w14:paraId="746ED2F5">
            <w:pPr>
              <w:pStyle w:val="178"/>
            </w:pPr>
            <w:r>
              <w:rPr>
                <w:rFonts w:hint="eastAsia"/>
                <w:color w:val="000000"/>
                <w:szCs w:val="18"/>
              </w:rPr>
              <w:t>—</w:t>
            </w:r>
          </w:p>
        </w:tc>
      </w:tr>
      <w:tr w14:paraId="5732E959">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0" w:type="dxa"/>
            <w:bottom w:w="0" w:type="dxa"/>
            <w:right w:w="100" w:type="dxa"/>
          </w:tblCellMar>
        </w:tblPrEx>
        <w:trPr>
          <w:trHeight w:val="794" w:hRule="atLeast"/>
          <w:jc w:val="center"/>
        </w:trPr>
        <w:tc>
          <w:tcPr>
            <w:tcW w:w="9498" w:type="dxa"/>
            <w:gridSpan w:val="6"/>
            <w:tcBorders>
              <w:top w:val="single" w:color="auto" w:sz="8" w:space="0"/>
              <w:bottom w:val="single" w:color="auto" w:sz="8" w:space="0"/>
            </w:tcBorders>
            <w:vAlign w:val="center"/>
          </w:tcPr>
          <w:p w14:paraId="45053AE7">
            <w:pPr>
              <w:pStyle w:val="180"/>
              <w:numPr>
                <w:ilvl w:val="0"/>
                <w:numId w:val="50"/>
              </w:numPr>
            </w:pPr>
            <w:r>
              <w:rPr/>
              <w:sym w:font="Wingdings" w:char="F0A1"/>
            </w:r>
            <w:r>
              <w:rPr>
                <w:rFonts w:hint="eastAsia"/>
              </w:rPr>
              <w:t>为理论教学；</w:t>
            </w:r>
            <w:r>
              <w:rPr/>
              <w:sym w:font="Wingdings 2" w:char="F098"/>
            </w:r>
            <w:r>
              <w:rPr>
                <w:rFonts w:hint="eastAsia"/>
              </w:rPr>
              <w:t>为实践教学，包括实操训练、虚拟仿真训练、模拟训练等方式；</w:t>
            </w:r>
            <w:r>
              <w:rPr/>
              <w:sym w:font="Wingdings" w:char="F0A1"/>
            </w:r>
            <w:r>
              <w:rPr/>
              <w:sym w:font="Wingdings 2" w:char="F098"/>
            </w:r>
            <w:r>
              <w:rPr>
                <w:rFonts w:hint="eastAsia"/>
              </w:rPr>
              <w:t>为同时开展理论教学和和实践教学。</w:t>
            </w:r>
          </w:p>
          <w:p w14:paraId="74B17719">
            <w:pPr>
              <w:pStyle w:val="180"/>
              <w:numPr>
                <w:ilvl w:val="0"/>
                <w:numId w:val="50"/>
              </w:numPr>
            </w:pPr>
            <w:r>
              <w:rPr/>
              <w:sym w:font="Wingdings 2" w:char="F0A3"/>
            </w:r>
            <w:r>
              <w:rPr>
                <w:rFonts w:hint="eastAsia"/>
              </w:rPr>
              <w:t>为闭卷笔试或计算机考试方式；</w:t>
            </w:r>
            <w:r>
              <w:rPr>
                <w:rFonts w:hint="eastAsia"/>
              </w:rPr>
              <w:sym w:font="Wingdings 2" w:char="F0A2"/>
            </w:r>
            <w:r>
              <w:rPr>
                <w:rFonts w:hint="eastAsia"/>
              </w:rPr>
              <w:t>为现场实操、模拟演练或虚拟仿真演练等考核方式；</w:t>
            </w:r>
            <w:r>
              <w:rPr/>
              <w:sym w:font="Wingdings 2" w:char="F0A3"/>
            </w:r>
            <w:r>
              <w:rPr>
                <w:rFonts w:hint="eastAsia"/>
              </w:rPr>
              <w:sym w:font="Wingdings 2" w:char="F0A2"/>
            </w:r>
            <w:r>
              <w:rPr>
                <w:rFonts w:hint="eastAsia"/>
              </w:rPr>
              <w:t>表示应同时进行专业理论考核和实践操作考核。</w:t>
            </w:r>
          </w:p>
        </w:tc>
      </w:tr>
      <w:bookmarkEnd w:id="311"/>
    </w:tbl>
    <w:p w14:paraId="572EF17E">
      <w:pPr>
        <w:pStyle w:val="77"/>
        <w:spacing w:before="120" w:after="120"/>
      </w:pPr>
      <w:r>
        <w:rPr>
          <w:rFonts w:hint="eastAsia"/>
        </w:rPr>
        <w:t>市级和省级指挥员培训设置</w:t>
      </w:r>
    </w:p>
    <w:tbl>
      <w:tblPr>
        <w:tblStyle w:val="27"/>
        <w:tblW w:w="9506" w:type="dxa"/>
        <w:jc w:val="center"/>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Layout w:type="autofit"/>
        <w:tblCellMar>
          <w:top w:w="0" w:type="dxa"/>
          <w:left w:w="100" w:type="dxa"/>
          <w:bottom w:w="0" w:type="dxa"/>
          <w:right w:w="100" w:type="dxa"/>
        </w:tblCellMar>
      </w:tblPr>
      <w:tblGrid>
        <w:gridCol w:w="984"/>
        <w:gridCol w:w="1276"/>
        <w:gridCol w:w="709"/>
        <w:gridCol w:w="993"/>
        <w:gridCol w:w="4126"/>
        <w:gridCol w:w="1418"/>
      </w:tblGrid>
      <w:tr w14:paraId="6BB59305">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0" w:type="dxa"/>
            <w:bottom w:w="0" w:type="dxa"/>
            <w:right w:w="100" w:type="dxa"/>
          </w:tblCellMar>
        </w:tblPrEx>
        <w:trPr>
          <w:trHeight w:val="583" w:hRule="atLeast"/>
          <w:tblHeader/>
          <w:jc w:val="center"/>
        </w:trPr>
        <w:tc>
          <w:tcPr>
            <w:tcW w:w="984" w:type="dxa"/>
            <w:tcBorders>
              <w:top w:val="single" w:color="auto" w:sz="8" w:space="0"/>
            </w:tcBorders>
            <w:vAlign w:val="center"/>
          </w:tcPr>
          <w:p w14:paraId="3EF359C5">
            <w:pPr>
              <w:pStyle w:val="178"/>
            </w:pPr>
            <w:bookmarkStart w:id="325" w:name="OLE_LINK17"/>
            <w:r>
              <w:rPr>
                <w:rFonts w:hint="eastAsia"/>
              </w:rPr>
              <w:t>课目</w:t>
            </w:r>
          </w:p>
        </w:tc>
        <w:tc>
          <w:tcPr>
            <w:tcW w:w="1276" w:type="dxa"/>
            <w:tcBorders>
              <w:top w:val="single" w:color="auto" w:sz="8" w:space="0"/>
            </w:tcBorders>
            <w:vAlign w:val="center"/>
          </w:tcPr>
          <w:p w14:paraId="18C7C318">
            <w:pPr>
              <w:pStyle w:val="178"/>
            </w:pPr>
            <w:r>
              <w:rPr>
                <w:rFonts w:hint="eastAsia"/>
              </w:rPr>
              <w:t>内容</w:t>
            </w:r>
          </w:p>
        </w:tc>
        <w:tc>
          <w:tcPr>
            <w:tcW w:w="709" w:type="dxa"/>
            <w:tcBorders>
              <w:top w:val="single" w:color="auto" w:sz="8" w:space="0"/>
            </w:tcBorders>
            <w:vAlign w:val="center"/>
          </w:tcPr>
          <w:p w14:paraId="4294321B">
            <w:pPr>
              <w:pStyle w:val="178"/>
            </w:pPr>
            <w:r>
              <w:rPr>
                <w:rFonts w:hint="eastAsia"/>
              </w:rPr>
              <w:t>学时</w:t>
            </w:r>
          </w:p>
        </w:tc>
        <w:tc>
          <w:tcPr>
            <w:tcW w:w="993" w:type="dxa"/>
            <w:tcBorders>
              <w:top w:val="single" w:color="auto" w:sz="8" w:space="0"/>
            </w:tcBorders>
            <w:vAlign w:val="center"/>
          </w:tcPr>
          <w:p w14:paraId="4A530D1A">
            <w:pPr>
              <w:pStyle w:val="178"/>
            </w:pPr>
            <w:r>
              <w:rPr>
                <w:rFonts w:hint="eastAsia"/>
              </w:rPr>
              <w:t>培训方式</w:t>
            </w:r>
          </w:p>
        </w:tc>
        <w:tc>
          <w:tcPr>
            <w:tcW w:w="4126" w:type="dxa"/>
            <w:tcBorders>
              <w:top w:val="single" w:color="auto" w:sz="8" w:space="0"/>
            </w:tcBorders>
            <w:vAlign w:val="center"/>
          </w:tcPr>
          <w:p w14:paraId="6F2A695F">
            <w:pPr>
              <w:pStyle w:val="178"/>
            </w:pPr>
            <w:r>
              <w:rPr>
                <w:rFonts w:hint="eastAsia"/>
              </w:rPr>
              <w:t>知会程度要求</w:t>
            </w:r>
          </w:p>
        </w:tc>
        <w:tc>
          <w:tcPr>
            <w:tcW w:w="1418" w:type="dxa"/>
            <w:tcBorders>
              <w:top w:val="single" w:color="auto" w:sz="8" w:space="0"/>
            </w:tcBorders>
            <w:vAlign w:val="center"/>
          </w:tcPr>
          <w:p w14:paraId="491953ED">
            <w:pPr>
              <w:pStyle w:val="178"/>
            </w:pPr>
            <w:r>
              <w:rPr>
                <w:rFonts w:hint="eastAsia"/>
              </w:rPr>
              <w:t>结业考核方式</w:t>
            </w:r>
          </w:p>
        </w:tc>
      </w:tr>
      <w:tr w14:paraId="3A701257">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0" w:type="dxa"/>
            <w:bottom w:w="0" w:type="dxa"/>
            <w:right w:w="100" w:type="dxa"/>
          </w:tblCellMar>
        </w:tblPrEx>
        <w:trPr>
          <w:trHeight w:val="916" w:hRule="atLeast"/>
          <w:jc w:val="center"/>
        </w:trPr>
        <w:tc>
          <w:tcPr>
            <w:tcW w:w="984" w:type="dxa"/>
            <w:vMerge w:val="restart"/>
            <w:vAlign w:val="center"/>
          </w:tcPr>
          <w:p w14:paraId="2FD6248C">
            <w:pPr>
              <w:pStyle w:val="178"/>
            </w:pPr>
            <w:bookmarkStart w:id="326" w:name="_Hlk203572866"/>
            <w:bookmarkStart w:id="327" w:name="_Hlk203555351"/>
            <w:r>
              <w:rPr>
                <w:rFonts w:hint="eastAsia"/>
              </w:rPr>
              <w:t>灭火基础</w:t>
            </w:r>
          </w:p>
        </w:tc>
        <w:tc>
          <w:tcPr>
            <w:tcW w:w="1276" w:type="dxa"/>
            <w:vAlign w:val="center"/>
          </w:tcPr>
          <w:p w14:paraId="4544E0E8">
            <w:pPr>
              <w:pStyle w:val="178"/>
            </w:pPr>
            <w:r>
              <w:rPr>
                <w:rFonts w:hint="eastAsia"/>
                <w:color w:val="000000"/>
                <w:szCs w:val="18"/>
              </w:rPr>
              <w:t>林学基础</w:t>
            </w:r>
          </w:p>
        </w:tc>
        <w:tc>
          <w:tcPr>
            <w:tcW w:w="709" w:type="dxa"/>
            <w:vAlign w:val="center"/>
          </w:tcPr>
          <w:p w14:paraId="7E74FA25">
            <w:pPr>
              <w:pStyle w:val="178"/>
            </w:pPr>
            <w:r>
              <w:rPr>
                <w:rFonts w:hint="eastAsia"/>
                <w:color w:val="000000"/>
                <w:szCs w:val="18"/>
              </w:rPr>
              <w:t>1</w:t>
            </w:r>
          </w:p>
        </w:tc>
        <w:tc>
          <w:tcPr>
            <w:tcW w:w="993" w:type="dxa"/>
            <w:vAlign w:val="center"/>
          </w:tcPr>
          <w:p w14:paraId="68AD63C9">
            <w:pPr>
              <w:pStyle w:val="178"/>
            </w:pPr>
            <w:r>
              <w:rPr/>
              <w:sym w:font="Wingdings" w:char="F0A1"/>
            </w:r>
          </w:p>
        </w:tc>
        <w:tc>
          <w:tcPr>
            <w:tcW w:w="4126" w:type="dxa"/>
            <w:vAlign w:val="center"/>
          </w:tcPr>
          <w:p w14:paraId="5EDA0A15">
            <w:pPr>
              <w:pStyle w:val="178"/>
              <w:jc w:val="both"/>
            </w:pPr>
            <w:r>
              <w:rPr>
                <w:rFonts w:hint="eastAsia"/>
                <w:color w:val="000000"/>
                <w:szCs w:val="18"/>
              </w:rPr>
              <w:t>了解森林和草原有关概念，熟悉辖区森林草原资源概况。</w:t>
            </w:r>
          </w:p>
        </w:tc>
        <w:tc>
          <w:tcPr>
            <w:tcW w:w="1418" w:type="dxa"/>
            <w:vAlign w:val="center"/>
          </w:tcPr>
          <w:p w14:paraId="6DC1AF54">
            <w:pPr>
              <w:pStyle w:val="178"/>
            </w:pPr>
            <w:r>
              <w:rPr/>
              <w:sym w:font="Wingdings 2" w:char="F0A3"/>
            </w:r>
          </w:p>
        </w:tc>
      </w:tr>
      <w:tr w14:paraId="233F1063">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0" w:type="dxa"/>
            <w:bottom w:w="0" w:type="dxa"/>
            <w:right w:w="100" w:type="dxa"/>
          </w:tblCellMar>
        </w:tblPrEx>
        <w:trPr>
          <w:trHeight w:val="916" w:hRule="atLeast"/>
          <w:jc w:val="center"/>
        </w:trPr>
        <w:tc>
          <w:tcPr>
            <w:tcW w:w="984" w:type="dxa"/>
            <w:vMerge w:val="continue"/>
            <w:vAlign w:val="center"/>
          </w:tcPr>
          <w:p w14:paraId="787C71F0">
            <w:pPr>
              <w:pStyle w:val="178"/>
            </w:pPr>
          </w:p>
        </w:tc>
        <w:tc>
          <w:tcPr>
            <w:tcW w:w="1276" w:type="dxa"/>
            <w:vAlign w:val="center"/>
          </w:tcPr>
          <w:p w14:paraId="592BF853">
            <w:pPr>
              <w:pStyle w:val="178"/>
            </w:pPr>
            <w:r>
              <w:rPr>
                <w:rFonts w:hint="eastAsia"/>
                <w:color w:val="000000"/>
                <w:szCs w:val="18"/>
              </w:rPr>
              <w:t>气象学基础</w:t>
            </w:r>
          </w:p>
        </w:tc>
        <w:tc>
          <w:tcPr>
            <w:tcW w:w="709" w:type="dxa"/>
            <w:vAlign w:val="center"/>
          </w:tcPr>
          <w:p w14:paraId="06E276FA">
            <w:pPr>
              <w:pStyle w:val="178"/>
            </w:pPr>
            <w:r>
              <w:rPr>
                <w:rFonts w:hint="eastAsia"/>
                <w:color w:val="000000"/>
                <w:szCs w:val="18"/>
              </w:rPr>
              <w:t>1</w:t>
            </w:r>
          </w:p>
        </w:tc>
        <w:tc>
          <w:tcPr>
            <w:tcW w:w="993" w:type="dxa"/>
            <w:vAlign w:val="center"/>
          </w:tcPr>
          <w:p w14:paraId="38FAFABC">
            <w:pPr>
              <w:pStyle w:val="178"/>
            </w:pPr>
            <w:r>
              <w:rPr/>
              <w:sym w:font="Wingdings" w:char="F0A1"/>
            </w:r>
          </w:p>
        </w:tc>
        <w:tc>
          <w:tcPr>
            <w:tcW w:w="4126" w:type="dxa"/>
            <w:vAlign w:val="center"/>
          </w:tcPr>
          <w:p w14:paraId="0F71D4B1">
            <w:pPr>
              <w:pStyle w:val="178"/>
              <w:jc w:val="both"/>
            </w:pPr>
            <w:r>
              <w:rPr>
                <w:rFonts w:hint="eastAsia"/>
                <w:color w:val="000000"/>
                <w:szCs w:val="18"/>
              </w:rPr>
              <w:t>了解辖区森林草原火险气象规律。</w:t>
            </w:r>
          </w:p>
        </w:tc>
        <w:tc>
          <w:tcPr>
            <w:tcW w:w="1418" w:type="dxa"/>
            <w:vAlign w:val="center"/>
          </w:tcPr>
          <w:p w14:paraId="1CF94E57">
            <w:pPr>
              <w:pStyle w:val="178"/>
            </w:pPr>
            <w:r>
              <w:rPr/>
              <w:sym w:font="Wingdings 2" w:char="F0A3"/>
            </w:r>
          </w:p>
        </w:tc>
      </w:tr>
      <w:tr w14:paraId="0E4BE7FA">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0" w:type="dxa"/>
            <w:bottom w:w="0" w:type="dxa"/>
            <w:right w:w="100" w:type="dxa"/>
          </w:tblCellMar>
        </w:tblPrEx>
        <w:trPr>
          <w:trHeight w:val="916" w:hRule="atLeast"/>
          <w:jc w:val="center"/>
        </w:trPr>
        <w:tc>
          <w:tcPr>
            <w:tcW w:w="984" w:type="dxa"/>
            <w:vMerge w:val="continue"/>
            <w:vAlign w:val="center"/>
          </w:tcPr>
          <w:p w14:paraId="456462F5">
            <w:pPr>
              <w:pStyle w:val="178"/>
            </w:pPr>
          </w:p>
        </w:tc>
        <w:tc>
          <w:tcPr>
            <w:tcW w:w="1276" w:type="dxa"/>
            <w:vAlign w:val="center"/>
          </w:tcPr>
          <w:p w14:paraId="3735254D">
            <w:pPr>
              <w:pStyle w:val="178"/>
            </w:pPr>
            <w:r>
              <w:rPr>
                <w:rFonts w:hint="eastAsia"/>
                <w:color w:val="000000"/>
                <w:szCs w:val="18"/>
              </w:rPr>
              <w:t>地形学基础</w:t>
            </w:r>
          </w:p>
        </w:tc>
        <w:tc>
          <w:tcPr>
            <w:tcW w:w="709" w:type="dxa"/>
            <w:vAlign w:val="center"/>
          </w:tcPr>
          <w:p w14:paraId="0CE4BBB7">
            <w:pPr>
              <w:pStyle w:val="178"/>
            </w:pPr>
            <w:r>
              <w:rPr>
                <w:rFonts w:hint="eastAsia"/>
                <w:color w:val="000000"/>
                <w:szCs w:val="18"/>
              </w:rPr>
              <w:t>1</w:t>
            </w:r>
          </w:p>
        </w:tc>
        <w:tc>
          <w:tcPr>
            <w:tcW w:w="993" w:type="dxa"/>
            <w:vAlign w:val="center"/>
          </w:tcPr>
          <w:p w14:paraId="3E020C8F">
            <w:pPr>
              <w:pStyle w:val="178"/>
            </w:pPr>
            <w:r>
              <w:rPr/>
              <w:sym w:font="Wingdings" w:char="F0A1"/>
            </w:r>
          </w:p>
        </w:tc>
        <w:tc>
          <w:tcPr>
            <w:tcW w:w="4126" w:type="dxa"/>
            <w:vAlign w:val="center"/>
          </w:tcPr>
          <w:p w14:paraId="6FA8A2D0">
            <w:pPr>
              <w:pStyle w:val="178"/>
              <w:jc w:val="both"/>
            </w:pPr>
            <w:r>
              <w:rPr>
                <w:rFonts w:hint="eastAsia"/>
                <w:color w:val="000000"/>
                <w:szCs w:val="18"/>
              </w:rPr>
              <w:t>了解森地形对火灾的影响机理。</w:t>
            </w:r>
          </w:p>
        </w:tc>
        <w:tc>
          <w:tcPr>
            <w:tcW w:w="1418" w:type="dxa"/>
            <w:vAlign w:val="center"/>
          </w:tcPr>
          <w:p w14:paraId="337AEFBD">
            <w:pPr>
              <w:pStyle w:val="178"/>
            </w:pPr>
            <w:r>
              <w:rPr/>
              <w:sym w:font="Wingdings 2" w:char="F0A3"/>
            </w:r>
          </w:p>
        </w:tc>
      </w:tr>
      <w:tr w14:paraId="28CA890E">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0" w:type="dxa"/>
            <w:bottom w:w="0" w:type="dxa"/>
            <w:right w:w="100" w:type="dxa"/>
          </w:tblCellMar>
        </w:tblPrEx>
        <w:trPr>
          <w:trHeight w:val="916" w:hRule="atLeast"/>
          <w:jc w:val="center"/>
        </w:trPr>
        <w:tc>
          <w:tcPr>
            <w:tcW w:w="984" w:type="dxa"/>
            <w:vMerge w:val="continue"/>
            <w:vAlign w:val="center"/>
          </w:tcPr>
          <w:p w14:paraId="110F0BC9">
            <w:pPr>
              <w:pStyle w:val="178"/>
            </w:pPr>
          </w:p>
        </w:tc>
        <w:tc>
          <w:tcPr>
            <w:tcW w:w="1276" w:type="dxa"/>
            <w:vAlign w:val="center"/>
          </w:tcPr>
          <w:p w14:paraId="0943C6B6">
            <w:pPr>
              <w:pStyle w:val="178"/>
            </w:pPr>
            <w:r>
              <w:rPr>
                <w:rFonts w:hint="eastAsia"/>
                <w:color w:val="000000"/>
                <w:szCs w:val="18"/>
              </w:rPr>
              <w:t>指挥学基础</w:t>
            </w:r>
          </w:p>
        </w:tc>
        <w:tc>
          <w:tcPr>
            <w:tcW w:w="709" w:type="dxa"/>
            <w:vAlign w:val="center"/>
          </w:tcPr>
          <w:p w14:paraId="082AD96F">
            <w:pPr>
              <w:pStyle w:val="178"/>
            </w:pPr>
            <w:r>
              <w:rPr>
                <w:rFonts w:hint="eastAsia"/>
                <w:color w:val="000000"/>
                <w:szCs w:val="18"/>
              </w:rPr>
              <w:t>1</w:t>
            </w:r>
          </w:p>
        </w:tc>
        <w:tc>
          <w:tcPr>
            <w:tcW w:w="993" w:type="dxa"/>
            <w:vAlign w:val="center"/>
          </w:tcPr>
          <w:p w14:paraId="6EE43C55">
            <w:pPr>
              <w:pStyle w:val="178"/>
            </w:pPr>
            <w:r>
              <w:rPr/>
              <w:sym w:font="Wingdings" w:char="F0A1"/>
            </w:r>
          </w:p>
        </w:tc>
        <w:tc>
          <w:tcPr>
            <w:tcW w:w="4126" w:type="dxa"/>
            <w:vAlign w:val="center"/>
          </w:tcPr>
          <w:p w14:paraId="44EB6DE2">
            <w:pPr>
              <w:pStyle w:val="178"/>
              <w:jc w:val="both"/>
            </w:pPr>
            <w:r>
              <w:rPr>
                <w:rFonts w:hint="eastAsia"/>
                <w:color w:val="000000"/>
                <w:szCs w:val="18"/>
              </w:rPr>
              <w:t>了解森林草原灭火指挥特征、指挥要素及原则。</w:t>
            </w:r>
          </w:p>
        </w:tc>
        <w:tc>
          <w:tcPr>
            <w:tcW w:w="1418" w:type="dxa"/>
            <w:vAlign w:val="center"/>
          </w:tcPr>
          <w:p w14:paraId="16E34B40">
            <w:pPr>
              <w:pStyle w:val="178"/>
            </w:pPr>
            <w:r>
              <w:rPr/>
              <w:sym w:font="Wingdings 2" w:char="F0A3"/>
            </w:r>
          </w:p>
        </w:tc>
      </w:tr>
      <w:tr w14:paraId="130D9F24">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0" w:type="dxa"/>
            <w:bottom w:w="0" w:type="dxa"/>
            <w:right w:w="100" w:type="dxa"/>
          </w:tblCellMar>
        </w:tblPrEx>
        <w:trPr>
          <w:trHeight w:val="916" w:hRule="atLeast"/>
          <w:jc w:val="center"/>
        </w:trPr>
        <w:tc>
          <w:tcPr>
            <w:tcW w:w="984" w:type="dxa"/>
            <w:vMerge w:val="continue"/>
            <w:vAlign w:val="center"/>
          </w:tcPr>
          <w:p w14:paraId="7CF89767">
            <w:pPr>
              <w:pStyle w:val="178"/>
            </w:pPr>
          </w:p>
        </w:tc>
        <w:tc>
          <w:tcPr>
            <w:tcW w:w="1276" w:type="dxa"/>
            <w:vAlign w:val="center"/>
          </w:tcPr>
          <w:p w14:paraId="67D548E5">
            <w:pPr>
              <w:pStyle w:val="178"/>
            </w:pPr>
            <w:r>
              <w:rPr>
                <w:rFonts w:hint="eastAsia"/>
                <w:color w:val="000000"/>
                <w:szCs w:val="18"/>
              </w:rPr>
              <w:t>林火原理</w:t>
            </w:r>
          </w:p>
        </w:tc>
        <w:tc>
          <w:tcPr>
            <w:tcW w:w="709" w:type="dxa"/>
            <w:vAlign w:val="center"/>
          </w:tcPr>
          <w:p w14:paraId="7C5A6A68">
            <w:pPr>
              <w:pStyle w:val="178"/>
            </w:pPr>
            <w:r>
              <w:rPr>
                <w:rFonts w:hint="eastAsia"/>
                <w:color w:val="000000"/>
                <w:szCs w:val="18"/>
              </w:rPr>
              <w:t>1</w:t>
            </w:r>
          </w:p>
        </w:tc>
        <w:tc>
          <w:tcPr>
            <w:tcW w:w="993" w:type="dxa"/>
            <w:vAlign w:val="center"/>
          </w:tcPr>
          <w:p w14:paraId="33B1033B">
            <w:pPr>
              <w:pStyle w:val="178"/>
            </w:pPr>
            <w:r>
              <w:rPr/>
              <w:sym w:font="Wingdings" w:char="F0A1"/>
            </w:r>
          </w:p>
        </w:tc>
        <w:tc>
          <w:tcPr>
            <w:tcW w:w="4126" w:type="dxa"/>
            <w:vAlign w:val="center"/>
          </w:tcPr>
          <w:p w14:paraId="28D5B432">
            <w:pPr>
              <w:pStyle w:val="178"/>
              <w:jc w:val="both"/>
            </w:pPr>
            <w:r>
              <w:rPr>
                <w:rFonts w:hint="eastAsia"/>
                <w:color w:val="000000"/>
                <w:szCs w:val="18"/>
              </w:rPr>
              <w:t>了解森林草原燃烧及灭火机理、森林草原林火行为特征。</w:t>
            </w:r>
          </w:p>
        </w:tc>
        <w:tc>
          <w:tcPr>
            <w:tcW w:w="1418" w:type="dxa"/>
            <w:vAlign w:val="center"/>
          </w:tcPr>
          <w:p w14:paraId="296E99C3">
            <w:pPr>
              <w:pStyle w:val="178"/>
            </w:pPr>
            <w:r>
              <w:rPr/>
              <w:sym w:font="Wingdings 2" w:char="F0A3"/>
            </w:r>
          </w:p>
        </w:tc>
      </w:tr>
      <w:tr w14:paraId="68D29F85">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0" w:type="dxa"/>
            <w:bottom w:w="0" w:type="dxa"/>
            <w:right w:w="100" w:type="dxa"/>
          </w:tblCellMar>
        </w:tblPrEx>
        <w:trPr>
          <w:trHeight w:val="916" w:hRule="atLeast"/>
          <w:jc w:val="center"/>
        </w:trPr>
        <w:tc>
          <w:tcPr>
            <w:tcW w:w="984" w:type="dxa"/>
            <w:vMerge w:val="continue"/>
            <w:vAlign w:val="center"/>
          </w:tcPr>
          <w:p w14:paraId="0C9EDEA1">
            <w:pPr>
              <w:pStyle w:val="178"/>
            </w:pPr>
          </w:p>
        </w:tc>
        <w:tc>
          <w:tcPr>
            <w:tcW w:w="1276" w:type="dxa"/>
            <w:vAlign w:val="center"/>
          </w:tcPr>
          <w:p w14:paraId="45CF82F5">
            <w:pPr>
              <w:pStyle w:val="178"/>
            </w:pPr>
            <w:r>
              <w:rPr>
                <w:rFonts w:hint="eastAsia"/>
                <w:color w:val="000000"/>
                <w:szCs w:val="18"/>
              </w:rPr>
              <w:t>防火勤务</w:t>
            </w:r>
          </w:p>
        </w:tc>
        <w:tc>
          <w:tcPr>
            <w:tcW w:w="709" w:type="dxa"/>
            <w:vAlign w:val="center"/>
          </w:tcPr>
          <w:p w14:paraId="44DFBAE2">
            <w:pPr>
              <w:pStyle w:val="178"/>
            </w:pPr>
            <w:r>
              <w:rPr>
                <w:rFonts w:hint="eastAsia"/>
                <w:color w:val="000000"/>
                <w:szCs w:val="18"/>
              </w:rPr>
              <w:t>1</w:t>
            </w:r>
          </w:p>
        </w:tc>
        <w:tc>
          <w:tcPr>
            <w:tcW w:w="993" w:type="dxa"/>
            <w:vAlign w:val="center"/>
          </w:tcPr>
          <w:p w14:paraId="56114DB0">
            <w:pPr>
              <w:pStyle w:val="178"/>
            </w:pPr>
            <w:r>
              <w:rPr/>
              <w:sym w:font="Wingdings" w:char="F0A1"/>
            </w:r>
          </w:p>
        </w:tc>
        <w:tc>
          <w:tcPr>
            <w:tcW w:w="4126" w:type="dxa"/>
            <w:vAlign w:val="center"/>
          </w:tcPr>
          <w:p w14:paraId="70DE2DC1">
            <w:pPr>
              <w:pStyle w:val="178"/>
              <w:jc w:val="both"/>
            </w:pPr>
            <w:r>
              <w:rPr>
                <w:rFonts w:hint="eastAsia"/>
                <w:color w:val="000000"/>
                <w:szCs w:val="18"/>
              </w:rPr>
              <w:t>了解森林防火勤务种类及主要工作内容。</w:t>
            </w:r>
          </w:p>
        </w:tc>
        <w:tc>
          <w:tcPr>
            <w:tcW w:w="1418" w:type="dxa"/>
            <w:vAlign w:val="center"/>
          </w:tcPr>
          <w:p w14:paraId="168E36A2">
            <w:pPr>
              <w:pStyle w:val="178"/>
            </w:pPr>
            <w:r>
              <w:rPr/>
              <w:sym w:font="Wingdings 2" w:char="F0A3"/>
            </w:r>
          </w:p>
        </w:tc>
      </w:tr>
      <w:tr w14:paraId="3ABA56A9">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0" w:type="dxa"/>
            <w:bottom w:w="0" w:type="dxa"/>
            <w:right w:w="100" w:type="dxa"/>
          </w:tblCellMar>
        </w:tblPrEx>
        <w:trPr>
          <w:trHeight w:val="916" w:hRule="atLeast"/>
          <w:jc w:val="center"/>
        </w:trPr>
        <w:tc>
          <w:tcPr>
            <w:tcW w:w="984" w:type="dxa"/>
            <w:vMerge w:val="continue"/>
            <w:vAlign w:val="center"/>
          </w:tcPr>
          <w:p w14:paraId="733E93C5">
            <w:pPr>
              <w:pStyle w:val="178"/>
            </w:pPr>
          </w:p>
        </w:tc>
        <w:tc>
          <w:tcPr>
            <w:tcW w:w="1276" w:type="dxa"/>
            <w:vAlign w:val="center"/>
          </w:tcPr>
          <w:p w14:paraId="42B7E055">
            <w:pPr>
              <w:pStyle w:val="178"/>
            </w:pPr>
            <w:r>
              <w:rPr>
                <w:rFonts w:hint="eastAsia"/>
                <w:color w:val="000000"/>
                <w:szCs w:val="18"/>
              </w:rPr>
              <w:t>林火管理政策与法规</w:t>
            </w:r>
          </w:p>
        </w:tc>
        <w:tc>
          <w:tcPr>
            <w:tcW w:w="709" w:type="dxa"/>
            <w:vAlign w:val="center"/>
          </w:tcPr>
          <w:p w14:paraId="2325E8C9">
            <w:pPr>
              <w:pStyle w:val="178"/>
            </w:pPr>
            <w:r>
              <w:rPr>
                <w:rFonts w:hint="eastAsia"/>
                <w:color w:val="000000"/>
                <w:szCs w:val="18"/>
              </w:rPr>
              <w:t>4</w:t>
            </w:r>
          </w:p>
        </w:tc>
        <w:tc>
          <w:tcPr>
            <w:tcW w:w="993" w:type="dxa"/>
            <w:vAlign w:val="center"/>
          </w:tcPr>
          <w:p w14:paraId="00601A93">
            <w:pPr>
              <w:pStyle w:val="178"/>
            </w:pPr>
            <w:r>
              <w:rPr/>
              <w:sym w:font="Wingdings" w:char="F0A1"/>
            </w:r>
          </w:p>
        </w:tc>
        <w:tc>
          <w:tcPr>
            <w:tcW w:w="4126" w:type="dxa"/>
            <w:vAlign w:val="center"/>
          </w:tcPr>
          <w:p w14:paraId="01E82BAF">
            <w:pPr>
              <w:pStyle w:val="178"/>
              <w:jc w:val="both"/>
            </w:pPr>
            <w:r>
              <w:rPr>
                <w:rFonts w:hint="eastAsia"/>
                <w:color w:val="000000"/>
                <w:szCs w:val="18"/>
              </w:rPr>
              <w:t>了解国内外森林草原火灾形势，熟悉森林草原防灭火有关法规，掌握森林草原防灭火工作政策。</w:t>
            </w:r>
          </w:p>
        </w:tc>
        <w:tc>
          <w:tcPr>
            <w:tcW w:w="1418" w:type="dxa"/>
            <w:vAlign w:val="center"/>
          </w:tcPr>
          <w:p w14:paraId="42E0877B">
            <w:pPr>
              <w:pStyle w:val="178"/>
            </w:pPr>
            <w:r>
              <w:rPr/>
              <w:sym w:font="Wingdings 2" w:char="F0A3"/>
            </w:r>
          </w:p>
        </w:tc>
      </w:tr>
      <w:tr w14:paraId="24B84D52">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0" w:type="dxa"/>
            <w:bottom w:w="0" w:type="dxa"/>
            <w:right w:w="100" w:type="dxa"/>
          </w:tblCellMar>
        </w:tblPrEx>
        <w:trPr>
          <w:trHeight w:val="916" w:hRule="atLeast"/>
          <w:jc w:val="center"/>
        </w:trPr>
        <w:tc>
          <w:tcPr>
            <w:tcW w:w="984" w:type="dxa"/>
            <w:vMerge w:val="restart"/>
            <w:vAlign w:val="center"/>
          </w:tcPr>
          <w:p w14:paraId="199B54E8">
            <w:pPr>
              <w:pStyle w:val="178"/>
            </w:pPr>
            <w:r>
              <w:rPr>
                <w:rFonts w:hint="eastAsia"/>
              </w:rPr>
              <w:t>灭火装备</w:t>
            </w:r>
          </w:p>
        </w:tc>
        <w:tc>
          <w:tcPr>
            <w:tcW w:w="1276" w:type="dxa"/>
            <w:tcBorders>
              <w:bottom w:val="single" w:color="auto" w:sz="4" w:space="0"/>
            </w:tcBorders>
            <w:vAlign w:val="center"/>
          </w:tcPr>
          <w:p w14:paraId="77151501">
            <w:pPr>
              <w:pStyle w:val="178"/>
            </w:pPr>
            <w:r>
              <w:rPr>
                <w:rFonts w:hint="eastAsia"/>
                <w:color w:val="000000"/>
                <w:szCs w:val="18"/>
              </w:rPr>
              <w:t>装备操作与使用</w:t>
            </w:r>
          </w:p>
        </w:tc>
        <w:tc>
          <w:tcPr>
            <w:tcW w:w="709" w:type="dxa"/>
            <w:tcBorders>
              <w:bottom w:val="single" w:color="auto" w:sz="4" w:space="0"/>
            </w:tcBorders>
            <w:vAlign w:val="center"/>
          </w:tcPr>
          <w:p w14:paraId="7ED3C790">
            <w:pPr>
              <w:pStyle w:val="178"/>
            </w:pPr>
            <w:r>
              <w:rPr>
                <w:rFonts w:hint="eastAsia"/>
                <w:color w:val="000000"/>
                <w:szCs w:val="18"/>
              </w:rPr>
              <w:t>—</w:t>
            </w:r>
          </w:p>
        </w:tc>
        <w:tc>
          <w:tcPr>
            <w:tcW w:w="993" w:type="dxa"/>
            <w:tcBorders>
              <w:bottom w:val="single" w:color="auto" w:sz="4" w:space="0"/>
            </w:tcBorders>
            <w:vAlign w:val="center"/>
          </w:tcPr>
          <w:p w14:paraId="1D9BD76D">
            <w:pPr>
              <w:pStyle w:val="178"/>
            </w:pPr>
            <w:r>
              <w:rPr>
                <w:rFonts w:hint="eastAsia"/>
              </w:rPr>
              <w:t>—</w:t>
            </w:r>
          </w:p>
        </w:tc>
        <w:tc>
          <w:tcPr>
            <w:tcW w:w="4126" w:type="dxa"/>
            <w:tcBorders>
              <w:bottom w:val="single" w:color="auto" w:sz="4" w:space="0"/>
            </w:tcBorders>
            <w:vAlign w:val="center"/>
          </w:tcPr>
          <w:p w14:paraId="7EA42AAA">
            <w:pPr>
              <w:pStyle w:val="178"/>
            </w:pPr>
            <w:r>
              <w:rPr>
                <w:rFonts w:hint="eastAsia"/>
                <w:color w:val="000000"/>
                <w:szCs w:val="18"/>
              </w:rPr>
              <w:t>—</w:t>
            </w:r>
          </w:p>
        </w:tc>
        <w:tc>
          <w:tcPr>
            <w:tcW w:w="1418" w:type="dxa"/>
            <w:tcBorders>
              <w:bottom w:val="single" w:color="auto" w:sz="4" w:space="0"/>
            </w:tcBorders>
            <w:vAlign w:val="center"/>
          </w:tcPr>
          <w:p w14:paraId="7B05B331">
            <w:pPr>
              <w:pStyle w:val="178"/>
            </w:pPr>
            <w:r>
              <w:rPr>
                <w:rFonts w:hint="eastAsia"/>
              </w:rPr>
              <w:t>—</w:t>
            </w:r>
          </w:p>
        </w:tc>
      </w:tr>
      <w:tr w14:paraId="34829DCA">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0" w:type="dxa"/>
            <w:bottom w:w="0" w:type="dxa"/>
            <w:right w:w="100" w:type="dxa"/>
          </w:tblCellMar>
        </w:tblPrEx>
        <w:trPr>
          <w:trHeight w:val="916" w:hRule="atLeast"/>
          <w:jc w:val="center"/>
        </w:trPr>
        <w:tc>
          <w:tcPr>
            <w:tcW w:w="984" w:type="dxa"/>
            <w:vMerge w:val="continue"/>
            <w:tcBorders>
              <w:bottom w:val="single" w:color="auto" w:sz="4" w:space="0"/>
            </w:tcBorders>
            <w:vAlign w:val="center"/>
          </w:tcPr>
          <w:p w14:paraId="4D7B19A1">
            <w:pPr>
              <w:pStyle w:val="178"/>
            </w:pPr>
          </w:p>
        </w:tc>
        <w:tc>
          <w:tcPr>
            <w:tcW w:w="1276" w:type="dxa"/>
            <w:tcBorders>
              <w:top w:val="single" w:color="auto" w:sz="4" w:space="0"/>
              <w:bottom w:val="single" w:color="auto" w:sz="4" w:space="0"/>
            </w:tcBorders>
            <w:vAlign w:val="center"/>
          </w:tcPr>
          <w:p w14:paraId="06932356">
            <w:pPr>
              <w:pStyle w:val="178"/>
            </w:pPr>
            <w:r>
              <w:rPr>
                <w:rFonts w:hint="eastAsia"/>
                <w:color w:val="000000"/>
                <w:szCs w:val="18"/>
              </w:rPr>
              <w:t>装备体系建设</w:t>
            </w:r>
          </w:p>
        </w:tc>
        <w:tc>
          <w:tcPr>
            <w:tcW w:w="709" w:type="dxa"/>
            <w:tcBorders>
              <w:top w:val="single" w:color="auto" w:sz="4" w:space="0"/>
              <w:bottom w:val="single" w:color="auto" w:sz="4" w:space="0"/>
            </w:tcBorders>
            <w:vAlign w:val="center"/>
          </w:tcPr>
          <w:p w14:paraId="55BF58A8">
            <w:pPr>
              <w:pStyle w:val="178"/>
            </w:pPr>
            <w:r>
              <w:rPr>
                <w:rFonts w:hint="eastAsia"/>
                <w:color w:val="000000"/>
                <w:szCs w:val="18"/>
              </w:rPr>
              <w:t>4</w:t>
            </w:r>
          </w:p>
        </w:tc>
        <w:tc>
          <w:tcPr>
            <w:tcW w:w="993" w:type="dxa"/>
            <w:tcBorders>
              <w:top w:val="single" w:color="auto" w:sz="4" w:space="0"/>
            </w:tcBorders>
            <w:vAlign w:val="center"/>
          </w:tcPr>
          <w:p w14:paraId="28B90AA3">
            <w:pPr>
              <w:pStyle w:val="178"/>
            </w:pPr>
            <w:r>
              <w:rPr/>
              <w:sym w:font="Wingdings" w:char="F0A1"/>
            </w:r>
          </w:p>
        </w:tc>
        <w:tc>
          <w:tcPr>
            <w:tcW w:w="4126" w:type="dxa"/>
            <w:tcBorders>
              <w:top w:val="single" w:color="auto" w:sz="4" w:space="0"/>
              <w:bottom w:val="single" w:color="auto" w:sz="4" w:space="0"/>
            </w:tcBorders>
            <w:vAlign w:val="center"/>
          </w:tcPr>
          <w:p w14:paraId="5DD9CE61">
            <w:pPr>
              <w:pStyle w:val="178"/>
              <w:jc w:val="both"/>
            </w:pPr>
            <w:r>
              <w:rPr>
                <w:rFonts w:hint="eastAsia"/>
                <w:color w:val="000000"/>
                <w:szCs w:val="18"/>
              </w:rPr>
              <w:t>了解国内外森林草原灭火装备前沿技术，熟悉灭火装备体系结构，掌握装备体系建设方法。</w:t>
            </w:r>
          </w:p>
        </w:tc>
        <w:tc>
          <w:tcPr>
            <w:tcW w:w="1418" w:type="dxa"/>
            <w:tcBorders>
              <w:top w:val="single" w:color="auto" w:sz="4" w:space="0"/>
              <w:bottom w:val="single" w:color="auto" w:sz="4" w:space="0"/>
            </w:tcBorders>
            <w:vAlign w:val="center"/>
          </w:tcPr>
          <w:p w14:paraId="07CF3DCD">
            <w:pPr>
              <w:pStyle w:val="178"/>
            </w:pPr>
            <w:r>
              <w:rPr/>
              <w:sym w:font="Wingdings 2" w:char="F0A3"/>
            </w:r>
          </w:p>
        </w:tc>
      </w:tr>
      <w:tr w14:paraId="72571743">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0" w:type="dxa"/>
            <w:bottom w:w="0" w:type="dxa"/>
            <w:right w:w="100" w:type="dxa"/>
          </w:tblCellMar>
        </w:tblPrEx>
        <w:trPr>
          <w:trHeight w:val="916" w:hRule="atLeast"/>
          <w:jc w:val="center"/>
        </w:trPr>
        <w:tc>
          <w:tcPr>
            <w:tcW w:w="984" w:type="dxa"/>
            <w:vMerge w:val="restart"/>
            <w:tcBorders>
              <w:top w:val="single" w:color="auto" w:sz="4" w:space="0"/>
              <w:bottom w:val="single" w:color="auto" w:sz="4" w:space="0"/>
            </w:tcBorders>
            <w:vAlign w:val="center"/>
          </w:tcPr>
          <w:p w14:paraId="11EC30B1">
            <w:pPr>
              <w:pStyle w:val="178"/>
            </w:pPr>
            <w:r>
              <w:rPr>
                <w:rFonts w:hint="eastAsia"/>
              </w:rPr>
              <w:t>灭火技术</w:t>
            </w:r>
          </w:p>
        </w:tc>
        <w:tc>
          <w:tcPr>
            <w:tcW w:w="1276" w:type="dxa"/>
            <w:tcBorders>
              <w:top w:val="single" w:color="auto" w:sz="4" w:space="0"/>
              <w:bottom w:val="single" w:color="auto" w:sz="4" w:space="0"/>
            </w:tcBorders>
            <w:vAlign w:val="center"/>
          </w:tcPr>
          <w:p w14:paraId="2D14B5C4">
            <w:pPr>
              <w:pStyle w:val="178"/>
            </w:pPr>
            <w:r>
              <w:rPr>
                <w:rFonts w:hint="eastAsia"/>
                <w:color w:val="000000"/>
                <w:szCs w:val="18"/>
              </w:rPr>
              <w:t>地面灭火技术</w:t>
            </w:r>
          </w:p>
        </w:tc>
        <w:tc>
          <w:tcPr>
            <w:tcW w:w="709" w:type="dxa"/>
            <w:tcBorders>
              <w:top w:val="single" w:color="auto" w:sz="4" w:space="0"/>
              <w:bottom w:val="single" w:color="auto" w:sz="4" w:space="0"/>
            </w:tcBorders>
            <w:vAlign w:val="center"/>
          </w:tcPr>
          <w:p w14:paraId="0E8DF447">
            <w:pPr>
              <w:pStyle w:val="178"/>
            </w:pPr>
            <w:r>
              <w:rPr>
                <w:rFonts w:hint="eastAsia"/>
                <w:color w:val="000000"/>
                <w:szCs w:val="18"/>
              </w:rPr>
              <w:t>2</w:t>
            </w:r>
          </w:p>
        </w:tc>
        <w:tc>
          <w:tcPr>
            <w:tcW w:w="993" w:type="dxa"/>
            <w:vAlign w:val="center"/>
          </w:tcPr>
          <w:p w14:paraId="76E0F39F">
            <w:pPr>
              <w:pStyle w:val="178"/>
            </w:pPr>
            <w:r>
              <w:rPr/>
              <w:sym w:font="Wingdings" w:char="F0A1"/>
            </w:r>
          </w:p>
        </w:tc>
        <w:tc>
          <w:tcPr>
            <w:tcW w:w="4126" w:type="dxa"/>
            <w:tcBorders>
              <w:top w:val="single" w:color="auto" w:sz="4" w:space="0"/>
              <w:bottom w:val="single" w:color="auto" w:sz="4" w:space="0"/>
            </w:tcBorders>
            <w:vAlign w:val="center"/>
          </w:tcPr>
          <w:p w14:paraId="2EEF24EE">
            <w:pPr>
              <w:pStyle w:val="178"/>
              <w:jc w:val="both"/>
            </w:pPr>
            <w:r>
              <w:rPr>
                <w:rFonts w:hint="eastAsia"/>
                <w:color w:val="000000"/>
                <w:szCs w:val="18"/>
              </w:rPr>
              <w:t>了解地面灭火技术种类及技术原理，熟悉多种灭火技术协同方法。</w:t>
            </w:r>
          </w:p>
        </w:tc>
        <w:tc>
          <w:tcPr>
            <w:tcW w:w="1418" w:type="dxa"/>
            <w:tcBorders>
              <w:top w:val="single" w:color="auto" w:sz="4" w:space="0"/>
              <w:bottom w:val="single" w:color="auto" w:sz="4" w:space="0"/>
            </w:tcBorders>
            <w:vAlign w:val="center"/>
          </w:tcPr>
          <w:p w14:paraId="27689634">
            <w:pPr>
              <w:pStyle w:val="178"/>
            </w:pPr>
            <w:r>
              <w:rPr/>
              <w:sym w:font="Wingdings 2" w:char="F0A3"/>
            </w:r>
          </w:p>
        </w:tc>
      </w:tr>
      <w:tr w14:paraId="5B55A56A">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0" w:type="dxa"/>
            <w:bottom w:w="0" w:type="dxa"/>
            <w:right w:w="100" w:type="dxa"/>
          </w:tblCellMar>
        </w:tblPrEx>
        <w:trPr>
          <w:trHeight w:val="916" w:hRule="atLeast"/>
          <w:jc w:val="center"/>
        </w:trPr>
        <w:tc>
          <w:tcPr>
            <w:tcW w:w="984" w:type="dxa"/>
            <w:vMerge w:val="continue"/>
            <w:tcBorders>
              <w:top w:val="single" w:color="auto" w:sz="4" w:space="0"/>
            </w:tcBorders>
            <w:vAlign w:val="center"/>
          </w:tcPr>
          <w:p w14:paraId="12246565">
            <w:pPr>
              <w:pStyle w:val="178"/>
            </w:pPr>
          </w:p>
        </w:tc>
        <w:tc>
          <w:tcPr>
            <w:tcW w:w="1276" w:type="dxa"/>
            <w:tcBorders>
              <w:top w:val="single" w:color="auto" w:sz="4" w:space="0"/>
            </w:tcBorders>
            <w:vAlign w:val="center"/>
          </w:tcPr>
          <w:p w14:paraId="19529781">
            <w:pPr>
              <w:pStyle w:val="178"/>
            </w:pPr>
            <w:r>
              <w:rPr>
                <w:rFonts w:hint="eastAsia"/>
                <w:color w:val="000000"/>
                <w:szCs w:val="18"/>
              </w:rPr>
              <w:t>航空灭火技术</w:t>
            </w:r>
          </w:p>
        </w:tc>
        <w:tc>
          <w:tcPr>
            <w:tcW w:w="709" w:type="dxa"/>
            <w:tcBorders>
              <w:top w:val="single" w:color="auto" w:sz="4" w:space="0"/>
            </w:tcBorders>
            <w:vAlign w:val="center"/>
          </w:tcPr>
          <w:p w14:paraId="108AF21A">
            <w:pPr>
              <w:pStyle w:val="178"/>
            </w:pPr>
            <w:r>
              <w:rPr>
                <w:rFonts w:hint="eastAsia"/>
                <w:color w:val="000000"/>
                <w:szCs w:val="18"/>
              </w:rPr>
              <w:t>2</w:t>
            </w:r>
          </w:p>
        </w:tc>
        <w:tc>
          <w:tcPr>
            <w:tcW w:w="993" w:type="dxa"/>
            <w:vAlign w:val="center"/>
          </w:tcPr>
          <w:p w14:paraId="3D7698CD">
            <w:pPr>
              <w:pStyle w:val="178"/>
            </w:pPr>
            <w:r>
              <w:rPr/>
              <w:sym w:font="Wingdings" w:char="F0A1"/>
            </w:r>
          </w:p>
        </w:tc>
        <w:tc>
          <w:tcPr>
            <w:tcW w:w="4126" w:type="dxa"/>
            <w:tcBorders>
              <w:top w:val="single" w:color="auto" w:sz="4" w:space="0"/>
            </w:tcBorders>
            <w:vAlign w:val="center"/>
          </w:tcPr>
          <w:p w14:paraId="09D0C3A6">
            <w:pPr>
              <w:pStyle w:val="178"/>
              <w:jc w:val="both"/>
            </w:pPr>
            <w:r>
              <w:rPr>
                <w:rFonts w:hint="eastAsia"/>
                <w:color w:val="000000"/>
                <w:szCs w:val="18"/>
              </w:rPr>
              <w:t>了解国内外航空灭火技术现状，熟悉航空灭火装备种类，掌握航空灭火技术原理，掌握航空灭火力量调度机制。</w:t>
            </w:r>
          </w:p>
        </w:tc>
        <w:tc>
          <w:tcPr>
            <w:tcW w:w="1418" w:type="dxa"/>
            <w:tcBorders>
              <w:top w:val="single" w:color="auto" w:sz="4" w:space="0"/>
            </w:tcBorders>
            <w:vAlign w:val="center"/>
          </w:tcPr>
          <w:p w14:paraId="28EE5C3F">
            <w:pPr>
              <w:pStyle w:val="178"/>
            </w:pPr>
            <w:r>
              <w:rPr/>
              <w:sym w:font="Wingdings 2" w:char="F0A3"/>
            </w:r>
          </w:p>
        </w:tc>
      </w:tr>
      <w:tr w14:paraId="595B6A52">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0" w:type="dxa"/>
            <w:bottom w:w="0" w:type="dxa"/>
            <w:right w:w="100" w:type="dxa"/>
          </w:tblCellMar>
        </w:tblPrEx>
        <w:trPr>
          <w:trHeight w:val="916" w:hRule="atLeast"/>
          <w:jc w:val="center"/>
        </w:trPr>
        <w:tc>
          <w:tcPr>
            <w:tcW w:w="984" w:type="dxa"/>
            <w:vMerge w:val="restart"/>
            <w:vAlign w:val="center"/>
          </w:tcPr>
          <w:p w14:paraId="7FB7CD1D">
            <w:pPr>
              <w:pStyle w:val="178"/>
            </w:pPr>
            <w:r>
              <w:rPr>
                <w:rFonts w:hint="eastAsia"/>
              </w:rPr>
              <w:t>灭火战术</w:t>
            </w:r>
          </w:p>
          <w:p w14:paraId="4944CA2B">
            <w:pPr>
              <w:pStyle w:val="178"/>
            </w:pPr>
            <w:r>
              <w:rPr>
                <w:rFonts w:ascii="Calibri" w:hAnsi="Calibri"/>
                <w:kern w:val="2"/>
                <w:sz w:val="21"/>
                <w:szCs w:val="21"/>
              </w:rPr>
              <w:br w:type="page"/>
            </w:r>
            <w:r>
              <w:rPr>
                <w:rFonts w:hint="eastAsia"/>
              </w:rPr>
              <w:t>灭火战术</w:t>
            </w:r>
          </w:p>
        </w:tc>
        <w:tc>
          <w:tcPr>
            <w:tcW w:w="1276" w:type="dxa"/>
            <w:vAlign w:val="center"/>
          </w:tcPr>
          <w:p w14:paraId="6F0CBE8B">
            <w:pPr>
              <w:pStyle w:val="178"/>
            </w:pPr>
            <w:r>
              <w:rPr>
                <w:rFonts w:hint="eastAsia"/>
                <w:color w:val="000000"/>
                <w:szCs w:val="18"/>
              </w:rPr>
              <w:t>战术运用</w:t>
            </w:r>
          </w:p>
        </w:tc>
        <w:tc>
          <w:tcPr>
            <w:tcW w:w="709" w:type="dxa"/>
            <w:vAlign w:val="center"/>
          </w:tcPr>
          <w:p w14:paraId="56F6BC0D">
            <w:pPr>
              <w:pStyle w:val="178"/>
            </w:pPr>
            <w:r>
              <w:rPr>
                <w:rFonts w:hint="eastAsia"/>
                <w:color w:val="000000"/>
                <w:szCs w:val="18"/>
              </w:rPr>
              <w:t>4</w:t>
            </w:r>
          </w:p>
        </w:tc>
        <w:tc>
          <w:tcPr>
            <w:tcW w:w="993" w:type="dxa"/>
            <w:vAlign w:val="center"/>
          </w:tcPr>
          <w:p w14:paraId="52992BBE">
            <w:pPr>
              <w:pStyle w:val="178"/>
            </w:pPr>
            <w:r>
              <w:rPr/>
              <w:sym w:font="Wingdings" w:char="F0A1"/>
            </w:r>
            <w:r>
              <w:rPr/>
              <w:sym w:font="Wingdings 2" w:char="F098"/>
            </w:r>
          </w:p>
        </w:tc>
        <w:tc>
          <w:tcPr>
            <w:tcW w:w="4126" w:type="dxa"/>
            <w:vAlign w:val="center"/>
          </w:tcPr>
          <w:p w14:paraId="592FFCE0">
            <w:pPr>
              <w:pStyle w:val="178"/>
              <w:jc w:val="both"/>
            </w:pPr>
            <w:r>
              <w:rPr>
                <w:rFonts w:hint="eastAsia"/>
                <w:color w:val="000000"/>
                <w:szCs w:val="18"/>
              </w:rPr>
              <w:t>了解战术和战法的概念，熟悉战术影响因素，掌握战术原则及战术运用方法。</w:t>
            </w:r>
          </w:p>
        </w:tc>
        <w:tc>
          <w:tcPr>
            <w:tcW w:w="1418" w:type="dxa"/>
            <w:vAlign w:val="center"/>
          </w:tcPr>
          <w:p w14:paraId="210509F3">
            <w:pPr>
              <w:pStyle w:val="178"/>
            </w:pPr>
            <w:r>
              <w:rPr/>
              <w:sym w:font="Wingdings 2" w:char="F0A3"/>
            </w:r>
            <w:r>
              <w:rPr>
                <w:rFonts w:hint="eastAsia"/>
              </w:rPr>
              <w:sym w:font="Wingdings 2" w:char="F0A2"/>
            </w:r>
          </w:p>
        </w:tc>
      </w:tr>
      <w:tr w14:paraId="4BE45FAC">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0" w:type="dxa"/>
            <w:bottom w:w="0" w:type="dxa"/>
            <w:right w:w="100" w:type="dxa"/>
          </w:tblCellMar>
        </w:tblPrEx>
        <w:trPr>
          <w:trHeight w:val="916" w:hRule="atLeast"/>
          <w:jc w:val="center"/>
        </w:trPr>
        <w:tc>
          <w:tcPr>
            <w:tcW w:w="984" w:type="dxa"/>
            <w:vMerge w:val="continue"/>
            <w:tcBorders>
              <w:bottom w:val="single" w:color="auto" w:sz="4" w:space="0"/>
            </w:tcBorders>
            <w:vAlign w:val="center"/>
          </w:tcPr>
          <w:p w14:paraId="230AAABA">
            <w:pPr>
              <w:pStyle w:val="178"/>
            </w:pPr>
          </w:p>
        </w:tc>
        <w:tc>
          <w:tcPr>
            <w:tcW w:w="1276" w:type="dxa"/>
            <w:tcBorders>
              <w:bottom w:val="single" w:color="auto" w:sz="4" w:space="0"/>
            </w:tcBorders>
            <w:vAlign w:val="center"/>
          </w:tcPr>
          <w:p w14:paraId="6B445A5D">
            <w:pPr>
              <w:pStyle w:val="178"/>
            </w:pPr>
            <w:r>
              <w:rPr>
                <w:rFonts w:hint="eastAsia"/>
                <w:color w:val="000000"/>
                <w:szCs w:val="18"/>
              </w:rPr>
              <w:t>战术作业</w:t>
            </w:r>
          </w:p>
        </w:tc>
        <w:tc>
          <w:tcPr>
            <w:tcW w:w="709" w:type="dxa"/>
            <w:tcBorders>
              <w:top w:val="single" w:color="auto" w:sz="4" w:space="0"/>
              <w:bottom w:val="single" w:color="auto" w:sz="4" w:space="0"/>
            </w:tcBorders>
            <w:vAlign w:val="center"/>
          </w:tcPr>
          <w:p w14:paraId="384B95DA">
            <w:pPr>
              <w:pStyle w:val="178"/>
            </w:pPr>
            <w:r>
              <w:rPr>
                <w:rFonts w:hint="eastAsia"/>
                <w:color w:val="000000"/>
                <w:szCs w:val="18"/>
              </w:rPr>
              <w:t>2</w:t>
            </w:r>
          </w:p>
        </w:tc>
        <w:tc>
          <w:tcPr>
            <w:tcW w:w="993" w:type="dxa"/>
            <w:tcBorders>
              <w:bottom w:val="single" w:color="auto" w:sz="4" w:space="0"/>
            </w:tcBorders>
            <w:vAlign w:val="center"/>
          </w:tcPr>
          <w:p w14:paraId="46C08D9C">
            <w:pPr>
              <w:pStyle w:val="178"/>
            </w:pPr>
            <w:r>
              <w:rPr/>
              <w:sym w:font="Wingdings 2" w:char="F098"/>
            </w:r>
          </w:p>
        </w:tc>
        <w:tc>
          <w:tcPr>
            <w:tcW w:w="4126" w:type="dxa"/>
            <w:tcBorders>
              <w:top w:val="single" w:color="auto" w:sz="4" w:space="0"/>
              <w:bottom w:val="single" w:color="auto" w:sz="4" w:space="0"/>
            </w:tcBorders>
            <w:vAlign w:val="center"/>
          </w:tcPr>
          <w:p w14:paraId="6405631A">
            <w:pPr>
              <w:pStyle w:val="178"/>
              <w:jc w:val="both"/>
            </w:pPr>
            <w:r>
              <w:rPr>
                <w:rFonts w:hint="eastAsia"/>
                <w:color w:val="000000"/>
                <w:szCs w:val="18"/>
              </w:rPr>
              <w:t>了解战术作业含义，熟悉作业内容及方法。</w:t>
            </w:r>
          </w:p>
        </w:tc>
        <w:tc>
          <w:tcPr>
            <w:tcW w:w="1418" w:type="dxa"/>
            <w:tcBorders>
              <w:bottom w:val="single" w:color="auto" w:sz="4" w:space="0"/>
            </w:tcBorders>
            <w:vAlign w:val="center"/>
          </w:tcPr>
          <w:p w14:paraId="3DB7B696">
            <w:pPr>
              <w:pStyle w:val="178"/>
            </w:pPr>
            <w:r>
              <w:rPr>
                <w:rFonts w:hint="eastAsia"/>
              </w:rPr>
              <w:sym w:font="Wingdings 2" w:char="F0A2"/>
            </w:r>
          </w:p>
        </w:tc>
      </w:tr>
    </w:tbl>
    <w:p w14:paraId="133738C2">
      <w:pPr>
        <w:jc w:val="center"/>
        <w:rPr>
          <w:rFonts w:hint="eastAsia" w:ascii="宋体" w:hAnsi="宋体"/>
        </w:rPr>
      </w:pPr>
      <w:r>
        <w:br w:type="page"/>
      </w:r>
      <w:r>
        <w:rPr>
          <w:rFonts w:hint="eastAsia" w:ascii="黑体" w:hAnsi="黑体" w:eastAsia="黑体"/>
        </w:rPr>
        <w:t>表A.2  市级和省级指挥员培训设置</w:t>
      </w:r>
      <w:r>
        <w:rPr>
          <w:rFonts w:hint="eastAsia" w:ascii="宋体" w:hAnsi="宋体"/>
        </w:rPr>
        <w:t>（续）</w:t>
      </w:r>
    </w:p>
    <w:tbl>
      <w:tblPr>
        <w:tblStyle w:val="27"/>
        <w:tblW w:w="9498" w:type="dxa"/>
        <w:jc w:val="center"/>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Layout w:type="autofit"/>
        <w:tblCellMar>
          <w:top w:w="0" w:type="dxa"/>
          <w:left w:w="100" w:type="dxa"/>
          <w:bottom w:w="0" w:type="dxa"/>
          <w:right w:w="100" w:type="dxa"/>
        </w:tblCellMar>
      </w:tblPr>
      <w:tblGrid>
        <w:gridCol w:w="983"/>
        <w:gridCol w:w="1275"/>
        <w:gridCol w:w="709"/>
        <w:gridCol w:w="992"/>
        <w:gridCol w:w="4122"/>
        <w:gridCol w:w="1417"/>
      </w:tblGrid>
      <w:tr w14:paraId="2FA64A1D">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0" w:type="dxa"/>
            <w:bottom w:w="0" w:type="dxa"/>
            <w:right w:w="100" w:type="dxa"/>
          </w:tblCellMar>
        </w:tblPrEx>
        <w:trPr>
          <w:trHeight w:val="569" w:hRule="atLeast"/>
          <w:tblHeader/>
          <w:jc w:val="center"/>
        </w:trPr>
        <w:tc>
          <w:tcPr>
            <w:tcW w:w="983" w:type="dxa"/>
            <w:tcBorders>
              <w:top w:val="single" w:color="auto" w:sz="8" w:space="0"/>
            </w:tcBorders>
            <w:vAlign w:val="center"/>
          </w:tcPr>
          <w:p w14:paraId="488913D6">
            <w:pPr>
              <w:pStyle w:val="178"/>
            </w:pPr>
            <w:r>
              <w:rPr>
                <w:rFonts w:hint="eastAsia"/>
              </w:rPr>
              <w:t>课目</w:t>
            </w:r>
          </w:p>
        </w:tc>
        <w:tc>
          <w:tcPr>
            <w:tcW w:w="1275" w:type="dxa"/>
            <w:tcBorders>
              <w:top w:val="single" w:color="auto" w:sz="8" w:space="0"/>
            </w:tcBorders>
            <w:vAlign w:val="center"/>
          </w:tcPr>
          <w:p w14:paraId="4DCADCC5">
            <w:pPr>
              <w:pStyle w:val="178"/>
            </w:pPr>
            <w:r>
              <w:rPr>
                <w:rFonts w:hint="eastAsia"/>
              </w:rPr>
              <w:t>内容</w:t>
            </w:r>
          </w:p>
        </w:tc>
        <w:tc>
          <w:tcPr>
            <w:tcW w:w="709" w:type="dxa"/>
            <w:tcBorders>
              <w:top w:val="single" w:color="auto" w:sz="8" w:space="0"/>
            </w:tcBorders>
            <w:vAlign w:val="center"/>
          </w:tcPr>
          <w:p w14:paraId="7A845E36">
            <w:pPr>
              <w:pStyle w:val="178"/>
            </w:pPr>
            <w:r>
              <w:rPr>
                <w:rFonts w:hint="eastAsia"/>
              </w:rPr>
              <w:t>学时</w:t>
            </w:r>
          </w:p>
        </w:tc>
        <w:tc>
          <w:tcPr>
            <w:tcW w:w="992" w:type="dxa"/>
            <w:tcBorders>
              <w:top w:val="single" w:color="auto" w:sz="8" w:space="0"/>
            </w:tcBorders>
            <w:vAlign w:val="center"/>
          </w:tcPr>
          <w:p w14:paraId="431F25FE">
            <w:pPr>
              <w:pStyle w:val="178"/>
            </w:pPr>
            <w:r>
              <w:rPr>
                <w:rFonts w:hint="eastAsia"/>
              </w:rPr>
              <w:t>培训方式</w:t>
            </w:r>
          </w:p>
        </w:tc>
        <w:tc>
          <w:tcPr>
            <w:tcW w:w="4122" w:type="dxa"/>
            <w:tcBorders>
              <w:top w:val="single" w:color="auto" w:sz="8" w:space="0"/>
            </w:tcBorders>
            <w:vAlign w:val="center"/>
          </w:tcPr>
          <w:p w14:paraId="1D015C2A">
            <w:pPr>
              <w:pStyle w:val="178"/>
            </w:pPr>
            <w:r>
              <w:rPr>
                <w:rFonts w:hint="eastAsia"/>
              </w:rPr>
              <w:t>知会程度要求</w:t>
            </w:r>
          </w:p>
        </w:tc>
        <w:tc>
          <w:tcPr>
            <w:tcW w:w="1417" w:type="dxa"/>
            <w:tcBorders>
              <w:top w:val="single" w:color="auto" w:sz="8" w:space="0"/>
            </w:tcBorders>
            <w:vAlign w:val="center"/>
          </w:tcPr>
          <w:p w14:paraId="58397765">
            <w:pPr>
              <w:pStyle w:val="178"/>
            </w:pPr>
            <w:r>
              <w:rPr>
                <w:rFonts w:hint="eastAsia"/>
              </w:rPr>
              <w:t>结业考核方式</w:t>
            </w:r>
          </w:p>
        </w:tc>
      </w:tr>
      <w:tr w14:paraId="08071EC4">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0" w:type="dxa"/>
            <w:bottom w:w="0" w:type="dxa"/>
            <w:right w:w="100" w:type="dxa"/>
          </w:tblCellMar>
        </w:tblPrEx>
        <w:trPr>
          <w:trHeight w:val="851" w:hRule="atLeast"/>
          <w:jc w:val="center"/>
        </w:trPr>
        <w:tc>
          <w:tcPr>
            <w:tcW w:w="983" w:type="dxa"/>
            <w:vMerge w:val="restart"/>
            <w:tcBorders>
              <w:top w:val="single" w:color="auto" w:sz="4" w:space="0"/>
            </w:tcBorders>
            <w:vAlign w:val="center"/>
          </w:tcPr>
          <w:p w14:paraId="19760E02">
            <w:pPr>
              <w:pStyle w:val="178"/>
            </w:pPr>
            <w:r>
              <w:rPr>
                <w:rFonts w:hint="eastAsia"/>
              </w:rPr>
              <w:t>灭火指挥</w:t>
            </w:r>
          </w:p>
          <w:p w14:paraId="6104238A">
            <w:pPr>
              <w:pStyle w:val="178"/>
            </w:pPr>
            <w:r>
              <w:rPr>
                <w:rFonts w:ascii="Calibri" w:hAnsi="Calibri"/>
                <w:kern w:val="2"/>
                <w:sz w:val="21"/>
                <w:szCs w:val="21"/>
              </w:rPr>
              <w:br w:type="page"/>
            </w:r>
            <w:r>
              <w:rPr>
                <w:rFonts w:ascii="Calibri" w:hAnsi="Calibri"/>
                <w:kern w:val="2"/>
                <w:sz w:val="21"/>
                <w:szCs w:val="21"/>
              </w:rPr>
              <w:br w:type="page"/>
            </w:r>
            <w:r>
              <w:rPr>
                <w:rFonts w:ascii="Calibri" w:hAnsi="Calibri"/>
                <w:kern w:val="2"/>
                <w:sz w:val="21"/>
                <w:szCs w:val="21"/>
              </w:rPr>
              <w:br w:type="page"/>
            </w:r>
          </w:p>
        </w:tc>
        <w:tc>
          <w:tcPr>
            <w:tcW w:w="1275" w:type="dxa"/>
            <w:tcBorders>
              <w:top w:val="single" w:color="auto" w:sz="4" w:space="0"/>
              <w:bottom w:val="single" w:color="auto" w:sz="4" w:space="0"/>
            </w:tcBorders>
            <w:vAlign w:val="center"/>
          </w:tcPr>
          <w:p w14:paraId="76D4438A">
            <w:pPr>
              <w:pStyle w:val="178"/>
            </w:pPr>
            <w:r>
              <w:rPr>
                <w:rFonts w:hint="eastAsia"/>
                <w:color w:val="000000"/>
                <w:szCs w:val="18"/>
              </w:rPr>
              <w:t>灭火预案</w:t>
            </w:r>
          </w:p>
        </w:tc>
        <w:tc>
          <w:tcPr>
            <w:tcW w:w="709" w:type="dxa"/>
            <w:tcBorders>
              <w:top w:val="single" w:color="auto" w:sz="4" w:space="0"/>
              <w:bottom w:val="single" w:color="auto" w:sz="4" w:space="0"/>
            </w:tcBorders>
            <w:vAlign w:val="center"/>
          </w:tcPr>
          <w:p w14:paraId="4830003D">
            <w:pPr>
              <w:pStyle w:val="178"/>
            </w:pPr>
            <w:r>
              <w:rPr>
                <w:rFonts w:hint="eastAsia"/>
                <w:color w:val="000000"/>
                <w:szCs w:val="18"/>
              </w:rPr>
              <w:t>4</w:t>
            </w:r>
          </w:p>
        </w:tc>
        <w:tc>
          <w:tcPr>
            <w:tcW w:w="992" w:type="dxa"/>
            <w:tcBorders>
              <w:top w:val="single" w:color="auto" w:sz="4" w:space="0"/>
              <w:bottom w:val="single" w:color="auto" w:sz="4" w:space="0"/>
            </w:tcBorders>
            <w:vAlign w:val="center"/>
          </w:tcPr>
          <w:p w14:paraId="74860EC8">
            <w:pPr>
              <w:pStyle w:val="178"/>
            </w:pPr>
            <w:r>
              <w:rPr/>
              <w:sym w:font="Wingdings" w:char="F0A1"/>
            </w:r>
          </w:p>
        </w:tc>
        <w:tc>
          <w:tcPr>
            <w:tcW w:w="4122" w:type="dxa"/>
            <w:tcBorders>
              <w:top w:val="single" w:color="auto" w:sz="4" w:space="0"/>
              <w:bottom w:val="single" w:color="auto" w:sz="4" w:space="0"/>
            </w:tcBorders>
            <w:vAlign w:val="center"/>
          </w:tcPr>
          <w:p w14:paraId="55F1FAB4">
            <w:pPr>
              <w:pStyle w:val="178"/>
              <w:jc w:val="both"/>
            </w:pPr>
            <w:r>
              <w:rPr>
                <w:rFonts w:hint="eastAsia"/>
                <w:color w:val="000000"/>
                <w:szCs w:val="18"/>
              </w:rPr>
              <w:t>了解森林草原灭火预案组成要素，熟悉预案拟制流程，掌握本级灭火预案拟制及管理方法。</w:t>
            </w:r>
          </w:p>
        </w:tc>
        <w:tc>
          <w:tcPr>
            <w:tcW w:w="1417" w:type="dxa"/>
            <w:tcBorders>
              <w:top w:val="single" w:color="auto" w:sz="4" w:space="0"/>
              <w:bottom w:val="single" w:color="auto" w:sz="4" w:space="0"/>
            </w:tcBorders>
            <w:vAlign w:val="center"/>
          </w:tcPr>
          <w:p w14:paraId="3F2BA288">
            <w:pPr>
              <w:pStyle w:val="178"/>
            </w:pPr>
            <w:r>
              <w:rPr/>
              <w:sym w:font="Wingdings 2" w:char="F0A3"/>
            </w:r>
          </w:p>
        </w:tc>
      </w:tr>
      <w:tr w14:paraId="255A3146">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0" w:type="dxa"/>
            <w:bottom w:w="0" w:type="dxa"/>
            <w:right w:w="100" w:type="dxa"/>
          </w:tblCellMar>
        </w:tblPrEx>
        <w:trPr>
          <w:trHeight w:val="851" w:hRule="atLeast"/>
          <w:jc w:val="center"/>
        </w:trPr>
        <w:tc>
          <w:tcPr>
            <w:tcW w:w="983" w:type="dxa"/>
            <w:vMerge w:val="continue"/>
            <w:vAlign w:val="center"/>
          </w:tcPr>
          <w:p w14:paraId="1433F323">
            <w:pPr>
              <w:pStyle w:val="178"/>
            </w:pPr>
          </w:p>
        </w:tc>
        <w:tc>
          <w:tcPr>
            <w:tcW w:w="1275" w:type="dxa"/>
            <w:tcBorders>
              <w:top w:val="single" w:color="auto" w:sz="4" w:space="0"/>
              <w:bottom w:val="single" w:color="auto" w:sz="4" w:space="0"/>
            </w:tcBorders>
            <w:vAlign w:val="center"/>
          </w:tcPr>
          <w:p w14:paraId="28034674">
            <w:pPr>
              <w:pStyle w:val="178"/>
            </w:pPr>
            <w:r>
              <w:rPr>
                <w:rFonts w:hint="eastAsia"/>
                <w:color w:val="000000"/>
                <w:szCs w:val="18"/>
              </w:rPr>
              <w:t>指挥程序</w:t>
            </w:r>
          </w:p>
        </w:tc>
        <w:tc>
          <w:tcPr>
            <w:tcW w:w="709" w:type="dxa"/>
            <w:tcBorders>
              <w:top w:val="single" w:color="auto" w:sz="4" w:space="0"/>
              <w:bottom w:val="single" w:color="auto" w:sz="4" w:space="0"/>
            </w:tcBorders>
            <w:vAlign w:val="center"/>
          </w:tcPr>
          <w:p w14:paraId="20B2A796">
            <w:pPr>
              <w:pStyle w:val="178"/>
            </w:pPr>
            <w:r>
              <w:rPr>
                <w:rFonts w:hint="eastAsia"/>
                <w:color w:val="000000"/>
                <w:szCs w:val="18"/>
              </w:rPr>
              <w:t>2</w:t>
            </w:r>
          </w:p>
        </w:tc>
        <w:tc>
          <w:tcPr>
            <w:tcW w:w="992" w:type="dxa"/>
            <w:tcBorders>
              <w:top w:val="single" w:color="auto" w:sz="4" w:space="0"/>
              <w:bottom w:val="single" w:color="auto" w:sz="4" w:space="0"/>
            </w:tcBorders>
            <w:vAlign w:val="center"/>
          </w:tcPr>
          <w:p w14:paraId="00D3D7FF">
            <w:pPr>
              <w:pStyle w:val="178"/>
            </w:pPr>
            <w:r>
              <w:rPr/>
              <w:sym w:font="Wingdings" w:char="F0A1"/>
            </w:r>
          </w:p>
        </w:tc>
        <w:tc>
          <w:tcPr>
            <w:tcW w:w="4122" w:type="dxa"/>
            <w:tcBorders>
              <w:top w:val="single" w:color="auto" w:sz="4" w:space="0"/>
              <w:bottom w:val="single" w:color="auto" w:sz="4" w:space="0"/>
            </w:tcBorders>
            <w:vAlign w:val="center"/>
          </w:tcPr>
          <w:p w14:paraId="5A121572">
            <w:pPr>
              <w:pStyle w:val="178"/>
              <w:jc w:val="both"/>
            </w:pPr>
            <w:r>
              <w:rPr>
                <w:rFonts w:hint="eastAsia"/>
                <w:color w:val="000000"/>
                <w:szCs w:val="18"/>
              </w:rPr>
              <w:t>熟悉指挥部工作机制、组织指挥程序。</w:t>
            </w:r>
          </w:p>
        </w:tc>
        <w:tc>
          <w:tcPr>
            <w:tcW w:w="1417" w:type="dxa"/>
            <w:tcBorders>
              <w:top w:val="single" w:color="auto" w:sz="4" w:space="0"/>
              <w:bottom w:val="single" w:color="auto" w:sz="4" w:space="0"/>
            </w:tcBorders>
            <w:vAlign w:val="center"/>
          </w:tcPr>
          <w:p w14:paraId="02CD9F05">
            <w:pPr>
              <w:pStyle w:val="178"/>
            </w:pPr>
            <w:r>
              <w:rPr/>
              <w:sym w:font="Wingdings 2" w:char="F0A3"/>
            </w:r>
          </w:p>
        </w:tc>
      </w:tr>
      <w:tr w14:paraId="05662AE2">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0" w:type="dxa"/>
            <w:bottom w:w="0" w:type="dxa"/>
            <w:right w:w="100" w:type="dxa"/>
          </w:tblCellMar>
        </w:tblPrEx>
        <w:trPr>
          <w:trHeight w:val="851" w:hRule="atLeast"/>
          <w:jc w:val="center"/>
        </w:trPr>
        <w:tc>
          <w:tcPr>
            <w:tcW w:w="983" w:type="dxa"/>
            <w:vMerge w:val="continue"/>
            <w:vAlign w:val="center"/>
          </w:tcPr>
          <w:p w14:paraId="10211597">
            <w:pPr>
              <w:pStyle w:val="178"/>
            </w:pPr>
          </w:p>
        </w:tc>
        <w:tc>
          <w:tcPr>
            <w:tcW w:w="1275" w:type="dxa"/>
            <w:tcBorders>
              <w:top w:val="single" w:color="auto" w:sz="4" w:space="0"/>
            </w:tcBorders>
            <w:vAlign w:val="center"/>
          </w:tcPr>
          <w:p w14:paraId="6045ED16">
            <w:pPr>
              <w:pStyle w:val="178"/>
            </w:pPr>
            <w:r>
              <w:rPr>
                <w:rFonts w:hint="eastAsia"/>
                <w:color w:val="000000"/>
                <w:szCs w:val="18"/>
              </w:rPr>
              <w:t>指挥系统运用</w:t>
            </w:r>
          </w:p>
        </w:tc>
        <w:tc>
          <w:tcPr>
            <w:tcW w:w="709" w:type="dxa"/>
            <w:tcBorders>
              <w:top w:val="single" w:color="auto" w:sz="4" w:space="0"/>
            </w:tcBorders>
            <w:vAlign w:val="center"/>
          </w:tcPr>
          <w:p w14:paraId="75A55DC6">
            <w:pPr>
              <w:pStyle w:val="178"/>
            </w:pPr>
            <w:r>
              <w:rPr>
                <w:rFonts w:hint="eastAsia"/>
                <w:color w:val="000000"/>
                <w:szCs w:val="18"/>
              </w:rPr>
              <w:t>2</w:t>
            </w:r>
          </w:p>
        </w:tc>
        <w:tc>
          <w:tcPr>
            <w:tcW w:w="992" w:type="dxa"/>
            <w:tcBorders>
              <w:top w:val="single" w:color="auto" w:sz="4" w:space="0"/>
            </w:tcBorders>
            <w:vAlign w:val="center"/>
          </w:tcPr>
          <w:p w14:paraId="640B6DA3">
            <w:pPr>
              <w:pStyle w:val="178"/>
            </w:pPr>
            <w:r>
              <w:rPr/>
              <w:sym w:font="Wingdings" w:char="F0A1"/>
            </w:r>
          </w:p>
        </w:tc>
        <w:tc>
          <w:tcPr>
            <w:tcW w:w="4122" w:type="dxa"/>
            <w:tcBorders>
              <w:top w:val="single" w:color="auto" w:sz="4" w:space="0"/>
            </w:tcBorders>
            <w:vAlign w:val="center"/>
          </w:tcPr>
          <w:p w14:paraId="2579F808">
            <w:pPr>
              <w:pStyle w:val="178"/>
              <w:jc w:val="both"/>
            </w:pPr>
            <w:r>
              <w:rPr>
                <w:rFonts w:hint="eastAsia"/>
                <w:color w:val="000000"/>
                <w:szCs w:val="18"/>
              </w:rPr>
              <w:t>了解指挥系统基本架构，熟悉指挥挥信息化发展路径。</w:t>
            </w:r>
          </w:p>
        </w:tc>
        <w:tc>
          <w:tcPr>
            <w:tcW w:w="1417" w:type="dxa"/>
            <w:tcBorders>
              <w:top w:val="single" w:color="auto" w:sz="4" w:space="0"/>
            </w:tcBorders>
            <w:vAlign w:val="center"/>
          </w:tcPr>
          <w:p w14:paraId="532D215F">
            <w:pPr>
              <w:pStyle w:val="178"/>
            </w:pPr>
            <w:r>
              <w:rPr/>
              <w:sym w:font="Wingdings 2" w:char="F0A3"/>
            </w:r>
          </w:p>
        </w:tc>
      </w:tr>
      <w:tr w14:paraId="7382A3A4">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0" w:type="dxa"/>
            <w:bottom w:w="0" w:type="dxa"/>
            <w:right w:w="100" w:type="dxa"/>
          </w:tblCellMar>
        </w:tblPrEx>
        <w:trPr>
          <w:trHeight w:val="851" w:hRule="atLeast"/>
          <w:jc w:val="center"/>
        </w:trPr>
        <w:tc>
          <w:tcPr>
            <w:tcW w:w="983" w:type="dxa"/>
            <w:vMerge w:val="continue"/>
            <w:vAlign w:val="center"/>
          </w:tcPr>
          <w:p w14:paraId="3B87CCC2">
            <w:pPr>
              <w:pStyle w:val="178"/>
            </w:pPr>
          </w:p>
        </w:tc>
        <w:tc>
          <w:tcPr>
            <w:tcW w:w="1275" w:type="dxa"/>
            <w:vAlign w:val="center"/>
          </w:tcPr>
          <w:p w14:paraId="63C71234">
            <w:pPr>
              <w:pStyle w:val="178"/>
            </w:pPr>
            <w:r>
              <w:rPr>
                <w:rFonts w:hint="eastAsia"/>
                <w:color w:val="000000"/>
                <w:szCs w:val="18"/>
              </w:rPr>
              <w:t>典型战例研究</w:t>
            </w:r>
          </w:p>
        </w:tc>
        <w:tc>
          <w:tcPr>
            <w:tcW w:w="709" w:type="dxa"/>
            <w:vAlign w:val="center"/>
          </w:tcPr>
          <w:p w14:paraId="67124C06">
            <w:pPr>
              <w:pStyle w:val="178"/>
            </w:pPr>
            <w:r>
              <w:rPr>
                <w:rFonts w:hint="eastAsia"/>
                <w:color w:val="000000"/>
                <w:szCs w:val="18"/>
              </w:rPr>
              <w:t>8</w:t>
            </w:r>
          </w:p>
        </w:tc>
        <w:tc>
          <w:tcPr>
            <w:tcW w:w="992" w:type="dxa"/>
            <w:vAlign w:val="center"/>
          </w:tcPr>
          <w:p w14:paraId="43FB7B0A">
            <w:pPr>
              <w:pStyle w:val="178"/>
            </w:pPr>
            <w:r>
              <w:rPr/>
              <w:sym w:font="Wingdings 2" w:char="F098"/>
            </w:r>
          </w:p>
        </w:tc>
        <w:tc>
          <w:tcPr>
            <w:tcW w:w="4122" w:type="dxa"/>
            <w:vAlign w:val="center"/>
          </w:tcPr>
          <w:p w14:paraId="21AC07F3">
            <w:pPr>
              <w:pStyle w:val="178"/>
              <w:jc w:val="both"/>
            </w:pPr>
            <w:r>
              <w:rPr>
                <w:rFonts w:hint="eastAsia"/>
                <w:color w:val="000000"/>
                <w:szCs w:val="18"/>
              </w:rPr>
              <w:t>了解战例研究含义，熟悉战例研究的内容及流程，掌握战例研究方法。</w:t>
            </w:r>
          </w:p>
        </w:tc>
        <w:tc>
          <w:tcPr>
            <w:tcW w:w="1417" w:type="dxa"/>
            <w:vAlign w:val="center"/>
          </w:tcPr>
          <w:p w14:paraId="5FB9BC88">
            <w:pPr>
              <w:pStyle w:val="178"/>
            </w:pPr>
            <w:r>
              <w:rPr>
                <w:rFonts w:hint="eastAsia"/>
              </w:rPr>
              <w:sym w:font="Wingdings 2" w:char="F0A2"/>
            </w:r>
          </w:p>
        </w:tc>
      </w:tr>
      <w:tr w14:paraId="411DD2B5">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0" w:type="dxa"/>
            <w:bottom w:w="0" w:type="dxa"/>
            <w:right w:w="100" w:type="dxa"/>
          </w:tblCellMar>
        </w:tblPrEx>
        <w:trPr>
          <w:trHeight w:val="851" w:hRule="atLeast"/>
          <w:jc w:val="center"/>
        </w:trPr>
        <w:tc>
          <w:tcPr>
            <w:tcW w:w="983" w:type="dxa"/>
            <w:vMerge w:val="continue"/>
            <w:vAlign w:val="center"/>
          </w:tcPr>
          <w:p w14:paraId="75CCBC8B">
            <w:pPr>
              <w:pStyle w:val="178"/>
            </w:pPr>
          </w:p>
        </w:tc>
        <w:tc>
          <w:tcPr>
            <w:tcW w:w="1275" w:type="dxa"/>
            <w:vAlign w:val="center"/>
          </w:tcPr>
          <w:p w14:paraId="4A6A04FA">
            <w:pPr>
              <w:pStyle w:val="178"/>
            </w:pPr>
            <w:r>
              <w:rPr>
                <w:rFonts w:hint="eastAsia"/>
                <w:color w:val="000000"/>
                <w:szCs w:val="18"/>
              </w:rPr>
              <w:t>灭火演练</w:t>
            </w:r>
          </w:p>
        </w:tc>
        <w:tc>
          <w:tcPr>
            <w:tcW w:w="709" w:type="dxa"/>
            <w:vAlign w:val="center"/>
          </w:tcPr>
          <w:p w14:paraId="604DB49F">
            <w:pPr>
              <w:pStyle w:val="178"/>
            </w:pPr>
            <w:r>
              <w:rPr>
                <w:rFonts w:hint="eastAsia"/>
                <w:color w:val="000000"/>
                <w:szCs w:val="18"/>
              </w:rPr>
              <w:t>4</w:t>
            </w:r>
          </w:p>
        </w:tc>
        <w:tc>
          <w:tcPr>
            <w:tcW w:w="992" w:type="dxa"/>
            <w:vAlign w:val="center"/>
          </w:tcPr>
          <w:p w14:paraId="201734BF">
            <w:pPr>
              <w:pStyle w:val="178"/>
            </w:pPr>
            <w:bookmarkStart w:id="328" w:name="OLE_LINK59"/>
            <w:r>
              <w:rPr/>
              <w:sym w:font="Wingdings" w:char="F0A1"/>
            </w:r>
            <w:r>
              <w:rPr/>
              <w:sym w:font="Wingdings 2" w:char="F098"/>
            </w:r>
            <w:bookmarkEnd w:id="328"/>
          </w:p>
        </w:tc>
        <w:tc>
          <w:tcPr>
            <w:tcW w:w="4122" w:type="dxa"/>
            <w:vAlign w:val="center"/>
          </w:tcPr>
          <w:p w14:paraId="354F35F7">
            <w:pPr>
              <w:pStyle w:val="178"/>
              <w:jc w:val="both"/>
            </w:pPr>
            <w:r>
              <w:rPr>
                <w:rFonts w:hint="eastAsia"/>
                <w:color w:val="000000"/>
                <w:szCs w:val="18"/>
              </w:rPr>
              <w:t>会制定灭火演练计划和方案，熟悉灭火演练组织程序，会通过演练完善灭火预案。</w:t>
            </w:r>
          </w:p>
        </w:tc>
        <w:tc>
          <w:tcPr>
            <w:tcW w:w="1417" w:type="dxa"/>
            <w:vAlign w:val="center"/>
          </w:tcPr>
          <w:p w14:paraId="3AD60F82">
            <w:pPr>
              <w:pStyle w:val="178"/>
            </w:pPr>
            <w:r>
              <w:rPr/>
              <w:sym w:font="Wingdings 2" w:char="F0A3"/>
            </w:r>
            <w:r>
              <w:rPr>
                <w:rFonts w:hint="eastAsia"/>
              </w:rPr>
              <w:sym w:font="Wingdings 2" w:char="F0A2"/>
            </w:r>
          </w:p>
        </w:tc>
      </w:tr>
      <w:tr w14:paraId="4650C0F5">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0" w:type="dxa"/>
            <w:bottom w:w="0" w:type="dxa"/>
            <w:right w:w="100" w:type="dxa"/>
          </w:tblCellMar>
        </w:tblPrEx>
        <w:trPr>
          <w:trHeight w:val="851" w:hRule="atLeast"/>
          <w:jc w:val="center"/>
        </w:trPr>
        <w:tc>
          <w:tcPr>
            <w:tcW w:w="983" w:type="dxa"/>
            <w:vMerge w:val="continue"/>
            <w:tcBorders>
              <w:bottom w:val="single" w:color="auto" w:sz="4" w:space="0"/>
            </w:tcBorders>
            <w:vAlign w:val="center"/>
          </w:tcPr>
          <w:p w14:paraId="3029337C">
            <w:pPr>
              <w:pStyle w:val="178"/>
            </w:pPr>
          </w:p>
        </w:tc>
        <w:tc>
          <w:tcPr>
            <w:tcW w:w="1275" w:type="dxa"/>
            <w:tcBorders>
              <w:bottom w:val="single" w:color="auto" w:sz="4" w:space="0"/>
            </w:tcBorders>
            <w:vAlign w:val="center"/>
          </w:tcPr>
          <w:p w14:paraId="37A8EBB2">
            <w:pPr>
              <w:pStyle w:val="178"/>
            </w:pPr>
            <w:r>
              <w:rPr>
                <w:rFonts w:hint="eastAsia"/>
                <w:color w:val="000000"/>
                <w:szCs w:val="18"/>
              </w:rPr>
              <w:t>舆情应对</w:t>
            </w:r>
          </w:p>
        </w:tc>
        <w:tc>
          <w:tcPr>
            <w:tcW w:w="709" w:type="dxa"/>
            <w:tcBorders>
              <w:bottom w:val="single" w:color="auto" w:sz="4" w:space="0"/>
            </w:tcBorders>
            <w:vAlign w:val="center"/>
          </w:tcPr>
          <w:p w14:paraId="6666E8B9">
            <w:pPr>
              <w:pStyle w:val="178"/>
            </w:pPr>
            <w:r>
              <w:rPr>
                <w:rFonts w:hint="eastAsia"/>
                <w:color w:val="000000"/>
                <w:szCs w:val="18"/>
              </w:rPr>
              <w:t>4</w:t>
            </w:r>
          </w:p>
        </w:tc>
        <w:tc>
          <w:tcPr>
            <w:tcW w:w="992" w:type="dxa"/>
            <w:tcBorders>
              <w:bottom w:val="single" w:color="auto" w:sz="4" w:space="0"/>
            </w:tcBorders>
            <w:vAlign w:val="center"/>
          </w:tcPr>
          <w:p w14:paraId="14FAF1FA">
            <w:pPr>
              <w:pStyle w:val="178"/>
            </w:pPr>
            <w:r>
              <w:rPr/>
              <w:sym w:font="Wingdings" w:char="F0A1"/>
            </w:r>
            <w:r>
              <w:rPr/>
              <w:sym w:font="Wingdings 2" w:char="F098"/>
            </w:r>
          </w:p>
        </w:tc>
        <w:tc>
          <w:tcPr>
            <w:tcW w:w="4122" w:type="dxa"/>
            <w:tcBorders>
              <w:bottom w:val="single" w:color="auto" w:sz="4" w:space="0"/>
            </w:tcBorders>
            <w:vAlign w:val="center"/>
          </w:tcPr>
          <w:p w14:paraId="7A21C574">
            <w:pPr>
              <w:pStyle w:val="178"/>
              <w:jc w:val="both"/>
            </w:pPr>
            <w:r>
              <w:rPr>
                <w:rFonts w:hint="eastAsia"/>
                <w:color w:val="000000"/>
                <w:szCs w:val="18"/>
              </w:rPr>
              <w:t>了解森林草原火灾舆情特征，熟悉舆情应对原则，掌握常见舆情应对方法。</w:t>
            </w:r>
          </w:p>
        </w:tc>
        <w:tc>
          <w:tcPr>
            <w:tcW w:w="1417" w:type="dxa"/>
            <w:tcBorders>
              <w:bottom w:val="single" w:color="auto" w:sz="4" w:space="0"/>
            </w:tcBorders>
            <w:vAlign w:val="center"/>
          </w:tcPr>
          <w:p w14:paraId="7CA0F7D6">
            <w:pPr>
              <w:pStyle w:val="178"/>
            </w:pPr>
            <w:r>
              <w:rPr/>
              <w:sym w:font="Wingdings 2" w:char="F0A3"/>
            </w:r>
            <w:r>
              <w:rPr>
                <w:rFonts w:hint="eastAsia"/>
              </w:rPr>
              <w:sym w:font="Wingdings 2" w:char="F0A2"/>
            </w:r>
          </w:p>
        </w:tc>
      </w:tr>
      <w:tr w14:paraId="5A1857B7">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0" w:type="dxa"/>
            <w:bottom w:w="0" w:type="dxa"/>
            <w:right w:w="100" w:type="dxa"/>
          </w:tblCellMar>
        </w:tblPrEx>
        <w:trPr>
          <w:trHeight w:val="851" w:hRule="atLeast"/>
          <w:jc w:val="center"/>
        </w:trPr>
        <w:tc>
          <w:tcPr>
            <w:tcW w:w="983" w:type="dxa"/>
            <w:vMerge w:val="restart"/>
            <w:tcBorders>
              <w:top w:val="single" w:color="auto" w:sz="4" w:space="0"/>
              <w:bottom w:val="single" w:color="auto" w:sz="4" w:space="0"/>
            </w:tcBorders>
            <w:vAlign w:val="center"/>
          </w:tcPr>
          <w:p w14:paraId="2307465B">
            <w:pPr>
              <w:pStyle w:val="178"/>
            </w:pPr>
            <w:r>
              <w:rPr>
                <w:rFonts w:ascii="Calibri" w:hAnsi="Calibri"/>
                <w:kern w:val="2"/>
                <w:sz w:val="21"/>
                <w:szCs w:val="21"/>
              </w:rPr>
              <w:br w:type="page"/>
            </w:r>
            <w:r>
              <w:rPr>
                <w:rFonts w:hint="eastAsia"/>
              </w:rPr>
              <w:t>灭火安全</w:t>
            </w:r>
          </w:p>
        </w:tc>
        <w:tc>
          <w:tcPr>
            <w:tcW w:w="1275" w:type="dxa"/>
            <w:tcBorders>
              <w:top w:val="single" w:color="auto" w:sz="4" w:space="0"/>
              <w:bottom w:val="single" w:color="auto" w:sz="4" w:space="0"/>
            </w:tcBorders>
            <w:vAlign w:val="center"/>
          </w:tcPr>
          <w:p w14:paraId="6922D23E">
            <w:pPr>
              <w:pStyle w:val="178"/>
            </w:pPr>
            <w:r>
              <w:rPr>
                <w:rFonts w:hint="eastAsia"/>
                <w:color w:val="000000"/>
                <w:szCs w:val="18"/>
              </w:rPr>
              <w:t>风险评估</w:t>
            </w:r>
          </w:p>
        </w:tc>
        <w:tc>
          <w:tcPr>
            <w:tcW w:w="709" w:type="dxa"/>
            <w:tcBorders>
              <w:top w:val="single" w:color="auto" w:sz="4" w:space="0"/>
              <w:bottom w:val="single" w:color="auto" w:sz="4" w:space="0"/>
            </w:tcBorders>
            <w:vAlign w:val="center"/>
          </w:tcPr>
          <w:p w14:paraId="77E895C6">
            <w:pPr>
              <w:pStyle w:val="178"/>
            </w:pPr>
            <w:r>
              <w:rPr>
                <w:rFonts w:hint="eastAsia"/>
                <w:color w:val="000000"/>
                <w:szCs w:val="18"/>
              </w:rPr>
              <w:t>2</w:t>
            </w:r>
          </w:p>
        </w:tc>
        <w:tc>
          <w:tcPr>
            <w:tcW w:w="992" w:type="dxa"/>
            <w:tcBorders>
              <w:top w:val="single" w:color="auto" w:sz="4" w:space="0"/>
              <w:bottom w:val="single" w:color="auto" w:sz="4" w:space="0"/>
            </w:tcBorders>
            <w:vAlign w:val="center"/>
          </w:tcPr>
          <w:p w14:paraId="30C6B36F">
            <w:pPr>
              <w:pStyle w:val="178"/>
            </w:pPr>
            <w:r>
              <w:rPr/>
              <w:sym w:font="Wingdings" w:char="F0A1"/>
            </w:r>
          </w:p>
        </w:tc>
        <w:tc>
          <w:tcPr>
            <w:tcW w:w="4122" w:type="dxa"/>
            <w:tcBorders>
              <w:top w:val="single" w:color="auto" w:sz="4" w:space="0"/>
              <w:bottom w:val="single" w:color="auto" w:sz="4" w:space="0"/>
            </w:tcBorders>
            <w:vAlign w:val="center"/>
          </w:tcPr>
          <w:p w14:paraId="51DE6F62">
            <w:pPr>
              <w:pStyle w:val="178"/>
              <w:jc w:val="both"/>
            </w:pPr>
            <w:r>
              <w:rPr>
                <w:rFonts w:hint="eastAsia"/>
                <w:color w:val="000000"/>
                <w:szCs w:val="18"/>
              </w:rPr>
              <w:t>熟悉火场安全风险源，掌握火场安全风险评估方法。</w:t>
            </w:r>
          </w:p>
        </w:tc>
        <w:tc>
          <w:tcPr>
            <w:tcW w:w="1417" w:type="dxa"/>
            <w:tcBorders>
              <w:top w:val="single" w:color="auto" w:sz="4" w:space="0"/>
              <w:bottom w:val="single" w:color="auto" w:sz="4" w:space="0"/>
            </w:tcBorders>
            <w:vAlign w:val="center"/>
          </w:tcPr>
          <w:p w14:paraId="5D63D612">
            <w:pPr>
              <w:pStyle w:val="178"/>
            </w:pPr>
            <w:r>
              <w:rPr/>
              <w:sym w:font="Wingdings 2" w:char="F0A3"/>
            </w:r>
          </w:p>
        </w:tc>
      </w:tr>
      <w:tr w14:paraId="2DE94A0C">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0" w:type="dxa"/>
            <w:bottom w:w="0" w:type="dxa"/>
            <w:right w:w="100" w:type="dxa"/>
          </w:tblCellMar>
        </w:tblPrEx>
        <w:trPr>
          <w:trHeight w:val="851" w:hRule="atLeast"/>
          <w:jc w:val="center"/>
        </w:trPr>
        <w:tc>
          <w:tcPr>
            <w:tcW w:w="983" w:type="dxa"/>
            <w:vMerge w:val="continue"/>
            <w:tcBorders>
              <w:top w:val="single" w:color="auto" w:sz="4" w:space="0"/>
            </w:tcBorders>
            <w:vAlign w:val="center"/>
          </w:tcPr>
          <w:p w14:paraId="72E9E5E3">
            <w:pPr>
              <w:pStyle w:val="178"/>
            </w:pPr>
          </w:p>
        </w:tc>
        <w:tc>
          <w:tcPr>
            <w:tcW w:w="1275" w:type="dxa"/>
            <w:tcBorders>
              <w:top w:val="single" w:color="auto" w:sz="4" w:space="0"/>
            </w:tcBorders>
            <w:vAlign w:val="center"/>
          </w:tcPr>
          <w:p w14:paraId="12253093">
            <w:pPr>
              <w:pStyle w:val="178"/>
            </w:pPr>
            <w:r>
              <w:rPr>
                <w:rFonts w:hint="eastAsia"/>
                <w:color w:val="000000"/>
                <w:szCs w:val="18"/>
              </w:rPr>
              <w:t>火场救护</w:t>
            </w:r>
          </w:p>
        </w:tc>
        <w:tc>
          <w:tcPr>
            <w:tcW w:w="709" w:type="dxa"/>
            <w:tcBorders>
              <w:top w:val="single" w:color="auto" w:sz="4" w:space="0"/>
            </w:tcBorders>
            <w:vAlign w:val="center"/>
          </w:tcPr>
          <w:p w14:paraId="37C53BAA">
            <w:pPr>
              <w:pStyle w:val="178"/>
            </w:pPr>
            <w:r>
              <w:rPr>
                <w:rFonts w:hint="eastAsia"/>
                <w:color w:val="000000"/>
                <w:szCs w:val="18"/>
              </w:rPr>
              <w:t>—</w:t>
            </w:r>
          </w:p>
        </w:tc>
        <w:tc>
          <w:tcPr>
            <w:tcW w:w="992" w:type="dxa"/>
            <w:tcBorders>
              <w:top w:val="single" w:color="auto" w:sz="4" w:space="0"/>
            </w:tcBorders>
            <w:vAlign w:val="center"/>
          </w:tcPr>
          <w:p w14:paraId="248EAE71">
            <w:pPr>
              <w:pStyle w:val="178"/>
            </w:pPr>
            <w:r>
              <w:rPr>
                <w:rFonts w:hint="eastAsia"/>
                <w:color w:val="000000"/>
                <w:szCs w:val="18"/>
              </w:rPr>
              <w:t>—</w:t>
            </w:r>
          </w:p>
        </w:tc>
        <w:tc>
          <w:tcPr>
            <w:tcW w:w="4122" w:type="dxa"/>
            <w:tcBorders>
              <w:top w:val="single" w:color="auto" w:sz="4" w:space="0"/>
            </w:tcBorders>
            <w:vAlign w:val="center"/>
          </w:tcPr>
          <w:p w14:paraId="10C6FC0C">
            <w:pPr>
              <w:pStyle w:val="178"/>
            </w:pPr>
            <w:r>
              <w:rPr>
                <w:rFonts w:hint="eastAsia"/>
                <w:color w:val="000000"/>
                <w:szCs w:val="18"/>
              </w:rPr>
              <w:t>—</w:t>
            </w:r>
          </w:p>
        </w:tc>
        <w:tc>
          <w:tcPr>
            <w:tcW w:w="1417" w:type="dxa"/>
            <w:tcBorders>
              <w:top w:val="single" w:color="auto" w:sz="4" w:space="0"/>
            </w:tcBorders>
            <w:vAlign w:val="center"/>
          </w:tcPr>
          <w:p w14:paraId="3CC0076A">
            <w:pPr>
              <w:pStyle w:val="178"/>
            </w:pPr>
            <w:r>
              <w:rPr>
                <w:rFonts w:hint="eastAsia"/>
                <w:color w:val="000000"/>
                <w:szCs w:val="18"/>
              </w:rPr>
              <w:t>—</w:t>
            </w:r>
          </w:p>
        </w:tc>
      </w:tr>
      <w:tr w14:paraId="051239FC">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0" w:type="dxa"/>
            <w:bottom w:w="0" w:type="dxa"/>
            <w:right w:w="100" w:type="dxa"/>
          </w:tblCellMar>
        </w:tblPrEx>
        <w:trPr>
          <w:trHeight w:val="851" w:hRule="atLeast"/>
          <w:jc w:val="center"/>
        </w:trPr>
        <w:tc>
          <w:tcPr>
            <w:tcW w:w="983" w:type="dxa"/>
            <w:vMerge w:val="continue"/>
            <w:vAlign w:val="center"/>
          </w:tcPr>
          <w:p w14:paraId="69CA6E59">
            <w:pPr>
              <w:pStyle w:val="178"/>
            </w:pPr>
          </w:p>
        </w:tc>
        <w:tc>
          <w:tcPr>
            <w:tcW w:w="1275" w:type="dxa"/>
            <w:vAlign w:val="center"/>
          </w:tcPr>
          <w:p w14:paraId="15F82AD2">
            <w:pPr>
              <w:pStyle w:val="178"/>
            </w:pPr>
            <w:r>
              <w:rPr>
                <w:rFonts w:hint="eastAsia"/>
                <w:color w:val="000000"/>
                <w:szCs w:val="18"/>
              </w:rPr>
              <w:t>紧急避险</w:t>
            </w:r>
          </w:p>
        </w:tc>
        <w:tc>
          <w:tcPr>
            <w:tcW w:w="709" w:type="dxa"/>
            <w:vAlign w:val="center"/>
          </w:tcPr>
          <w:p w14:paraId="6C8F6FA3">
            <w:pPr>
              <w:pStyle w:val="178"/>
            </w:pPr>
            <w:r>
              <w:rPr>
                <w:rFonts w:hint="eastAsia"/>
                <w:color w:val="000000"/>
                <w:szCs w:val="18"/>
              </w:rPr>
              <w:t>4</w:t>
            </w:r>
          </w:p>
        </w:tc>
        <w:tc>
          <w:tcPr>
            <w:tcW w:w="992" w:type="dxa"/>
            <w:vAlign w:val="center"/>
          </w:tcPr>
          <w:p w14:paraId="55BAA6A4">
            <w:pPr>
              <w:pStyle w:val="178"/>
            </w:pPr>
            <w:r>
              <w:rPr/>
              <w:sym w:font="Wingdings 2" w:char="F098"/>
            </w:r>
          </w:p>
        </w:tc>
        <w:tc>
          <w:tcPr>
            <w:tcW w:w="4122" w:type="dxa"/>
            <w:vAlign w:val="center"/>
          </w:tcPr>
          <w:p w14:paraId="7497C71A">
            <w:pPr>
              <w:pStyle w:val="178"/>
              <w:jc w:val="both"/>
            </w:pPr>
            <w:r>
              <w:rPr>
                <w:rFonts w:hint="eastAsia"/>
                <w:color w:val="000000"/>
                <w:szCs w:val="18"/>
              </w:rPr>
              <w:t>掌握火场险情规律、紧急避险方法。</w:t>
            </w:r>
          </w:p>
        </w:tc>
        <w:tc>
          <w:tcPr>
            <w:tcW w:w="1417" w:type="dxa"/>
            <w:vAlign w:val="center"/>
          </w:tcPr>
          <w:p w14:paraId="7DBE355D">
            <w:pPr>
              <w:pStyle w:val="178"/>
            </w:pPr>
            <w:r>
              <w:rPr>
                <w:rFonts w:hint="eastAsia"/>
              </w:rPr>
              <w:sym w:font="Wingdings 2" w:char="F0A2"/>
            </w:r>
          </w:p>
        </w:tc>
      </w:tr>
      <w:tr w14:paraId="12C6644B">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0" w:type="dxa"/>
            <w:bottom w:w="0" w:type="dxa"/>
            <w:right w:w="100" w:type="dxa"/>
          </w:tblCellMar>
        </w:tblPrEx>
        <w:trPr>
          <w:trHeight w:val="851" w:hRule="atLeast"/>
          <w:jc w:val="center"/>
        </w:trPr>
        <w:tc>
          <w:tcPr>
            <w:tcW w:w="983" w:type="dxa"/>
            <w:vMerge w:val="continue"/>
            <w:vAlign w:val="center"/>
          </w:tcPr>
          <w:p w14:paraId="27471C24">
            <w:pPr>
              <w:pStyle w:val="178"/>
            </w:pPr>
          </w:p>
        </w:tc>
        <w:tc>
          <w:tcPr>
            <w:tcW w:w="1275" w:type="dxa"/>
            <w:vAlign w:val="center"/>
          </w:tcPr>
          <w:p w14:paraId="6E0F4F44">
            <w:pPr>
              <w:pStyle w:val="178"/>
            </w:pPr>
            <w:r>
              <w:rPr>
                <w:rFonts w:hint="eastAsia"/>
                <w:color w:val="000000"/>
                <w:szCs w:val="18"/>
              </w:rPr>
              <w:t>事故处置</w:t>
            </w:r>
          </w:p>
        </w:tc>
        <w:tc>
          <w:tcPr>
            <w:tcW w:w="709" w:type="dxa"/>
            <w:vAlign w:val="center"/>
          </w:tcPr>
          <w:p w14:paraId="5C60DAC3">
            <w:pPr>
              <w:pStyle w:val="178"/>
            </w:pPr>
            <w:r>
              <w:rPr>
                <w:rFonts w:hint="eastAsia"/>
                <w:color w:val="000000"/>
                <w:szCs w:val="18"/>
              </w:rPr>
              <w:t>2</w:t>
            </w:r>
          </w:p>
        </w:tc>
        <w:tc>
          <w:tcPr>
            <w:tcW w:w="992" w:type="dxa"/>
            <w:vAlign w:val="center"/>
          </w:tcPr>
          <w:p w14:paraId="0AB55CCF">
            <w:pPr>
              <w:pStyle w:val="178"/>
            </w:pPr>
            <w:r>
              <w:rPr/>
              <w:sym w:font="Wingdings" w:char="F0A1"/>
            </w:r>
          </w:p>
        </w:tc>
        <w:tc>
          <w:tcPr>
            <w:tcW w:w="4122" w:type="dxa"/>
            <w:vAlign w:val="center"/>
          </w:tcPr>
          <w:p w14:paraId="6AB62F3D">
            <w:pPr>
              <w:pStyle w:val="178"/>
              <w:jc w:val="both"/>
            </w:pPr>
            <w:r>
              <w:rPr>
                <w:rFonts w:hint="eastAsia"/>
                <w:color w:val="000000"/>
                <w:szCs w:val="18"/>
              </w:rPr>
              <w:t>了解火场事故规律，熟悉事故处置程序及方法。</w:t>
            </w:r>
          </w:p>
        </w:tc>
        <w:tc>
          <w:tcPr>
            <w:tcW w:w="1417" w:type="dxa"/>
            <w:vAlign w:val="center"/>
          </w:tcPr>
          <w:p w14:paraId="6A3F2048">
            <w:pPr>
              <w:pStyle w:val="178"/>
            </w:pPr>
            <w:r>
              <w:rPr/>
              <w:sym w:font="Wingdings 2" w:char="F0A3"/>
            </w:r>
          </w:p>
        </w:tc>
      </w:tr>
      <w:tr w14:paraId="4913942E">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0" w:type="dxa"/>
            <w:bottom w:w="0" w:type="dxa"/>
            <w:right w:w="100" w:type="dxa"/>
          </w:tblCellMar>
        </w:tblPrEx>
        <w:trPr>
          <w:trHeight w:val="851" w:hRule="atLeast"/>
          <w:jc w:val="center"/>
        </w:trPr>
        <w:tc>
          <w:tcPr>
            <w:tcW w:w="983" w:type="dxa"/>
            <w:vMerge w:val="continue"/>
            <w:vAlign w:val="center"/>
          </w:tcPr>
          <w:p w14:paraId="60024791">
            <w:pPr>
              <w:pStyle w:val="178"/>
            </w:pPr>
          </w:p>
        </w:tc>
        <w:tc>
          <w:tcPr>
            <w:tcW w:w="1275" w:type="dxa"/>
            <w:vAlign w:val="center"/>
          </w:tcPr>
          <w:p w14:paraId="528079F7">
            <w:pPr>
              <w:pStyle w:val="178"/>
            </w:pPr>
            <w:r>
              <w:rPr>
                <w:rFonts w:hint="eastAsia"/>
                <w:color w:val="000000"/>
                <w:szCs w:val="18"/>
              </w:rPr>
              <w:t>心理调适</w:t>
            </w:r>
          </w:p>
        </w:tc>
        <w:tc>
          <w:tcPr>
            <w:tcW w:w="709" w:type="dxa"/>
            <w:vAlign w:val="center"/>
          </w:tcPr>
          <w:p w14:paraId="25D3CEFA">
            <w:pPr>
              <w:pStyle w:val="178"/>
            </w:pPr>
            <w:r>
              <w:rPr>
                <w:rFonts w:hint="eastAsia"/>
                <w:color w:val="000000"/>
                <w:szCs w:val="18"/>
              </w:rPr>
              <w:t>0</w:t>
            </w:r>
          </w:p>
        </w:tc>
        <w:tc>
          <w:tcPr>
            <w:tcW w:w="992" w:type="dxa"/>
            <w:vAlign w:val="center"/>
          </w:tcPr>
          <w:p w14:paraId="49B802EB">
            <w:pPr>
              <w:pStyle w:val="178"/>
            </w:pPr>
            <w:r>
              <w:rPr>
                <w:rFonts w:hint="eastAsia"/>
                <w:color w:val="000000"/>
                <w:szCs w:val="18"/>
              </w:rPr>
              <w:t>—</w:t>
            </w:r>
          </w:p>
        </w:tc>
        <w:tc>
          <w:tcPr>
            <w:tcW w:w="4122" w:type="dxa"/>
            <w:vAlign w:val="center"/>
          </w:tcPr>
          <w:p w14:paraId="3354D0C2">
            <w:pPr>
              <w:pStyle w:val="178"/>
            </w:pPr>
            <w:r>
              <w:rPr>
                <w:rFonts w:hint="eastAsia"/>
                <w:color w:val="000000"/>
                <w:szCs w:val="18"/>
              </w:rPr>
              <w:t>—</w:t>
            </w:r>
          </w:p>
        </w:tc>
        <w:tc>
          <w:tcPr>
            <w:tcW w:w="1417" w:type="dxa"/>
            <w:vAlign w:val="center"/>
          </w:tcPr>
          <w:p w14:paraId="57D95EB8">
            <w:pPr>
              <w:pStyle w:val="178"/>
            </w:pPr>
            <w:r>
              <w:rPr>
                <w:rFonts w:hint="eastAsia"/>
                <w:color w:val="000000"/>
                <w:szCs w:val="18"/>
              </w:rPr>
              <w:t>—</w:t>
            </w:r>
          </w:p>
        </w:tc>
      </w:tr>
      <w:bookmarkEnd w:id="326"/>
      <w:tr w14:paraId="1E88B93A">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0" w:type="dxa"/>
            <w:bottom w:w="0" w:type="dxa"/>
            <w:right w:w="100" w:type="dxa"/>
          </w:tblCellMar>
        </w:tblPrEx>
        <w:trPr>
          <w:trHeight w:val="851" w:hRule="atLeast"/>
          <w:jc w:val="center"/>
        </w:trPr>
        <w:tc>
          <w:tcPr>
            <w:tcW w:w="983" w:type="dxa"/>
            <w:tcBorders>
              <w:bottom w:val="single" w:color="auto" w:sz="8" w:space="0"/>
            </w:tcBorders>
            <w:vAlign w:val="center"/>
          </w:tcPr>
          <w:p w14:paraId="0F2892AA">
            <w:pPr>
              <w:pStyle w:val="178"/>
            </w:pPr>
            <w:r>
              <w:rPr>
                <w:rFonts w:hint="eastAsia"/>
              </w:rPr>
              <w:t>合计</w:t>
            </w:r>
          </w:p>
        </w:tc>
        <w:tc>
          <w:tcPr>
            <w:tcW w:w="1275" w:type="dxa"/>
            <w:tcBorders>
              <w:bottom w:val="single" w:color="auto" w:sz="8" w:space="0"/>
            </w:tcBorders>
            <w:vAlign w:val="center"/>
          </w:tcPr>
          <w:p w14:paraId="228F3117">
            <w:pPr>
              <w:pStyle w:val="178"/>
              <w:rPr>
                <w:color w:val="000000"/>
                <w:szCs w:val="18"/>
              </w:rPr>
            </w:pPr>
            <w:r>
              <w:rPr>
                <w:rFonts w:hint="eastAsia"/>
                <w:color w:val="000000"/>
                <w:szCs w:val="18"/>
              </w:rPr>
              <w:t>—</w:t>
            </w:r>
          </w:p>
        </w:tc>
        <w:tc>
          <w:tcPr>
            <w:tcW w:w="709" w:type="dxa"/>
            <w:tcBorders>
              <w:bottom w:val="single" w:color="auto" w:sz="8" w:space="0"/>
            </w:tcBorders>
            <w:vAlign w:val="center"/>
          </w:tcPr>
          <w:p w14:paraId="6A5B1512">
            <w:pPr>
              <w:pStyle w:val="178"/>
              <w:rPr>
                <w:color w:val="000000"/>
                <w:szCs w:val="18"/>
              </w:rPr>
            </w:pPr>
            <w:r>
              <w:rPr>
                <w:rFonts w:hint="eastAsia"/>
                <w:color w:val="000000"/>
                <w:szCs w:val="18"/>
              </w:rPr>
              <w:t>56</w:t>
            </w:r>
          </w:p>
        </w:tc>
        <w:tc>
          <w:tcPr>
            <w:tcW w:w="992" w:type="dxa"/>
            <w:tcBorders>
              <w:bottom w:val="single" w:color="auto" w:sz="8" w:space="0"/>
            </w:tcBorders>
            <w:vAlign w:val="center"/>
          </w:tcPr>
          <w:p w14:paraId="43444BF3">
            <w:pPr>
              <w:pStyle w:val="178"/>
            </w:pPr>
            <w:r>
              <w:rPr>
                <w:rFonts w:hint="eastAsia"/>
                <w:color w:val="000000"/>
                <w:szCs w:val="18"/>
              </w:rPr>
              <w:t>—</w:t>
            </w:r>
          </w:p>
        </w:tc>
        <w:tc>
          <w:tcPr>
            <w:tcW w:w="4122" w:type="dxa"/>
            <w:tcBorders>
              <w:bottom w:val="single" w:color="auto" w:sz="8" w:space="0"/>
            </w:tcBorders>
            <w:vAlign w:val="center"/>
          </w:tcPr>
          <w:p w14:paraId="2E227F26">
            <w:pPr>
              <w:pStyle w:val="178"/>
            </w:pPr>
            <w:r>
              <w:rPr>
                <w:rFonts w:hint="eastAsia"/>
                <w:color w:val="000000"/>
                <w:szCs w:val="18"/>
              </w:rPr>
              <w:t>—</w:t>
            </w:r>
          </w:p>
        </w:tc>
        <w:tc>
          <w:tcPr>
            <w:tcW w:w="1417" w:type="dxa"/>
            <w:tcBorders>
              <w:bottom w:val="single" w:color="auto" w:sz="8" w:space="0"/>
            </w:tcBorders>
            <w:vAlign w:val="center"/>
          </w:tcPr>
          <w:p w14:paraId="7C748E6C">
            <w:pPr>
              <w:pStyle w:val="178"/>
            </w:pPr>
            <w:r>
              <w:rPr>
                <w:rFonts w:hint="eastAsia"/>
                <w:color w:val="000000"/>
                <w:szCs w:val="18"/>
              </w:rPr>
              <w:t>—</w:t>
            </w:r>
          </w:p>
        </w:tc>
      </w:tr>
      <w:bookmarkEnd w:id="327"/>
      <w:tr w14:paraId="2AD185E3">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0" w:type="dxa"/>
            <w:bottom w:w="0" w:type="dxa"/>
            <w:right w:w="100" w:type="dxa"/>
          </w:tblCellMar>
        </w:tblPrEx>
        <w:trPr>
          <w:trHeight w:val="567" w:hRule="atLeast"/>
          <w:jc w:val="center"/>
        </w:trPr>
        <w:tc>
          <w:tcPr>
            <w:tcW w:w="9498" w:type="dxa"/>
            <w:gridSpan w:val="6"/>
            <w:tcBorders>
              <w:top w:val="single" w:color="auto" w:sz="8" w:space="0"/>
              <w:bottom w:val="single" w:color="auto" w:sz="8" w:space="0"/>
            </w:tcBorders>
            <w:vAlign w:val="center"/>
          </w:tcPr>
          <w:p w14:paraId="7E36A070">
            <w:pPr>
              <w:pStyle w:val="180"/>
              <w:numPr>
                <w:ilvl w:val="0"/>
                <w:numId w:val="51"/>
              </w:numPr>
            </w:pPr>
            <w:r>
              <w:rPr/>
              <w:sym w:font="Wingdings" w:char="F0A1"/>
            </w:r>
            <w:r>
              <w:rPr>
                <w:rFonts w:hint="eastAsia"/>
              </w:rPr>
              <w:t>为理论教学；</w:t>
            </w:r>
            <w:r>
              <w:rPr/>
              <w:sym w:font="Wingdings 2" w:char="F098"/>
            </w:r>
            <w:r>
              <w:rPr>
                <w:rFonts w:hint="eastAsia"/>
              </w:rPr>
              <w:t>为实践教学，包括实操训练、虚拟仿真训练、模拟训练等方式；</w:t>
            </w:r>
            <w:r>
              <w:rPr/>
              <w:sym w:font="Wingdings" w:char="F0A1"/>
            </w:r>
            <w:r>
              <w:rPr/>
              <w:sym w:font="Wingdings 2" w:char="F098"/>
            </w:r>
            <w:r>
              <w:rPr>
                <w:rFonts w:hint="eastAsia"/>
              </w:rPr>
              <w:t>为同时开展理论教学和和实践教学。</w:t>
            </w:r>
          </w:p>
          <w:p w14:paraId="10B5D5A3">
            <w:pPr>
              <w:pStyle w:val="180"/>
              <w:numPr>
                <w:ilvl w:val="0"/>
                <w:numId w:val="51"/>
              </w:numPr>
            </w:pPr>
            <w:r>
              <w:rPr/>
              <w:sym w:font="Wingdings 2" w:char="F0A3"/>
            </w:r>
            <w:r>
              <w:rPr>
                <w:rFonts w:hint="eastAsia"/>
              </w:rPr>
              <w:t>为闭卷笔试或计算机考试方式；</w:t>
            </w:r>
            <w:r>
              <w:rPr>
                <w:rFonts w:hint="eastAsia"/>
              </w:rPr>
              <w:sym w:font="Wingdings 2" w:char="F0A2"/>
            </w:r>
            <w:r>
              <w:rPr>
                <w:rFonts w:hint="eastAsia"/>
              </w:rPr>
              <w:t>为现场实操、模拟演练或虚拟仿真演练等考核方式；</w:t>
            </w:r>
            <w:r>
              <w:rPr/>
              <w:sym w:font="Wingdings 2" w:char="F0A3"/>
            </w:r>
            <w:r>
              <w:rPr>
                <w:rFonts w:hint="eastAsia"/>
              </w:rPr>
              <w:sym w:font="Wingdings 2" w:char="F0A2"/>
            </w:r>
            <w:r>
              <w:rPr>
                <w:rFonts w:hint="eastAsia"/>
              </w:rPr>
              <w:t>表示应同时进行专业理论考核和实践操作考核。</w:t>
            </w:r>
          </w:p>
        </w:tc>
      </w:tr>
      <w:bookmarkEnd w:id="325"/>
    </w:tbl>
    <w:p w14:paraId="430A2DBB">
      <w:pPr>
        <w:pStyle w:val="56"/>
        <w:ind w:firstLine="420"/>
      </w:pPr>
    </w:p>
    <w:p w14:paraId="788937B8">
      <w:pPr>
        <w:pStyle w:val="56"/>
        <w:ind w:firstLine="420"/>
        <w:sectPr>
          <w:pgSz w:w="11906" w:h="16838"/>
          <w:pgMar w:top="1928" w:right="1134" w:bottom="1134" w:left="1134" w:header="1418" w:footer="1134" w:gutter="284"/>
          <w:cols w:space="425" w:num="1"/>
          <w:formProt w:val="0"/>
          <w:docGrid w:linePitch="312" w:charSpace="0"/>
        </w:sectPr>
      </w:pPr>
    </w:p>
    <w:p w14:paraId="432B976A">
      <w:pPr>
        <w:pStyle w:val="198"/>
        <w:rPr>
          <w:rFonts w:hint="eastAsia"/>
          <w:vanish w:val="0"/>
        </w:rPr>
      </w:pPr>
    </w:p>
    <w:p w14:paraId="7A5C83DD">
      <w:pPr>
        <w:pStyle w:val="199"/>
        <w:rPr>
          <w:vanish w:val="0"/>
        </w:rPr>
      </w:pPr>
    </w:p>
    <w:p w14:paraId="4A3BA4A1">
      <w:pPr>
        <w:pStyle w:val="76"/>
        <w:spacing w:after="120"/>
      </w:pPr>
      <w:r>
        <w:br w:type="textWrapping"/>
      </w:r>
      <w:bookmarkStart w:id="329" w:name="_Toc203573410"/>
      <w:bookmarkStart w:id="330" w:name="_Toc203753135"/>
      <w:bookmarkStart w:id="331" w:name="_Toc203671202"/>
      <w:bookmarkStart w:id="332" w:name="_Toc203579160"/>
      <w:r>
        <w:rPr>
          <w:rFonts w:hint="eastAsia"/>
        </w:rPr>
        <w:t>（规范性）</w:t>
      </w:r>
      <w:r>
        <w:br w:type="textWrapping"/>
      </w:r>
      <w:r>
        <w:rPr>
          <w:rFonts w:hint="eastAsia"/>
        </w:rPr>
        <w:t>地方森林草原消防队伍指挥员培训设置</w:t>
      </w:r>
      <w:bookmarkEnd w:id="329"/>
      <w:bookmarkEnd w:id="330"/>
      <w:bookmarkEnd w:id="331"/>
      <w:bookmarkEnd w:id="332"/>
    </w:p>
    <w:p w14:paraId="6D278B54">
      <w:pPr>
        <w:pStyle w:val="56"/>
        <w:ind w:firstLine="420"/>
      </w:pPr>
      <w:r>
        <w:rPr>
          <w:rFonts w:hint="eastAsia"/>
        </w:rPr>
        <w:t>表B.1规定了地方森林草原消防队伍指挥员培训学时、培训方式、知会程度要求及结业考核方式。</w:t>
      </w:r>
    </w:p>
    <w:p w14:paraId="2119035D">
      <w:pPr>
        <w:pStyle w:val="77"/>
        <w:spacing w:before="120" w:after="120"/>
      </w:pPr>
      <w:bookmarkStart w:id="333" w:name="_Hlk203679777"/>
      <w:r>
        <w:rPr>
          <w:rFonts w:hint="eastAsia"/>
        </w:rPr>
        <w:t>地方森林草原消防队伍指挥员培训设置</w:t>
      </w:r>
      <w:bookmarkEnd w:id="333"/>
    </w:p>
    <w:tbl>
      <w:tblPr>
        <w:tblStyle w:val="27"/>
        <w:tblW w:w="9498" w:type="dxa"/>
        <w:jc w:val="center"/>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Layout w:type="autofit"/>
        <w:tblCellMar>
          <w:top w:w="0" w:type="dxa"/>
          <w:left w:w="100" w:type="dxa"/>
          <w:bottom w:w="0" w:type="dxa"/>
          <w:right w:w="100" w:type="dxa"/>
        </w:tblCellMar>
      </w:tblPr>
      <w:tblGrid>
        <w:gridCol w:w="983"/>
        <w:gridCol w:w="1275"/>
        <w:gridCol w:w="709"/>
        <w:gridCol w:w="992"/>
        <w:gridCol w:w="4122"/>
        <w:gridCol w:w="1417"/>
      </w:tblGrid>
      <w:tr w14:paraId="42DBBFA6">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0" w:type="dxa"/>
            <w:bottom w:w="0" w:type="dxa"/>
            <w:right w:w="100" w:type="dxa"/>
          </w:tblCellMar>
        </w:tblPrEx>
        <w:trPr>
          <w:trHeight w:val="567" w:hRule="atLeast"/>
          <w:tblHeader/>
          <w:jc w:val="center"/>
        </w:trPr>
        <w:tc>
          <w:tcPr>
            <w:tcW w:w="983" w:type="dxa"/>
            <w:tcBorders>
              <w:top w:val="single" w:color="auto" w:sz="8" w:space="0"/>
            </w:tcBorders>
            <w:vAlign w:val="center"/>
          </w:tcPr>
          <w:p w14:paraId="57A2C559">
            <w:pPr>
              <w:pStyle w:val="178"/>
            </w:pPr>
            <w:bookmarkStart w:id="334" w:name="OLE_LINK29"/>
            <w:r>
              <w:rPr>
                <w:rFonts w:hint="eastAsia"/>
              </w:rPr>
              <w:t>课目</w:t>
            </w:r>
          </w:p>
        </w:tc>
        <w:tc>
          <w:tcPr>
            <w:tcW w:w="1275" w:type="dxa"/>
            <w:tcBorders>
              <w:top w:val="single" w:color="auto" w:sz="8" w:space="0"/>
            </w:tcBorders>
            <w:vAlign w:val="center"/>
          </w:tcPr>
          <w:p w14:paraId="1A79DAE0">
            <w:pPr>
              <w:pStyle w:val="178"/>
            </w:pPr>
            <w:r>
              <w:rPr>
                <w:rFonts w:hint="eastAsia"/>
              </w:rPr>
              <w:t>内容</w:t>
            </w:r>
          </w:p>
        </w:tc>
        <w:tc>
          <w:tcPr>
            <w:tcW w:w="709" w:type="dxa"/>
            <w:tcBorders>
              <w:top w:val="single" w:color="auto" w:sz="8" w:space="0"/>
            </w:tcBorders>
            <w:vAlign w:val="center"/>
          </w:tcPr>
          <w:p w14:paraId="4FCE7A4C">
            <w:pPr>
              <w:pStyle w:val="178"/>
            </w:pPr>
            <w:r>
              <w:rPr>
                <w:rFonts w:hint="eastAsia"/>
              </w:rPr>
              <w:t>学时</w:t>
            </w:r>
          </w:p>
        </w:tc>
        <w:tc>
          <w:tcPr>
            <w:tcW w:w="992" w:type="dxa"/>
            <w:tcBorders>
              <w:top w:val="single" w:color="auto" w:sz="8" w:space="0"/>
            </w:tcBorders>
            <w:vAlign w:val="center"/>
          </w:tcPr>
          <w:p w14:paraId="3F3694EB">
            <w:pPr>
              <w:pStyle w:val="178"/>
            </w:pPr>
            <w:r>
              <w:rPr>
                <w:rFonts w:hint="eastAsia"/>
              </w:rPr>
              <w:t>培训方式</w:t>
            </w:r>
          </w:p>
        </w:tc>
        <w:tc>
          <w:tcPr>
            <w:tcW w:w="4122" w:type="dxa"/>
            <w:tcBorders>
              <w:top w:val="single" w:color="auto" w:sz="8" w:space="0"/>
            </w:tcBorders>
            <w:vAlign w:val="center"/>
          </w:tcPr>
          <w:p w14:paraId="2BFBD703">
            <w:pPr>
              <w:pStyle w:val="178"/>
            </w:pPr>
            <w:r>
              <w:rPr>
                <w:rFonts w:hint="eastAsia"/>
              </w:rPr>
              <w:t>知会程度要求</w:t>
            </w:r>
          </w:p>
        </w:tc>
        <w:tc>
          <w:tcPr>
            <w:tcW w:w="1417" w:type="dxa"/>
            <w:tcBorders>
              <w:top w:val="single" w:color="auto" w:sz="8" w:space="0"/>
            </w:tcBorders>
            <w:vAlign w:val="center"/>
          </w:tcPr>
          <w:p w14:paraId="7774472F">
            <w:pPr>
              <w:pStyle w:val="178"/>
            </w:pPr>
            <w:r>
              <w:rPr>
                <w:rFonts w:hint="eastAsia"/>
              </w:rPr>
              <w:t>结业考核方式</w:t>
            </w:r>
          </w:p>
        </w:tc>
      </w:tr>
      <w:tr w14:paraId="12B399DC">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0" w:type="dxa"/>
            <w:bottom w:w="0" w:type="dxa"/>
            <w:right w:w="100" w:type="dxa"/>
          </w:tblCellMar>
        </w:tblPrEx>
        <w:trPr>
          <w:trHeight w:val="567" w:hRule="atLeast"/>
          <w:jc w:val="center"/>
        </w:trPr>
        <w:tc>
          <w:tcPr>
            <w:tcW w:w="983" w:type="dxa"/>
            <w:vMerge w:val="restart"/>
            <w:vAlign w:val="center"/>
          </w:tcPr>
          <w:p w14:paraId="03541A9A">
            <w:pPr>
              <w:pStyle w:val="178"/>
            </w:pPr>
            <w:bookmarkStart w:id="335" w:name="_Hlk203571237"/>
            <w:r>
              <w:rPr>
                <w:rFonts w:hint="eastAsia"/>
              </w:rPr>
              <w:t>灭火基础</w:t>
            </w:r>
          </w:p>
        </w:tc>
        <w:tc>
          <w:tcPr>
            <w:tcW w:w="1275" w:type="dxa"/>
            <w:vAlign w:val="center"/>
          </w:tcPr>
          <w:p w14:paraId="4C8D2A83">
            <w:pPr>
              <w:pStyle w:val="178"/>
            </w:pPr>
            <w:r>
              <w:rPr>
                <w:rFonts w:hint="eastAsia"/>
                <w:color w:val="000000"/>
                <w:szCs w:val="18"/>
              </w:rPr>
              <w:t>林学基础</w:t>
            </w:r>
          </w:p>
        </w:tc>
        <w:tc>
          <w:tcPr>
            <w:tcW w:w="709" w:type="dxa"/>
            <w:vAlign w:val="center"/>
          </w:tcPr>
          <w:p w14:paraId="5EA4AFA5">
            <w:pPr>
              <w:pStyle w:val="178"/>
            </w:pPr>
            <w:r>
              <w:rPr>
                <w:rFonts w:hint="eastAsia"/>
                <w:color w:val="000000"/>
                <w:szCs w:val="18"/>
              </w:rPr>
              <w:t>2</w:t>
            </w:r>
          </w:p>
        </w:tc>
        <w:tc>
          <w:tcPr>
            <w:tcW w:w="992" w:type="dxa"/>
            <w:vAlign w:val="center"/>
          </w:tcPr>
          <w:p w14:paraId="6EF3256E">
            <w:pPr>
              <w:pStyle w:val="178"/>
            </w:pPr>
            <w:r>
              <w:rPr/>
              <w:sym w:font="Wingdings" w:char="F0A1"/>
            </w:r>
          </w:p>
        </w:tc>
        <w:tc>
          <w:tcPr>
            <w:tcW w:w="4122" w:type="dxa"/>
            <w:vAlign w:val="center"/>
          </w:tcPr>
          <w:p w14:paraId="00EFDAA9">
            <w:pPr>
              <w:pStyle w:val="178"/>
              <w:jc w:val="both"/>
            </w:pPr>
            <w:r>
              <w:rPr>
                <w:rFonts w:hint="eastAsia"/>
                <w:color w:val="000000"/>
                <w:szCs w:val="18"/>
              </w:rPr>
              <w:t>了解林业和草原相关概念、熟悉辖区森林草原资源概况及植被结构特征，掌握辖区防火期植被物候特征。</w:t>
            </w:r>
          </w:p>
        </w:tc>
        <w:tc>
          <w:tcPr>
            <w:tcW w:w="1417" w:type="dxa"/>
            <w:vAlign w:val="center"/>
          </w:tcPr>
          <w:p w14:paraId="0CA435E0">
            <w:pPr>
              <w:pStyle w:val="178"/>
            </w:pPr>
            <w:r>
              <w:rPr/>
              <w:sym w:font="Wingdings 2" w:char="F0A3"/>
            </w:r>
          </w:p>
        </w:tc>
      </w:tr>
      <w:tr w14:paraId="36447067">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0" w:type="dxa"/>
            <w:bottom w:w="0" w:type="dxa"/>
            <w:right w:w="100" w:type="dxa"/>
          </w:tblCellMar>
        </w:tblPrEx>
        <w:trPr>
          <w:trHeight w:val="567" w:hRule="atLeast"/>
          <w:jc w:val="center"/>
        </w:trPr>
        <w:tc>
          <w:tcPr>
            <w:tcW w:w="983" w:type="dxa"/>
            <w:vMerge w:val="continue"/>
            <w:vAlign w:val="center"/>
          </w:tcPr>
          <w:p w14:paraId="0F2256D8">
            <w:pPr>
              <w:pStyle w:val="178"/>
            </w:pPr>
          </w:p>
        </w:tc>
        <w:tc>
          <w:tcPr>
            <w:tcW w:w="1275" w:type="dxa"/>
            <w:vAlign w:val="center"/>
          </w:tcPr>
          <w:p w14:paraId="336A43FF">
            <w:pPr>
              <w:pStyle w:val="178"/>
            </w:pPr>
            <w:r>
              <w:rPr>
                <w:rFonts w:hint="eastAsia"/>
                <w:color w:val="000000"/>
                <w:szCs w:val="18"/>
              </w:rPr>
              <w:t>气象学基础</w:t>
            </w:r>
          </w:p>
        </w:tc>
        <w:tc>
          <w:tcPr>
            <w:tcW w:w="709" w:type="dxa"/>
            <w:vAlign w:val="center"/>
          </w:tcPr>
          <w:p w14:paraId="0EBF4D37">
            <w:pPr>
              <w:pStyle w:val="178"/>
            </w:pPr>
            <w:r>
              <w:rPr>
                <w:rFonts w:hint="eastAsia"/>
                <w:color w:val="000000"/>
                <w:szCs w:val="18"/>
              </w:rPr>
              <w:t>2</w:t>
            </w:r>
          </w:p>
        </w:tc>
        <w:tc>
          <w:tcPr>
            <w:tcW w:w="992" w:type="dxa"/>
            <w:vAlign w:val="center"/>
          </w:tcPr>
          <w:p w14:paraId="5C020252">
            <w:pPr>
              <w:pStyle w:val="178"/>
            </w:pPr>
            <w:r>
              <w:rPr/>
              <w:sym w:font="Wingdings" w:char="F0A1"/>
            </w:r>
          </w:p>
        </w:tc>
        <w:tc>
          <w:tcPr>
            <w:tcW w:w="4122" w:type="dxa"/>
            <w:vAlign w:val="center"/>
          </w:tcPr>
          <w:p w14:paraId="541FE2FC">
            <w:pPr>
              <w:pStyle w:val="178"/>
              <w:jc w:val="both"/>
            </w:pPr>
            <w:r>
              <w:rPr>
                <w:rFonts w:hint="eastAsia"/>
                <w:color w:val="000000"/>
                <w:szCs w:val="18"/>
              </w:rPr>
              <w:t>了解森林草原火险气象因子种类，熟悉气象对火灾的影响机理，掌握属地森林草原火险气象规律。</w:t>
            </w:r>
          </w:p>
        </w:tc>
        <w:tc>
          <w:tcPr>
            <w:tcW w:w="1417" w:type="dxa"/>
            <w:vAlign w:val="center"/>
          </w:tcPr>
          <w:p w14:paraId="6653C1F3">
            <w:pPr>
              <w:pStyle w:val="178"/>
            </w:pPr>
            <w:r>
              <w:rPr/>
              <w:sym w:font="Wingdings 2" w:char="F0A3"/>
            </w:r>
          </w:p>
        </w:tc>
      </w:tr>
      <w:tr w14:paraId="1BA30A8D">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0" w:type="dxa"/>
            <w:bottom w:w="0" w:type="dxa"/>
            <w:right w:w="100" w:type="dxa"/>
          </w:tblCellMar>
        </w:tblPrEx>
        <w:trPr>
          <w:trHeight w:val="567" w:hRule="atLeast"/>
          <w:jc w:val="center"/>
        </w:trPr>
        <w:tc>
          <w:tcPr>
            <w:tcW w:w="983" w:type="dxa"/>
            <w:vMerge w:val="continue"/>
            <w:vAlign w:val="center"/>
          </w:tcPr>
          <w:p w14:paraId="7A98F32F">
            <w:pPr>
              <w:pStyle w:val="178"/>
            </w:pPr>
          </w:p>
        </w:tc>
        <w:tc>
          <w:tcPr>
            <w:tcW w:w="1275" w:type="dxa"/>
            <w:vAlign w:val="center"/>
          </w:tcPr>
          <w:p w14:paraId="58B6551F">
            <w:pPr>
              <w:pStyle w:val="178"/>
            </w:pPr>
            <w:r>
              <w:rPr>
                <w:rFonts w:hint="eastAsia"/>
                <w:color w:val="000000"/>
                <w:szCs w:val="18"/>
              </w:rPr>
              <w:t>地形学基础</w:t>
            </w:r>
          </w:p>
        </w:tc>
        <w:tc>
          <w:tcPr>
            <w:tcW w:w="709" w:type="dxa"/>
            <w:vAlign w:val="center"/>
          </w:tcPr>
          <w:p w14:paraId="65EC7AA0">
            <w:pPr>
              <w:pStyle w:val="178"/>
            </w:pPr>
            <w:r>
              <w:rPr>
                <w:rFonts w:hint="eastAsia"/>
                <w:color w:val="000000"/>
                <w:szCs w:val="18"/>
              </w:rPr>
              <w:t>2</w:t>
            </w:r>
          </w:p>
        </w:tc>
        <w:tc>
          <w:tcPr>
            <w:tcW w:w="992" w:type="dxa"/>
            <w:vAlign w:val="center"/>
          </w:tcPr>
          <w:p w14:paraId="3C292956">
            <w:pPr>
              <w:pStyle w:val="178"/>
            </w:pPr>
            <w:r>
              <w:rPr/>
              <w:sym w:font="Wingdings" w:char="F0A1"/>
            </w:r>
          </w:p>
        </w:tc>
        <w:tc>
          <w:tcPr>
            <w:tcW w:w="4122" w:type="dxa"/>
            <w:vAlign w:val="center"/>
          </w:tcPr>
          <w:p w14:paraId="1223A096">
            <w:pPr>
              <w:pStyle w:val="178"/>
              <w:jc w:val="both"/>
            </w:pPr>
            <w:r>
              <w:rPr>
                <w:rFonts w:hint="eastAsia"/>
                <w:color w:val="000000"/>
                <w:szCs w:val="18"/>
              </w:rPr>
              <w:t>了解森地形对火灾的影响机理，熟悉辖区地形地貌征，掌握火场态势图标绘方法。</w:t>
            </w:r>
          </w:p>
        </w:tc>
        <w:tc>
          <w:tcPr>
            <w:tcW w:w="1417" w:type="dxa"/>
            <w:vAlign w:val="center"/>
          </w:tcPr>
          <w:p w14:paraId="7BD453E2">
            <w:pPr>
              <w:pStyle w:val="178"/>
            </w:pPr>
            <w:r>
              <w:rPr/>
              <w:sym w:font="Wingdings 2" w:char="F0A3"/>
            </w:r>
          </w:p>
        </w:tc>
      </w:tr>
      <w:tr w14:paraId="1350B794">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0" w:type="dxa"/>
            <w:bottom w:w="0" w:type="dxa"/>
            <w:right w:w="100" w:type="dxa"/>
          </w:tblCellMar>
        </w:tblPrEx>
        <w:trPr>
          <w:trHeight w:val="567" w:hRule="atLeast"/>
          <w:jc w:val="center"/>
        </w:trPr>
        <w:tc>
          <w:tcPr>
            <w:tcW w:w="983" w:type="dxa"/>
            <w:vMerge w:val="continue"/>
            <w:vAlign w:val="center"/>
          </w:tcPr>
          <w:p w14:paraId="58D88A07">
            <w:pPr>
              <w:pStyle w:val="178"/>
            </w:pPr>
          </w:p>
        </w:tc>
        <w:tc>
          <w:tcPr>
            <w:tcW w:w="1275" w:type="dxa"/>
            <w:vAlign w:val="center"/>
          </w:tcPr>
          <w:p w14:paraId="06342156">
            <w:pPr>
              <w:pStyle w:val="178"/>
            </w:pPr>
            <w:r>
              <w:rPr>
                <w:rFonts w:hint="eastAsia"/>
                <w:color w:val="000000"/>
                <w:szCs w:val="18"/>
              </w:rPr>
              <w:t>指挥学基础</w:t>
            </w:r>
          </w:p>
        </w:tc>
        <w:tc>
          <w:tcPr>
            <w:tcW w:w="709" w:type="dxa"/>
            <w:vAlign w:val="center"/>
          </w:tcPr>
          <w:p w14:paraId="18EF9E36">
            <w:pPr>
              <w:pStyle w:val="178"/>
            </w:pPr>
            <w:r>
              <w:rPr>
                <w:rFonts w:hint="eastAsia"/>
                <w:color w:val="000000"/>
                <w:szCs w:val="18"/>
              </w:rPr>
              <w:t>2</w:t>
            </w:r>
          </w:p>
        </w:tc>
        <w:tc>
          <w:tcPr>
            <w:tcW w:w="992" w:type="dxa"/>
            <w:vAlign w:val="center"/>
          </w:tcPr>
          <w:p w14:paraId="3B953969">
            <w:pPr>
              <w:pStyle w:val="178"/>
            </w:pPr>
            <w:r>
              <w:rPr/>
              <w:sym w:font="Wingdings" w:char="F0A1"/>
            </w:r>
          </w:p>
        </w:tc>
        <w:tc>
          <w:tcPr>
            <w:tcW w:w="4122" w:type="dxa"/>
            <w:vAlign w:val="center"/>
          </w:tcPr>
          <w:p w14:paraId="66C84909">
            <w:pPr>
              <w:pStyle w:val="178"/>
              <w:jc w:val="both"/>
            </w:pPr>
            <w:r>
              <w:rPr>
                <w:rFonts w:hint="eastAsia"/>
                <w:color w:val="000000"/>
                <w:szCs w:val="18"/>
              </w:rPr>
              <w:t>了解森林草原灭火指挥特征，熟悉灭火指挥要素及任务，掌握灭火指挥原则。</w:t>
            </w:r>
          </w:p>
        </w:tc>
        <w:tc>
          <w:tcPr>
            <w:tcW w:w="1417" w:type="dxa"/>
            <w:vAlign w:val="center"/>
          </w:tcPr>
          <w:p w14:paraId="2CA6BA95">
            <w:pPr>
              <w:pStyle w:val="178"/>
            </w:pPr>
            <w:r>
              <w:rPr/>
              <w:sym w:font="Wingdings 2" w:char="F0A3"/>
            </w:r>
          </w:p>
        </w:tc>
      </w:tr>
      <w:tr w14:paraId="37F1CD5D">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0" w:type="dxa"/>
            <w:bottom w:w="0" w:type="dxa"/>
            <w:right w:w="100" w:type="dxa"/>
          </w:tblCellMar>
        </w:tblPrEx>
        <w:trPr>
          <w:trHeight w:val="567" w:hRule="atLeast"/>
          <w:jc w:val="center"/>
        </w:trPr>
        <w:tc>
          <w:tcPr>
            <w:tcW w:w="983" w:type="dxa"/>
            <w:vMerge w:val="continue"/>
            <w:vAlign w:val="center"/>
          </w:tcPr>
          <w:p w14:paraId="1A9F6D41">
            <w:pPr>
              <w:pStyle w:val="178"/>
            </w:pPr>
          </w:p>
        </w:tc>
        <w:tc>
          <w:tcPr>
            <w:tcW w:w="1275" w:type="dxa"/>
            <w:vAlign w:val="center"/>
          </w:tcPr>
          <w:p w14:paraId="712F0AD6">
            <w:pPr>
              <w:pStyle w:val="178"/>
            </w:pPr>
            <w:r>
              <w:rPr>
                <w:rFonts w:hint="eastAsia"/>
                <w:color w:val="000000"/>
                <w:szCs w:val="18"/>
              </w:rPr>
              <w:t>林火原理</w:t>
            </w:r>
          </w:p>
        </w:tc>
        <w:tc>
          <w:tcPr>
            <w:tcW w:w="709" w:type="dxa"/>
            <w:vAlign w:val="center"/>
          </w:tcPr>
          <w:p w14:paraId="34BFA4BC">
            <w:pPr>
              <w:pStyle w:val="178"/>
            </w:pPr>
            <w:r>
              <w:rPr>
                <w:rFonts w:hint="eastAsia"/>
                <w:color w:val="000000"/>
                <w:szCs w:val="18"/>
              </w:rPr>
              <w:t>2</w:t>
            </w:r>
          </w:p>
        </w:tc>
        <w:tc>
          <w:tcPr>
            <w:tcW w:w="992" w:type="dxa"/>
            <w:vAlign w:val="center"/>
          </w:tcPr>
          <w:p w14:paraId="371F96D7">
            <w:pPr>
              <w:pStyle w:val="178"/>
            </w:pPr>
            <w:r>
              <w:rPr/>
              <w:sym w:font="Wingdings" w:char="F0A1"/>
            </w:r>
          </w:p>
        </w:tc>
        <w:tc>
          <w:tcPr>
            <w:tcW w:w="4122" w:type="dxa"/>
            <w:vAlign w:val="center"/>
          </w:tcPr>
          <w:p w14:paraId="51EA8814">
            <w:pPr>
              <w:pStyle w:val="178"/>
              <w:jc w:val="both"/>
            </w:pPr>
            <w:r>
              <w:rPr>
                <w:rFonts w:hint="eastAsia"/>
                <w:color w:val="000000"/>
                <w:szCs w:val="18"/>
              </w:rPr>
              <w:t>了解常见森林草原可燃物种类，熟悉辖区森林草原燃烧机理及可燃物燃烧性，掌握林火和草原火行为特征及灭火机理。</w:t>
            </w:r>
          </w:p>
        </w:tc>
        <w:tc>
          <w:tcPr>
            <w:tcW w:w="1417" w:type="dxa"/>
            <w:vAlign w:val="center"/>
          </w:tcPr>
          <w:p w14:paraId="2D73362B">
            <w:pPr>
              <w:pStyle w:val="178"/>
            </w:pPr>
            <w:r>
              <w:rPr/>
              <w:sym w:font="Wingdings 2" w:char="F0A3"/>
            </w:r>
          </w:p>
        </w:tc>
      </w:tr>
      <w:tr w14:paraId="44DD6FEC">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0" w:type="dxa"/>
            <w:bottom w:w="0" w:type="dxa"/>
            <w:right w:w="100" w:type="dxa"/>
          </w:tblCellMar>
        </w:tblPrEx>
        <w:trPr>
          <w:trHeight w:val="567" w:hRule="atLeast"/>
          <w:jc w:val="center"/>
        </w:trPr>
        <w:tc>
          <w:tcPr>
            <w:tcW w:w="983" w:type="dxa"/>
            <w:vMerge w:val="continue"/>
            <w:vAlign w:val="center"/>
          </w:tcPr>
          <w:p w14:paraId="52603609">
            <w:pPr>
              <w:pStyle w:val="178"/>
            </w:pPr>
          </w:p>
        </w:tc>
        <w:tc>
          <w:tcPr>
            <w:tcW w:w="1275" w:type="dxa"/>
            <w:vAlign w:val="center"/>
          </w:tcPr>
          <w:p w14:paraId="5005DB86">
            <w:pPr>
              <w:pStyle w:val="178"/>
            </w:pPr>
            <w:r>
              <w:rPr>
                <w:rFonts w:hint="eastAsia"/>
                <w:color w:val="000000"/>
                <w:szCs w:val="18"/>
              </w:rPr>
              <w:t>防火勤务</w:t>
            </w:r>
          </w:p>
        </w:tc>
        <w:tc>
          <w:tcPr>
            <w:tcW w:w="709" w:type="dxa"/>
            <w:vAlign w:val="center"/>
          </w:tcPr>
          <w:p w14:paraId="0BC37EDF">
            <w:pPr>
              <w:pStyle w:val="178"/>
            </w:pPr>
            <w:r>
              <w:rPr>
                <w:rFonts w:hint="eastAsia"/>
                <w:color w:val="000000"/>
                <w:szCs w:val="18"/>
              </w:rPr>
              <w:t>4</w:t>
            </w:r>
          </w:p>
        </w:tc>
        <w:tc>
          <w:tcPr>
            <w:tcW w:w="992" w:type="dxa"/>
            <w:vAlign w:val="center"/>
          </w:tcPr>
          <w:p w14:paraId="65E6E6A9">
            <w:pPr>
              <w:pStyle w:val="178"/>
            </w:pPr>
            <w:r>
              <w:rPr/>
              <w:sym w:font="Wingdings" w:char="F0A1"/>
            </w:r>
          </w:p>
        </w:tc>
        <w:tc>
          <w:tcPr>
            <w:tcW w:w="4122" w:type="dxa"/>
            <w:vAlign w:val="center"/>
          </w:tcPr>
          <w:p w14:paraId="662BBD54">
            <w:pPr>
              <w:pStyle w:val="178"/>
              <w:jc w:val="both"/>
            </w:pPr>
            <w:r>
              <w:rPr>
                <w:rFonts w:hint="eastAsia"/>
                <w:color w:val="000000"/>
                <w:szCs w:val="18"/>
              </w:rPr>
              <w:t>了解森林防火勤务种类，熟悉勤务主要工作内容，掌握勤务组织实施方法。</w:t>
            </w:r>
          </w:p>
        </w:tc>
        <w:tc>
          <w:tcPr>
            <w:tcW w:w="1417" w:type="dxa"/>
            <w:vAlign w:val="center"/>
          </w:tcPr>
          <w:p w14:paraId="370B3AD9">
            <w:pPr>
              <w:pStyle w:val="178"/>
            </w:pPr>
            <w:r>
              <w:rPr/>
              <w:sym w:font="Wingdings 2" w:char="F0A3"/>
            </w:r>
          </w:p>
        </w:tc>
      </w:tr>
      <w:tr w14:paraId="263F48D1">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0" w:type="dxa"/>
            <w:bottom w:w="0" w:type="dxa"/>
            <w:right w:w="100" w:type="dxa"/>
          </w:tblCellMar>
        </w:tblPrEx>
        <w:trPr>
          <w:trHeight w:val="567" w:hRule="atLeast"/>
          <w:jc w:val="center"/>
        </w:trPr>
        <w:tc>
          <w:tcPr>
            <w:tcW w:w="983" w:type="dxa"/>
            <w:vMerge w:val="continue"/>
            <w:vAlign w:val="center"/>
          </w:tcPr>
          <w:p w14:paraId="7E1B8972">
            <w:pPr>
              <w:pStyle w:val="178"/>
            </w:pPr>
          </w:p>
        </w:tc>
        <w:tc>
          <w:tcPr>
            <w:tcW w:w="1275" w:type="dxa"/>
            <w:vAlign w:val="center"/>
          </w:tcPr>
          <w:p w14:paraId="0174DD05">
            <w:pPr>
              <w:pStyle w:val="178"/>
            </w:pPr>
            <w:r>
              <w:rPr>
                <w:rFonts w:hint="eastAsia"/>
                <w:color w:val="000000"/>
                <w:szCs w:val="18"/>
              </w:rPr>
              <w:t>林火管理政策与法规</w:t>
            </w:r>
          </w:p>
        </w:tc>
        <w:tc>
          <w:tcPr>
            <w:tcW w:w="709" w:type="dxa"/>
            <w:vAlign w:val="center"/>
          </w:tcPr>
          <w:p w14:paraId="7B4FAD01">
            <w:pPr>
              <w:pStyle w:val="178"/>
            </w:pPr>
            <w:r>
              <w:rPr>
                <w:rFonts w:hint="eastAsia"/>
                <w:color w:val="000000"/>
                <w:szCs w:val="18"/>
              </w:rPr>
              <w:t>2</w:t>
            </w:r>
          </w:p>
        </w:tc>
        <w:tc>
          <w:tcPr>
            <w:tcW w:w="992" w:type="dxa"/>
            <w:vAlign w:val="center"/>
          </w:tcPr>
          <w:p w14:paraId="3AACF54D">
            <w:pPr>
              <w:pStyle w:val="178"/>
            </w:pPr>
            <w:r>
              <w:rPr/>
              <w:sym w:font="Wingdings" w:char="F0A1"/>
            </w:r>
          </w:p>
        </w:tc>
        <w:tc>
          <w:tcPr>
            <w:tcW w:w="4122" w:type="dxa"/>
            <w:vAlign w:val="center"/>
          </w:tcPr>
          <w:p w14:paraId="184B6C9B">
            <w:pPr>
              <w:pStyle w:val="178"/>
              <w:jc w:val="both"/>
            </w:pPr>
            <w:r>
              <w:rPr>
                <w:rFonts w:hint="eastAsia"/>
                <w:color w:val="000000"/>
                <w:szCs w:val="18"/>
              </w:rPr>
              <w:t>了解国内外森林草原火灾形势，熟悉森林草原防灭火有关法规及政策。</w:t>
            </w:r>
          </w:p>
        </w:tc>
        <w:tc>
          <w:tcPr>
            <w:tcW w:w="1417" w:type="dxa"/>
            <w:vAlign w:val="center"/>
          </w:tcPr>
          <w:p w14:paraId="209243C9">
            <w:pPr>
              <w:pStyle w:val="178"/>
            </w:pPr>
            <w:r>
              <w:rPr/>
              <w:sym w:font="Wingdings 2" w:char="F0A3"/>
            </w:r>
          </w:p>
        </w:tc>
      </w:tr>
      <w:tr w14:paraId="15E709DA">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0" w:type="dxa"/>
            <w:bottom w:w="0" w:type="dxa"/>
            <w:right w:w="100" w:type="dxa"/>
          </w:tblCellMar>
        </w:tblPrEx>
        <w:trPr>
          <w:trHeight w:val="567" w:hRule="atLeast"/>
          <w:jc w:val="center"/>
        </w:trPr>
        <w:tc>
          <w:tcPr>
            <w:tcW w:w="983" w:type="dxa"/>
            <w:vMerge w:val="restart"/>
            <w:vAlign w:val="center"/>
          </w:tcPr>
          <w:p w14:paraId="64D948C0">
            <w:pPr>
              <w:pStyle w:val="178"/>
            </w:pPr>
            <w:r>
              <w:rPr>
                <w:rFonts w:hint="eastAsia"/>
              </w:rPr>
              <w:t>灭火装备</w:t>
            </w:r>
          </w:p>
        </w:tc>
        <w:tc>
          <w:tcPr>
            <w:tcW w:w="1275" w:type="dxa"/>
            <w:tcBorders>
              <w:bottom w:val="single" w:color="auto" w:sz="4" w:space="0"/>
            </w:tcBorders>
            <w:vAlign w:val="center"/>
          </w:tcPr>
          <w:p w14:paraId="7EC8CAE2">
            <w:pPr>
              <w:pStyle w:val="178"/>
            </w:pPr>
            <w:r>
              <w:rPr>
                <w:rFonts w:hint="eastAsia"/>
                <w:color w:val="000000"/>
                <w:szCs w:val="18"/>
              </w:rPr>
              <w:t>装备操作与使用</w:t>
            </w:r>
          </w:p>
        </w:tc>
        <w:tc>
          <w:tcPr>
            <w:tcW w:w="709" w:type="dxa"/>
            <w:tcBorders>
              <w:bottom w:val="single" w:color="auto" w:sz="4" w:space="0"/>
            </w:tcBorders>
            <w:vAlign w:val="center"/>
          </w:tcPr>
          <w:p w14:paraId="781C37D5">
            <w:pPr>
              <w:pStyle w:val="178"/>
            </w:pPr>
            <w:r>
              <w:rPr>
                <w:rFonts w:hint="eastAsia"/>
                <w:color w:val="000000"/>
                <w:szCs w:val="18"/>
              </w:rPr>
              <w:t>4</w:t>
            </w:r>
          </w:p>
        </w:tc>
        <w:tc>
          <w:tcPr>
            <w:tcW w:w="992" w:type="dxa"/>
            <w:tcBorders>
              <w:bottom w:val="single" w:color="auto" w:sz="4" w:space="0"/>
            </w:tcBorders>
            <w:vAlign w:val="center"/>
          </w:tcPr>
          <w:p w14:paraId="6D96F0C5">
            <w:pPr>
              <w:pStyle w:val="178"/>
            </w:pPr>
            <w:r>
              <w:rPr/>
              <w:sym w:font="Wingdings 2" w:char="F098"/>
            </w:r>
          </w:p>
        </w:tc>
        <w:tc>
          <w:tcPr>
            <w:tcW w:w="4122" w:type="dxa"/>
            <w:tcBorders>
              <w:bottom w:val="single" w:color="auto" w:sz="4" w:space="0"/>
            </w:tcBorders>
            <w:vAlign w:val="center"/>
          </w:tcPr>
          <w:p w14:paraId="529FA249">
            <w:pPr>
              <w:pStyle w:val="178"/>
              <w:jc w:val="both"/>
            </w:pPr>
            <w:r>
              <w:rPr>
                <w:rFonts w:hint="eastAsia"/>
                <w:color w:val="000000"/>
                <w:szCs w:val="18"/>
              </w:rPr>
              <w:t>了解灭火装备种类，熟悉常见灭火装备工作原理，掌握指挥设备操作与使用方法。</w:t>
            </w:r>
          </w:p>
        </w:tc>
        <w:tc>
          <w:tcPr>
            <w:tcW w:w="1417" w:type="dxa"/>
            <w:tcBorders>
              <w:bottom w:val="single" w:color="auto" w:sz="4" w:space="0"/>
            </w:tcBorders>
            <w:vAlign w:val="center"/>
          </w:tcPr>
          <w:p w14:paraId="5121B9F0">
            <w:pPr>
              <w:pStyle w:val="178"/>
            </w:pPr>
            <w:r>
              <w:rPr/>
              <w:sym w:font="Wingdings 2" w:char="F0A2"/>
            </w:r>
          </w:p>
        </w:tc>
      </w:tr>
      <w:tr w14:paraId="075F4810">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0" w:type="dxa"/>
            <w:bottom w:w="0" w:type="dxa"/>
            <w:right w:w="100" w:type="dxa"/>
          </w:tblCellMar>
        </w:tblPrEx>
        <w:trPr>
          <w:trHeight w:val="567" w:hRule="atLeast"/>
          <w:jc w:val="center"/>
        </w:trPr>
        <w:tc>
          <w:tcPr>
            <w:tcW w:w="983" w:type="dxa"/>
            <w:vMerge w:val="continue"/>
            <w:tcBorders>
              <w:bottom w:val="single" w:color="auto" w:sz="4" w:space="0"/>
            </w:tcBorders>
            <w:vAlign w:val="center"/>
          </w:tcPr>
          <w:p w14:paraId="5B71A59E">
            <w:pPr>
              <w:pStyle w:val="178"/>
            </w:pPr>
          </w:p>
        </w:tc>
        <w:tc>
          <w:tcPr>
            <w:tcW w:w="1275" w:type="dxa"/>
            <w:tcBorders>
              <w:top w:val="single" w:color="auto" w:sz="4" w:space="0"/>
              <w:bottom w:val="single" w:color="auto" w:sz="4" w:space="0"/>
            </w:tcBorders>
            <w:vAlign w:val="center"/>
          </w:tcPr>
          <w:p w14:paraId="31EB8BCC">
            <w:pPr>
              <w:pStyle w:val="178"/>
            </w:pPr>
            <w:r>
              <w:rPr>
                <w:rFonts w:hint="eastAsia"/>
                <w:color w:val="000000"/>
                <w:szCs w:val="18"/>
              </w:rPr>
              <w:t>装备体系建设</w:t>
            </w:r>
          </w:p>
        </w:tc>
        <w:tc>
          <w:tcPr>
            <w:tcW w:w="709" w:type="dxa"/>
            <w:tcBorders>
              <w:top w:val="single" w:color="auto" w:sz="4" w:space="0"/>
              <w:bottom w:val="single" w:color="auto" w:sz="4" w:space="0"/>
            </w:tcBorders>
            <w:vAlign w:val="center"/>
          </w:tcPr>
          <w:p w14:paraId="345ECC14">
            <w:pPr>
              <w:pStyle w:val="178"/>
            </w:pPr>
            <w:r>
              <w:rPr>
                <w:rFonts w:hint="eastAsia"/>
              </w:rPr>
              <w:t>—</w:t>
            </w:r>
          </w:p>
        </w:tc>
        <w:tc>
          <w:tcPr>
            <w:tcW w:w="992" w:type="dxa"/>
            <w:tcBorders>
              <w:top w:val="single" w:color="auto" w:sz="4" w:space="0"/>
              <w:bottom w:val="single" w:color="auto" w:sz="4" w:space="0"/>
            </w:tcBorders>
            <w:vAlign w:val="center"/>
          </w:tcPr>
          <w:p w14:paraId="33C7F33C">
            <w:pPr>
              <w:pStyle w:val="178"/>
            </w:pPr>
            <w:r>
              <w:rPr>
                <w:rFonts w:hint="eastAsia"/>
              </w:rPr>
              <w:t>—</w:t>
            </w:r>
          </w:p>
        </w:tc>
        <w:tc>
          <w:tcPr>
            <w:tcW w:w="4122" w:type="dxa"/>
            <w:tcBorders>
              <w:top w:val="single" w:color="auto" w:sz="4" w:space="0"/>
              <w:bottom w:val="single" w:color="auto" w:sz="4" w:space="0"/>
            </w:tcBorders>
            <w:vAlign w:val="center"/>
          </w:tcPr>
          <w:p w14:paraId="18CB01B7">
            <w:pPr>
              <w:pStyle w:val="178"/>
            </w:pPr>
            <w:r>
              <w:rPr>
                <w:rFonts w:hint="eastAsia"/>
              </w:rPr>
              <w:t>—</w:t>
            </w:r>
          </w:p>
        </w:tc>
        <w:tc>
          <w:tcPr>
            <w:tcW w:w="1417" w:type="dxa"/>
            <w:tcBorders>
              <w:top w:val="single" w:color="auto" w:sz="4" w:space="0"/>
              <w:bottom w:val="single" w:color="auto" w:sz="4" w:space="0"/>
            </w:tcBorders>
            <w:vAlign w:val="center"/>
          </w:tcPr>
          <w:p w14:paraId="3F0D96CF">
            <w:pPr>
              <w:pStyle w:val="178"/>
            </w:pPr>
            <w:r>
              <w:rPr>
                <w:rFonts w:hint="eastAsia"/>
              </w:rPr>
              <w:t>—</w:t>
            </w:r>
          </w:p>
        </w:tc>
      </w:tr>
      <w:tr w14:paraId="6EF49A20">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0" w:type="dxa"/>
            <w:bottom w:w="0" w:type="dxa"/>
            <w:right w:w="100" w:type="dxa"/>
          </w:tblCellMar>
        </w:tblPrEx>
        <w:trPr>
          <w:trHeight w:val="567" w:hRule="atLeast"/>
          <w:jc w:val="center"/>
        </w:trPr>
        <w:tc>
          <w:tcPr>
            <w:tcW w:w="983" w:type="dxa"/>
            <w:vMerge w:val="restart"/>
            <w:tcBorders>
              <w:top w:val="single" w:color="auto" w:sz="4" w:space="0"/>
              <w:bottom w:val="single" w:color="auto" w:sz="4" w:space="0"/>
            </w:tcBorders>
            <w:vAlign w:val="center"/>
          </w:tcPr>
          <w:p w14:paraId="6D5C3E83">
            <w:pPr>
              <w:pStyle w:val="178"/>
            </w:pPr>
            <w:r>
              <w:rPr>
                <w:rFonts w:hint="eastAsia"/>
              </w:rPr>
              <w:t>灭火技术</w:t>
            </w:r>
          </w:p>
        </w:tc>
        <w:tc>
          <w:tcPr>
            <w:tcW w:w="1275" w:type="dxa"/>
            <w:tcBorders>
              <w:top w:val="single" w:color="auto" w:sz="4" w:space="0"/>
              <w:bottom w:val="single" w:color="auto" w:sz="4" w:space="0"/>
            </w:tcBorders>
            <w:vAlign w:val="center"/>
          </w:tcPr>
          <w:p w14:paraId="06D72A58">
            <w:pPr>
              <w:pStyle w:val="178"/>
            </w:pPr>
            <w:r>
              <w:rPr>
                <w:rFonts w:hint="eastAsia"/>
                <w:color w:val="000000"/>
                <w:szCs w:val="18"/>
              </w:rPr>
              <w:t>地面灭火技术</w:t>
            </w:r>
          </w:p>
        </w:tc>
        <w:tc>
          <w:tcPr>
            <w:tcW w:w="709" w:type="dxa"/>
            <w:tcBorders>
              <w:top w:val="single" w:color="auto" w:sz="4" w:space="0"/>
              <w:bottom w:val="single" w:color="auto" w:sz="4" w:space="0"/>
            </w:tcBorders>
            <w:vAlign w:val="center"/>
          </w:tcPr>
          <w:p w14:paraId="07802419">
            <w:pPr>
              <w:pStyle w:val="178"/>
            </w:pPr>
            <w:r>
              <w:rPr>
                <w:rFonts w:hint="eastAsia"/>
                <w:color w:val="000000"/>
                <w:szCs w:val="18"/>
              </w:rPr>
              <w:t>4</w:t>
            </w:r>
          </w:p>
        </w:tc>
        <w:tc>
          <w:tcPr>
            <w:tcW w:w="992" w:type="dxa"/>
            <w:tcBorders>
              <w:top w:val="single" w:color="auto" w:sz="4" w:space="0"/>
              <w:bottom w:val="single" w:color="auto" w:sz="4" w:space="0"/>
            </w:tcBorders>
            <w:vAlign w:val="center"/>
          </w:tcPr>
          <w:p w14:paraId="59F59A6A">
            <w:pPr>
              <w:pStyle w:val="178"/>
            </w:pPr>
            <w:r>
              <w:rPr/>
              <w:sym w:font="Wingdings 2" w:char="F098"/>
            </w:r>
          </w:p>
        </w:tc>
        <w:tc>
          <w:tcPr>
            <w:tcW w:w="4122" w:type="dxa"/>
            <w:tcBorders>
              <w:top w:val="single" w:color="auto" w:sz="4" w:space="0"/>
              <w:bottom w:val="single" w:color="auto" w:sz="4" w:space="0"/>
            </w:tcBorders>
            <w:vAlign w:val="center"/>
          </w:tcPr>
          <w:p w14:paraId="3E31AB5A">
            <w:pPr>
              <w:pStyle w:val="178"/>
              <w:jc w:val="both"/>
            </w:pPr>
            <w:r>
              <w:rPr>
                <w:rFonts w:hint="eastAsia"/>
                <w:color w:val="000000"/>
                <w:szCs w:val="18"/>
              </w:rPr>
              <w:t>了解地面灭火技术种类，熟悉灭火技术原理及运用方法，掌握多种灭火技术协同方法。</w:t>
            </w:r>
          </w:p>
        </w:tc>
        <w:tc>
          <w:tcPr>
            <w:tcW w:w="1417" w:type="dxa"/>
            <w:tcBorders>
              <w:top w:val="single" w:color="auto" w:sz="4" w:space="0"/>
              <w:bottom w:val="single" w:color="auto" w:sz="4" w:space="0"/>
            </w:tcBorders>
            <w:vAlign w:val="center"/>
          </w:tcPr>
          <w:p w14:paraId="1287632E">
            <w:pPr>
              <w:pStyle w:val="178"/>
            </w:pPr>
            <w:r>
              <w:rPr/>
              <w:sym w:font="Wingdings 2" w:char="F0A2"/>
            </w:r>
          </w:p>
        </w:tc>
      </w:tr>
      <w:tr w14:paraId="03205B32">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0" w:type="dxa"/>
            <w:bottom w:w="0" w:type="dxa"/>
            <w:right w:w="100" w:type="dxa"/>
          </w:tblCellMar>
        </w:tblPrEx>
        <w:trPr>
          <w:trHeight w:val="567" w:hRule="atLeast"/>
          <w:jc w:val="center"/>
        </w:trPr>
        <w:tc>
          <w:tcPr>
            <w:tcW w:w="983" w:type="dxa"/>
            <w:vMerge w:val="continue"/>
            <w:tcBorders>
              <w:top w:val="single" w:color="auto" w:sz="4" w:space="0"/>
            </w:tcBorders>
            <w:vAlign w:val="center"/>
          </w:tcPr>
          <w:p w14:paraId="38C9A33B">
            <w:pPr>
              <w:pStyle w:val="178"/>
            </w:pPr>
          </w:p>
        </w:tc>
        <w:tc>
          <w:tcPr>
            <w:tcW w:w="1275" w:type="dxa"/>
            <w:tcBorders>
              <w:top w:val="single" w:color="auto" w:sz="4" w:space="0"/>
            </w:tcBorders>
            <w:vAlign w:val="center"/>
          </w:tcPr>
          <w:p w14:paraId="2A87CD9A">
            <w:pPr>
              <w:pStyle w:val="178"/>
            </w:pPr>
            <w:r>
              <w:rPr>
                <w:rFonts w:hint="eastAsia"/>
                <w:color w:val="000000"/>
                <w:szCs w:val="18"/>
              </w:rPr>
              <w:t>航空灭火技术</w:t>
            </w:r>
          </w:p>
        </w:tc>
        <w:tc>
          <w:tcPr>
            <w:tcW w:w="709" w:type="dxa"/>
            <w:tcBorders>
              <w:top w:val="single" w:color="auto" w:sz="4" w:space="0"/>
            </w:tcBorders>
            <w:vAlign w:val="center"/>
          </w:tcPr>
          <w:p w14:paraId="36E74524">
            <w:pPr>
              <w:pStyle w:val="178"/>
            </w:pPr>
            <w:r>
              <w:rPr>
                <w:rFonts w:hint="eastAsia"/>
                <w:color w:val="000000"/>
                <w:szCs w:val="18"/>
              </w:rPr>
              <w:t>2</w:t>
            </w:r>
          </w:p>
        </w:tc>
        <w:tc>
          <w:tcPr>
            <w:tcW w:w="992" w:type="dxa"/>
            <w:tcBorders>
              <w:top w:val="single" w:color="auto" w:sz="4" w:space="0"/>
            </w:tcBorders>
            <w:vAlign w:val="center"/>
          </w:tcPr>
          <w:p w14:paraId="615458C2">
            <w:pPr>
              <w:pStyle w:val="178"/>
            </w:pPr>
            <w:r>
              <w:rPr/>
              <w:sym w:font="Wingdings" w:char="F0A1"/>
            </w:r>
          </w:p>
        </w:tc>
        <w:tc>
          <w:tcPr>
            <w:tcW w:w="4122" w:type="dxa"/>
            <w:tcBorders>
              <w:top w:val="single" w:color="auto" w:sz="4" w:space="0"/>
            </w:tcBorders>
            <w:vAlign w:val="center"/>
          </w:tcPr>
          <w:p w14:paraId="7BDDECC7">
            <w:pPr>
              <w:pStyle w:val="178"/>
              <w:jc w:val="both"/>
            </w:pPr>
            <w:r>
              <w:rPr>
                <w:rFonts w:hint="eastAsia"/>
                <w:color w:val="000000"/>
                <w:szCs w:val="18"/>
              </w:rPr>
              <w:t>熟悉航空灭火装备种类及技术原理，掌握航空灭火力量调度机制。</w:t>
            </w:r>
          </w:p>
        </w:tc>
        <w:tc>
          <w:tcPr>
            <w:tcW w:w="1417" w:type="dxa"/>
            <w:tcBorders>
              <w:top w:val="single" w:color="auto" w:sz="4" w:space="0"/>
            </w:tcBorders>
            <w:vAlign w:val="center"/>
          </w:tcPr>
          <w:p w14:paraId="0BD19A7D">
            <w:pPr>
              <w:pStyle w:val="178"/>
            </w:pPr>
            <w:r>
              <w:rPr/>
              <w:sym w:font="Wingdings 2" w:char="F0A3"/>
            </w:r>
          </w:p>
        </w:tc>
      </w:tr>
      <w:tr w14:paraId="738DB97C">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0" w:type="dxa"/>
            <w:bottom w:w="0" w:type="dxa"/>
            <w:right w:w="100" w:type="dxa"/>
          </w:tblCellMar>
        </w:tblPrEx>
        <w:trPr>
          <w:trHeight w:val="820" w:hRule="atLeast"/>
          <w:jc w:val="center"/>
        </w:trPr>
        <w:tc>
          <w:tcPr>
            <w:tcW w:w="983" w:type="dxa"/>
            <w:vMerge w:val="restart"/>
            <w:vAlign w:val="center"/>
          </w:tcPr>
          <w:p w14:paraId="0B573FF8">
            <w:pPr>
              <w:pStyle w:val="178"/>
            </w:pPr>
            <w:r>
              <w:rPr>
                <w:rFonts w:hint="eastAsia"/>
              </w:rPr>
              <w:t>灭火战术</w:t>
            </w:r>
          </w:p>
          <w:p w14:paraId="2D3DC66B">
            <w:pPr>
              <w:pStyle w:val="178"/>
            </w:pPr>
            <w:r>
              <w:rPr>
                <w:rFonts w:ascii="Calibri" w:hAnsi="Calibri"/>
                <w:kern w:val="2"/>
                <w:sz w:val="21"/>
                <w:szCs w:val="21"/>
              </w:rPr>
              <w:br w:type="page"/>
            </w:r>
            <w:r>
              <w:rPr>
                <w:rFonts w:hint="eastAsia"/>
              </w:rPr>
              <w:t>灭火战术</w:t>
            </w:r>
          </w:p>
        </w:tc>
        <w:tc>
          <w:tcPr>
            <w:tcW w:w="1275" w:type="dxa"/>
            <w:vAlign w:val="center"/>
          </w:tcPr>
          <w:p w14:paraId="35F1BF9E">
            <w:pPr>
              <w:pStyle w:val="178"/>
            </w:pPr>
            <w:r>
              <w:rPr>
                <w:rFonts w:hint="eastAsia"/>
                <w:color w:val="000000"/>
                <w:szCs w:val="18"/>
              </w:rPr>
              <w:t>战术运用</w:t>
            </w:r>
          </w:p>
        </w:tc>
        <w:tc>
          <w:tcPr>
            <w:tcW w:w="709" w:type="dxa"/>
            <w:vAlign w:val="center"/>
          </w:tcPr>
          <w:p w14:paraId="1650E94E">
            <w:pPr>
              <w:pStyle w:val="178"/>
            </w:pPr>
            <w:r>
              <w:rPr>
                <w:rFonts w:hint="eastAsia"/>
                <w:color w:val="000000"/>
                <w:szCs w:val="18"/>
              </w:rPr>
              <w:t>4</w:t>
            </w:r>
          </w:p>
        </w:tc>
        <w:tc>
          <w:tcPr>
            <w:tcW w:w="992" w:type="dxa"/>
            <w:vAlign w:val="center"/>
          </w:tcPr>
          <w:p w14:paraId="3913097D">
            <w:pPr>
              <w:pStyle w:val="178"/>
            </w:pPr>
            <w:r>
              <w:rPr/>
              <w:sym w:font="Wingdings" w:char="F0A1"/>
            </w:r>
            <w:bookmarkStart w:id="336" w:name="OLE_LINK64"/>
            <w:r>
              <w:rPr/>
              <w:sym w:font="Wingdings 2" w:char="F098"/>
            </w:r>
            <w:bookmarkEnd w:id="336"/>
          </w:p>
        </w:tc>
        <w:tc>
          <w:tcPr>
            <w:tcW w:w="4122" w:type="dxa"/>
            <w:vAlign w:val="center"/>
          </w:tcPr>
          <w:p w14:paraId="2A5FC412">
            <w:pPr>
              <w:pStyle w:val="178"/>
              <w:jc w:val="both"/>
            </w:pPr>
            <w:r>
              <w:rPr>
                <w:rFonts w:hint="eastAsia"/>
                <w:color w:val="000000"/>
                <w:szCs w:val="18"/>
              </w:rPr>
              <w:t>了解战术和战法的概念，熟悉战术影响因素，掌握战术原则及战术运用方法。</w:t>
            </w:r>
          </w:p>
        </w:tc>
        <w:tc>
          <w:tcPr>
            <w:tcW w:w="1417" w:type="dxa"/>
            <w:vAlign w:val="center"/>
          </w:tcPr>
          <w:p w14:paraId="36F1C134">
            <w:pPr>
              <w:pStyle w:val="178"/>
            </w:pPr>
            <w:r>
              <w:rPr/>
              <w:sym w:font="Wingdings 2" w:char="F0A3"/>
            </w:r>
            <w:r>
              <w:rPr>
                <w:rFonts w:hint="eastAsia"/>
              </w:rPr>
              <w:sym w:font="Wingdings 2" w:char="F0A2"/>
            </w:r>
          </w:p>
        </w:tc>
      </w:tr>
      <w:tr w14:paraId="231D7948">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0" w:type="dxa"/>
            <w:bottom w:w="0" w:type="dxa"/>
            <w:right w:w="100" w:type="dxa"/>
          </w:tblCellMar>
        </w:tblPrEx>
        <w:trPr>
          <w:trHeight w:val="567" w:hRule="atLeast"/>
          <w:jc w:val="center"/>
        </w:trPr>
        <w:tc>
          <w:tcPr>
            <w:tcW w:w="983" w:type="dxa"/>
            <w:vMerge w:val="continue"/>
            <w:tcBorders>
              <w:bottom w:val="single" w:color="auto" w:sz="4" w:space="0"/>
            </w:tcBorders>
            <w:vAlign w:val="center"/>
          </w:tcPr>
          <w:p w14:paraId="1F11C2D5">
            <w:pPr>
              <w:pStyle w:val="178"/>
            </w:pPr>
          </w:p>
        </w:tc>
        <w:tc>
          <w:tcPr>
            <w:tcW w:w="1275" w:type="dxa"/>
            <w:tcBorders>
              <w:bottom w:val="single" w:color="auto" w:sz="4" w:space="0"/>
            </w:tcBorders>
            <w:vAlign w:val="center"/>
          </w:tcPr>
          <w:p w14:paraId="076C37BB">
            <w:pPr>
              <w:pStyle w:val="178"/>
            </w:pPr>
            <w:r>
              <w:rPr>
                <w:rFonts w:hint="eastAsia"/>
                <w:color w:val="000000"/>
                <w:szCs w:val="18"/>
              </w:rPr>
              <w:t>战术作业</w:t>
            </w:r>
          </w:p>
        </w:tc>
        <w:tc>
          <w:tcPr>
            <w:tcW w:w="709" w:type="dxa"/>
            <w:tcBorders>
              <w:top w:val="single" w:color="auto" w:sz="4" w:space="0"/>
              <w:bottom w:val="single" w:color="auto" w:sz="4" w:space="0"/>
            </w:tcBorders>
            <w:vAlign w:val="center"/>
          </w:tcPr>
          <w:p w14:paraId="5DA2A5F2">
            <w:pPr>
              <w:pStyle w:val="178"/>
            </w:pPr>
            <w:r>
              <w:rPr>
                <w:rFonts w:hint="eastAsia"/>
                <w:color w:val="000000"/>
                <w:szCs w:val="18"/>
              </w:rPr>
              <w:t>4</w:t>
            </w:r>
          </w:p>
        </w:tc>
        <w:tc>
          <w:tcPr>
            <w:tcW w:w="992" w:type="dxa"/>
            <w:tcBorders>
              <w:top w:val="single" w:color="auto" w:sz="4" w:space="0"/>
              <w:bottom w:val="single" w:color="auto" w:sz="4" w:space="0"/>
            </w:tcBorders>
            <w:vAlign w:val="center"/>
          </w:tcPr>
          <w:p w14:paraId="43C52AC7">
            <w:pPr>
              <w:pStyle w:val="178"/>
            </w:pPr>
            <w:r>
              <w:rPr/>
              <w:sym w:font="Wingdings 2" w:char="F098"/>
            </w:r>
          </w:p>
        </w:tc>
        <w:tc>
          <w:tcPr>
            <w:tcW w:w="4122" w:type="dxa"/>
            <w:tcBorders>
              <w:top w:val="single" w:color="auto" w:sz="4" w:space="0"/>
              <w:bottom w:val="single" w:color="auto" w:sz="4" w:space="0"/>
            </w:tcBorders>
            <w:vAlign w:val="center"/>
          </w:tcPr>
          <w:p w14:paraId="7E06E36A">
            <w:pPr>
              <w:pStyle w:val="178"/>
              <w:jc w:val="both"/>
            </w:pPr>
            <w:r>
              <w:rPr>
                <w:rFonts w:hint="eastAsia"/>
                <w:color w:val="000000"/>
                <w:szCs w:val="18"/>
              </w:rPr>
              <w:t>了解战术作业含义，熟悉作业内容及流程，掌握作业实施方法。</w:t>
            </w:r>
          </w:p>
        </w:tc>
        <w:tc>
          <w:tcPr>
            <w:tcW w:w="1417" w:type="dxa"/>
            <w:tcBorders>
              <w:top w:val="single" w:color="auto" w:sz="4" w:space="0"/>
              <w:bottom w:val="single" w:color="auto" w:sz="4" w:space="0"/>
            </w:tcBorders>
            <w:vAlign w:val="center"/>
          </w:tcPr>
          <w:p w14:paraId="694F5284">
            <w:pPr>
              <w:pStyle w:val="178"/>
            </w:pPr>
            <w:r>
              <w:rPr>
                <w:rFonts w:hint="eastAsia"/>
              </w:rPr>
              <w:sym w:font="Wingdings 2" w:char="F0A2"/>
            </w:r>
          </w:p>
        </w:tc>
      </w:tr>
      <w:tr w14:paraId="7F234037">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0" w:type="dxa"/>
            <w:bottom w:w="0" w:type="dxa"/>
            <w:right w:w="100" w:type="dxa"/>
          </w:tblCellMar>
        </w:tblPrEx>
        <w:trPr>
          <w:trHeight w:val="723" w:hRule="atLeast"/>
          <w:jc w:val="center"/>
        </w:trPr>
        <w:tc>
          <w:tcPr>
            <w:tcW w:w="983" w:type="dxa"/>
            <w:vMerge w:val="restart"/>
            <w:tcBorders>
              <w:top w:val="single" w:color="auto" w:sz="4" w:space="0"/>
            </w:tcBorders>
            <w:vAlign w:val="center"/>
          </w:tcPr>
          <w:p w14:paraId="3CC28524">
            <w:pPr>
              <w:pStyle w:val="178"/>
            </w:pPr>
            <w:r>
              <w:rPr>
                <w:rFonts w:hint="eastAsia"/>
              </w:rPr>
              <w:t>灭火指挥</w:t>
            </w:r>
          </w:p>
        </w:tc>
        <w:tc>
          <w:tcPr>
            <w:tcW w:w="1275" w:type="dxa"/>
            <w:tcBorders>
              <w:top w:val="single" w:color="auto" w:sz="4" w:space="0"/>
            </w:tcBorders>
            <w:vAlign w:val="center"/>
          </w:tcPr>
          <w:p w14:paraId="0D7A8295">
            <w:pPr>
              <w:pStyle w:val="178"/>
            </w:pPr>
            <w:r>
              <w:rPr>
                <w:rFonts w:hint="eastAsia"/>
                <w:color w:val="000000"/>
                <w:szCs w:val="18"/>
              </w:rPr>
              <w:t>灭火预案</w:t>
            </w:r>
          </w:p>
        </w:tc>
        <w:tc>
          <w:tcPr>
            <w:tcW w:w="709" w:type="dxa"/>
            <w:tcBorders>
              <w:top w:val="single" w:color="auto" w:sz="4" w:space="0"/>
            </w:tcBorders>
            <w:vAlign w:val="center"/>
          </w:tcPr>
          <w:p w14:paraId="2FF05310">
            <w:pPr>
              <w:pStyle w:val="178"/>
            </w:pPr>
            <w:r>
              <w:rPr>
                <w:rFonts w:hint="eastAsia"/>
                <w:color w:val="000000"/>
                <w:szCs w:val="18"/>
              </w:rPr>
              <w:t>4</w:t>
            </w:r>
          </w:p>
        </w:tc>
        <w:tc>
          <w:tcPr>
            <w:tcW w:w="992" w:type="dxa"/>
            <w:tcBorders>
              <w:top w:val="single" w:color="auto" w:sz="4" w:space="0"/>
            </w:tcBorders>
            <w:vAlign w:val="center"/>
          </w:tcPr>
          <w:p w14:paraId="31AF6AD9">
            <w:pPr>
              <w:pStyle w:val="178"/>
            </w:pPr>
            <w:r>
              <w:rPr/>
              <w:sym w:font="Wingdings" w:char="F0A1"/>
            </w:r>
          </w:p>
        </w:tc>
        <w:tc>
          <w:tcPr>
            <w:tcW w:w="4122" w:type="dxa"/>
            <w:tcBorders>
              <w:top w:val="single" w:color="auto" w:sz="4" w:space="0"/>
            </w:tcBorders>
            <w:vAlign w:val="center"/>
          </w:tcPr>
          <w:p w14:paraId="31A2DF19">
            <w:pPr>
              <w:pStyle w:val="178"/>
              <w:jc w:val="both"/>
            </w:pPr>
            <w:r>
              <w:rPr>
                <w:rFonts w:hint="eastAsia"/>
                <w:color w:val="000000"/>
                <w:szCs w:val="18"/>
              </w:rPr>
              <w:t>了解森林草原灭火预案组成要素，熟悉预案拟制流程，掌握本级灭火预案拟制及管理方法。</w:t>
            </w:r>
          </w:p>
        </w:tc>
        <w:tc>
          <w:tcPr>
            <w:tcW w:w="1417" w:type="dxa"/>
            <w:tcBorders>
              <w:top w:val="single" w:color="auto" w:sz="4" w:space="0"/>
            </w:tcBorders>
            <w:vAlign w:val="center"/>
          </w:tcPr>
          <w:p w14:paraId="50559ADF">
            <w:pPr>
              <w:pStyle w:val="178"/>
            </w:pPr>
            <w:r>
              <w:rPr/>
              <w:sym w:font="Wingdings 2" w:char="F0A3"/>
            </w:r>
          </w:p>
        </w:tc>
      </w:tr>
      <w:tr w14:paraId="6BCEA5A8">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0" w:type="dxa"/>
            <w:bottom w:w="0" w:type="dxa"/>
            <w:right w:w="100" w:type="dxa"/>
          </w:tblCellMar>
        </w:tblPrEx>
        <w:trPr>
          <w:trHeight w:val="567" w:hRule="atLeast"/>
          <w:jc w:val="center"/>
        </w:trPr>
        <w:tc>
          <w:tcPr>
            <w:tcW w:w="983" w:type="dxa"/>
            <w:vMerge w:val="continue"/>
            <w:vAlign w:val="center"/>
          </w:tcPr>
          <w:p w14:paraId="06636AB5">
            <w:pPr>
              <w:pStyle w:val="178"/>
            </w:pPr>
          </w:p>
        </w:tc>
        <w:tc>
          <w:tcPr>
            <w:tcW w:w="1275" w:type="dxa"/>
            <w:vAlign w:val="center"/>
          </w:tcPr>
          <w:p w14:paraId="2F014472">
            <w:pPr>
              <w:pStyle w:val="178"/>
            </w:pPr>
            <w:r>
              <w:rPr>
                <w:rFonts w:hint="eastAsia"/>
                <w:color w:val="000000"/>
                <w:szCs w:val="18"/>
              </w:rPr>
              <w:t>指挥程序</w:t>
            </w:r>
          </w:p>
        </w:tc>
        <w:tc>
          <w:tcPr>
            <w:tcW w:w="709" w:type="dxa"/>
            <w:vAlign w:val="center"/>
          </w:tcPr>
          <w:p w14:paraId="5EABA713">
            <w:pPr>
              <w:pStyle w:val="178"/>
            </w:pPr>
            <w:r>
              <w:rPr>
                <w:rFonts w:hint="eastAsia"/>
                <w:color w:val="000000"/>
                <w:szCs w:val="18"/>
              </w:rPr>
              <w:t>4</w:t>
            </w:r>
          </w:p>
        </w:tc>
        <w:tc>
          <w:tcPr>
            <w:tcW w:w="992" w:type="dxa"/>
            <w:vAlign w:val="center"/>
          </w:tcPr>
          <w:p w14:paraId="7A355FB0">
            <w:pPr>
              <w:pStyle w:val="178"/>
            </w:pPr>
            <w:bookmarkStart w:id="337" w:name="OLE_LINK65"/>
            <w:r>
              <w:rPr/>
              <w:sym w:font="Wingdings" w:char="F0A1"/>
            </w:r>
            <w:r>
              <w:rPr/>
              <w:sym w:font="Wingdings 2" w:char="F098"/>
            </w:r>
            <w:bookmarkEnd w:id="337"/>
          </w:p>
        </w:tc>
        <w:tc>
          <w:tcPr>
            <w:tcW w:w="4122" w:type="dxa"/>
            <w:vAlign w:val="center"/>
          </w:tcPr>
          <w:p w14:paraId="6CA4D055">
            <w:pPr>
              <w:pStyle w:val="178"/>
              <w:jc w:val="both"/>
            </w:pPr>
            <w:r>
              <w:rPr>
                <w:rFonts w:hint="eastAsia"/>
                <w:color w:val="000000"/>
                <w:szCs w:val="18"/>
              </w:rPr>
              <w:t>掌握森林草原火灾现场指挥部组成、工作机制、组织指挥流程，以及各扑救阶段的主要任务及方法。</w:t>
            </w:r>
          </w:p>
        </w:tc>
        <w:tc>
          <w:tcPr>
            <w:tcW w:w="1417" w:type="dxa"/>
            <w:vAlign w:val="center"/>
          </w:tcPr>
          <w:p w14:paraId="09D92E37">
            <w:pPr>
              <w:pStyle w:val="178"/>
            </w:pPr>
            <w:r>
              <w:rPr/>
              <w:sym w:font="Wingdings 2" w:char="F0A3"/>
            </w:r>
            <w:r>
              <w:rPr>
                <w:rFonts w:hint="eastAsia"/>
              </w:rPr>
              <w:sym w:font="Wingdings 2" w:char="F0A2"/>
            </w:r>
          </w:p>
        </w:tc>
      </w:tr>
      <w:tr w14:paraId="00527C3D">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0" w:type="dxa"/>
            <w:bottom w:w="0" w:type="dxa"/>
            <w:right w:w="100" w:type="dxa"/>
          </w:tblCellMar>
        </w:tblPrEx>
        <w:trPr>
          <w:trHeight w:val="567" w:hRule="atLeast"/>
          <w:jc w:val="center"/>
        </w:trPr>
        <w:tc>
          <w:tcPr>
            <w:tcW w:w="983" w:type="dxa"/>
            <w:vMerge w:val="continue"/>
            <w:vAlign w:val="center"/>
          </w:tcPr>
          <w:p w14:paraId="71B60847">
            <w:pPr>
              <w:pStyle w:val="178"/>
            </w:pPr>
          </w:p>
        </w:tc>
        <w:tc>
          <w:tcPr>
            <w:tcW w:w="1275" w:type="dxa"/>
            <w:vAlign w:val="center"/>
          </w:tcPr>
          <w:p w14:paraId="6F687B82">
            <w:pPr>
              <w:pStyle w:val="178"/>
            </w:pPr>
            <w:r>
              <w:rPr>
                <w:rFonts w:hint="eastAsia"/>
                <w:color w:val="000000"/>
                <w:szCs w:val="18"/>
              </w:rPr>
              <w:t>指挥系统运用</w:t>
            </w:r>
          </w:p>
        </w:tc>
        <w:tc>
          <w:tcPr>
            <w:tcW w:w="709" w:type="dxa"/>
            <w:vAlign w:val="center"/>
          </w:tcPr>
          <w:p w14:paraId="165723D7">
            <w:pPr>
              <w:pStyle w:val="178"/>
            </w:pPr>
            <w:r>
              <w:rPr>
                <w:rFonts w:hint="eastAsia"/>
                <w:color w:val="000000"/>
                <w:szCs w:val="18"/>
              </w:rPr>
              <w:t>4</w:t>
            </w:r>
          </w:p>
        </w:tc>
        <w:tc>
          <w:tcPr>
            <w:tcW w:w="992" w:type="dxa"/>
            <w:vAlign w:val="center"/>
          </w:tcPr>
          <w:p w14:paraId="28069B17">
            <w:pPr>
              <w:pStyle w:val="178"/>
            </w:pPr>
            <w:r>
              <w:rPr/>
              <w:sym w:font="Wingdings" w:char="F0A1"/>
            </w:r>
            <w:bookmarkStart w:id="338" w:name="OLE_LINK66"/>
            <w:r>
              <w:rPr/>
              <w:sym w:font="Wingdings 2" w:char="F098"/>
            </w:r>
            <w:bookmarkEnd w:id="338"/>
          </w:p>
        </w:tc>
        <w:tc>
          <w:tcPr>
            <w:tcW w:w="4122" w:type="dxa"/>
            <w:vAlign w:val="center"/>
          </w:tcPr>
          <w:p w14:paraId="20788CBC">
            <w:pPr>
              <w:pStyle w:val="178"/>
              <w:jc w:val="both"/>
            </w:pPr>
            <w:r>
              <w:rPr>
                <w:rFonts w:hint="eastAsia"/>
                <w:color w:val="000000"/>
                <w:szCs w:val="18"/>
              </w:rPr>
              <w:t>了解指挥系统基本架构，熟悉指挥系统运用方法，掌握指挥信息化发展路径。</w:t>
            </w:r>
          </w:p>
        </w:tc>
        <w:tc>
          <w:tcPr>
            <w:tcW w:w="1417" w:type="dxa"/>
            <w:vAlign w:val="center"/>
          </w:tcPr>
          <w:p w14:paraId="4BBBD7CC">
            <w:pPr>
              <w:pStyle w:val="178"/>
            </w:pPr>
            <w:r>
              <w:rPr/>
              <w:sym w:font="Wingdings 2" w:char="F0A3"/>
            </w:r>
            <w:r>
              <w:rPr>
                <w:rFonts w:hint="eastAsia"/>
              </w:rPr>
              <w:sym w:font="Wingdings 2" w:char="F0A2"/>
            </w:r>
          </w:p>
        </w:tc>
      </w:tr>
      <w:tr w14:paraId="47BA2B55">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0" w:type="dxa"/>
            <w:bottom w:w="0" w:type="dxa"/>
            <w:right w:w="100" w:type="dxa"/>
          </w:tblCellMar>
        </w:tblPrEx>
        <w:trPr>
          <w:trHeight w:val="567" w:hRule="atLeast"/>
          <w:jc w:val="center"/>
        </w:trPr>
        <w:tc>
          <w:tcPr>
            <w:tcW w:w="983" w:type="dxa"/>
            <w:vMerge w:val="continue"/>
            <w:vAlign w:val="center"/>
          </w:tcPr>
          <w:p w14:paraId="7774DC71">
            <w:pPr>
              <w:pStyle w:val="178"/>
            </w:pPr>
          </w:p>
        </w:tc>
        <w:tc>
          <w:tcPr>
            <w:tcW w:w="1275" w:type="dxa"/>
            <w:vAlign w:val="center"/>
          </w:tcPr>
          <w:p w14:paraId="5939C24D">
            <w:pPr>
              <w:pStyle w:val="178"/>
            </w:pPr>
            <w:r>
              <w:rPr>
                <w:rFonts w:hint="eastAsia"/>
                <w:color w:val="000000"/>
                <w:szCs w:val="18"/>
              </w:rPr>
              <w:t>典型战例研究</w:t>
            </w:r>
          </w:p>
        </w:tc>
        <w:tc>
          <w:tcPr>
            <w:tcW w:w="709" w:type="dxa"/>
            <w:vAlign w:val="center"/>
          </w:tcPr>
          <w:p w14:paraId="17DFF7BD">
            <w:pPr>
              <w:pStyle w:val="178"/>
            </w:pPr>
            <w:r>
              <w:rPr>
                <w:rFonts w:hint="eastAsia"/>
                <w:color w:val="000000"/>
                <w:szCs w:val="18"/>
              </w:rPr>
              <w:t>8</w:t>
            </w:r>
          </w:p>
        </w:tc>
        <w:tc>
          <w:tcPr>
            <w:tcW w:w="992" w:type="dxa"/>
            <w:vAlign w:val="center"/>
          </w:tcPr>
          <w:p w14:paraId="062FD97E">
            <w:pPr>
              <w:pStyle w:val="178"/>
            </w:pPr>
            <w:r>
              <w:rPr/>
              <w:sym w:font="Wingdings 2" w:char="F098"/>
            </w:r>
          </w:p>
        </w:tc>
        <w:tc>
          <w:tcPr>
            <w:tcW w:w="4122" w:type="dxa"/>
            <w:vAlign w:val="center"/>
          </w:tcPr>
          <w:p w14:paraId="74B7635A">
            <w:pPr>
              <w:pStyle w:val="178"/>
              <w:jc w:val="both"/>
            </w:pPr>
            <w:r>
              <w:rPr>
                <w:rFonts w:hint="eastAsia"/>
                <w:color w:val="000000"/>
                <w:szCs w:val="18"/>
              </w:rPr>
              <w:t>了解战例研究含义，熟悉战例研究的内容及流程，掌握战例研究方法。</w:t>
            </w:r>
          </w:p>
        </w:tc>
        <w:tc>
          <w:tcPr>
            <w:tcW w:w="1417" w:type="dxa"/>
            <w:vAlign w:val="center"/>
          </w:tcPr>
          <w:p w14:paraId="3A6B76D2">
            <w:pPr>
              <w:pStyle w:val="178"/>
            </w:pPr>
            <w:r>
              <w:rPr>
                <w:rFonts w:hint="eastAsia"/>
              </w:rPr>
              <w:sym w:font="Wingdings 2" w:char="F0A2"/>
            </w:r>
          </w:p>
        </w:tc>
      </w:tr>
      <w:tr w14:paraId="46A5141C">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0" w:type="dxa"/>
            <w:bottom w:w="0" w:type="dxa"/>
            <w:right w:w="100" w:type="dxa"/>
          </w:tblCellMar>
        </w:tblPrEx>
        <w:trPr>
          <w:trHeight w:val="567" w:hRule="atLeast"/>
          <w:jc w:val="center"/>
        </w:trPr>
        <w:tc>
          <w:tcPr>
            <w:tcW w:w="983" w:type="dxa"/>
            <w:vMerge w:val="continue"/>
            <w:vAlign w:val="center"/>
          </w:tcPr>
          <w:p w14:paraId="4C1D3BF0">
            <w:pPr>
              <w:pStyle w:val="178"/>
            </w:pPr>
          </w:p>
        </w:tc>
        <w:tc>
          <w:tcPr>
            <w:tcW w:w="1275" w:type="dxa"/>
            <w:vAlign w:val="center"/>
          </w:tcPr>
          <w:p w14:paraId="18913AC9">
            <w:pPr>
              <w:pStyle w:val="178"/>
            </w:pPr>
            <w:r>
              <w:rPr>
                <w:rFonts w:hint="eastAsia"/>
                <w:color w:val="000000"/>
                <w:szCs w:val="18"/>
              </w:rPr>
              <w:t>灭火演练</w:t>
            </w:r>
          </w:p>
        </w:tc>
        <w:tc>
          <w:tcPr>
            <w:tcW w:w="709" w:type="dxa"/>
            <w:vAlign w:val="center"/>
          </w:tcPr>
          <w:p w14:paraId="1688E745">
            <w:pPr>
              <w:pStyle w:val="178"/>
            </w:pPr>
            <w:r>
              <w:rPr>
                <w:rFonts w:hint="eastAsia"/>
                <w:color w:val="000000"/>
                <w:szCs w:val="18"/>
              </w:rPr>
              <w:t>4</w:t>
            </w:r>
          </w:p>
        </w:tc>
        <w:tc>
          <w:tcPr>
            <w:tcW w:w="992" w:type="dxa"/>
            <w:vAlign w:val="center"/>
          </w:tcPr>
          <w:p w14:paraId="1D1D0907">
            <w:pPr>
              <w:pStyle w:val="178"/>
            </w:pPr>
            <w:r>
              <w:rPr/>
              <w:sym w:font="Wingdings 2" w:char="F098"/>
            </w:r>
          </w:p>
        </w:tc>
        <w:tc>
          <w:tcPr>
            <w:tcW w:w="4122" w:type="dxa"/>
            <w:vAlign w:val="center"/>
          </w:tcPr>
          <w:p w14:paraId="7DF0058A">
            <w:pPr>
              <w:pStyle w:val="178"/>
              <w:jc w:val="both"/>
            </w:pPr>
            <w:r>
              <w:rPr>
                <w:rFonts w:hint="eastAsia"/>
                <w:color w:val="000000"/>
                <w:szCs w:val="18"/>
              </w:rPr>
              <w:t>会制定灭火演练计划和方案，熟悉灭火演练组织程序，会通过演练完善灭火预案。</w:t>
            </w:r>
          </w:p>
        </w:tc>
        <w:tc>
          <w:tcPr>
            <w:tcW w:w="1417" w:type="dxa"/>
            <w:vAlign w:val="center"/>
          </w:tcPr>
          <w:p w14:paraId="7C118194">
            <w:pPr>
              <w:pStyle w:val="178"/>
            </w:pPr>
            <w:r>
              <w:rPr>
                <w:rFonts w:hint="eastAsia"/>
              </w:rPr>
              <w:sym w:font="Wingdings 2" w:char="F0A2"/>
            </w:r>
          </w:p>
        </w:tc>
      </w:tr>
      <w:tr w14:paraId="086CA479">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0" w:type="dxa"/>
            <w:bottom w:w="0" w:type="dxa"/>
            <w:right w:w="100" w:type="dxa"/>
          </w:tblCellMar>
        </w:tblPrEx>
        <w:trPr>
          <w:trHeight w:val="567" w:hRule="atLeast"/>
          <w:jc w:val="center"/>
        </w:trPr>
        <w:tc>
          <w:tcPr>
            <w:tcW w:w="983" w:type="dxa"/>
            <w:vMerge w:val="continue"/>
            <w:tcBorders>
              <w:bottom w:val="single" w:color="auto" w:sz="4" w:space="0"/>
            </w:tcBorders>
            <w:vAlign w:val="center"/>
          </w:tcPr>
          <w:p w14:paraId="46014E10">
            <w:pPr>
              <w:pStyle w:val="178"/>
            </w:pPr>
          </w:p>
        </w:tc>
        <w:tc>
          <w:tcPr>
            <w:tcW w:w="1275" w:type="dxa"/>
            <w:tcBorders>
              <w:bottom w:val="single" w:color="auto" w:sz="4" w:space="0"/>
            </w:tcBorders>
            <w:vAlign w:val="center"/>
          </w:tcPr>
          <w:p w14:paraId="3B1C9820">
            <w:pPr>
              <w:pStyle w:val="178"/>
            </w:pPr>
            <w:r>
              <w:rPr>
                <w:rFonts w:hint="eastAsia"/>
                <w:color w:val="000000"/>
                <w:szCs w:val="18"/>
              </w:rPr>
              <w:t>舆情应对</w:t>
            </w:r>
          </w:p>
        </w:tc>
        <w:tc>
          <w:tcPr>
            <w:tcW w:w="709" w:type="dxa"/>
            <w:tcBorders>
              <w:bottom w:val="single" w:color="auto" w:sz="4" w:space="0"/>
            </w:tcBorders>
            <w:vAlign w:val="center"/>
          </w:tcPr>
          <w:p w14:paraId="5304D512">
            <w:pPr>
              <w:pStyle w:val="178"/>
            </w:pPr>
            <w:r>
              <w:rPr>
                <w:rFonts w:hint="eastAsia"/>
                <w:color w:val="000000"/>
                <w:szCs w:val="18"/>
              </w:rPr>
              <w:t>2</w:t>
            </w:r>
          </w:p>
        </w:tc>
        <w:tc>
          <w:tcPr>
            <w:tcW w:w="992" w:type="dxa"/>
            <w:tcBorders>
              <w:bottom w:val="single" w:color="auto" w:sz="4" w:space="0"/>
            </w:tcBorders>
            <w:vAlign w:val="center"/>
          </w:tcPr>
          <w:p w14:paraId="7B6EFE62">
            <w:pPr>
              <w:pStyle w:val="178"/>
            </w:pPr>
            <w:r>
              <w:rPr/>
              <w:sym w:font="Wingdings" w:char="F0A1"/>
            </w:r>
          </w:p>
        </w:tc>
        <w:tc>
          <w:tcPr>
            <w:tcW w:w="4122" w:type="dxa"/>
            <w:tcBorders>
              <w:bottom w:val="single" w:color="auto" w:sz="4" w:space="0"/>
            </w:tcBorders>
            <w:vAlign w:val="center"/>
          </w:tcPr>
          <w:p w14:paraId="6C21F68D">
            <w:pPr>
              <w:pStyle w:val="178"/>
              <w:jc w:val="both"/>
            </w:pPr>
            <w:r>
              <w:rPr>
                <w:rFonts w:hint="eastAsia"/>
                <w:color w:val="000000"/>
                <w:szCs w:val="18"/>
              </w:rPr>
              <w:t>掌握熟悉舆情应对原则及相关纪律规定。</w:t>
            </w:r>
          </w:p>
        </w:tc>
        <w:tc>
          <w:tcPr>
            <w:tcW w:w="1417" w:type="dxa"/>
            <w:tcBorders>
              <w:bottom w:val="single" w:color="auto" w:sz="4" w:space="0"/>
            </w:tcBorders>
            <w:vAlign w:val="center"/>
          </w:tcPr>
          <w:p w14:paraId="6DFC7049">
            <w:pPr>
              <w:pStyle w:val="178"/>
            </w:pPr>
            <w:r>
              <w:rPr/>
              <w:sym w:font="Wingdings 2" w:char="F0A3"/>
            </w:r>
          </w:p>
        </w:tc>
      </w:tr>
      <w:tr w14:paraId="3216F9E4">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0" w:type="dxa"/>
            <w:bottom w:w="0" w:type="dxa"/>
            <w:right w:w="100" w:type="dxa"/>
          </w:tblCellMar>
        </w:tblPrEx>
        <w:trPr>
          <w:trHeight w:val="567" w:hRule="atLeast"/>
          <w:jc w:val="center"/>
        </w:trPr>
        <w:tc>
          <w:tcPr>
            <w:tcW w:w="983" w:type="dxa"/>
            <w:vMerge w:val="restart"/>
            <w:tcBorders>
              <w:top w:val="single" w:color="auto" w:sz="4" w:space="0"/>
              <w:bottom w:val="single" w:color="auto" w:sz="4" w:space="0"/>
            </w:tcBorders>
            <w:vAlign w:val="center"/>
          </w:tcPr>
          <w:p w14:paraId="4AEE647D">
            <w:pPr>
              <w:pStyle w:val="178"/>
            </w:pPr>
            <w:r>
              <w:rPr>
                <w:rFonts w:hint="eastAsia"/>
              </w:rPr>
              <w:t>灭火安全</w:t>
            </w:r>
          </w:p>
        </w:tc>
        <w:tc>
          <w:tcPr>
            <w:tcW w:w="1275" w:type="dxa"/>
            <w:tcBorders>
              <w:top w:val="single" w:color="auto" w:sz="4" w:space="0"/>
              <w:bottom w:val="single" w:color="auto" w:sz="4" w:space="0"/>
            </w:tcBorders>
            <w:vAlign w:val="center"/>
          </w:tcPr>
          <w:p w14:paraId="3691E188">
            <w:pPr>
              <w:pStyle w:val="178"/>
            </w:pPr>
            <w:r>
              <w:rPr>
                <w:rFonts w:hint="eastAsia"/>
                <w:color w:val="000000"/>
                <w:szCs w:val="18"/>
              </w:rPr>
              <w:t>风险评估</w:t>
            </w:r>
          </w:p>
        </w:tc>
        <w:tc>
          <w:tcPr>
            <w:tcW w:w="709" w:type="dxa"/>
            <w:tcBorders>
              <w:top w:val="single" w:color="auto" w:sz="4" w:space="0"/>
              <w:bottom w:val="single" w:color="auto" w:sz="4" w:space="0"/>
            </w:tcBorders>
            <w:vAlign w:val="center"/>
          </w:tcPr>
          <w:p w14:paraId="1585FB3F">
            <w:pPr>
              <w:pStyle w:val="178"/>
            </w:pPr>
            <w:r>
              <w:rPr>
                <w:rFonts w:hint="eastAsia"/>
                <w:color w:val="000000"/>
                <w:szCs w:val="18"/>
              </w:rPr>
              <w:t>2</w:t>
            </w:r>
          </w:p>
        </w:tc>
        <w:tc>
          <w:tcPr>
            <w:tcW w:w="992" w:type="dxa"/>
            <w:tcBorders>
              <w:top w:val="single" w:color="auto" w:sz="4" w:space="0"/>
              <w:bottom w:val="single" w:color="auto" w:sz="4" w:space="0"/>
            </w:tcBorders>
            <w:vAlign w:val="center"/>
          </w:tcPr>
          <w:p w14:paraId="50045563">
            <w:pPr>
              <w:pStyle w:val="178"/>
            </w:pPr>
            <w:r>
              <w:rPr/>
              <w:sym w:font="Wingdings 2" w:char="F098"/>
            </w:r>
          </w:p>
        </w:tc>
        <w:tc>
          <w:tcPr>
            <w:tcW w:w="4122" w:type="dxa"/>
            <w:tcBorders>
              <w:top w:val="single" w:color="auto" w:sz="4" w:space="0"/>
              <w:bottom w:val="single" w:color="auto" w:sz="4" w:space="0"/>
            </w:tcBorders>
            <w:vAlign w:val="center"/>
          </w:tcPr>
          <w:p w14:paraId="514C84F7">
            <w:pPr>
              <w:pStyle w:val="178"/>
              <w:jc w:val="both"/>
            </w:pPr>
            <w:r>
              <w:rPr>
                <w:rFonts w:hint="eastAsia"/>
                <w:color w:val="000000"/>
                <w:szCs w:val="18"/>
              </w:rPr>
              <w:t>熟悉火场安全风险源，掌握火场安全风险评估方法。</w:t>
            </w:r>
          </w:p>
        </w:tc>
        <w:tc>
          <w:tcPr>
            <w:tcW w:w="1417" w:type="dxa"/>
            <w:tcBorders>
              <w:top w:val="single" w:color="auto" w:sz="4" w:space="0"/>
              <w:bottom w:val="single" w:color="auto" w:sz="4" w:space="0"/>
            </w:tcBorders>
            <w:vAlign w:val="center"/>
          </w:tcPr>
          <w:p w14:paraId="7F95D4F0">
            <w:pPr>
              <w:pStyle w:val="178"/>
            </w:pPr>
            <w:r>
              <w:rPr/>
              <w:sym w:font="Wingdings 2" w:char="F0A2"/>
            </w:r>
          </w:p>
        </w:tc>
      </w:tr>
      <w:tr w14:paraId="6141E64D">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0" w:type="dxa"/>
            <w:bottom w:w="0" w:type="dxa"/>
            <w:right w:w="100" w:type="dxa"/>
          </w:tblCellMar>
        </w:tblPrEx>
        <w:trPr>
          <w:trHeight w:val="567" w:hRule="atLeast"/>
          <w:jc w:val="center"/>
        </w:trPr>
        <w:tc>
          <w:tcPr>
            <w:tcW w:w="983" w:type="dxa"/>
            <w:vMerge w:val="continue"/>
            <w:tcBorders>
              <w:top w:val="single" w:color="auto" w:sz="4" w:space="0"/>
            </w:tcBorders>
            <w:vAlign w:val="center"/>
          </w:tcPr>
          <w:p w14:paraId="367D7FAA">
            <w:pPr>
              <w:pStyle w:val="178"/>
            </w:pPr>
          </w:p>
        </w:tc>
        <w:tc>
          <w:tcPr>
            <w:tcW w:w="1275" w:type="dxa"/>
            <w:tcBorders>
              <w:top w:val="single" w:color="auto" w:sz="4" w:space="0"/>
            </w:tcBorders>
            <w:vAlign w:val="center"/>
          </w:tcPr>
          <w:p w14:paraId="07975C73">
            <w:pPr>
              <w:pStyle w:val="178"/>
            </w:pPr>
            <w:r>
              <w:rPr>
                <w:rFonts w:hint="eastAsia"/>
                <w:color w:val="000000"/>
                <w:szCs w:val="18"/>
              </w:rPr>
              <w:t>火场救护</w:t>
            </w:r>
          </w:p>
        </w:tc>
        <w:tc>
          <w:tcPr>
            <w:tcW w:w="709" w:type="dxa"/>
            <w:tcBorders>
              <w:top w:val="single" w:color="auto" w:sz="4" w:space="0"/>
            </w:tcBorders>
            <w:vAlign w:val="center"/>
          </w:tcPr>
          <w:p w14:paraId="54C26A63">
            <w:pPr>
              <w:pStyle w:val="178"/>
            </w:pPr>
            <w:r>
              <w:rPr>
                <w:rFonts w:hint="eastAsia"/>
                <w:color w:val="000000"/>
                <w:szCs w:val="18"/>
              </w:rPr>
              <w:t>2</w:t>
            </w:r>
          </w:p>
        </w:tc>
        <w:tc>
          <w:tcPr>
            <w:tcW w:w="992" w:type="dxa"/>
            <w:tcBorders>
              <w:top w:val="single" w:color="auto" w:sz="4" w:space="0"/>
            </w:tcBorders>
            <w:vAlign w:val="center"/>
          </w:tcPr>
          <w:p w14:paraId="41784429">
            <w:pPr>
              <w:pStyle w:val="178"/>
            </w:pPr>
            <w:r>
              <w:rPr/>
              <w:sym w:font="Wingdings 2" w:char="F098"/>
            </w:r>
          </w:p>
        </w:tc>
        <w:tc>
          <w:tcPr>
            <w:tcW w:w="4122" w:type="dxa"/>
            <w:tcBorders>
              <w:top w:val="single" w:color="auto" w:sz="4" w:space="0"/>
            </w:tcBorders>
            <w:vAlign w:val="center"/>
          </w:tcPr>
          <w:p w14:paraId="3DDBBDD3">
            <w:pPr>
              <w:pStyle w:val="178"/>
              <w:jc w:val="both"/>
            </w:pPr>
            <w:r>
              <w:rPr>
                <w:rFonts w:hint="eastAsia"/>
                <w:color w:val="000000"/>
                <w:szCs w:val="18"/>
              </w:rPr>
              <w:t>掌握火场常见伤病紧急救护方法及程序</w:t>
            </w:r>
          </w:p>
        </w:tc>
        <w:tc>
          <w:tcPr>
            <w:tcW w:w="1417" w:type="dxa"/>
            <w:tcBorders>
              <w:top w:val="single" w:color="auto" w:sz="4" w:space="0"/>
            </w:tcBorders>
            <w:vAlign w:val="center"/>
          </w:tcPr>
          <w:p w14:paraId="320E14D4">
            <w:pPr>
              <w:pStyle w:val="178"/>
            </w:pPr>
            <w:r>
              <w:rPr>
                <w:rFonts w:hint="eastAsia"/>
              </w:rPr>
              <w:sym w:font="Wingdings 2" w:char="F0A2"/>
            </w:r>
          </w:p>
        </w:tc>
      </w:tr>
      <w:tr w14:paraId="26AA70D6">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0" w:type="dxa"/>
            <w:bottom w:w="0" w:type="dxa"/>
            <w:right w:w="100" w:type="dxa"/>
          </w:tblCellMar>
        </w:tblPrEx>
        <w:trPr>
          <w:trHeight w:val="567" w:hRule="atLeast"/>
          <w:jc w:val="center"/>
        </w:trPr>
        <w:tc>
          <w:tcPr>
            <w:tcW w:w="983" w:type="dxa"/>
            <w:vMerge w:val="continue"/>
            <w:vAlign w:val="center"/>
          </w:tcPr>
          <w:p w14:paraId="382CF748">
            <w:pPr>
              <w:pStyle w:val="178"/>
            </w:pPr>
          </w:p>
        </w:tc>
        <w:tc>
          <w:tcPr>
            <w:tcW w:w="1275" w:type="dxa"/>
            <w:vAlign w:val="center"/>
          </w:tcPr>
          <w:p w14:paraId="301760CB">
            <w:pPr>
              <w:pStyle w:val="178"/>
            </w:pPr>
            <w:r>
              <w:rPr>
                <w:rFonts w:hint="eastAsia"/>
                <w:color w:val="000000"/>
                <w:szCs w:val="18"/>
              </w:rPr>
              <w:t>紧急避险</w:t>
            </w:r>
          </w:p>
        </w:tc>
        <w:tc>
          <w:tcPr>
            <w:tcW w:w="709" w:type="dxa"/>
            <w:vAlign w:val="center"/>
          </w:tcPr>
          <w:p w14:paraId="0BE92B35">
            <w:pPr>
              <w:pStyle w:val="178"/>
            </w:pPr>
            <w:r>
              <w:rPr>
                <w:rFonts w:hint="eastAsia"/>
                <w:color w:val="000000"/>
                <w:szCs w:val="18"/>
              </w:rPr>
              <w:t>4</w:t>
            </w:r>
          </w:p>
        </w:tc>
        <w:tc>
          <w:tcPr>
            <w:tcW w:w="992" w:type="dxa"/>
            <w:vAlign w:val="center"/>
          </w:tcPr>
          <w:p w14:paraId="0B2B5378">
            <w:pPr>
              <w:pStyle w:val="178"/>
            </w:pPr>
            <w:r>
              <w:rPr/>
              <w:sym w:font="Wingdings 2" w:char="F098"/>
            </w:r>
          </w:p>
        </w:tc>
        <w:tc>
          <w:tcPr>
            <w:tcW w:w="4122" w:type="dxa"/>
            <w:vAlign w:val="center"/>
          </w:tcPr>
          <w:p w14:paraId="182DD373">
            <w:pPr>
              <w:pStyle w:val="178"/>
              <w:jc w:val="both"/>
            </w:pPr>
            <w:r>
              <w:rPr>
                <w:rFonts w:hint="eastAsia"/>
                <w:color w:val="000000"/>
                <w:szCs w:val="18"/>
              </w:rPr>
              <w:t>掌握火场险情规律、紧急避险方法。</w:t>
            </w:r>
          </w:p>
        </w:tc>
        <w:tc>
          <w:tcPr>
            <w:tcW w:w="1417" w:type="dxa"/>
            <w:vAlign w:val="center"/>
          </w:tcPr>
          <w:p w14:paraId="3115A6BD">
            <w:pPr>
              <w:pStyle w:val="178"/>
            </w:pPr>
            <w:bookmarkStart w:id="339" w:name="OLE_LINK67"/>
            <w:r>
              <w:rPr>
                <w:rFonts w:hint="eastAsia"/>
              </w:rPr>
              <w:sym w:font="Wingdings 2" w:char="F0A2"/>
            </w:r>
            <w:bookmarkEnd w:id="339"/>
          </w:p>
        </w:tc>
      </w:tr>
      <w:tr w14:paraId="0ED3ADD5">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0" w:type="dxa"/>
            <w:bottom w:w="0" w:type="dxa"/>
            <w:right w:w="100" w:type="dxa"/>
          </w:tblCellMar>
        </w:tblPrEx>
        <w:trPr>
          <w:trHeight w:val="567" w:hRule="atLeast"/>
          <w:jc w:val="center"/>
        </w:trPr>
        <w:tc>
          <w:tcPr>
            <w:tcW w:w="983" w:type="dxa"/>
            <w:vMerge w:val="continue"/>
            <w:vAlign w:val="center"/>
          </w:tcPr>
          <w:p w14:paraId="73B782DA">
            <w:pPr>
              <w:pStyle w:val="178"/>
            </w:pPr>
          </w:p>
        </w:tc>
        <w:tc>
          <w:tcPr>
            <w:tcW w:w="1275" w:type="dxa"/>
            <w:vAlign w:val="center"/>
          </w:tcPr>
          <w:p w14:paraId="6223DF7A">
            <w:pPr>
              <w:pStyle w:val="178"/>
            </w:pPr>
            <w:r>
              <w:rPr>
                <w:rFonts w:hint="eastAsia"/>
                <w:color w:val="000000"/>
                <w:szCs w:val="18"/>
              </w:rPr>
              <w:t>事故处置</w:t>
            </w:r>
          </w:p>
        </w:tc>
        <w:tc>
          <w:tcPr>
            <w:tcW w:w="709" w:type="dxa"/>
            <w:vAlign w:val="center"/>
          </w:tcPr>
          <w:p w14:paraId="154135F2">
            <w:pPr>
              <w:pStyle w:val="178"/>
            </w:pPr>
            <w:r>
              <w:rPr>
                <w:rFonts w:hint="eastAsia"/>
                <w:color w:val="000000"/>
                <w:szCs w:val="18"/>
              </w:rPr>
              <w:t>2</w:t>
            </w:r>
          </w:p>
        </w:tc>
        <w:tc>
          <w:tcPr>
            <w:tcW w:w="992" w:type="dxa"/>
            <w:vAlign w:val="center"/>
          </w:tcPr>
          <w:p w14:paraId="01BF4A9A">
            <w:pPr>
              <w:pStyle w:val="178"/>
            </w:pPr>
            <w:bookmarkStart w:id="340" w:name="OLE_LINK68"/>
            <w:r>
              <w:rPr/>
              <w:sym w:font="Wingdings" w:char="F0A1"/>
            </w:r>
            <w:bookmarkEnd w:id="340"/>
          </w:p>
        </w:tc>
        <w:tc>
          <w:tcPr>
            <w:tcW w:w="4122" w:type="dxa"/>
            <w:vAlign w:val="center"/>
          </w:tcPr>
          <w:p w14:paraId="229DA693">
            <w:pPr>
              <w:pStyle w:val="178"/>
              <w:jc w:val="both"/>
            </w:pPr>
            <w:r>
              <w:rPr>
                <w:rFonts w:hint="eastAsia"/>
                <w:color w:val="000000"/>
                <w:szCs w:val="18"/>
              </w:rPr>
              <w:t>了解火场事故规律，熟悉事故处置程序及方法。</w:t>
            </w:r>
          </w:p>
        </w:tc>
        <w:tc>
          <w:tcPr>
            <w:tcW w:w="1417" w:type="dxa"/>
            <w:vAlign w:val="center"/>
          </w:tcPr>
          <w:p w14:paraId="150C2AD3">
            <w:pPr>
              <w:pStyle w:val="178"/>
            </w:pPr>
            <w:bookmarkStart w:id="341" w:name="OLE_LINK42"/>
            <w:r>
              <w:rPr/>
              <w:sym w:font="Wingdings 2" w:char="F0A3"/>
            </w:r>
            <w:bookmarkEnd w:id="341"/>
          </w:p>
        </w:tc>
      </w:tr>
      <w:tr w14:paraId="240F0785">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0" w:type="dxa"/>
            <w:bottom w:w="0" w:type="dxa"/>
            <w:right w:w="100" w:type="dxa"/>
          </w:tblCellMar>
        </w:tblPrEx>
        <w:trPr>
          <w:trHeight w:val="567" w:hRule="atLeast"/>
          <w:jc w:val="center"/>
        </w:trPr>
        <w:tc>
          <w:tcPr>
            <w:tcW w:w="983" w:type="dxa"/>
            <w:vMerge w:val="continue"/>
            <w:vAlign w:val="center"/>
          </w:tcPr>
          <w:p w14:paraId="69C07B4D">
            <w:pPr>
              <w:pStyle w:val="178"/>
            </w:pPr>
          </w:p>
        </w:tc>
        <w:tc>
          <w:tcPr>
            <w:tcW w:w="1275" w:type="dxa"/>
            <w:vAlign w:val="center"/>
          </w:tcPr>
          <w:p w14:paraId="18471849">
            <w:pPr>
              <w:pStyle w:val="178"/>
            </w:pPr>
            <w:r>
              <w:rPr>
                <w:rFonts w:hint="eastAsia"/>
                <w:color w:val="000000"/>
                <w:szCs w:val="18"/>
              </w:rPr>
              <w:t>心理调适</w:t>
            </w:r>
          </w:p>
        </w:tc>
        <w:tc>
          <w:tcPr>
            <w:tcW w:w="709" w:type="dxa"/>
            <w:vAlign w:val="center"/>
          </w:tcPr>
          <w:p w14:paraId="7A7B5DCA">
            <w:pPr>
              <w:pStyle w:val="178"/>
            </w:pPr>
            <w:r>
              <w:rPr>
                <w:rFonts w:hint="eastAsia"/>
                <w:color w:val="000000"/>
                <w:szCs w:val="18"/>
              </w:rPr>
              <w:t>2</w:t>
            </w:r>
          </w:p>
        </w:tc>
        <w:tc>
          <w:tcPr>
            <w:tcW w:w="992" w:type="dxa"/>
            <w:vAlign w:val="center"/>
          </w:tcPr>
          <w:p w14:paraId="69CA1434">
            <w:pPr>
              <w:pStyle w:val="178"/>
            </w:pPr>
            <w:r>
              <w:rPr/>
              <w:sym w:font="Wingdings" w:char="F0A1"/>
            </w:r>
          </w:p>
        </w:tc>
        <w:tc>
          <w:tcPr>
            <w:tcW w:w="4122" w:type="dxa"/>
            <w:vAlign w:val="center"/>
          </w:tcPr>
          <w:p w14:paraId="0875F89E">
            <w:pPr>
              <w:pStyle w:val="178"/>
              <w:jc w:val="both"/>
            </w:pPr>
            <w:r>
              <w:rPr>
                <w:rFonts w:hint="eastAsia"/>
                <w:color w:val="000000"/>
                <w:szCs w:val="18"/>
              </w:rPr>
              <w:t>熟悉火场常见的心理问题及外在表现形式，掌握火场心理干预方法。</w:t>
            </w:r>
          </w:p>
        </w:tc>
        <w:tc>
          <w:tcPr>
            <w:tcW w:w="1417" w:type="dxa"/>
            <w:vAlign w:val="center"/>
          </w:tcPr>
          <w:p w14:paraId="30CF8431">
            <w:pPr>
              <w:pStyle w:val="178"/>
            </w:pPr>
            <w:r>
              <w:rPr/>
              <w:sym w:font="Wingdings 2" w:char="F0A3"/>
            </w:r>
          </w:p>
        </w:tc>
      </w:tr>
      <w:bookmarkEnd w:id="335"/>
      <w:tr w14:paraId="3D1B7C58">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0" w:type="dxa"/>
            <w:bottom w:w="0" w:type="dxa"/>
            <w:right w:w="100" w:type="dxa"/>
          </w:tblCellMar>
        </w:tblPrEx>
        <w:trPr>
          <w:trHeight w:val="567" w:hRule="atLeast"/>
          <w:jc w:val="center"/>
        </w:trPr>
        <w:tc>
          <w:tcPr>
            <w:tcW w:w="983" w:type="dxa"/>
            <w:tcBorders>
              <w:bottom w:val="single" w:color="auto" w:sz="8" w:space="0"/>
            </w:tcBorders>
            <w:vAlign w:val="center"/>
          </w:tcPr>
          <w:p w14:paraId="6FA04A3D">
            <w:pPr>
              <w:pStyle w:val="178"/>
            </w:pPr>
            <w:r>
              <w:rPr>
                <w:rFonts w:hint="eastAsia"/>
              </w:rPr>
              <w:t>合计</w:t>
            </w:r>
          </w:p>
        </w:tc>
        <w:tc>
          <w:tcPr>
            <w:tcW w:w="1275" w:type="dxa"/>
            <w:tcBorders>
              <w:bottom w:val="single" w:color="auto" w:sz="8" w:space="0"/>
            </w:tcBorders>
            <w:vAlign w:val="center"/>
          </w:tcPr>
          <w:p w14:paraId="734CE697">
            <w:pPr>
              <w:pStyle w:val="178"/>
              <w:rPr>
                <w:color w:val="000000"/>
                <w:szCs w:val="18"/>
              </w:rPr>
            </w:pPr>
            <w:r>
              <w:rPr>
                <w:rFonts w:hint="eastAsia"/>
              </w:rPr>
              <w:t>—</w:t>
            </w:r>
          </w:p>
        </w:tc>
        <w:tc>
          <w:tcPr>
            <w:tcW w:w="709" w:type="dxa"/>
            <w:tcBorders>
              <w:bottom w:val="single" w:color="auto" w:sz="8" w:space="0"/>
            </w:tcBorders>
            <w:vAlign w:val="center"/>
          </w:tcPr>
          <w:p w14:paraId="6837265D">
            <w:pPr>
              <w:pStyle w:val="178"/>
              <w:rPr>
                <w:color w:val="000000"/>
                <w:szCs w:val="18"/>
              </w:rPr>
            </w:pPr>
            <w:r>
              <w:rPr>
                <w:rFonts w:hint="eastAsia"/>
                <w:color w:val="000000"/>
                <w:szCs w:val="18"/>
              </w:rPr>
              <w:t>72</w:t>
            </w:r>
          </w:p>
        </w:tc>
        <w:tc>
          <w:tcPr>
            <w:tcW w:w="992" w:type="dxa"/>
            <w:tcBorders>
              <w:bottom w:val="single" w:color="auto" w:sz="8" w:space="0"/>
            </w:tcBorders>
            <w:vAlign w:val="center"/>
          </w:tcPr>
          <w:p w14:paraId="26C7B333">
            <w:pPr>
              <w:pStyle w:val="178"/>
            </w:pPr>
          </w:p>
        </w:tc>
        <w:tc>
          <w:tcPr>
            <w:tcW w:w="4122" w:type="dxa"/>
            <w:tcBorders>
              <w:bottom w:val="single" w:color="auto" w:sz="8" w:space="0"/>
            </w:tcBorders>
            <w:vAlign w:val="center"/>
          </w:tcPr>
          <w:p w14:paraId="56327734">
            <w:pPr>
              <w:pStyle w:val="178"/>
            </w:pPr>
            <w:r>
              <w:rPr>
                <w:rFonts w:hint="eastAsia"/>
              </w:rPr>
              <w:t>—</w:t>
            </w:r>
          </w:p>
        </w:tc>
        <w:tc>
          <w:tcPr>
            <w:tcW w:w="1417" w:type="dxa"/>
            <w:tcBorders>
              <w:bottom w:val="single" w:color="auto" w:sz="8" w:space="0"/>
            </w:tcBorders>
            <w:vAlign w:val="center"/>
          </w:tcPr>
          <w:p w14:paraId="6913F143">
            <w:pPr>
              <w:pStyle w:val="178"/>
            </w:pPr>
            <w:r>
              <w:rPr>
                <w:rFonts w:hint="eastAsia"/>
              </w:rPr>
              <w:t>—</w:t>
            </w:r>
          </w:p>
        </w:tc>
      </w:tr>
      <w:tr w14:paraId="54770FB6">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0" w:type="dxa"/>
            <w:bottom w:w="0" w:type="dxa"/>
            <w:right w:w="100" w:type="dxa"/>
          </w:tblCellMar>
        </w:tblPrEx>
        <w:trPr>
          <w:trHeight w:val="567" w:hRule="atLeast"/>
          <w:jc w:val="center"/>
        </w:trPr>
        <w:tc>
          <w:tcPr>
            <w:tcW w:w="9498" w:type="dxa"/>
            <w:gridSpan w:val="6"/>
            <w:tcBorders>
              <w:top w:val="single" w:color="auto" w:sz="8" w:space="0"/>
              <w:bottom w:val="single" w:color="auto" w:sz="8" w:space="0"/>
            </w:tcBorders>
            <w:vAlign w:val="center"/>
          </w:tcPr>
          <w:p w14:paraId="627E101D">
            <w:pPr>
              <w:pStyle w:val="180"/>
              <w:numPr>
                <w:ilvl w:val="0"/>
                <w:numId w:val="52"/>
              </w:numPr>
            </w:pPr>
            <w:r>
              <w:rPr/>
              <w:sym w:font="Wingdings" w:char="F0A1"/>
            </w:r>
            <w:r>
              <w:rPr>
                <w:rFonts w:hint="eastAsia"/>
              </w:rPr>
              <w:t>为理论教学；</w:t>
            </w:r>
            <w:r>
              <w:rPr/>
              <w:sym w:font="Wingdings 2" w:char="F098"/>
            </w:r>
            <w:r>
              <w:rPr>
                <w:rFonts w:hint="eastAsia"/>
              </w:rPr>
              <w:t>为实践教学，包括实操训练、虚拟仿真训练、</w:t>
            </w:r>
            <w:bookmarkStart w:id="342" w:name="OLE_LINK10"/>
            <w:r>
              <w:rPr>
                <w:rFonts w:hint="eastAsia"/>
              </w:rPr>
              <w:t>模拟训练</w:t>
            </w:r>
            <w:bookmarkEnd w:id="342"/>
            <w:r>
              <w:rPr>
                <w:rFonts w:hint="eastAsia"/>
              </w:rPr>
              <w:t>等方式；</w:t>
            </w:r>
            <w:r>
              <w:rPr/>
              <w:sym w:font="Wingdings" w:char="F0A1"/>
            </w:r>
            <w:r>
              <w:rPr/>
              <w:sym w:font="Wingdings 2" w:char="F098"/>
            </w:r>
            <w:r>
              <w:rPr>
                <w:rFonts w:hint="eastAsia"/>
              </w:rPr>
              <w:t>为同时开展理论教学和和实践教学。</w:t>
            </w:r>
          </w:p>
          <w:p w14:paraId="193D01B4">
            <w:pPr>
              <w:pStyle w:val="180"/>
              <w:numPr>
                <w:ilvl w:val="0"/>
                <w:numId w:val="52"/>
              </w:numPr>
            </w:pPr>
            <w:r>
              <w:rPr/>
              <w:sym w:font="Wingdings 2" w:char="F0A3"/>
            </w:r>
            <w:r>
              <w:rPr>
                <w:rFonts w:hint="eastAsia"/>
              </w:rPr>
              <w:t>为闭卷笔试或计算机考试方式；</w:t>
            </w:r>
            <w:r>
              <w:rPr>
                <w:rFonts w:hint="eastAsia"/>
              </w:rPr>
              <w:sym w:font="Wingdings 2" w:char="F0A2"/>
            </w:r>
            <w:r>
              <w:rPr>
                <w:rFonts w:hint="eastAsia"/>
              </w:rPr>
              <w:t>为现场实操、模拟演练或虚拟仿真演练等考核方式；</w:t>
            </w:r>
            <w:r>
              <w:rPr/>
              <w:sym w:font="Wingdings 2" w:char="F0A3"/>
            </w:r>
            <w:r>
              <w:rPr>
                <w:rFonts w:hint="eastAsia"/>
              </w:rPr>
              <w:sym w:font="Wingdings 2" w:char="F0A2"/>
            </w:r>
            <w:r>
              <w:rPr>
                <w:rFonts w:hint="eastAsia"/>
              </w:rPr>
              <w:t>表示应同时进行专业理论考核和实践操作考核。</w:t>
            </w:r>
          </w:p>
        </w:tc>
      </w:tr>
      <w:bookmarkEnd w:id="334"/>
    </w:tbl>
    <w:p w14:paraId="76A2913B">
      <w:pPr>
        <w:pStyle w:val="56"/>
        <w:ind w:firstLine="420"/>
      </w:pPr>
    </w:p>
    <w:p w14:paraId="55AA75A6">
      <w:pPr>
        <w:pStyle w:val="56"/>
        <w:ind w:firstLine="420"/>
      </w:pPr>
    </w:p>
    <w:p w14:paraId="07704CD5">
      <w:pPr>
        <w:pStyle w:val="56"/>
        <w:ind w:firstLine="420"/>
      </w:pPr>
    </w:p>
    <w:p w14:paraId="7A402D97">
      <w:pPr>
        <w:pStyle w:val="56"/>
        <w:ind w:firstLine="420"/>
        <w:sectPr>
          <w:pgSz w:w="11906" w:h="16838"/>
          <w:pgMar w:top="1928" w:right="1134" w:bottom="1134" w:left="1134" w:header="1418" w:footer="1134" w:gutter="284"/>
          <w:cols w:space="425" w:num="1"/>
          <w:formProt w:val="0"/>
          <w:docGrid w:linePitch="312" w:charSpace="0"/>
        </w:sectPr>
      </w:pPr>
    </w:p>
    <w:p w14:paraId="0B21EC20">
      <w:pPr>
        <w:pStyle w:val="198"/>
        <w:rPr>
          <w:rFonts w:hint="eastAsia"/>
          <w:vanish w:val="0"/>
        </w:rPr>
      </w:pPr>
    </w:p>
    <w:p w14:paraId="2F6C3B40">
      <w:pPr>
        <w:pStyle w:val="199"/>
        <w:rPr>
          <w:vanish w:val="0"/>
        </w:rPr>
      </w:pPr>
    </w:p>
    <w:p w14:paraId="6629E5DB">
      <w:pPr>
        <w:pStyle w:val="76"/>
        <w:spacing w:after="120"/>
      </w:pPr>
      <w:r>
        <w:br w:type="textWrapping"/>
      </w:r>
      <w:bookmarkStart w:id="343" w:name="_Toc203579161"/>
      <w:bookmarkStart w:id="344" w:name="_Toc203573411"/>
      <w:bookmarkStart w:id="345" w:name="_Toc203753136"/>
      <w:bookmarkStart w:id="346" w:name="_Toc203671203"/>
      <w:r>
        <w:rPr>
          <w:rFonts w:hint="eastAsia"/>
        </w:rPr>
        <w:t>（规范性）</w:t>
      </w:r>
      <w:r>
        <w:br w:type="textWrapping"/>
      </w:r>
      <w:bookmarkStart w:id="347" w:name="OLE_LINK32"/>
      <w:bookmarkStart w:id="348" w:name="_Hlk203572676"/>
      <w:r>
        <w:rPr>
          <w:rFonts w:hint="eastAsia"/>
        </w:rPr>
        <w:t>地方森林草原火灾扑救指挥员</w:t>
      </w:r>
      <w:bookmarkEnd w:id="347"/>
      <w:r>
        <w:rPr>
          <w:rFonts w:hint="eastAsia"/>
        </w:rPr>
        <w:t>考核设置</w:t>
      </w:r>
      <w:bookmarkEnd w:id="343"/>
      <w:bookmarkEnd w:id="344"/>
      <w:bookmarkEnd w:id="345"/>
      <w:bookmarkEnd w:id="346"/>
      <w:bookmarkEnd w:id="348"/>
    </w:p>
    <w:p w14:paraId="7063FA11">
      <w:pPr>
        <w:pStyle w:val="56"/>
        <w:ind w:firstLine="420"/>
      </w:pPr>
      <w:r>
        <w:rPr>
          <w:rFonts w:hint="eastAsia"/>
        </w:rPr>
        <w:t>表C.1规定了地方森林草原火灾扑救指挥员考核内容、考核方式及分值比例。</w:t>
      </w:r>
    </w:p>
    <w:p w14:paraId="467D5383">
      <w:pPr>
        <w:pStyle w:val="77"/>
        <w:spacing w:before="120" w:after="120"/>
      </w:pPr>
      <w:r>
        <w:rPr>
          <w:rFonts w:hint="eastAsia"/>
        </w:rPr>
        <w:t>地方森林草原火灾扑救指挥员考核设置</w:t>
      </w:r>
    </w:p>
    <w:tbl>
      <w:tblPr>
        <w:tblStyle w:val="27"/>
        <w:tblW w:w="9225" w:type="dxa"/>
        <w:jc w:val="center"/>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Layout w:type="autofit"/>
        <w:tblCellMar>
          <w:top w:w="0" w:type="dxa"/>
          <w:left w:w="100" w:type="dxa"/>
          <w:bottom w:w="0" w:type="dxa"/>
          <w:right w:w="100" w:type="dxa"/>
        </w:tblCellMar>
      </w:tblPr>
      <w:tblGrid>
        <w:gridCol w:w="983"/>
        <w:gridCol w:w="1485"/>
        <w:gridCol w:w="785"/>
        <w:gridCol w:w="756"/>
        <w:gridCol w:w="756"/>
        <w:gridCol w:w="785"/>
        <w:gridCol w:w="756"/>
        <w:gridCol w:w="756"/>
        <w:gridCol w:w="721"/>
        <w:gridCol w:w="721"/>
        <w:gridCol w:w="721"/>
      </w:tblGrid>
      <w:tr w14:paraId="1930BF36">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0" w:type="dxa"/>
            <w:bottom w:w="0" w:type="dxa"/>
            <w:right w:w="100" w:type="dxa"/>
          </w:tblCellMar>
        </w:tblPrEx>
        <w:trPr>
          <w:trHeight w:val="476" w:hRule="atLeast"/>
          <w:tblHeader/>
          <w:jc w:val="center"/>
        </w:trPr>
        <w:tc>
          <w:tcPr>
            <w:tcW w:w="983" w:type="dxa"/>
            <w:vMerge w:val="restart"/>
            <w:tcBorders>
              <w:top w:val="single" w:color="auto" w:sz="8" w:space="0"/>
            </w:tcBorders>
            <w:vAlign w:val="center"/>
          </w:tcPr>
          <w:p w14:paraId="50F9B3D0">
            <w:pPr>
              <w:pStyle w:val="178"/>
            </w:pPr>
            <w:r>
              <w:rPr>
                <w:rFonts w:hint="eastAsia"/>
              </w:rPr>
              <w:t>课目</w:t>
            </w:r>
          </w:p>
        </w:tc>
        <w:tc>
          <w:tcPr>
            <w:tcW w:w="1485" w:type="dxa"/>
            <w:vMerge w:val="restart"/>
            <w:tcBorders>
              <w:top w:val="single" w:color="auto" w:sz="8" w:space="0"/>
            </w:tcBorders>
            <w:vAlign w:val="center"/>
          </w:tcPr>
          <w:p w14:paraId="167409A2">
            <w:pPr>
              <w:pStyle w:val="178"/>
            </w:pPr>
            <w:r>
              <w:rPr>
                <w:rFonts w:hint="eastAsia"/>
              </w:rPr>
              <w:t>内容</w:t>
            </w:r>
          </w:p>
        </w:tc>
        <w:tc>
          <w:tcPr>
            <w:tcW w:w="2297" w:type="dxa"/>
            <w:gridSpan w:val="3"/>
            <w:tcBorders>
              <w:top w:val="single" w:color="auto" w:sz="8" w:space="0"/>
            </w:tcBorders>
            <w:vAlign w:val="center"/>
          </w:tcPr>
          <w:p w14:paraId="7CA241DF">
            <w:pPr>
              <w:pStyle w:val="178"/>
            </w:pPr>
            <w:r>
              <w:rPr>
                <w:rFonts w:hint="eastAsia"/>
              </w:rPr>
              <w:t>县级及以下指挥员考核方式及分值比例（%）</w:t>
            </w:r>
          </w:p>
        </w:tc>
        <w:tc>
          <w:tcPr>
            <w:tcW w:w="2297" w:type="dxa"/>
            <w:gridSpan w:val="3"/>
            <w:tcBorders>
              <w:top w:val="single" w:color="auto" w:sz="8" w:space="0"/>
            </w:tcBorders>
            <w:vAlign w:val="center"/>
          </w:tcPr>
          <w:p w14:paraId="77C606CA">
            <w:pPr>
              <w:pStyle w:val="178"/>
            </w:pPr>
            <w:r>
              <w:rPr>
                <w:rFonts w:hint="eastAsia"/>
              </w:rPr>
              <w:t>市级和省级指挥员考核方式及分值比例（%）</w:t>
            </w:r>
          </w:p>
        </w:tc>
        <w:tc>
          <w:tcPr>
            <w:tcW w:w="2163" w:type="dxa"/>
            <w:gridSpan w:val="3"/>
            <w:tcBorders>
              <w:top w:val="single" w:color="auto" w:sz="8" w:space="0"/>
            </w:tcBorders>
            <w:vAlign w:val="center"/>
          </w:tcPr>
          <w:p w14:paraId="02FF5A1D">
            <w:pPr>
              <w:pStyle w:val="178"/>
            </w:pPr>
            <w:r>
              <w:rPr>
                <w:rFonts w:hint="eastAsia"/>
              </w:rPr>
              <w:t>地方森林消防队伍指挥员考核及分值比例（%）</w:t>
            </w:r>
          </w:p>
        </w:tc>
      </w:tr>
      <w:tr w14:paraId="218E3E4B">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0" w:type="dxa"/>
            <w:bottom w:w="0" w:type="dxa"/>
            <w:right w:w="100" w:type="dxa"/>
          </w:tblCellMar>
        </w:tblPrEx>
        <w:trPr>
          <w:trHeight w:val="567" w:hRule="atLeast"/>
          <w:tblHeader/>
          <w:jc w:val="center"/>
        </w:trPr>
        <w:tc>
          <w:tcPr>
            <w:tcW w:w="983" w:type="dxa"/>
            <w:vMerge w:val="continue"/>
            <w:vAlign w:val="center"/>
          </w:tcPr>
          <w:p w14:paraId="7E2448B1">
            <w:pPr>
              <w:pStyle w:val="178"/>
            </w:pPr>
          </w:p>
        </w:tc>
        <w:tc>
          <w:tcPr>
            <w:tcW w:w="1485" w:type="dxa"/>
            <w:vMerge w:val="continue"/>
            <w:vAlign w:val="center"/>
          </w:tcPr>
          <w:p w14:paraId="5105A97B">
            <w:pPr>
              <w:pStyle w:val="178"/>
            </w:pPr>
          </w:p>
        </w:tc>
        <w:tc>
          <w:tcPr>
            <w:tcW w:w="785" w:type="dxa"/>
            <w:tcBorders>
              <w:top w:val="single" w:color="auto" w:sz="8" w:space="0"/>
            </w:tcBorders>
            <w:vAlign w:val="center"/>
          </w:tcPr>
          <w:p w14:paraId="6143C533">
            <w:pPr>
              <w:pStyle w:val="178"/>
            </w:pPr>
            <w:r>
              <w:rPr>
                <w:rFonts w:hint="eastAsia"/>
              </w:rPr>
              <w:t>考核</w:t>
            </w:r>
          </w:p>
          <w:p w14:paraId="7FF1167B">
            <w:pPr>
              <w:pStyle w:val="178"/>
            </w:pPr>
            <w:r>
              <w:rPr>
                <w:rFonts w:hint="eastAsia"/>
              </w:rPr>
              <w:t>方式</w:t>
            </w:r>
          </w:p>
        </w:tc>
        <w:tc>
          <w:tcPr>
            <w:tcW w:w="756" w:type="dxa"/>
            <w:tcBorders>
              <w:top w:val="single" w:color="auto" w:sz="8" w:space="0"/>
            </w:tcBorders>
            <w:vAlign w:val="center"/>
          </w:tcPr>
          <w:p w14:paraId="5EF86E88">
            <w:pPr>
              <w:pStyle w:val="178"/>
            </w:pPr>
            <w:r>
              <w:rPr>
                <w:rFonts w:hint="eastAsia"/>
              </w:rPr>
              <w:t>专业</w:t>
            </w:r>
          </w:p>
          <w:p w14:paraId="7BB54F5D">
            <w:pPr>
              <w:pStyle w:val="178"/>
            </w:pPr>
            <w:r>
              <w:rPr>
                <w:rFonts w:hint="eastAsia"/>
              </w:rPr>
              <w:t>理论</w:t>
            </w:r>
          </w:p>
          <w:p w14:paraId="75B29B91">
            <w:pPr>
              <w:pStyle w:val="178"/>
            </w:pPr>
            <w:r>
              <w:rPr>
                <w:rFonts w:hint="eastAsia"/>
              </w:rPr>
              <w:t>分值</w:t>
            </w:r>
          </w:p>
        </w:tc>
        <w:tc>
          <w:tcPr>
            <w:tcW w:w="756" w:type="dxa"/>
            <w:tcBorders>
              <w:top w:val="single" w:color="auto" w:sz="8" w:space="0"/>
            </w:tcBorders>
            <w:vAlign w:val="center"/>
          </w:tcPr>
          <w:p w14:paraId="60070262">
            <w:pPr>
              <w:pStyle w:val="178"/>
            </w:pPr>
            <w:r>
              <w:rPr>
                <w:rFonts w:hint="eastAsia"/>
              </w:rPr>
              <w:t>实践</w:t>
            </w:r>
          </w:p>
          <w:p w14:paraId="07F35B6C">
            <w:pPr>
              <w:pStyle w:val="178"/>
            </w:pPr>
            <w:r>
              <w:rPr>
                <w:rFonts w:hint="eastAsia"/>
              </w:rPr>
              <w:t>操作</w:t>
            </w:r>
          </w:p>
          <w:p w14:paraId="1E06EE57">
            <w:pPr>
              <w:pStyle w:val="178"/>
            </w:pPr>
            <w:r>
              <w:rPr>
                <w:rFonts w:hint="eastAsia"/>
              </w:rPr>
              <w:t>分值</w:t>
            </w:r>
          </w:p>
        </w:tc>
        <w:tc>
          <w:tcPr>
            <w:tcW w:w="785" w:type="dxa"/>
            <w:tcBorders>
              <w:top w:val="single" w:color="auto" w:sz="8" w:space="0"/>
            </w:tcBorders>
            <w:vAlign w:val="center"/>
          </w:tcPr>
          <w:p w14:paraId="0AF24A9D">
            <w:pPr>
              <w:pStyle w:val="178"/>
            </w:pPr>
            <w:r>
              <w:rPr>
                <w:rFonts w:hint="eastAsia"/>
              </w:rPr>
              <w:t>考核</w:t>
            </w:r>
          </w:p>
          <w:p w14:paraId="0C2515B2">
            <w:pPr>
              <w:pStyle w:val="178"/>
            </w:pPr>
            <w:r>
              <w:rPr>
                <w:rFonts w:hint="eastAsia"/>
              </w:rPr>
              <w:t>方式</w:t>
            </w:r>
          </w:p>
        </w:tc>
        <w:tc>
          <w:tcPr>
            <w:tcW w:w="756" w:type="dxa"/>
            <w:tcBorders>
              <w:top w:val="single" w:color="auto" w:sz="8" w:space="0"/>
            </w:tcBorders>
            <w:vAlign w:val="center"/>
          </w:tcPr>
          <w:p w14:paraId="05BE0B09">
            <w:pPr>
              <w:pStyle w:val="178"/>
            </w:pPr>
            <w:r>
              <w:rPr>
                <w:rFonts w:hint="eastAsia"/>
              </w:rPr>
              <w:t>专业</w:t>
            </w:r>
          </w:p>
          <w:p w14:paraId="66BA02AD">
            <w:pPr>
              <w:pStyle w:val="178"/>
            </w:pPr>
            <w:r>
              <w:rPr>
                <w:rFonts w:hint="eastAsia"/>
              </w:rPr>
              <w:t>理论</w:t>
            </w:r>
          </w:p>
          <w:p w14:paraId="09059FB6">
            <w:pPr>
              <w:pStyle w:val="178"/>
            </w:pPr>
            <w:r>
              <w:rPr>
                <w:rFonts w:hint="eastAsia"/>
              </w:rPr>
              <w:t>分值</w:t>
            </w:r>
          </w:p>
        </w:tc>
        <w:tc>
          <w:tcPr>
            <w:tcW w:w="756" w:type="dxa"/>
            <w:tcBorders>
              <w:top w:val="single" w:color="auto" w:sz="8" w:space="0"/>
            </w:tcBorders>
            <w:vAlign w:val="center"/>
          </w:tcPr>
          <w:p w14:paraId="37CCBC12">
            <w:pPr>
              <w:pStyle w:val="178"/>
            </w:pPr>
            <w:r>
              <w:rPr>
                <w:rFonts w:hint="eastAsia"/>
              </w:rPr>
              <w:t>实践</w:t>
            </w:r>
          </w:p>
          <w:p w14:paraId="4457C5CC">
            <w:pPr>
              <w:pStyle w:val="178"/>
            </w:pPr>
            <w:r>
              <w:rPr>
                <w:rFonts w:hint="eastAsia"/>
              </w:rPr>
              <w:t>操作</w:t>
            </w:r>
          </w:p>
        </w:tc>
        <w:tc>
          <w:tcPr>
            <w:tcW w:w="721" w:type="dxa"/>
            <w:tcBorders>
              <w:top w:val="single" w:color="auto" w:sz="8" w:space="0"/>
            </w:tcBorders>
            <w:vAlign w:val="center"/>
          </w:tcPr>
          <w:p w14:paraId="764BF2FB">
            <w:pPr>
              <w:pStyle w:val="178"/>
            </w:pPr>
            <w:r>
              <w:rPr>
                <w:rFonts w:hint="eastAsia"/>
              </w:rPr>
              <w:t>考核</w:t>
            </w:r>
          </w:p>
          <w:p w14:paraId="5AB57926">
            <w:pPr>
              <w:pStyle w:val="178"/>
            </w:pPr>
            <w:r>
              <w:rPr>
                <w:rFonts w:hint="eastAsia"/>
              </w:rPr>
              <w:t>方式</w:t>
            </w:r>
          </w:p>
        </w:tc>
        <w:tc>
          <w:tcPr>
            <w:tcW w:w="721" w:type="dxa"/>
            <w:tcBorders>
              <w:top w:val="single" w:color="auto" w:sz="8" w:space="0"/>
            </w:tcBorders>
            <w:vAlign w:val="center"/>
          </w:tcPr>
          <w:p w14:paraId="7EF58B48">
            <w:pPr>
              <w:pStyle w:val="178"/>
            </w:pPr>
            <w:r>
              <w:rPr>
                <w:rFonts w:hint="eastAsia"/>
              </w:rPr>
              <w:t>专业</w:t>
            </w:r>
          </w:p>
          <w:p w14:paraId="2CED3940">
            <w:pPr>
              <w:pStyle w:val="178"/>
            </w:pPr>
            <w:r>
              <w:rPr>
                <w:rFonts w:hint="eastAsia"/>
              </w:rPr>
              <w:t>理论</w:t>
            </w:r>
          </w:p>
          <w:p w14:paraId="23BA1BE7">
            <w:pPr>
              <w:pStyle w:val="178"/>
            </w:pPr>
            <w:r>
              <w:rPr>
                <w:rFonts w:hint="eastAsia"/>
              </w:rPr>
              <w:t>分值</w:t>
            </w:r>
          </w:p>
        </w:tc>
        <w:tc>
          <w:tcPr>
            <w:tcW w:w="721" w:type="dxa"/>
            <w:tcBorders>
              <w:top w:val="single" w:color="auto" w:sz="8" w:space="0"/>
            </w:tcBorders>
            <w:vAlign w:val="center"/>
          </w:tcPr>
          <w:p w14:paraId="35CD239E">
            <w:pPr>
              <w:pStyle w:val="178"/>
            </w:pPr>
            <w:r>
              <w:rPr>
                <w:rFonts w:hint="eastAsia"/>
              </w:rPr>
              <w:t>实践</w:t>
            </w:r>
          </w:p>
          <w:p w14:paraId="19DC2ECE">
            <w:pPr>
              <w:pStyle w:val="178"/>
            </w:pPr>
            <w:r>
              <w:rPr>
                <w:rFonts w:hint="eastAsia"/>
              </w:rPr>
              <w:t>操作</w:t>
            </w:r>
          </w:p>
          <w:p w14:paraId="2EFC5679">
            <w:pPr>
              <w:pStyle w:val="178"/>
            </w:pPr>
            <w:r>
              <w:rPr>
                <w:rFonts w:hint="eastAsia"/>
              </w:rPr>
              <w:t>分值</w:t>
            </w:r>
          </w:p>
        </w:tc>
      </w:tr>
      <w:tr w14:paraId="7A3B7FB9">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0" w:type="dxa"/>
            <w:bottom w:w="0" w:type="dxa"/>
            <w:right w:w="100" w:type="dxa"/>
          </w:tblCellMar>
        </w:tblPrEx>
        <w:trPr>
          <w:trHeight w:val="340" w:hRule="atLeast"/>
          <w:jc w:val="center"/>
        </w:trPr>
        <w:tc>
          <w:tcPr>
            <w:tcW w:w="983" w:type="dxa"/>
            <w:vMerge w:val="restart"/>
            <w:vAlign w:val="center"/>
          </w:tcPr>
          <w:p w14:paraId="68F89105">
            <w:pPr>
              <w:pStyle w:val="178"/>
            </w:pPr>
            <w:r>
              <w:rPr>
                <w:rFonts w:hint="eastAsia"/>
              </w:rPr>
              <w:t>灭火基础</w:t>
            </w:r>
          </w:p>
        </w:tc>
        <w:tc>
          <w:tcPr>
            <w:tcW w:w="1485" w:type="dxa"/>
            <w:vAlign w:val="center"/>
          </w:tcPr>
          <w:p w14:paraId="22E05B7D">
            <w:pPr>
              <w:pStyle w:val="178"/>
            </w:pPr>
            <w:r>
              <w:rPr>
                <w:rFonts w:hint="eastAsia"/>
                <w:color w:val="000000"/>
                <w:szCs w:val="18"/>
              </w:rPr>
              <w:t>林学基础</w:t>
            </w:r>
          </w:p>
        </w:tc>
        <w:tc>
          <w:tcPr>
            <w:tcW w:w="785" w:type="dxa"/>
            <w:vAlign w:val="center"/>
          </w:tcPr>
          <w:p w14:paraId="142288C1">
            <w:pPr>
              <w:pStyle w:val="178"/>
            </w:pPr>
            <w:r>
              <w:rPr/>
              <w:sym w:font="Wingdings 2" w:char="F0A3"/>
            </w:r>
          </w:p>
        </w:tc>
        <w:tc>
          <w:tcPr>
            <w:tcW w:w="756" w:type="dxa"/>
            <w:vMerge w:val="restart"/>
            <w:vAlign w:val="center"/>
          </w:tcPr>
          <w:p w14:paraId="0BE50C63">
            <w:pPr>
              <w:pStyle w:val="178"/>
            </w:pPr>
            <w:r>
              <w:rPr>
                <w:rFonts w:hint="eastAsia"/>
              </w:rPr>
              <w:t>20</w:t>
            </w:r>
          </w:p>
        </w:tc>
        <w:tc>
          <w:tcPr>
            <w:tcW w:w="756" w:type="dxa"/>
            <w:vMerge w:val="restart"/>
            <w:vAlign w:val="center"/>
          </w:tcPr>
          <w:p w14:paraId="6D18F53F">
            <w:pPr>
              <w:pStyle w:val="178"/>
            </w:pPr>
            <w:r>
              <w:rPr>
                <w:rFonts w:hint="eastAsia"/>
              </w:rPr>
              <w:t>0</w:t>
            </w:r>
          </w:p>
        </w:tc>
        <w:tc>
          <w:tcPr>
            <w:tcW w:w="785" w:type="dxa"/>
            <w:vAlign w:val="center"/>
          </w:tcPr>
          <w:p w14:paraId="7185766F">
            <w:pPr>
              <w:pStyle w:val="178"/>
            </w:pPr>
            <w:r>
              <w:rPr/>
              <w:sym w:font="Wingdings 2" w:char="F0A3"/>
            </w:r>
          </w:p>
        </w:tc>
        <w:tc>
          <w:tcPr>
            <w:tcW w:w="756" w:type="dxa"/>
            <w:vMerge w:val="restart"/>
            <w:vAlign w:val="center"/>
          </w:tcPr>
          <w:p w14:paraId="281D669A">
            <w:pPr>
              <w:pStyle w:val="178"/>
            </w:pPr>
            <w:r>
              <w:rPr>
                <w:rFonts w:hint="eastAsia"/>
              </w:rPr>
              <w:t>20</w:t>
            </w:r>
          </w:p>
        </w:tc>
        <w:tc>
          <w:tcPr>
            <w:tcW w:w="756" w:type="dxa"/>
            <w:vMerge w:val="restart"/>
            <w:vAlign w:val="center"/>
          </w:tcPr>
          <w:p w14:paraId="0AF5F98A">
            <w:pPr>
              <w:pStyle w:val="178"/>
            </w:pPr>
            <w:r>
              <w:rPr>
                <w:rFonts w:hint="eastAsia"/>
              </w:rPr>
              <w:t>0</w:t>
            </w:r>
          </w:p>
        </w:tc>
        <w:tc>
          <w:tcPr>
            <w:tcW w:w="721" w:type="dxa"/>
            <w:vAlign w:val="center"/>
          </w:tcPr>
          <w:p w14:paraId="1972E393">
            <w:pPr>
              <w:pStyle w:val="178"/>
            </w:pPr>
            <w:r>
              <w:rPr/>
              <w:sym w:font="Wingdings 2" w:char="F0A3"/>
            </w:r>
          </w:p>
        </w:tc>
        <w:tc>
          <w:tcPr>
            <w:tcW w:w="721" w:type="dxa"/>
            <w:vMerge w:val="restart"/>
            <w:vAlign w:val="center"/>
          </w:tcPr>
          <w:p w14:paraId="679139F8">
            <w:pPr>
              <w:pStyle w:val="178"/>
            </w:pPr>
            <w:r>
              <w:rPr>
                <w:rFonts w:hint="eastAsia"/>
              </w:rPr>
              <w:t>20</w:t>
            </w:r>
          </w:p>
        </w:tc>
        <w:tc>
          <w:tcPr>
            <w:tcW w:w="721" w:type="dxa"/>
            <w:vMerge w:val="restart"/>
            <w:vAlign w:val="center"/>
          </w:tcPr>
          <w:p w14:paraId="4969C871">
            <w:pPr>
              <w:pStyle w:val="178"/>
            </w:pPr>
            <w:r>
              <w:rPr>
                <w:rFonts w:hint="eastAsia"/>
              </w:rPr>
              <w:t>0</w:t>
            </w:r>
          </w:p>
        </w:tc>
      </w:tr>
      <w:tr w14:paraId="5FF25686">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0" w:type="dxa"/>
            <w:bottom w:w="0" w:type="dxa"/>
            <w:right w:w="100" w:type="dxa"/>
          </w:tblCellMar>
        </w:tblPrEx>
        <w:trPr>
          <w:trHeight w:val="340" w:hRule="atLeast"/>
          <w:jc w:val="center"/>
        </w:trPr>
        <w:tc>
          <w:tcPr>
            <w:tcW w:w="983" w:type="dxa"/>
            <w:vMerge w:val="continue"/>
            <w:vAlign w:val="center"/>
          </w:tcPr>
          <w:p w14:paraId="579FD2E4">
            <w:pPr>
              <w:pStyle w:val="178"/>
            </w:pPr>
          </w:p>
        </w:tc>
        <w:tc>
          <w:tcPr>
            <w:tcW w:w="1485" w:type="dxa"/>
            <w:vAlign w:val="center"/>
          </w:tcPr>
          <w:p w14:paraId="296A6A3E">
            <w:pPr>
              <w:pStyle w:val="178"/>
            </w:pPr>
            <w:r>
              <w:rPr>
                <w:rFonts w:hint="eastAsia"/>
                <w:color w:val="000000"/>
                <w:szCs w:val="18"/>
              </w:rPr>
              <w:t>气象学基础</w:t>
            </w:r>
          </w:p>
        </w:tc>
        <w:tc>
          <w:tcPr>
            <w:tcW w:w="785" w:type="dxa"/>
            <w:vAlign w:val="center"/>
          </w:tcPr>
          <w:p w14:paraId="727A9833">
            <w:pPr>
              <w:pStyle w:val="178"/>
            </w:pPr>
            <w:r>
              <w:rPr/>
              <w:sym w:font="Wingdings 2" w:char="F0A3"/>
            </w:r>
          </w:p>
        </w:tc>
        <w:tc>
          <w:tcPr>
            <w:tcW w:w="756" w:type="dxa"/>
            <w:vMerge w:val="continue"/>
            <w:vAlign w:val="center"/>
          </w:tcPr>
          <w:p w14:paraId="642DC7E6">
            <w:pPr>
              <w:pStyle w:val="178"/>
            </w:pPr>
          </w:p>
        </w:tc>
        <w:tc>
          <w:tcPr>
            <w:tcW w:w="756" w:type="dxa"/>
            <w:vMerge w:val="continue"/>
            <w:vAlign w:val="center"/>
          </w:tcPr>
          <w:p w14:paraId="4B5AA7A2">
            <w:pPr>
              <w:pStyle w:val="178"/>
            </w:pPr>
          </w:p>
        </w:tc>
        <w:tc>
          <w:tcPr>
            <w:tcW w:w="785" w:type="dxa"/>
            <w:vAlign w:val="center"/>
          </w:tcPr>
          <w:p w14:paraId="6FDDCCF6">
            <w:pPr>
              <w:pStyle w:val="178"/>
            </w:pPr>
            <w:r>
              <w:rPr/>
              <w:sym w:font="Wingdings 2" w:char="F0A3"/>
            </w:r>
          </w:p>
        </w:tc>
        <w:tc>
          <w:tcPr>
            <w:tcW w:w="756" w:type="dxa"/>
            <w:vMerge w:val="continue"/>
            <w:vAlign w:val="center"/>
          </w:tcPr>
          <w:p w14:paraId="2B0CF4C7">
            <w:pPr>
              <w:pStyle w:val="178"/>
            </w:pPr>
          </w:p>
        </w:tc>
        <w:tc>
          <w:tcPr>
            <w:tcW w:w="756" w:type="dxa"/>
            <w:vMerge w:val="continue"/>
            <w:vAlign w:val="center"/>
          </w:tcPr>
          <w:p w14:paraId="2B173010">
            <w:pPr>
              <w:pStyle w:val="178"/>
            </w:pPr>
          </w:p>
        </w:tc>
        <w:tc>
          <w:tcPr>
            <w:tcW w:w="721" w:type="dxa"/>
            <w:vAlign w:val="center"/>
          </w:tcPr>
          <w:p w14:paraId="339BB160">
            <w:pPr>
              <w:pStyle w:val="178"/>
            </w:pPr>
            <w:r>
              <w:rPr/>
              <w:sym w:font="Wingdings 2" w:char="F0A3"/>
            </w:r>
          </w:p>
        </w:tc>
        <w:tc>
          <w:tcPr>
            <w:tcW w:w="721" w:type="dxa"/>
            <w:vMerge w:val="continue"/>
            <w:vAlign w:val="center"/>
          </w:tcPr>
          <w:p w14:paraId="76F0885D">
            <w:pPr>
              <w:pStyle w:val="178"/>
            </w:pPr>
          </w:p>
        </w:tc>
        <w:tc>
          <w:tcPr>
            <w:tcW w:w="721" w:type="dxa"/>
            <w:vMerge w:val="continue"/>
            <w:vAlign w:val="center"/>
          </w:tcPr>
          <w:p w14:paraId="04AC457C">
            <w:pPr>
              <w:pStyle w:val="178"/>
            </w:pPr>
          </w:p>
        </w:tc>
      </w:tr>
      <w:tr w14:paraId="42606636">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0" w:type="dxa"/>
            <w:bottom w:w="0" w:type="dxa"/>
            <w:right w:w="100" w:type="dxa"/>
          </w:tblCellMar>
        </w:tblPrEx>
        <w:trPr>
          <w:trHeight w:val="340" w:hRule="atLeast"/>
          <w:jc w:val="center"/>
        </w:trPr>
        <w:tc>
          <w:tcPr>
            <w:tcW w:w="983" w:type="dxa"/>
            <w:vMerge w:val="continue"/>
            <w:vAlign w:val="center"/>
          </w:tcPr>
          <w:p w14:paraId="6EEE4086">
            <w:pPr>
              <w:pStyle w:val="178"/>
            </w:pPr>
          </w:p>
        </w:tc>
        <w:tc>
          <w:tcPr>
            <w:tcW w:w="1485" w:type="dxa"/>
            <w:vAlign w:val="center"/>
          </w:tcPr>
          <w:p w14:paraId="452E3975">
            <w:pPr>
              <w:pStyle w:val="178"/>
            </w:pPr>
            <w:r>
              <w:rPr>
                <w:rFonts w:hint="eastAsia"/>
                <w:color w:val="000000"/>
                <w:szCs w:val="18"/>
              </w:rPr>
              <w:t>地形学基础</w:t>
            </w:r>
          </w:p>
        </w:tc>
        <w:tc>
          <w:tcPr>
            <w:tcW w:w="785" w:type="dxa"/>
            <w:vAlign w:val="center"/>
          </w:tcPr>
          <w:p w14:paraId="195F232F">
            <w:pPr>
              <w:pStyle w:val="178"/>
            </w:pPr>
            <w:r>
              <w:rPr/>
              <w:sym w:font="Wingdings 2" w:char="F0A3"/>
            </w:r>
          </w:p>
        </w:tc>
        <w:tc>
          <w:tcPr>
            <w:tcW w:w="756" w:type="dxa"/>
            <w:vMerge w:val="continue"/>
            <w:vAlign w:val="center"/>
          </w:tcPr>
          <w:p w14:paraId="71D58834">
            <w:pPr>
              <w:pStyle w:val="178"/>
            </w:pPr>
          </w:p>
        </w:tc>
        <w:tc>
          <w:tcPr>
            <w:tcW w:w="756" w:type="dxa"/>
            <w:vMerge w:val="continue"/>
            <w:vAlign w:val="center"/>
          </w:tcPr>
          <w:p w14:paraId="27D733B2">
            <w:pPr>
              <w:pStyle w:val="178"/>
            </w:pPr>
          </w:p>
        </w:tc>
        <w:tc>
          <w:tcPr>
            <w:tcW w:w="785" w:type="dxa"/>
            <w:vAlign w:val="center"/>
          </w:tcPr>
          <w:p w14:paraId="05E6F06F">
            <w:pPr>
              <w:pStyle w:val="178"/>
            </w:pPr>
            <w:r>
              <w:rPr/>
              <w:sym w:font="Wingdings 2" w:char="F0A3"/>
            </w:r>
          </w:p>
        </w:tc>
        <w:tc>
          <w:tcPr>
            <w:tcW w:w="756" w:type="dxa"/>
            <w:vMerge w:val="continue"/>
            <w:vAlign w:val="center"/>
          </w:tcPr>
          <w:p w14:paraId="07A291B8">
            <w:pPr>
              <w:pStyle w:val="178"/>
            </w:pPr>
          </w:p>
        </w:tc>
        <w:tc>
          <w:tcPr>
            <w:tcW w:w="756" w:type="dxa"/>
            <w:vMerge w:val="continue"/>
            <w:vAlign w:val="center"/>
          </w:tcPr>
          <w:p w14:paraId="02BCE696">
            <w:pPr>
              <w:pStyle w:val="178"/>
            </w:pPr>
          </w:p>
        </w:tc>
        <w:tc>
          <w:tcPr>
            <w:tcW w:w="721" w:type="dxa"/>
            <w:vAlign w:val="center"/>
          </w:tcPr>
          <w:p w14:paraId="23E6B873">
            <w:pPr>
              <w:pStyle w:val="178"/>
            </w:pPr>
            <w:r>
              <w:rPr/>
              <w:sym w:font="Wingdings 2" w:char="F0A3"/>
            </w:r>
          </w:p>
        </w:tc>
        <w:tc>
          <w:tcPr>
            <w:tcW w:w="721" w:type="dxa"/>
            <w:vMerge w:val="continue"/>
            <w:vAlign w:val="center"/>
          </w:tcPr>
          <w:p w14:paraId="653ED0D8">
            <w:pPr>
              <w:pStyle w:val="178"/>
            </w:pPr>
          </w:p>
        </w:tc>
        <w:tc>
          <w:tcPr>
            <w:tcW w:w="721" w:type="dxa"/>
            <w:vMerge w:val="continue"/>
            <w:vAlign w:val="center"/>
          </w:tcPr>
          <w:p w14:paraId="35DEE0BC">
            <w:pPr>
              <w:pStyle w:val="178"/>
            </w:pPr>
          </w:p>
        </w:tc>
      </w:tr>
      <w:tr w14:paraId="4D4CEEFB">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0" w:type="dxa"/>
            <w:bottom w:w="0" w:type="dxa"/>
            <w:right w:w="100" w:type="dxa"/>
          </w:tblCellMar>
        </w:tblPrEx>
        <w:trPr>
          <w:trHeight w:val="340" w:hRule="atLeast"/>
          <w:jc w:val="center"/>
        </w:trPr>
        <w:tc>
          <w:tcPr>
            <w:tcW w:w="983" w:type="dxa"/>
            <w:vMerge w:val="continue"/>
            <w:vAlign w:val="center"/>
          </w:tcPr>
          <w:p w14:paraId="073DFE43">
            <w:pPr>
              <w:pStyle w:val="178"/>
            </w:pPr>
          </w:p>
        </w:tc>
        <w:tc>
          <w:tcPr>
            <w:tcW w:w="1485" w:type="dxa"/>
            <w:vAlign w:val="center"/>
          </w:tcPr>
          <w:p w14:paraId="704FFF3E">
            <w:pPr>
              <w:pStyle w:val="178"/>
            </w:pPr>
            <w:r>
              <w:rPr>
                <w:rFonts w:hint="eastAsia"/>
                <w:color w:val="000000"/>
                <w:szCs w:val="18"/>
              </w:rPr>
              <w:t>指挥学基础</w:t>
            </w:r>
          </w:p>
        </w:tc>
        <w:tc>
          <w:tcPr>
            <w:tcW w:w="785" w:type="dxa"/>
            <w:vAlign w:val="center"/>
          </w:tcPr>
          <w:p w14:paraId="47FFE27D">
            <w:pPr>
              <w:pStyle w:val="178"/>
            </w:pPr>
            <w:r>
              <w:rPr/>
              <w:sym w:font="Wingdings 2" w:char="F0A3"/>
            </w:r>
          </w:p>
        </w:tc>
        <w:tc>
          <w:tcPr>
            <w:tcW w:w="756" w:type="dxa"/>
            <w:vMerge w:val="continue"/>
            <w:vAlign w:val="center"/>
          </w:tcPr>
          <w:p w14:paraId="3EA09DB7">
            <w:pPr>
              <w:pStyle w:val="178"/>
            </w:pPr>
          </w:p>
        </w:tc>
        <w:tc>
          <w:tcPr>
            <w:tcW w:w="756" w:type="dxa"/>
            <w:vMerge w:val="continue"/>
            <w:vAlign w:val="center"/>
          </w:tcPr>
          <w:p w14:paraId="32CF5A2F">
            <w:pPr>
              <w:pStyle w:val="178"/>
            </w:pPr>
          </w:p>
        </w:tc>
        <w:tc>
          <w:tcPr>
            <w:tcW w:w="785" w:type="dxa"/>
            <w:vAlign w:val="center"/>
          </w:tcPr>
          <w:p w14:paraId="57C39BB5">
            <w:pPr>
              <w:pStyle w:val="178"/>
            </w:pPr>
            <w:r>
              <w:rPr/>
              <w:sym w:font="Wingdings 2" w:char="F0A3"/>
            </w:r>
          </w:p>
        </w:tc>
        <w:tc>
          <w:tcPr>
            <w:tcW w:w="756" w:type="dxa"/>
            <w:vMerge w:val="continue"/>
            <w:vAlign w:val="center"/>
          </w:tcPr>
          <w:p w14:paraId="06395868">
            <w:pPr>
              <w:pStyle w:val="178"/>
            </w:pPr>
          </w:p>
        </w:tc>
        <w:tc>
          <w:tcPr>
            <w:tcW w:w="756" w:type="dxa"/>
            <w:vMerge w:val="continue"/>
            <w:vAlign w:val="center"/>
          </w:tcPr>
          <w:p w14:paraId="6101459A">
            <w:pPr>
              <w:pStyle w:val="178"/>
            </w:pPr>
          </w:p>
        </w:tc>
        <w:tc>
          <w:tcPr>
            <w:tcW w:w="721" w:type="dxa"/>
            <w:vAlign w:val="center"/>
          </w:tcPr>
          <w:p w14:paraId="08D80B27">
            <w:pPr>
              <w:pStyle w:val="178"/>
            </w:pPr>
            <w:r>
              <w:rPr/>
              <w:sym w:font="Wingdings 2" w:char="F0A3"/>
            </w:r>
          </w:p>
        </w:tc>
        <w:tc>
          <w:tcPr>
            <w:tcW w:w="721" w:type="dxa"/>
            <w:vMerge w:val="continue"/>
            <w:vAlign w:val="center"/>
          </w:tcPr>
          <w:p w14:paraId="6330815A">
            <w:pPr>
              <w:pStyle w:val="178"/>
            </w:pPr>
          </w:p>
        </w:tc>
        <w:tc>
          <w:tcPr>
            <w:tcW w:w="721" w:type="dxa"/>
            <w:vMerge w:val="continue"/>
            <w:vAlign w:val="center"/>
          </w:tcPr>
          <w:p w14:paraId="56DF3DA6">
            <w:pPr>
              <w:pStyle w:val="178"/>
            </w:pPr>
          </w:p>
        </w:tc>
      </w:tr>
      <w:tr w14:paraId="686A7F37">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0" w:type="dxa"/>
            <w:bottom w:w="0" w:type="dxa"/>
            <w:right w:w="100" w:type="dxa"/>
          </w:tblCellMar>
        </w:tblPrEx>
        <w:trPr>
          <w:trHeight w:val="340" w:hRule="atLeast"/>
          <w:jc w:val="center"/>
        </w:trPr>
        <w:tc>
          <w:tcPr>
            <w:tcW w:w="983" w:type="dxa"/>
            <w:vMerge w:val="continue"/>
            <w:vAlign w:val="center"/>
          </w:tcPr>
          <w:p w14:paraId="1B78FFAF">
            <w:pPr>
              <w:pStyle w:val="178"/>
            </w:pPr>
          </w:p>
        </w:tc>
        <w:tc>
          <w:tcPr>
            <w:tcW w:w="1485" w:type="dxa"/>
            <w:vAlign w:val="center"/>
          </w:tcPr>
          <w:p w14:paraId="0BF590A7">
            <w:pPr>
              <w:pStyle w:val="178"/>
            </w:pPr>
            <w:r>
              <w:rPr>
                <w:rFonts w:hint="eastAsia"/>
                <w:color w:val="000000"/>
                <w:szCs w:val="18"/>
              </w:rPr>
              <w:t>林火原理</w:t>
            </w:r>
          </w:p>
        </w:tc>
        <w:tc>
          <w:tcPr>
            <w:tcW w:w="785" w:type="dxa"/>
            <w:vAlign w:val="center"/>
          </w:tcPr>
          <w:p w14:paraId="66BB135C">
            <w:pPr>
              <w:pStyle w:val="178"/>
            </w:pPr>
            <w:r>
              <w:rPr/>
              <w:sym w:font="Wingdings 2" w:char="F0A3"/>
            </w:r>
          </w:p>
        </w:tc>
        <w:tc>
          <w:tcPr>
            <w:tcW w:w="756" w:type="dxa"/>
            <w:vMerge w:val="continue"/>
            <w:vAlign w:val="center"/>
          </w:tcPr>
          <w:p w14:paraId="31E28F35">
            <w:pPr>
              <w:pStyle w:val="178"/>
            </w:pPr>
          </w:p>
        </w:tc>
        <w:tc>
          <w:tcPr>
            <w:tcW w:w="756" w:type="dxa"/>
            <w:vMerge w:val="continue"/>
            <w:vAlign w:val="center"/>
          </w:tcPr>
          <w:p w14:paraId="5B9CB57A">
            <w:pPr>
              <w:pStyle w:val="178"/>
            </w:pPr>
          </w:p>
        </w:tc>
        <w:tc>
          <w:tcPr>
            <w:tcW w:w="785" w:type="dxa"/>
            <w:vAlign w:val="center"/>
          </w:tcPr>
          <w:p w14:paraId="25EADF44">
            <w:pPr>
              <w:pStyle w:val="178"/>
            </w:pPr>
            <w:r>
              <w:rPr/>
              <w:sym w:font="Wingdings 2" w:char="F0A3"/>
            </w:r>
          </w:p>
        </w:tc>
        <w:tc>
          <w:tcPr>
            <w:tcW w:w="756" w:type="dxa"/>
            <w:vMerge w:val="continue"/>
            <w:vAlign w:val="center"/>
          </w:tcPr>
          <w:p w14:paraId="3E83F44B">
            <w:pPr>
              <w:pStyle w:val="178"/>
            </w:pPr>
          </w:p>
        </w:tc>
        <w:tc>
          <w:tcPr>
            <w:tcW w:w="756" w:type="dxa"/>
            <w:vMerge w:val="continue"/>
            <w:vAlign w:val="center"/>
          </w:tcPr>
          <w:p w14:paraId="673FAAC0">
            <w:pPr>
              <w:pStyle w:val="178"/>
            </w:pPr>
          </w:p>
        </w:tc>
        <w:tc>
          <w:tcPr>
            <w:tcW w:w="721" w:type="dxa"/>
            <w:vAlign w:val="center"/>
          </w:tcPr>
          <w:p w14:paraId="108668DC">
            <w:pPr>
              <w:pStyle w:val="178"/>
            </w:pPr>
            <w:r>
              <w:rPr/>
              <w:sym w:font="Wingdings 2" w:char="F0A3"/>
            </w:r>
          </w:p>
        </w:tc>
        <w:tc>
          <w:tcPr>
            <w:tcW w:w="721" w:type="dxa"/>
            <w:vMerge w:val="continue"/>
            <w:vAlign w:val="center"/>
          </w:tcPr>
          <w:p w14:paraId="0F7182FC">
            <w:pPr>
              <w:pStyle w:val="178"/>
            </w:pPr>
          </w:p>
        </w:tc>
        <w:tc>
          <w:tcPr>
            <w:tcW w:w="721" w:type="dxa"/>
            <w:vMerge w:val="continue"/>
            <w:vAlign w:val="center"/>
          </w:tcPr>
          <w:p w14:paraId="10BAC6D4">
            <w:pPr>
              <w:pStyle w:val="178"/>
            </w:pPr>
          </w:p>
        </w:tc>
      </w:tr>
      <w:tr w14:paraId="41136095">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0" w:type="dxa"/>
            <w:bottom w:w="0" w:type="dxa"/>
            <w:right w:w="100" w:type="dxa"/>
          </w:tblCellMar>
        </w:tblPrEx>
        <w:trPr>
          <w:trHeight w:val="340" w:hRule="atLeast"/>
          <w:jc w:val="center"/>
        </w:trPr>
        <w:tc>
          <w:tcPr>
            <w:tcW w:w="983" w:type="dxa"/>
            <w:vMerge w:val="continue"/>
            <w:vAlign w:val="center"/>
          </w:tcPr>
          <w:p w14:paraId="589F56C4">
            <w:pPr>
              <w:pStyle w:val="178"/>
            </w:pPr>
          </w:p>
        </w:tc>
        <w:tc>
          <w:tcPr>
            <w:tcW w:w="1485" w:type="dxa"/>
            <w:vAlign w:val="center"/>
          </w:tcPr>
          <w:p w14:paraId="73D08BB8">
            <w:pPr>
              <w:pStyle w:val="178"/>
            </w:pPr>
            <w:r>
              <w:rPr>
                <w:rFonts w:hint="eastAsia"/>
                <w:color w:val="000000"/>
                <w:szCs w:val="18"/>
              </w:rPr>
              <w:t>防火勤务</w:t>
            </w:r>
          </w:p>
        </w:tc>
        <w:tc>
          <w:tcPr>
            <w:tcW w:w="785" w:type="dxa"/>
            <w:vAlign w:val="center"/>
          </w:tcPr>
          <w:p w14:paraId="228D0EFA">
            <w:pPr>
              <w:pStyle w:val="178"/>
            </w:pPr>
            <w:r>
              <w:rPr/>
              <w:sym w:font="Wingdings 2" w:char="F0A3"/>
            </w:r>
          </w:p>
        </w:tc>
        <w:tc>
          <w:tcPr>
            <w:tcW w:w="756" w:type="dxa"/>
            <w:vMerge w:val="continue"/>
            <w:vAlign w:val="center"/>
          </w:tcPr>
          <w:p w14:paraId="18844D7C">
            <w:pPr>
              <w:pStyle w:val="178"/>
            </w:pPr>
          </w:p>
        </w:tc>
        <w:tc>
          <w:tcPr>
            <w:tcW w:w="756" w:type="dxa"/>
            <w:vMerge w:val="continue"/>
            <w:vAlign w:val="center"/>
          </w:tcPr>
          <w:p w14:paraId="269D5E86">
            <w:pPr>
              <w:pStyle w:val="178"/>
            </w:pPr>
          </w:p>
        </w:tc>
        <w:tc>
          <w:tcPr>
            <w:tcW w:w="785" w:type="dxa"/>
            <w:vAlign w:val="center"/>
          </w:tcPr>
          <w:p w14:paraId="7E3FF14D">
            <w:pPr>
              <w:pStyle w:val="178"/>
            </w:pPr>
            <w:r>
              <w:rPr/>
              <w:sym w:font="Wingdings 2" w:char="F0A3"/>
            </w:r>
          </w:p>
        </w:tc>
        <w:tc>
          <w:tcPr>
            <w:tcW w:w="756" w:type="dxa"/>
            <w:vMerge w:val="continue"/>
            <w:vAlign w:val="center"/>
          </w:tcPr>
          <w:p w14:paraId="761900C5">
            <w:pPr>
              <w:pStyle w:val="178"/>
            </w:pPr>
          </w:p>
        </w:tc>
        <w:tc>
          <w:tcPr>
            <w:tcW w:w="756" w:type="dxa"/>
            <w:vMerge w:val="continue"/>
            <w:vAlign w:val="center"/>
          </w:tcPr>
          <w:p w14:paraId="383F71B0">
            <w:pPr>
              <w:pStyle w:val="178"/>
            </w:pPr>
          </w:p>
        </w:tc>
        <w:tc>
          <w:tcPr>
            <w:tcW w:w="721" w:type="dxa"/>
            <w:vAlign w:val="center"/>
          </w:tcPr>
          <w:p w14:paraId="74F94AF8">
            <w:pPr>
              <w:pStyle w:val="178"/>
            </w:pPr>
            <w:r>
              <w:rPr/>
              <w:sym w:font="Wingdings 2" w:char="F0A3"/>
            </w:r>
          </w:p>
        </w:tc>
        <w:tc>
          <w:tcPr>
            <w:tcW w:w="721" w:type="dxa"/>
            <w:vMerge w:val="continue"/>
            <w:vAlign w:val="center"/>
          </w:tcPr>
          <w:p w14:paraId="1ABE0ABA">
            <w:pPr>
              <w:pStyle w:val="178"/>
            </w:pPr>
          </w:p>
        </w:tc>
        <w:tc>
          <w:tcPr>
            <w:tcW w:w="721" w:type="dxa"/>
            <w:vMerge w:val="continue"/>
            <w:vAlign w:val="center"/>
          </w:tcPr>
          <w:p w14:paraId="07AE3427">
            <w:pPr>
              <w:pStyle w:val="178"/>
            </w:pPr>
          </w:p>
        </w:tc>
      </w:tr>
      <w:tr w14:paraId="5F241EFB">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0" w:type="dxa"/>
            <w:bottom w:w="0" w:type="dxa"/>
            <w:right w:w="100" w:type="dxa"/>
          </w:tblCellMar>
        </w:tblPrEx>
        <w:trPr>
          <w:trHeight w:val="340" w:hRule="atLeast"/>
          <w:jc w:val="center"/>
        </w:trPr>
        <w:tc>
          <w:tcPr>
            <w:tcW w:w="983" w:type="dxa"/>
            <w:vMerge w:val="continue"/>
            <w:vAlign w:val="center"/>
          </w:tcPr>
          <w:p w14:paraId="1F6D189C">
            <w:pPr>
              <w:pStyle w:val="178"/>
            </w:pPr>
          </w:p>
        </w:tc>
        <w:tc>
          <w:tcPr>
            <w:tcW w:w="1485" w:type="dxa"/>
            <w:vAlign w:val="center"/>
          </w:tcPr>
          <w:p w14:paraId="3755E267">
            <w:pPr>
              <w:pStyle w:val="178"/>
            </w:pPr>
            <w:r>
              <w:rPr>
                <w:rFonts w:hint="eastAsia"/>
                <w:color w:val="000000"/>
                <w:szCs w:val="18"/>
              </w:rPr>
              <w:t>林火管理政策与法规</w:t>
            </w:r>
          </w:p>
        </w:tc>
        <w:tc>
          <w:tcPr>
            <w:tcW w:w="785" w:type="dxa"/>
            <w:vAlign w:val="center"/>
          </w:tcPr>
          <w:p w14:paraId="74DB5910">
            <w:pPr>
              <w:pStyle w:val="178"/>
            </w:pPr>
            <w:r>
              <w:rPr/>
              <w:sym w:font="Wingdings 2" w:char="F0A3"/>
            </w:r>
          </w:p>
        </w:tc>
        <w:tc>
          <w:tcPr>
            <w:tcW w:w="756" w:type="dxa"/>
            <w:vMerge w:val="continue"/>
            <w:vAlign w:val="center"/>
          </w:tcPr>
          <w:p w14:paraId="1DF4BE3D">
            <w:pPr>
              <w:pStyle w:val="178"/>
            </w:pPr>
          </w:p>
        </w:tc>
        <w:tc>
          <w:tcPr>
            <w:tcW w:w="756" w:type="dxa"/>
            <w:vMerge w:val="continue"/>
            <w:vAlign w:val="center"/>
          </w:tcPr>
          <w:p w14:paraId="5132F4B7">
            <w:pPr>
              <w:pStyle w:val="178"/>
            </w:pPr>
          </w:p>
        </w:tc>
        <w:tc>
          <w:tcPr>
            <w:tcW w:w="785" w:type="dxa"/>
            <w:vAlign w:val="center"/>
          </w:tcPr>
          <w:p w14:paraId="2AE2E00E">
            <w:pPr>
              <w:pStyle w:val="178"/>
            </w:pPr>
            <w:r>
              <w:rPr/>
              <w:sym w:font="Wingdings 2" w:char="F0A3"/>
            </w:r>
          </w:p>
        </w:tc>
        <w:tc>
          <w:tcPr>
            <w:tcW w:w="756" w:type="dxa"/>
            <w:vMerge w:val="continue"/>
            <w:vAlign w:val="center"/>
          </w:tcPr>
          <w:p w14:paraId="5CBA4F2D">
            <w:pPr>
              <w:pStyle w:val="178"/>
            </w:pPr>
          </w:p>
        </w:tc>
        <w:tc>
          <w:tcPr>
            <w:tcW w:w="756" w:type="dxa"/>
            <w:vMerge w:val="continue"/>
            <w:vAlign w:val="center"/>
          </w:tcPr>
          <w:p w14:paraId="727C663C">
            <w:pPr>
              <w:pStyle w:val="178"/>
            </w:pPr>
          </w:p>
        </w:tc>
        <w:tc>
          <w:tcPr>
            <w:tcW w:w="721" w:type="dxa"/>
            <w:vAlign w:val="center"/>
          </w:tcPr>
          <w:p w14:paraId="296AF36D">
            <w:pPr>
              <w:pStyle w:val="178"/>
            </w:pPr>
            <w:r>
              <w:rPr/>
              <w:sym w:font="Wingdings 2" w:char="F0A3"/>
            </w:r>
          </w:p>
        </w:tc>
        <w:tc>
          <w:tcPr>
            <w:tcW w:w="721" w:type="dxa"/>
            <w:vMerge w:val="continue"/>
            <w:vAlign w:val="center"/>
          </w:tcPr>
          <w:p w14:paraId="0709582B">
            <w:pPr>
              <w:pStyle w:val="178"/>
            </w:pPr>
          </w:p>
        </w:tc>
        <w:tc>
          <w:tcPr>
            <w:tcW w:w="721" w:type="dxa"/>
            <w:vMerge w:val="continue"/>
            <w:vAlign w:val="center"/>
          </w:tcPr>
          <w:p w14:paraId="0C882C9C">
            <w:pPr>
              <w:pStyle w:val="178"/>
            </w:pPr>
          </w:p>
        </w:tc>
      </w:tr>
      <w:tr w14:paraId="32A4C72E">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0" w:type="dxa"/>
            <w:bottom w:w="0" w:type="dxa"/>
            <w:right w:w="100" w:type="dxa"/>
          </w:tblCellMar>
        </w:tblPrEx>
        <w:trPr>
          <w:trHeight w:val="340" w:hRule="atLeast"/>
          <w:jc w:val="center"/>
        </w:trPr>
        <w:tc>
          <w:tcPr>
            <w:tcW w:w="983" w:type="dxa"/>
            <w:vMerge w:val="restart"/>
            <w:vAlign w:val="center"/>
          </w:tcPr>
          <w:p w14:paraId="07C579E0">
            <w:pPr>
              <w:pStyle w:val="178"/>
            </w:pPr>
            <w:r>
              <w:rPr>
                <w:rFonts w:hint="eastAsia"/>
              </w:rPr>
              <w:t>灭火装备</w:t>
            </w:r>
          </w:p>
        </w:tc>
        <w:tc>
          <w:tcPr>
            <w:tcW w:w="1485" w:type="dxa"/>
            <w:tcBorders>
              <w:bottom w:val="single" w:color="auto" w:sz="4" w:space="0"/>
            </w:tcBorders>
            <w:vAlign w:val="center"/>
          </w:tcPr>
          <w:p w14:paraId="3DE12F10">
            <w:pPr>
              <w:pStyle w:val="178"/>
            </w:pPr>
            <w:r>
              <w:rPr>
                <w:rFonts w:hint="eastAsia"/>
                <w:color w:val="000000"/>
                <w:szCs w:val="18"/>
              </w:rPr>
              <w:t>装备操作与使用</w:t>
            </w:r>
          </w:p>
        </w:tc>
        <w:tc>
          <w:tcPr>
            <w:tcW w:w="785" w:type="dxa"/>
            <w:tcBorders>
              <w:bottom w:val="single" w:color="auto" w:sz="4" w:space="0"/>
            </w:tcBorders>
            <w:vAlign w:val="center"/>
          </w:tcPr>
          <w:p w14:paraId="02D7447E">
            <w:pPr>
              <w:pStyle w:val="178"/>
            </w:pPr>
            <w:r>
              <w:rPr>
                <w:rFonts w:hint="eastAsia"/>
              </w:rPr>
              <w:t>—</w:t>
            </w:r>
          </w:p>
        </w:tc>
        <w:tc>
          <w:tcPr>
            <w:tcW w:w="756" w:type="dxa"/>
            <w:vMerge w:val="restart"/>
            <w:vAlign w:val="center"/>
          </w:tcPr>
          <w:p w14:paraId="176B5AC9">
            <w:pPr>
              <w:pStyle w:val="178"/>
            </w:pPr>
            <w:r>
              <w:rPr>
                <w:rFonts w:hint="eastAsia"/>
              </w:rPr>
              <w:t>10</w:t>
            </w:r>
          </w:p>
        </w:tc>
        <w:tc>
          <w:tcPr>
            <w:tcW w:w="756" w:type="dxa"/>
            <w:vMerge w:val="restart"/>
            <w:vAlign w:val="center"/>
          </w:tcPr>
          <w:p w14:paraId="0C868FAA">
            <w:pPr>
              <w:pStyle w:val="178"/>
            </w:pPr>
            <w:r>
              <w:rPr>
                <w:rFonts w:hint="eastAsia"/>
              </w:rPr>
              <w:t>0</w:t>
            </w:r>
          </w:p>
        </w:tc>
        <w:tc>
          <w:tcPr>
            <w:tcW w:w="785" w:type="dxa"/>
            <w:tcBorders>
              <w:bottom w:val="single" w:color="auto" w:sz="4" w:space="0"/>
            </w:tcBorders>
            <w:vAlign w:val="center"/>
          </w:tcPr>
          <w:p w14:paraId="2142318B">
            <w:pPr>
              <w:pStyle w:val="178"/>
            </w:pPr>
            <w:r>
              <w:rPr>
                <w:rFonts w:hint="eastAsia"/>
              </w:rPr>
              <w:t>—</w:t>
            </w:r>
          </w:p>
        </w:tc>
        <w:tc>
          <w:tcPr>
            <w:tcW w:w="756" w:type="dxa"/>
            <w:vMerge w:val="restart"/>
            <w:vAlign w:val="center"/>
          </w:tcPr>
          <w:p w14:paraId="03737199">
            <w:pPr>
              <w:pStyle w:val="178"/>
            </w:pPr>
            <w:r>
              <w:rPr>
                <w:rFonts w:hint="eastAsia"/>
              </w:rPr>
              <w:t>10</w:t>
            </w:r>
          </w:p>
        </w:tc>
        <w:tc>
          <w:tcPr>
            <w:tcW w:w="756" w:type="dxa"/>
            <w:vMerge w:val="restart"/>
            <w:vAlign w:val="center"/>
          </w:tcPr>
          <w:p w14:paraId="7ED9B4B9">
            <w:pPr>
              <w:pStyle w:val="178"/>
            </w:pPr>
            <w:r>
              <w:rPr>
                <w:rFonts w:hint="eastAsia"/>
              </w:rPr>
              <w:t>0</w:t>
            </w:r>
          </w:p>
        </w:tc>
        <w:tc>
          <w:tcPr>
            <w:tcW w:w="721" w:type="dxa"/>
            <w:tcBorders>
              <w:bottom w:val="single" w:color="auto" w:sz="4" w:space="0"/>
            </w:tcBorders>
            <w:vAlign w:val="center"/>
          </w:tcPr>
          <w:p w14:paraId="00F71B9E">
            <w:pPr>
              <w:pStyle w:val="178"/>
            </w:pPr>
            <w:r>
              <w:rPr/>
              <w:sym w:font="Wingdings 2" w:char="F0A2"/>
            </w:r>
          </w:p>
        </w:tc>
        <w:tc>
          <w:tcPr>
            <w:tcW w:w="721" w:type="dxa"/>
            <w:vMerge w:val="restart"/>
            <w:vAlign w:val="center"/>
          </w:tcPr>
          <w:p w14:paraId="22EB19FF">
            <w:pPr>
              <w:pStyle w:val="178"/>
            </w:pPr>
            <w:r>
              <w:rPr>
                <w:rFonts w:hint="eastAsia"/>
              </w:rPr>
              <w:t>0</w:t>
            </w:r>
          </w:p>
        </w:tc>
        <w:tc>
          <w:tcPr>
            <w:tcW w:w="721" w:type="dxa"/>
            <w:vMerge w:val="restart"/>
            <w:vAlign w:val="center"/>
          </w:tcPr>
          <w:p w14:paraId="30511BD0">
            <w:pPr>
              <w:pStyle w:val="178"/>
            </w:pPr>
            <w:r>
              <w:rPr>
                <w:rFonts w:hint="eastAsia"/>
              </w:rPr>
              <w:t>10</w:t>
            </w:r>
          </w:p>
        </w:tc>
      </w:tr>
      <w:tr w14:paraId="32E5A70D">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0" w:type="dxa"/>
            <w:bottom w:w="0" w:type="dxa"/>
            <w:right w:w="100" w:type="dxa"/>
          </w:tblCellMar>
        </w:tblPrEx>
        <w:trPr>
          <w:trHeight w:val="340" w:hRule="atLeast"/>
          <w:jc w:val="center"/>
        </w:trPr>
        <w:tc>
          <w:tcPr>
            <w:tcW w:w="983" w:type="dxa"/>
            <w:vMerge w:val="continue"/>
            <w:tcBorders>
              <w:bottom w:val="single" w:color="auto" w:sz="4" w:space="0"/>
            </w:tcBorders>
            <w:vAlign w:val="center"/>
          </w:tcPr>
          <w:p w14:paraId="7679EBEA">
            <w:pPr>
              <w:pStyle w:val="178"/>
            </w:pPr>
          </w:p>
        </w:tc>
        <w:tc>
          <w:tcPr>
            <w:tcW w:w="1485" w:type="dxa"/>
            <w:tcBorders>
              <w:top w:val="single" w:color="auto" w:sz="4" w:space="0"/>
              <w:bottom w:val="single" w:color="auto" w:sz="4" w:space="0"/>
            </w:tcBorders>
            <w:vAlign w:val="center"/>
          </w:tcPr>
          <w:p w14:paraId="3E5C5B0B">
            <w:pPr>
              <w:pStyle w:val="178"/>
            </w:pPr>
            <w:r>
              <w:rPr>
                <w:rFonts w:hint="eastAsia"/>
                <w:color w:val="000000"/>
                <w:szCs w:val="18"/>
              </w:rPr>
              <w:t>装备体系建设</w:t>
            </w:r>
          </w:p>
        </w:tc>
        <w:tc>
          <w:tcPr>
            <w:tcW w:w="785" w:type="dxa"/>
            <w:tcBorders>
              <w:top w:val="single" w:color="auto" w:sz="4" w:space="0"/>
              <w:bottom w:val="single" w:color="auto" w:sz="4" w:space="0"/>
            </w:tcBorders>
            <w:vAlign w:val="center"/>
          </w:tcPr>
          <w:p w14:paraId="781D8DEF">
            <w:pPr>
              <w:pStyle w:val="178"/>
            </w:pPr>
            <w:r>
              <w:rPr/>
              <w:sym w:font="Wingdings 2" w:char="F0A3"/>
            </w:r>
          </w:p>
        </w:tc>
        <w:tc>
          <w:tcPr>
            <w:tcW w:w="756" w:type="dxa"/>
            <w:vMerge w:val="continue"/>
            <w:vAlign w:val="center"/>
          </w:tcPr>
          <w:p w14:paraId="20DAFAF8">
            <w:pPr>
              <w:pStyle w:val="178"/>
            </w:pPr>
          </w:p>
        </w:tc>
        <w:tc>
          <w:tcPr>
            <w:tcW w:w="756" w:type="dxa"/>
            <w:vMerge w:val="continue"/>
            <w:vAlign w:val="center"/>
          </w:tcPr>
          <w:p w14:paraId="0BDABA5D">
            <w:pPr>
              <w:pStyle w:val="178"/>
            </w:pPr>
          </w:p>
        </w:tc>
        <w:tc>
          <w:tcPr>
            <w:tcW w:w="785" w:type="dxa"/>
            <w:tcBorders>
              <w:top w:val="single" w:color="auto" w:sz="4" w:space="0"/>
            </w:tcBorders>
            <w:vAlign w:val="center"/>
          </w:tcPr>
          <w:p w14:paraId="612C3316">
            <w:pPr>
              <w:pStyle w:val="178"/>
            </w:pPr>
            <w:r>
              <w:rPr/>
              <w:sym w:font="Wingdings 2" w:char="F0A3"/>
            </w:r>
          </w:p>
        </w:tc>
        <w:tc>
          <w:tcPr>
            <w:tcW w:w="756" w:type="dxa"/>
            <w:vMerge w:val="continue"/>
            <w:vAlign w:val="center"/>
          </w:tcPr>
          <w:p w14:paraId="77B0C0C2">
            <w:pPr>
              <w:pStyle w:val="178"/>
            </w:pPr>
          </w:p>
        </w:tc>
        <w:tc>
          <w:tcPr>
            <w:tcW w:w="756" w:type="dxa"/>
            <w:vMerge w:val="continue"/>
            <w:vAlign w:val="center"/>
          </w:tcPr>
          <w:p w14:paraId="52DFD6A6">
            <w:pPr>
              <w:pStyle w:val="178"/>
            </w:pPr>
          </w:p>
        </w:tc>
        <w:tc>
          <w:tcPr>
            <w:tcW w:w="721" w:type="dxa"/>
            <w:tcBorders>
              <w:top w:val="single" w:color="auto" w:sz="4" w:space="0"/>
            </w:tcBorders>
            <w:vAlign w:val="center"/>
          </w:tcPr>
          <w:p w14:paraId="703A8807">
            <w:pPr>
              <w:pStyle w:val="178"/>
            </w:pPr>
            <w:r>
              <w:rPr>
                <w:rFonts w:hint="eastAsia"/>
              </w:rPr>
              <w:t>—</w:t>
            </w:r>
          </w:p>
        </w:tc>
        <w:tc>
          <w:tcPr>
            <w:tcW w:w="721" w:type="dxa"/>
            <w:vMerge w:val="continue"/>
            <w:vAlign w:val="center"/>
          </w:tcPr>
          <w:p w14:paraId="108159B3">
            <w:pPr>
              <w:pStyle w:val="178"/>
            </w:pPr>
          </w:p>
        </w:tc>
        <w:tc>
          <w:tcPr>
            <w:tcW w:w="721" w:type="dxa"/>
            <w:vMerge w:val="continue"/>
            <w:vAlign w:val="center"/>
          </w:tcPr>
          <w:p w14:paraId="4D5AE3E5">
            <w:pPr>
              <w:pStyle w:val="178"/>
            </w:pPr>
          </w:p>
        </w:tc>
      </w:tr>
      <w:tr w14:paraId="35C7258E">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0" w:type="dxa"/>
            <w:bottom w:w="0" w:type="dxa"/>
            <w:right w:w="100" w:type="dxa"/>
          </w:tblCellMar>
        </w:tblPrEx>
        <w:trPr>
          <w:trHeight w:val="340" w:hRule="atLeast"/>
          <w:jc w:val="center"/>
        </w:trPr>
        <w:tc>
          <w:tcPr>
            <w:tcW w:w="983" w:type="dxa"/>
            <w:vMerge w:val="restart"/>
            <w:tcBorders>
              <w:top w:val="single" w:color="auto" w:sz="4" w:space="0"/>
              <w:bottom w:val="single" w:color="auto" w:sz="4" w:space="0"/>
            </w:tcBorders>
            <w:vAlign w:val="center"/>
          </w:tcPr>
          <w:p w14:paraId="2F4675EA">
            <w:pPr>
              <w:pStyle w:val="178"/>
            </w:pPr>
            <w:r>
              <w:rPr>
                <w:rFonts w:hint="eastAsia"/>
              </w:rPr>
              <w:t>灭火技术</w:t>
            </w:r>
          </w:p>
        </w:tc>
        <w:tc>
          <w:tcPr>
            <w:tcW w:w="1485" w:type="dxa"/>
            <w:tcBorders>
              <w:top w:val="single" w:color="auto" w:sz="4" w:space="0"/>
              <w:bottom w:val="single" w:color="auto" w:sz="4" w:space="0"/>
            </w:tcBorders>
            <w:vAlign w:val="center"/>
          </w:tcPr>
          <w:p w14:paraId="3D2663D4">
            <w:pPr>
              <w:pStyle w:val="178"/>
            </w:pPr>
            <w:r>
              <w:rPr>
                <w:rFonts w:hint="eastAsia"/>
                <w:color w:val="000000"/>
                <w:szCs w:val="18"/>
              </w:rPr>
              <w:t>地面灭火技术</w:t>
            </w:r>
          </w:p>
        </w:tc>
        <w:tc>
          <w:tcPr>
            <w:tcW w:w="785" w:type="dxa"/>
            <w:tcBorders>
              <w:top w:val="single" w:color="auto" w:sz="4" w:space="0"/>
              <w:bottom w:val="single" w:color="auto" w:sz="4" w:space="0"/>
            </w:tcBorders>
            <w:vAlign w:val="center"/>
          </w:tcPr>
          <w:p w14:paraId="04D0A358">
            <w:pPr>
              <w:pStyle w:val="178"/>
            </w:pPr>
            <w:r>
              <w:rPr/>
              <w:sym w:font="Wingdings 2" w:char="F0A3"/>
            </w:r>
          </w:p>
        </w:tc>
        <w:tc>
          <w:tcPr>
            <w:tcW w:w="756" w:type="dxa"/>
            <w:vMerge w:val="restart"/>
            <w:vAlign w:val="center"/>
          </w:tcPr>
          <w:p w14:paraId="53172CF3">
            <w:pPr>
              <w:pStyle w:val="178"/>
            </w:pPr>
            <w:r>
              <w:rPr>
                <w:rFonts w:hint="eastAsia"/>
              </w:rPr>
              <w:t>10</w:t>
            </w:r>
          </w:p>
        </w:tc>
        <w:tc>
          <w:tcPr>
            <w:tcW w:w="756" w:type="dxa"/>
            <w:vMerge w:val="restart"/>
            <w:vAlign w:val="center"/>
          </w:tcPr>
          <w:p w14:paraId="3B245925">
            <w:pPr>
              <w:pStyle w:val="178"/>
            </w:pPr>
            <w:r>
              <w:rPr>
                <w:rFonts w:hint="eastAsia"/>
              </w:rPr>
              <w:t>0</w:t>
            </w:r>
          </w:p>
        </w:tc>
        <w:tc>
          <w:tcPr>
            <w:tcW w:w="785" w:type="dxa"/>
            <w:vAlign w:val="center"/>
          </w:tcPr>
          <w:p w14:paraId="7C7CA55F">
            <w:pPr>
              <w:pStyle w:val="178"/>
            </w:pPr>
            <w:r>
              <w:rPr/>
              <w:sym w:font="Wingdings 2" w:char="F0A3"/>
            </w:r>
          </w:p>
        </w:tc>
        <w:tc>
          <w:tcPr>
            <w:tcW w:w="756" w:type="dxa"/>
            <w:vMerge w:val="restart"/>
            <w:vAlign w:val="center"/>
          </w:tcPr>
          <w:p w14:paraId="54E131E9">
            <w:pPr>
              <w:pStyle w:val="178"/>
            </w:pPr>
            <w:r>
              <w:rPr>
                <w:rFonts w:hint="eastAsia"/>
              </w:rPr>
              <w:t>10</w:t>
            </w:r>
          </w:p>
        </w:tc>
        <w:tc>
          <w:tcPr>
            <w:tcW w:w="756" w:type="dxa"/>
            <w:vMerge w:val="restart"/>
            <w:vAlign w:val="center"/>
          </w:tcPr>
          <w:p w14:paraId="5E448FFC">
            <w:pPr>
              <w:pStyle w:val="178"/>
            </w:pPr>
            <w:r>
              <w:rPr>
                <w:rFonts w:hint="eastAsia"/>
              </w:rPr>
              <w:t>0</w:t>
            </w:r>
          </w:p>
        </w:tc>
        <w:tc>
          <w:tcPr>
            <w:tcW w:w="721" w:type="dxa"/>
            <w:vAlign w:val="center"/>
          </w:tcPr>
          <w:p w14:paraId="0754964F">
            <w:pPr>
              <w:pStyle w:val="178"/>
            </w:pPr>
            <w:r>
              <w:rPr/>
              <w:sym w:font="Wingdings 2" w:char="F0A2"/>
            </w:r>
          </w:p>
        </w:tc>
        <w:tc>
          <w:tcPr>
            <w:tcW w:w="721" w:type="dxa"/>
            <w:vMerge w:val="restart"/>
            <w:vAlign w:val="center"/>
          </w:tcPr>
          <w:p w14:paraId="53170D6B">
            <w:pPr>
              <w:pStyle w:val="178"/>
            </w:pPr>
            <w:r>
              <w:rPr>
                <w:rFonts w:hint="eastAsia"/>
              </w:rPr>
              <w:t>10</w:t>
            </w:r>
          </w:p>
        </w:tc>
        <w:tc>
          <w:tcPr>
            <w:tcW w:w="721" w:type="dxa"/>
            <w:vMerge w:val="restart"/>
            <w:vAlign w:val="center"/>
          </w:tcPr>
          <w:p w14:paraId="366AAEF8">
            <w:pPr>
              <w:pStyle w:val="178"/>
            </w:pPr>
            <w:r>
              <w:rPr>
                <w:rFonts w:hint="eastAsia"/>
              </w:rPr>
              <w:t>10</w:t>
            </w:r>
          </w:p>
        </w:tc>
      </w:tr>
      <w:tr w14:paraId="769BFF73">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0" w:type="dxa"/>
            <w:bottom w:w="0" w:type="dxa"/>
            <w:right w:w="100" w:type="dxa"/>
          </w:tblCellMar>
        </w:tblPrEx>
        <w:trPr>
          <w:trHeight w:val="340" w:hRule="atLeast"/>
          <w:jc w:val="center"/>
        </w:trPr>
        <w:tc>
          <w:tcPr>
            <w:tcW w:w="983" w:type="dxa"/>
            <w:vMerge w:val="continue"/>
            <w:tcBorders>
              <w:top w:val="single" w:color="auto" w:sz="4" w:space="0"/>
            </w:tcBorders>
            <w:vAlign w:val="center"/>
          </w:tcPr>
          <w:p w14:paraId="33F87AAC">
            <w:pPr>
              <w:pStyle w:val="178"/>
            </w:pPr>
          </w:p>
        </w:tc>
        <w:tc>
          <w:tcPr>
            <w:tcW w:w="1485" w:type="dxa"/>
            <w:tcBorders>
              <w:top w:val="single" w:color="auto" w:sz="4" w:space="0"/>
            </w:tcBorders>
            <w:vAlign w:val="center"/>
          </w:tcPr>
          <w:p w14:paraId="5E86FA44">
            <w:pPr>
              <w:pStyle w:val="178"/>
            </w:pPr>
            <w:r>
              <w:rPr>
                <w:rFonts w:hint="eastAsia"/>
                <w:color w:val="000000"/>
                <w:szCs w:val="18"/>
              </w:rPr>
              <w:t>航空灭火技术</w:t>
            </w:r>
          </w:p>
        </w:tc>
        <w:tc>
          <w:tcPr>
            <w:tcW w:w="785" w:type="dxa"/>
            <w:tcBorders>
              <w:top w:val="single" w:color="auto" w:sz="4" w:space="0"/>
            </w:tcBorders>
            <w:vAlign w:val="center"/>
          </w:tcPr>
          <w:p w14:paraId="7B3BDE1D">
            <w:pPr>
              <w:pStyle w:val="178"/>
            </w:pPr>
            <w:r>
              <w:rPr/>
              <w:sym w:font="Wingdings 2" w:char="F0A3"/>
            </w:r>
          </w:p>
        </w:tc>
        <w:tc>
          <w:tcPr>
            <w:tcW w:w="756" w:type="dxa"/>
            <w:vMerge w:val="continue"/>
            <w:vAlign w:val="center"/>
          </w:tcPr>
          <w:p w14:paraId="42C4EF74">
            <w:pPr>
              <w:pStyle w:val="178"/>
            </w:pPr>
          </w:p>
        </w:tc>
        <w:tc>
          <w:tcPr>
            <w:tcW w:w="756" w:type="dxa"/>
            <w:vMerge w:val="continue"/>
            <w:vAlign w:val="center"/>
          </w:tcPr>
          <w:p w14:paraId="182304CB">
            <w:pPr>
              <w:pStyle w:val="178"/>
            </w:pPr>
          </w:p>
        </w:tc>
        <w:tc>
          <w:tcPr>
            <w:tcW w:w="785" w:type="dxa"/>
            <w:vAlign w:val="center"/>
          </w:tcPr>
          <w:p w14:paraId="127B9672">
            <w:pPr>
              <w:pStyle w:val="178"/>
            </w:pPr>
            <w:r>
              <w:rPr/>
              <w:sym w:font="Wingdings 2" w:char="F0A3"/>
            </w:r>
          </w:p>
        </w:tc>
        <w:tc>
          <w:tcPr>
            <w:tcW w:w="756" w:type="dxa"/>
            <w:vMerge w:val="continue"/>
            <w:vAlign w:val="center"/>
          </w:tcPr>
          <w:p w14:paraId="2A475DD2">
            <w:pPr>
              <w:pStyle w:val="178"/>
            </w:pPr>
          </w:p>
        </w:tc>
        <w:tc>
          <w:tcPr>
            <w:tcW w:w="756" w:type="dxa"/>
            <w:vMerge w:val="continue"/>
            <w:vAlign w:val="center"/>
          </w:tcPr>
          <w:p w14:paraId="0EE702EE">
            <w:pPr>
              <w:pStyle w:val="178"/>
            </w:pPr>
          </w:p>
        </w:tc>
        <w:tc>
          <w:tcPr>
            <w:tcW w:w="721" w:type="dxa"/>
            <w:vAlign w:val="center"/>
          </w:tcPr>
          <w:p w14:paraId="4F681C6F">
            <w:pPr>
              <w:pStyle w:val="178"/>
            </w:pPr>
            <w:r>
              <w:rPr/>
              <w:sym w:font="Wingdings 2" w:char="F0A3"/>
            </w:r>
          </w:p>
        </w:tc>
        <w:tc>
          <w:tcPr>
            <w:tcW w:w="721" w:type="dxa"/>
            <w:vMerge w:val="continue"/>
            <w:vAlign w:val="center"/>
          </w:tcPr>
          <w:p w14:paraId="68179C19">
            <w:pPr>
              <w:pStyle w:val="178"/>
            </w:pPr>
          </w:p>
        </w:tc>
        <w:tc>
          <w:tcPr>
            <w:tcW w:w="721" w:type="dxa"/>
            <w:vMerge w:val="continue"/>
            <w:vAlign w:val="center"/>
          </w:tcPr>
          <w:p w14:paraId="6CCC59C0">
            <w:pPr>
              <w:pStyle w:val="178"/>
            </w:pPr>
          </w:p>
        </w:tc>
      </w:tr>
      <w:tr w14:paraId="3D7AA304">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0" w:type="dxa"/>
            <w:bottom w:w="0" w:type="dxa"/>
            <w:right w:w="100" w:type="dxa"/>
          </w:tblCellMar>
        </w:tblPrEx>
        <w:trPr>
          <w:trHeight w:val="340" w:hRule="atLeast"/>
          <w:jc w:val="center"/>
        </w:trPr>
        <w:tc>
          <w:tcPr>
            <w:tcW w:w="983" w:type="dxa"/>
            <w:vMerge w:val="restart"/>
            <w:vAlign w:val="center"/>
          </w:tcPr>
          <w:p w14:paraId="59A3E3C6">
            <w:pPr>
              <w:pStyle w:val="178"/>
            </w:pPr>
            <w:r>
              <w:rPr>
                <w:rFonts w:hint="eastAsia"/>
              </w:rPr>
              <w:t>灭火战术</w:t>
            </w:r>
          </w:p>
        </w:tc>
        <w:tc>
          <w:tcPr>
            <w:tcW w:w="1485" w:type="dxa"/>
            <w:vAlign w:val="center"/>
          </w:tcPr>
          <w:p w14:paraId="7F660CA6">
            <w:pPr>
              <w:pStyle w:val="178"/>
            </w:pPr>
            <w:r>
              <w:rPr>
                <w:rFonts w:hint="eastAsia"/>
                <w:color w:val="000000"/>
                <w:szCs w:val="18"/>
              </w:rPr>
              <w:t>战术运用</w:t>
            </w:r>
          </w:p>
        </w:tc>
        <w:tc>
          <w:tcPr>
            <w:tcW w:w="785" w:type="dxa"/>
            <w:vAlign w:val="center"/>
          </w:tcPr>
          <w:p w14:paraId="090047D3">
            <w:pPr>
              <w:pStyle w:val="178"/>
            </w:pPr>
            <w:r>
              <w:rPr/>
              <w:sym w:font="Wingdings 2" w:char="F0A3"/>
            </w:r>
            <w:r>
              <w:rPr>
                <w:rFonts w:hint="eastAsia"/>
              </w:rPr>
              <w:sym w:font="Wingdings 2" w:char="F0A2"/>
            </w:r>
          </w:p>
        </w:tc>
        <w:tc>
          <w:tcPr>
            <w:tcW w:w="756" w:type="dxa"/>
            <w:vMerge w:val="restart"/>
            <w:vAlign w:val="center"/>
          </w:tcPr>
          <w:p w14:paraId="6AD02585">
            <w:pPr>
              <w:pStyle w:val="178"/>
            </w:pPr>
            <w:r>
              <w:rPr>
                <w:rFonts w:hint="eastAsia"/>
              </w:rPr>
              <w:t>15</w:t>
            </w:r>
          </w:p>
        </w:tc>
        <w:tc>
          <w:tcPr>
            <w:tcW w:w="756" w:type="dxa"/>
            <w:vMerge w:val="restart"/>
            <w:vAlign w:val="center"/>
          </w:tcPr>
          <w:p w14:paraId="4E3C3E2D">
            <w:pPr>
              <w:pStyle w:val="178"/>
            </w:pPr>
            <w:r>
              <w:rPr>
                <w:rFonts w:hint="eastAsia"/>
              </w:rPr>
              <w:t>30</w:t>
            </w:r>
          </w:p>
        </w:tc>
        <w:tc>
          <w:tcPr>
            <w:tcW w:w="785" w:type="dxa"/>
            <w:vAlign w:val="center"/>
          </w:tcPr>
          <w:p w14:paraId="782A1CAF">
            <w:pPr>
              <w:pStyle w:val="178"/>
            </w:pPr>
            <w:r>
              <w:rPr/>
              <w:sym w:font="Wingdings 2" w:char="F0A3"/>
            </w:r>
            <w:r>
              <w:rPr>
                <w:rFonts w:hint="eastAsia"/>
              </w:rPr>
              <w:sym w:font="Wingdings 2" w:char="F0A2"/>
            </w:r>
          </w:p>
        </w:tc>
        <w:tc>
          <w:tcPr>
            <w:tcW w:w="756" w:type="dxa"/>
            <w:vMerge w:val="restart"/>
            <w:vAlign w:val="center"/>
          </w:tcPr>
          <w:p w14:paraId="029B6BB3">
            <w:pPr>
              <w:pStyle w:val="178"/>
            </w:pPr>
            <w:r>
              <w:rPr>
                <w:rFonts w:hint="eastAsia"/>
              </w:rPr>
              <w:t>15</w:t>
            </w:r>
          </w:p>
        </w:tc>
        <w:tc>
          <w:tcPr>
            <w:tcW w:w="756" w:type="dxa"/>
            <w:vMerge w:val="restart"/>
            <w:vAlign w:val="center"/>
          </w:tcPr>
          <w:p w14:paraId="1F7F6AE6">
            <w:pPr>
              <w:pStyle w:val="178"/>
            </w:pPr>
            <w:r>
              <w:rPr>
                <w:rFonts w:hint="eastAsia"/>
              </w:rPr>
              <w:t>30</w:t>
            </w:r>
          </w:p>
        </w:tc>
        <w:tc>
          <w:tcPr>
            <w:tcW w:w="721" w:type="dxa"/>
            <w:vAlign w:val="center"/>
          </w:tcPr>
          <w:p w14:paraId="7634CE39">
            <w:pPr>
              <w:pStyle w:val="178"/>
            </w:pPr>
            <w:r>
              <w:rPr/>
              <w:sym w:font="Wingdings 2" w:char="F0A3"/>
            </w:r>
            <w:r>
              <w:rPr>
                <w:rFonts w:hint="eastAsia"/>
              </w:rPr>
              <w:sym w:font="Wingdings 2" w:char="F0A2"/>
            </w:r>
          </w:p>
        </w:tc>
        <w:tc>
          <w:tcPr>
            <w:tcW w:w="721" w:type="dxa"/>
            <w:vMerge w:val="restart"/>
            <w:vAlign w:val="center"/>
          </w:tcPr>
          <w:p w14:paraId="62D85B4A">
            <w:pPr>
              <w:pStyle w:val="178"/>
            </w:pPr>
            <w:r>
              <w:rPr>
                <w:rFonts w:hint="eastAsia"/>
              </w:rPr>
              <w:t>15</w:t>
            </w:r>
          </w:p>
        </w:tc>
        <w:tc>
          <w:tcPr>
            <w:tcW w:w="721" w:type="dxa"/>
            <w:vMerge w:val="restart"/>
            <w:vAlign w:val="center"/>
          </w:tcPr>
          <w:p w14:paraId="21330605">
            <w:pPr>
              <w:pStyle w:val="178"/>
            </w:pPr>
            <w:r>
              <w:rPr>
                <w:rFonts w:hint="eastAsia"/>
              </w:rPr>
              <w:t>30</w:t>
            </w:r>
          </w:p>
        </w:tc>
      </w:tr>
      <w:tr w14:paraId="0040F0DA">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0" w:type="dxa"/>
            <w:bottom w:w="0" w:type="dxa"/>
            <w:right w:w="100" w:type="dxa"/>
          </w:tblCellMar>
        </w:tblPrEx>
        <w:trPr>
          <w:trHeight w:val="340" w:hRule="atLeast"/>
          <w:jc w:val="center"/>
        </w:trPr>
        <w:tc>
          <w:tcPr>
            <w:tcW w:w="983" w:type="dxa"/>
            <w:vMerge w:val="continue"/>
            <w:tcBorders>
              <w:bottom w:val="single" w:color="auto" w:sz="4" w:space="0"/>
            </w:tcBorders>
            <w:vAlign w:val="center"/>
          </w:tcPr>
          <w:p w14:paraId="24CCA8F2">
            <w:pPr>
              <w:pStyle w:val="178"/>
            </w:pPr>
          </w:p>
        </w:tc>
        <w:tc>
          <w:tcPr>
            <w:tcW w:w="1485" w:type="dxa"/>
            <w:tcBorders>
              <w:bottom w:val="single" w:color="auto" w:sz="4" w:space="0"/>
            </w:tcBorders>
            <w:vAlign w:val="center"/>
          </w:tcPr>
          <w:p w14:paraId="5A7A133F">
            <w:pPr>
              <w:pStyle w:val="178"/>
            </w:pPr>
            <w:r>
              <w:rPr>
                <w:rFonts w:hint="eastAsia"/>
                <w:color w:val="000000"/>
                <w:szCs w:val="18"/>
              </w:rPr>
              <w:t>战术作业</w:t>
            </w:r>
          </w:p>
        </w:tc>
        <w:tc>
          <w:tcPr>
            <w:tcW w:w="785" w:type="dxa"/>
            <w:tcBorders>
              <w:top w:val="single" w:color="auto" w:sz="4" w:space="0"/>
              <w:bottom w:val="single" w:color="auto" w:sz="4" w:space="0"/>
            </w:tcBorders>
            <w:vAlign w:val="center"/>
          </w:tcPr>
          <w:p w14:paraId="18412EBB">
            <w:pPr>
              <w:pStyle w:val="178"/>
            </w:pPr>
            <w:r>
              <w:rPr>
                <w:rFonts w:hint="eastAsia"/>
              </w:rPr>
              <w:sym w:font="Wingdings 2" w:char="F0A2"/>
            </w:r>
          </w:p>
        </w:tc>
        <w:tc>
          <w:tcPr>
            <w:tcW w:w="756" w:type="dxa"/>
            <w:vMerge w:val="continue"/>
            <w:tcBorders>
              <w:bottom w:val="single" w:color="auto" w:sz="4" w:space="0"/>
            </w:tcBorders>
            <w:vAlign w:val="center"/>
          </w:tcPr>
          <w:p w14:paraId="17AA836B">
            <w:pPr>
              <w:pStyle w:val="178"/>
            </w:pPr>
          </w:p>
        </w:tc>
        <w:tc>
          <w:tcPr>
            <w:tcW w:w="756" w:type="dxa"/>
            <w:vMerge w:val="continue"/>
            <w:tcBorders>
              <w:bottom w:val="single" w:color="auto" w:sz="4" w:space="0"/>
            </w:tcBorders>
            <w:vAlign w:val="center"/>
          </w:tcPr>
          <w:p w14:paraId="03805E4A">
            <w:pPr>
              <w:pStyle w:val="178"/>
            </w:pPr>
          </w:p>
        </w:tc>
        <w:tc>
          <w:tcPr>
            <w:tcW w:w="785" w:type="dxa"/>
            <w:tcBorders>
              <w:bottom w:val="single" w:color="auto" w:sz="4" w:space="0"/>
            </w:tcBorders>
            <w:vAlign w:val="center"/>
          </w:tcPr>
          <w:p w14:paraId="6EADFC1F">
            <w:pPr>
              <w:pStyle w:val="178"/>
            </w:pPr>
            <w:r>
              <w:rPr>
                <w:rFonts w:hint="eastAsia"/>
              </w:rPr>
              <w:sym w:font="Wingdings 2" w:char="F0A2"/>
            </w:r>
          </w:p>
        </w:tc>
        <w:tc>
          <w:tcPr>
            <w:tcW w:w="756" w:type="dxa"/>
            <w:vMerge w:val="continue"/>
            <w:tcBorders>
              <w:bottom w:val="single" w:color="auto" w:sz="4" w:space="0"/>
            </w:tcBorders>
            <w:vAlign w:val="center"/>
          </w:tcPr>
          <w:p w14:paraId="23AE16CB">
            <w:pPr>
              <w:pStyle w:val="178"/>
            </w:pPr>
          </w:p>
        </w:tc>
        <w:tc>
          <w:tcPr>
            <w:tcW w:w="756" w:type="dxa"/>
            <w:vMerge w:val="continue"/>
            <w:tcBorders>
              <w:bottom w:val="single" w:color="auto" w:sz="4" w:space="0"/>
            </w:tcBorders>
            <w:vAlign w:val="center"/>
          </w:tcPr>
          <w:p w14:paraId="68AD2204">
            <w:pPr>
              <w:pStyle w:val="178"/>
            </w:pPr>
          </w:p>
        </w:tc>
        <w:tc>
          <w:tcPr>
            <w:tcW w:w="721" w:type="dxa"/>
            <w:tcBorders>
              <w:bottom w:val="single" w:color="auto" w:sz="4" w:space="0"/>
            </w:tcBorders>
            <w:vAlign w:val="center"/>
          </w:tcPr>
          <w:p w14:paraId="54FEDD1A">
            <w:pPr>
              <w:pStyle w:val="178"/>
            </w:pPr>
            <w:r>
              <w:rPr>
                <w:rFonts w:hint="eastAsia"/>
              </w:rPr>
              <w:sym w:font="Wingdings 2" w:char="F0A2"/>
            </w:r>
          </w:p>
        </w:tc>
        <w:tc>
          <w:tcPr>
            <w:tcW w:w="721" w:type="dxa"/>
            <w:vMerge w:val="continue"/>
            <w:tcBorders>
              <w:bottom w:val="single" w:color="auto" w:sz="4" w:space="0"/>
            </w:tcBorders>
            <w:vAlign w:val="center"/>
          </w:tcPr>
          <w:p w14:paraId="50750CA1">
            <w:pPr>
              <w:pStyle w:val="178"/>
            </w:pPr>
          </w:p>
        </w:tc>
        <w:tc>
          <w:tcPr>
            <w:tcW w:w="721" w:type="dxa"/>
            <w:vMerge w:val="continue"/>
            <w:tcBorders>
              <w:bottom w:val="single" w:color="auto" w:sz="4" w:space="0"/>
            </w:tcBorders>
            <w:vAlign w:val="center"/>
          </w:tcPr>
          <w:p w14:paraId="357262B1">
            <w:pPr>
              <w:pStyle w:val="178"/>
            </w:pPr>
          </w:p>
        </w:tc>
      </w:tr>
      <w:tr w14:paraId="4663A25E">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0" w:type="dxa"/>
            <w:bottom w:w="0" w:type="dxa"/>
            <w:right w:w="100" w:type="dxa"/>
          </w:tblCellMar>
        </w:tblPrEx>
        <w:trPr>
          <w:trHeight w:val="340" w:hRule="atLeast"/>
          <w:jc w:val="center"/>
        </w:trPr>
        <w:tc>
          <w:tcPr>
            <w:tcW w:w="983" w:type="dxa"/>
            <w:vMerge w:val="restart"/>
            <w:tcBorders>
              <w:top w:val="single" w:color="auto" w:sz="4" w:space="0"/>
            </w:tcBorders>
            <w:vAlign w:val="center"/>
          </w:tcPr>
          <w:p w14:paraId="566498C9">
            <w:pPr>
              <w:pStyle w:val="178"/>
            </w:pPr>
            <w:r>
              <w:rPr>
                <w:rFonts w:hint="eastAsia"/>
              </w:rPr>
              <w:t>灭火指挥</w:t>
            </w:r>
          </w:p>
        </w:tc>
        <w:tc>
          <w:tcPr>
            <w:tcW w:w="1485" w:type="dxa"/>
            <w:tcBorders>
              <w:top w:val="single" w:color="auto" w:sz="4" w:space="0"/>
            </w:tcBorders>
            <w:vAlign w:val="center"/>
          </w:tcPr>
          <w:p w14:paraId="6C463CB2">
            <w:pPr>
              <w:pStyle w:val="178"/>
            </w:pPr>
            <w:r>
              <w:rPr>
                <w:rFonts w:hint="eastAsia"/>
                <w:color w:val="000000"/>
                <w:szCs w:val="18"/>
              </w:rPr>
              <w:t>灭火预案</w:t>
            </w:r>
          </w:p>
        </w:tc>
        <w:tc>
          <w:tcPr>
            <w:tcW w:w="785" w:type="dxa"/>
            <w:tcBorders>
              <w:top w:val="single" w:color="auto" w:sz="4" w:space="0"/>
            </w:tcBorders>
            <w:vAlign w:val="center"/>
          </w:tcPr>
          <w:p w14:paraId="5D93738C">
            <w:pPr>
              <w:pStyle w:val="178"/>
            </w:pPr>
            <w:r>
              <w:rPr/>
              <w:sym w:font="Wingdings 2" w:char="F0A3"/>
            </w:r>
          </w:p>
        </w:tc>
        <w:tc>
          <w:tcPr>
            <w:tcW w:w="756" w:type="dxa"/>
            <w:vMerge w:val="restart"/>
            <w:tcBorders>
              <w:top w:val="single" w:color="auto" w:sz="4" w:space="0"/>
            </w:tcBorders>
            <w:vAlign w:val="center"/>
          </w:tcPr>
          <w:p w14:paraId="7CC49780">
            <w:pPr>
              <w:pStyle w:val="178"/>
            </w:pPr>
            <w:r>
              <w:rPr>
                <w:rFonts w:hint="eastAsia"/>
              </w:rPr>
              <w:t>30</w:t>
            </w:r>
          </w:p>
        </w:tc>
        <w:tc>
          <w:tcPr>
            <w:tcW w:w="756" w:type="dxa"/>
            <w:vMerge w:val="restart"/>
            <w:tcBorders>
              <w:top w:val="single" w:color="auto" w:sz="4" w:space="0"/>
            </w:tcBorders>
            <w:vAlign w:val="center"/>
          </w:tcPr>
          <w:p w14:paraId="1CF4FAF2">
            <w:pPr>
              <w:pStyle w:val="178"/>
            </w:pPr>
            <w:r>
              <w:rPr>
                <w:rFonts w:hint="eastAsia"/>
              </w:rPr>
              <w:t>50</w:t>
            </w:r>
          </w:p>
        </w:tc>
        <w:tc>
          <w:tcPr>
            <w:tcW w:w="785" w:type="dxa"/>
            <w:tcBorders>
              <w:top w:val="single" w:color="auto" w:sz="4" w:space="0"/>
            </w:tcBorders>
            <w:vAlign w:val="center"/>
          </w:tcPr>
          <w:p w14:paraId="7D4BC9B0">
            <w:pPr>
              <w:pStyle w:val="178"/>
            </w:pPr>
            <w:r>
              <w:rPr/>
              <w:sym w:font="Wingdings 2" w:char="F0A3"/>
            </w:r>
          </w:p>
        </w:tc>
        <w:tc>
          <w:tcPr>
            <w:tcW w:w="756" w:type="dxa"/>
            <w:vMerge w:val="restart"/>
            <w:tcBorders>
              <w:top w:val="single" w:color="auto" w:sz="4" w:space="0"/>
            </w:tcBorders>
            <w:vAlign w:val="center"/>
          </w:tcPr>
          <w:p w14:paraId="5F85527B">
            <w:pPr>
              <w:pStyle w:val="178"/>
            </w:pPr>
            <w:r>
              <w:rPr>
                <w:rFonts w:hint="eastAsia"/>
              </w:rPr>
              <w:t>30</w:t>
            </w:r>
          </w:p>
        </w:tc>
        <w:tc>
          <w:tcPr>
            <w:tcW w:w="756" w:type="dxa"/>
            <w:vMerge w:val="restart"/>
            <w:tcBorders>
              <w:top w:val="single" w:color="auto" w:sz="4" w:space="0"/>
            </w:tcBorders>
            <w:vAlign w:val="center"/>
          </w:tcPr>
          <w:p w14:paraId="18BA281B">
            <w:pPr>
              <w:pStyle w:val="178"/>
            </w:pPr>
            <w:r>
              <w:rPr>
                <w:rFonts w:hint="eastAsia"/>
              </w:rPr>
              <w:t>50</w:t>
            </w:r>
          </w:p>
        </w:tc>
        <w:tc>
          <w:tcPr>
            <w:tcW w:w="721" w:type="dxa"/>
            <w:tcBorders>
              <w:top w:val="single" w:color="auto" w:sz="4" w:space="0"/>
            </w:tcBorders>
            <w:vAlign w:val="center"/>
          </w:tcPr>
          <w:p w14:paraId="38A14B1B">
            <w:pPr>
              <w:pStyle w:val="178"/>
            </w:pPr>
            <w:r>
              <w:rPr/>
              <w:sym w:font="Wingdings 2" w:char="F0A3"/>
            </w:r>
          </w:p>
        </w:tc>
        <w:tc>
          <w:tcPr>
            <w:tcW w:w="721" w:type="dxa"/>
            <w:vMerge w:val="restart"/>
            <w:tcBorders>
              <w:top w:val="single" w:color="auto" w:sz="4" w:space="0"/>
            </w:tcBorders>
            <w:vAlign w:val="center"/>
          </w:tcPr>
          <w:p w14:paraId="1ECB2699">
            <w:pPr>
              <w:pStyle w:val="178"/>
            </w:pPr>
            <w:r>
              <w:rPr>
                <w:rFonts w:hint="eastAsia"/>
              </w:rPr>
              <w:t>30</w:t>
            </w:r>
          </w:p>
        </w:tc>
        <w:tc>
          <w:tcPr>
            <w:tcW w:w="721" w:type="dxa"/>
            <w:vMerge w:val="restart"/>
            <w:tcBorders>
              <w:top w:val="single" w:color="auto" w:sz="4" w:space="0"/>
            </w:tcBorders>
            <w:vAlign w:val="center"/>
          </w:tcPr>
          <w:p w14:paraId="7294829C">
            <w:pPr>
              <w:pStyle w:val="178"/>
            </w:pPr>
            <w:r>
              <w:rPr>
                <w:rFonts w:hint="eastAsia"/>
              </w:rPr>
              <w:t>30</w:t>
            </w:r>
          </w:p>
        </w:tc>
      </w:tr>
      <w:tr w14:paraId="1C89F542">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0" w:type="dxa"/>
            <w:bottom w:w="0" w:type="dxa"/>
            <w:right w:w="100" w:type="dxa"/>
          </w:tblCellMar>
        </w:tblPrEx>
        <w:trPr>
          <w:trHeight w:val="340" w:hRule="atLeast"/>
          <w:jc w:val="center"/>
        </w:trPr>
        <w:tc>
          <w:tcPr>
            <w:tcW w:w="983" w:type="dxa"/>
            <w:vMerge w:val="continue"/>
            <w:vAlign w:val="center"/>
          </w:tcPr>
          <w:p w14:paraId="7758C830">
            <w:pPr>
              <w:pStyle w:val="178"/>
            </w:pPr>
          </w:p>
        </w:tc>
        <w:tc>
          <w:tcPr>
            <w:tcW w:w="1485" w:type="dxa"/>
            <w:vAlign w:val="center"/>
          </w:tcPr>
          <w:p w14:paraId="2404C3B0">
            <w:pPr>
              <w:pStyle w:val="178"/>
            </w:pPr>
            <w:r>
              <w:rPr>
                <w:rFonts w:hint="eastAsia"/>
                <w:color w:val="000000"/>
                <w:szCs w:val="18"/>
              </w:rPr>
              <w:t>指挥程序</w:t>
            </w:r>
          </w:p>
        </w:tc>
        <w:tc>
          <w:tcPr>
            <w:tcW w:w="785" w:type="dxa"/>
            <w:vAlign w:val="center"/>
          </w:tcPr>
          <w:p w14:paraId="65D4004A">
            <w:pPr>
              <w:pStyle w:val="178"/>
            </w:pPr>
            <w:r>
              <w:rPr/>
              <w:sym w:font="Wingdings 2" w:char="F0A3"/>
            </w:r>
            <w:r>
              <w:rPr>
                <w:rFonts w:hint="eastAsia"/>
              </w:rPr>
              <w:sym w:font="Wingdings 2" w:char="F0A2"/>
            </w:r>
          </w:p>
        </w:tc>
        <w:tc>
          <w:tcPr>
            <w:tcW w:w="756" w:type="dxa"/>
            <w:vMerge w:val="continue"/>
            <w:vAlign w:val="center"/>
          </w:tcPr>
          <w:p w14:paraId="111C106B">
            <w:pPr>
              <w:pStyle w:val="178"/>
            </w:pPr>
          </w:p>
        </w:tc>
        <w:tc>
          <w:tcPr>
            <w:tcW w:w="756" w:type="dxa"/>
            <w:vMerge w:val="continue"/>
            <w:vAlign w:val="center"/>
          </w:tcPr>
          <w:p w14:paraId="7CAEA42C">
            <w:pPr>
              <w:pStyle w:val="178"/>
            </w:pPr>
          </w:p>
        </w:tc>
        <w:tc>
          <w:tcPr>
            <w:tcW w:w="785" w:type="dxa"/>
            <w:vAlign w:val="center"/>
          </w:tcPr>
          <w:p w14:paraId="52DD1AE1">
            <w:pPr>
              <w:pStyle w:val="178"/>
            </w:pPr>
            <w:r>
              <w:rPr/>
              <w:sym w:font="Wingdings 2" w:char="F0A3"/>
            </w:r>
          </w:p>
        </w:tc>
        <w:tc>
          <w:tcPr>
            <w:tcW w:w="756" w:type="dxa"/>
            <w:vMerge w:val="continue"/>
            <w:vAlign w:val="center"/>
          </w:tcPr>
          <w:p w14:paraId="075CFCFD">
            <w:pPr>
              <w:pStyle w:val="178"/>
            </w:pPr>
          </w:p>
        </w:tc>
        <w:tc>
          <w:tcPr>
            <w:tcW w:w="756" w:type="dxa"/>
            <w:vMerge w:val="continue"/>
            <w:vAlign w:val="center"/>
          </w:tcPr>
          <w:p w14:paraId="156221D2">
            <w:pPr>
              <w:pStyle w:val="178"/>
            </w:pPr>
          </w:p>
        </w:tc>
        <w:tc>
          <w:tcPr>
            <w:tcW w:w="721" w:type="dxa"/>
            <w:vAlign w:val="center"/>
          </w:tcPr>
          <w:p w14:paraId="70B839B2">
            <w:pPr>
              <w:pStyle w:val="178"/>
            </w:pPr>
            <w:r>
              <w:rPr/>
              <w:sym w:font="Wingdings 2" w:char="F0A3"/>
            </w:r>
            <w:r>
              <w:rPr>
                <w:rFonts w:hint="eastAsia"/>
              </w:rPr>
              <w:sym w:font="Wingdings 2" w:char="F0A2"/>
            </w:r>
          </w:p>
        </w:tc>
        <w:tc>
          <w:tcPr>
            <w:tcW w:w="721" w:type="dxa"/>
            <w:vMerge w:val="continue"/>
            <w:vAlign w:val="center"/>
          </w:tcPr>
          <w:p w14:paraId="668A5BA5">
            <w:pPr>
              <w:pStyle w:val="178"/>
            </w:pPr>
          </w:p>
        </w:tc>
        <w:tc>
          <w:tcPr>
            <w:tcW w:w="721" w:type="dxa"/>
            <w:vMerge w:val="continue"/>
            <w:vAlign w:val="center"/>
          </w:tcPr>
          <w:p w14:paraId="64EABE0D">
            <w:pPr>
              <w:pStyle w:val="178"/>
            </w:pPr>
          </w:p>
        </w:tc>
      </w:tr>
      <w:tr w14:paraId="14FE0BDF">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0" w:type="dxa"/>
            <w:bottom w:w="0" w:type="dxa"/>
            <w:right w:w="100" w:type="dxa"/>
          </w:tblCellMar>
        </w:tblPrEx>
        <w:trPr>
          <w:trHeight w:val="340" w:hRule="atLeast"/>
          <w:jc w:val="center"/>
        </w:trPr>
        <w:tc>
          <w:tcPr>
            <w:tcW w:w="983" w:type="dxa"/>
            <w:vMerge w:val="continue"/>
            <w:vAlign w:val="center"/>
          </w:tcPr>
          <w:p w14:paraId="7392941B">
            <w:pPr>
              <w:pStyle w:val="178"/>
            </w:pPr>
          </w:p>
        </w:tc>
        <w:tc>
          <w:tcPr>
            <w:tcW w:w="1485" w:type="dxa"/>
            <w:vAlign w:val="center"/>
          </w:tcPr>
          <w:p w14:paraId="5948B350">
            <w:pPr>
              <w:pStyle w:val="178"/>
            </w:pPr>
            <w:r>
              <w:rPr>
                <w:rFonts w:hint="eastAsia"/>
                <w:color w:val="000000"/>
                <w:szCs w:val="18"/>
              </w:rPr>
              <w:t>指挥系统运用</w:t>
            </w:r>
          </w:p>
        </w:tc>
        <w:tc>
          <w:tcPr>
            <w:tcW w:w="785" w:type="dxa"/>
            <w:vAlign w:val="center"/>
          </w:tcPr>
          <w:p w14:paraId="5513E64B">
            <w:pPr>
              <w:pStyle w:val="178"/>
            </w:pPr>
            <w:r>
              <w:rPr/>
              <w:sym w:font="Wingdings 2" w:char="F0A3"/>
            </w:r>
          </w:p>
        </w:tc>
        <w:tc>
          <w:tcPr>
            <w:tcW w:w="756" w:type="dxa"/>
            <w:vMerge w:val="continue"/>
            <w:vAlign w:val="center"/>
          </w:tcPr>
          <w:p w14:paraId="7776AA1A">
            <w:pPr>
              <w:pStyle w:val="178"/>
            </w:pPr>
          </w:p>
        </w:tc>
        <w:tc>
          <w:tcPr>
            <w:tcW w:w="756" w:type="dxa"/>
            <w:vMerge w:val="continue"/>
            <w:vAlign w:val="center"/>
          </w:tcPr>
          <w:p w14:paraId="1E68A600">
            <w:pPr>
              <w:pStyle w:val="178"/>
            </w:pPr>
          </w:p>
        </w:tc>
        <w:tc>
          <w:tcPr>
            <w:tcW w:w="785" w:type="dxa"/>
            <w:vAlign w:val="center"/>
          </w:tcPr>
          <w:p w14:paraId="2FB51FE6">
            <w:pPr>
              <w:pStyle w:val="178"/>
            </w:pPr>
            <w:r>
              <w:rPr/>
              <w:sym w:font="Wingdings 2" w:char="F0A3"/>
            </w:r>
          </w:p>
        </w:tc>
        <w:tc>
          <w:tcPr>
            <w:tcW w:w="756" w:type="dxa"/>
            <w:vMerge w:val="continue"/>
            <w:vAlign w:val="center"/>
          </w:tcPr>
          <w:p w14:paraId="5295827C">
            <w:pPr>
              <w:pStyle w:val="178"/>
            </w:pPr>
          </w:p>
        </w:tc>
        <w:tc>
          <w:tcPr>
            <w:tcW w:w="756" w:type="dxa"/>
            <w:vMerge w:val="continue"/>
            <w:vAlign w:val="center"/>
          </w:tcPr>
          <w:p w14:paraId="4CBBB746">
            <w:pPr>
              <w:pStyle w:val="178"/>
            </w:pPr>
          </w:p>
        </w:tc>
        <w:tc>
          <w:tcPr>
            <w:tcW w:w="721" w:type="dxa"/>
            <w:vAlign w:val="center"/>
          </w:tcPr>
          <w:p w14:paraId="5872C54E">
            <w:pPr>
              <w:pStyle w:val="178"/>
            </w:pPr>
            <w:r>
              <w:rPr/>
              <w:sym w:font="Wingdings 2" w:char="F0A3"/>
            </w:r>
          </w:p>
        </w:tc>
        <w:tc>
          <w:tcPr>
            <w:tcW w:w="721" w:type="dxa"/>
            <w:vMerge w:val="continue"/>
            <w:vAlign w:val="center"/>
          </w:tcPr>
          <w:p w14:paraId="4608291D">
            <w:pPr>
              <w:pStyle w:val="178"/>
            </w:pPr>
          </w:p>
        </w:tc>
        <w:tc>
          <w:tcPr>
            <w:tcW w:w="721" w:type="dxa"/>
            <w:vMerge w:val="continue"/>
            <w:vAlign w:val="center"/>
          </w:tcPr>
          <w:p w14:paraId="421E06F7">
            <w:pPr>
              <w:pStyle w:val="178"/>
            </w:pPr>
          </w:p>
        </w:tc>
      </w:tr>
      <w:tr w14:paraId="5452A9BD">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0" w:type="dxa"/>
            <w:bottom w:w="0" w:type="dxa"/>
            <w:right w:w="100" w:type="dxa"/>
          </w:tblCellMar>
        </w:tblPrEx>
        <w:trPr>
          <w:trHeight w:val="340" w:hRule="atLeast"/>
          <w:jc w:val="center"/>
        </w:trPr>
        <w:tc>
          <w:tcPr>
            <w:tcW w:w="983" w:type="dxa"/>
            <w:vMerge w:val="continue"/>
            <w:vAlign w:val="center"/>
          </w:tcPr>
          <w:p w14:paraId="711A3131">
            <w:pPr>
              <w:pStyle w:val="178"/>
            </w:pPr>
          </w:p>
        </w:tc>
        <w:tc>
          <w:tcPr>
            <w:tcW w:w="1485" w:type="dxa"/>
            <w:vAlign w:val="center"/>
          </w:tcPr>
          <w:p w14:paraId="14DE1412">
            <w:pPr>
              <w:pStyle w:val="178"/>
            </w:pPr>
            <w:r>
              <w:rPr>
                <w:rFonts w:hint="eastAsia"/>
                <w:color w:val="000000"/>
                <w:szCs w:val="18"/>
              </w:rPr>
              <w:t>典型战例研究</w:t>
            </w:r>
          </w:p>
        </w:tc>
        <w:tc>
          <w:tcPr>
            <w:tcW w:w="785" w:type="dxa"/>
            <w:vAlign w:val="center"/>
          </w:tcPr>
          <w:p w14:paraId="26B4C657">
            <w:pPr>
              <w:pStyle w:val="178"/>
            </w:pPr>
            <w:r>
              <w:rPr>
                <w:rFonts w:hint="eastAsia"/>
              </w:rPr>
              <w:sym w:font="Wingdings 2" w:char="F0A2"/>
            </w:r>
          </w:p>
        </w:tc>
        <w:tc>
          <w:tcPr>
            <w:tcW w:w="756" w:type="dxa"/>
            <w:vMerge w:val="continue"/>
            <w:vAlign w:val="center"/>
          </w:tcPr>
          <w:p w14:paraId="0029BC3E">
            <w:pPr>
              <w:pStyle w:val="178"/>
            </w:pPr>
          </w:p>
        </w:tc>
        <w:tc>
          <w:tcPr>
            <w:tcW w:w="756" w:type="dxa"/>
            <w:vMerge w:val="continue"/>
            <w:vAlign w:val="center"/>
          </w:tcPr>
          <w:p w14:paraId="5C2758AF">
            <w:pPr>
              <w:pStyle w:val="178"/>
            </w:pPr>
          </w:p>
        </w:tc>
        <w:tc>
          <w:tcPr>
            <w:tcW w:w="785" w:type="dxa"/>
            <w:vAlign w:val="center"/>
          </w:tcPr>
          <w:p w14:paraId="6C821A53">
            <w:pPr>
              <w:pStyle w:val="178"/>
            </w:pPr>
            <w:r>
              <w:rPr>
                <w:rFonts w:hint="eastAsia"/>
              </w:rPr>
              <w:sym w:font="Wingdings 2" w:char="F0A2"/>
            </w:r>
          </w:p>
        </w:tc>
        <w:tc>
          <w:tcPr>
            <w:tcW w:w="756" w:type="dxa"/>
            <w:vMerge w:val="continue"/>
            <w:vAlign w:val="center"/>
          </w:tcPr>
          <w:p w14:paraId="5638C7D4">
            <w:pPr>
              <w:pStyle w:val="178"/>
            </w:pPr>
          </w:p>
        </w:tc>
        <w:tc>
          <w:tcPr>
            <w:tcW w:w="756" w:type="dxa"/>
            <w:vMerge w:val="continue"/>
            <w:vAlign w:val="center"/>
          </w:tcPr>
          <w:p w14:paraId="5B56FC96">
            <w:pPr>
              <w:pStyle w:val="178"/>
            </w:pPr>
          </w:p>
        </w:tc>
        <w:tc>
          <w:tcPr>
            <w:tcW w:w="721" w:type="dxa"/>
            <w:vAlign w:val="center"/>
          </w:tcPr>
          <w:p w14:paraId="3324E7E6">
            <w:pPr>
              <w:pStyle w:val="178"/>
            </w:pPr>
            <w:r>
              <w:rPr>
                <w:rFonts w:hint="eastAsia"/>
              </w:rPr>
              <w:sym w:font="Wingdings 2" w:char="F0A2"/>
            </w:r>
          </w:p>
        </w:tc>
        <w:tc>
          <w:tcPr>
            <w:tcW w:w="721" w:type="dxa"/>
            <w:vMerge w:val="continue"/>
            <w:vAlign w:val="center"/>
          </w:tcPr>
          <w:p w14:paraId="29E1417E">
            <w:pPr>
              <w:pStyle w:val="178"/>
            </w:pPr>
          </w:p>
        </w:tc>
        <w:tc>
          <w:tcPr>
            <w:tcW w:w="721" w:type="dxa"/>
            <w:vMerge w:val="continue"/>
            <w:vAlign w:val="center"/>
          </w:tcPr>
          <w:p w14:paraId="419A3792">
            <w:pPr>
              <w:pStyle w:val="178"/>
            </w:pPr>
          </w:p>
        </w:tc>
      </w:tr>
      <w:tr w14:paraId="25E7F27B">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0" w:type="dxa"/>
            <w:bottom w:w="0" w:type="dxa"/>
            <w:right w:w="100" w:type="dxa"/>
          </w:tblCellMar>
        </w:tblPrEx>
        <w:trPr>
          <w:trHeight w:val="340" w:hRule="atLeast"/>
          <w:jc w:val="center"/>
        </w:trPr>
        <w:tc>
          <w:tcPr>
            <w:tcW w:w="983" w:type="dxa"/>
            <w:vMerge w:val="continue"/>
            <w:vAlign w:val="center"/>
          </w:tcPr>
          <w:p w14:paraId="02469F5D">
            <w:pPr>
              <w:pStyle w:val="178"/>
            </w:pPr>
          </w:p>
        </w:tc>
        <w:tc>
          <w:tcPr>
            <w:tcW w:w="1485" w:type="dxa"/>
            <w:vAlign w:val="center"/>
          </w:tcPr>
          <w:p w14:paraId="6A5C753F">
            <w:pPr>
              <w:pStyle w:val="178"/>
            </w:pPr>
            <w:r>
              <w:rPr>
                <w:rFonts w:hint="eastAsia"/>
                <w:color w:val="000000"/>
                <w:szCs w:val="18"/>
              </w:rPr>
              <w:t>灭火演练</w:t>
            </w:r>
          </w:p>
        </w:tc>
        <w:tc>
          <w:tcPr>
            <w:tcW w:w="785" w:type="dxa"/>
            <w:vAlign w:val="center"/>
          </w:tcPr>
          <w:p w14:paraId="780AD025">
            <w:pPr>
              <w:pStyle w:val="178"/>
            </w:pPr>
            <w:r>
              <w:rPr/>
              <w:sym w:font="Wingdings 2" w:char="F0A3"/>
            </w:r>
            <w:r>
              <w:rPr>
                <w:rFonts w:hint="eastAsia"/>
              </w:rPr>
              <w:sym w:font="Wingdings 2" w:char="F0A2"/>
            </w:r>
          </w:p>
        </w:tc>
        <w:tc>
          <w:tcPr>
            <w:tcW w:w="756" w:type="dxa"/>
            <w:vMerge w:val="continue"/>
            <w:vAlign w:val="center"/>
          </w:tcPr>
          <w:p w14:paraId="51E01F9D">
            <w:pPr>
              <w:pStyle w:val="178"/>
            </w:pPr>
          </w:p>
        </w:tc>
        <w:tc>
          <w:tcPr>
            <w:tcW w:w="756" w:type="dxa"/>
            <w:vMerge w:val="continue"/>
            <w:vAlign w:val="center"/>
          </w:tcPr>
          <w:p w14:paraId="1E29B3C3">
            <w:pPr>
              <w:pStyle w:val="178"/>
            </w:pPr>
          </w:p>
        </w:tc>
        <w:tc>
          <w:tcPr>
            <w:tcW w:w="785" w:type="dxa"/>
            <w:vAlign w:val="center"/>
          </w:tcPr>
          <w:p w14:paraId="40E1FEA1">
            <w:pPr>
              <w:pStyle w:val="178"/>
            </w:pPr>
            <w:r>
              <w:rPr/>
              <w:sym w:font="Wingdings 2" w:char="F0A3"/>
            </w:r>
            <w:r>
              <w:rPr>
                <w:rFonts w:hint="eastAsia"/>
              </w:rPr>
              <w:sym w:font="Wingdings 2" w:char="F0A2"/>
            </w:r>
          </w:p>
        </w:tc>
        <w:tc>
          <w:tcPr>
            <w:tcW w:w="756" w:type="dxa"/>
            <w:vMerge w:val="continue"/>
            <w:vAlign w:val="center"/>
          </w:tcPr>
          <w:p w14:paraId="38F24892">
            <w:pPr>
              <w:pStyle w:val="178"/>
            </w:pPr>
          </w:p>
        </w:tc>
        <w:tc>
          <w:tcPr>
            <w:tcW w:w="756" w:type="dxa"/>
            <w:vMerge w:val="continue"/>
            <w:vAlign w:val="center"/>
          </w:tcPr>
          <w:p w14:paraId="41D6D9F6">
            <w:pPr>
              <w:pStyle w:val="178"/>
            </w:pPr>
          </w:p>
        </w:tc>
        <w:tc>
          <w:tcPr>
            <w:tcW w:w="721" w:type="dxa"/>
            <w:vAlign w:val="center"/>
          </w:tcPr>
          <w:p w14:paraId="6A7492CC">
            <w:pPr>
              <w:pStyle w:val="178"/>
            </w:pPr>
            <w:r>
              <w:rPr>
                <w:rFonts w:hint="eastAsia"/>
              </w:rPr>
              <w:sym w:font="Wingdings 2" w:char="F0A2"/>
            </w:r>
          </w:p>
        </w:tc>
        <w:tc>
          <w:tcPr>
            <w:tcW w:w="721" w:type="dxa"/>
            <w:vMerge w:val="continue"/>
            <w:vAlign w:val="center"/>
          </w:tcPr>
          <w:p w14:paraId="1530938C">
            <w:pPr>
              <w:pStyle w:val="178"/>
            </w:pPr>
          </w:p>
        </w:tc>
        <w:tc>
          <w:tcPr>
            <w:tcW w:w="721" w:type="dxa"/>
            <w:vMerge w:val="continue"/>
            <w:vAlign w:val="center"/>
          </w:tcPr>
          <w:p w14:paraId="039929DF">
            <w:pPr>
              <w:pStyle w:val="178"/>
            </w:pPr>
          </w:p>
        </w:tc>
      </w:tr>
      <w:tr w14:paraId="064B068A">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0" w:type="dxa"/>
            <w:bottom w:w="0" w:type="dxa"/>
            <w:right w:w="100" w:type="dxa"/>
          </w:tblCellMar>
        </w:tblPrEx>
        <w:trPr>
          <w:trHeight w:val="340" w:hRule="atLeast"/>
          <w:jc w:val="center"/>
        </w:trPr>
        <w:tc>
          <w:tcPr>
            <w:tcW w:w="983" w:type="dxa"/>
            <w:vMerge w:val="continue"/>
            <w:tcBorders>
              <w:bottom w:val="single" w:color="auto" w:sz="4" w:space="0"/>
            </w:tcBorders>
            <w:vAlign w:val="center"/>
          </w:tcPr>
          <w:p w14:paraId="4E4E2170">
            <w:pPr>
              <w:pStyle w:val="178"/>
            </w:pPr>
          </w:p>
        </w:tc>
        <w:tc>
          <w:tcPr>
            <w:tcW w:w="1485" w:type="dxa"/>
            <w:tcBorders>
              <w:bottom w:val="single" w:color="auto" w:sz="4" w:space="0"/>
            </w:tcBorders>
            <w:vAlign w:val="center"/>
          </w:tcPr>
          <w:p w14:paraId="2665ADD7">
            <w:pPr>
              <w:pStyle w:val="178"/>
            </w:pPr>
            <w:r>
              <w:rPr>
                <w:rFonts w:hint="eastAsia"/>
                <w:color w:val="000000"/>
                <w:szCs w:val="18"/>
              </w:rPr>
              <w:t>舆情应对</w:t>
            </w:r>
          </w:p>
        </w:tc>
        <w:tc>
          <w:tcPr>
            <w:tcW w:w="785" w:type="dxa"/>
            <w:tcBorders>
              <w:bottom w:val="single" w:color="auto" w:sz="4" w:space="0"/>
            </w:tcBorders>
            <w:vAlign w:val="center"/>
          </w:tcPr>
          <w:p w14:paraId="25CAD704">
            <w:pPr>
              <w:pStyle w:val="178"/>
            </w:pPr>
            <w:r>
              <w:rPr/>
              <w:sym w:font="Wingdings 2" w:char="F0A3"/>
            </w:r>
            <w:r>
              <w:rPr>
                <w:rFonts w:hint="eastAsia"/>
              </w:rPr>
              <w:sym w:font="Wingdings 2" w:char="F0A2"/>
            </w:r>
          </w:p>
        </w:tc>
        <w:tc>
          <w:tcPr>
            <w:tcW w:w="756" w:type="dxa"/>
            <w:vMerge w:val="continue"/>
            <w:tcBorders>
              <w:bottom w:val="single" w:color="auto" w:sz="4" w:space="0"/>
            </w:tcBorders>
            <w:vAlign w:val="center"/>
          </w:tcPr>
          <w:p w14:paraId="71A779FC">
            <w:pPr>
              <w:pStyle w:val="178"/>
            </w:pPr>
          </w:p>
        </w:tc>
        <w:tc>
          <w:tcPr>
            <w:tcW w:w="756" w:type="dxa"/>
            <w:vMerge w:val="continue"/>
            <w:tcBorders>
              <w:bottom w:val="single" w:color="auto" w:sz="4" w:space="0"/>
            </w:tcBorders>
            <w:vAlign w:val="center"/>
          </w:tcPr>
          <w:p w14:paraId="40FFA7F7">
            <w:pPr>
              <w:pStyle w:val="178"/>
            </w:pPr>
          </w:p>
        </w:tc>
        <w:tc>
          <w:tcPr>
            <w:tcW w:w="785" w:type="dxa"/>
            <w:tcBorders>
              <w:bottom w:val="single" w:color="auto" w:sz="4" w:space="0"/>
            </w:tcBorders>
            <w:vAlign w:val="center"/>
          </w:tcPr>
          <w:p w14:paraId="2ADB8C78">
            <w:pPr>
              <w:pStyle w:val="178"/>
            </w:pPr>
            <w:r>
              <w:rPr/>
              <w:sym w:font="Wingdings 2" w:char="F0A3"/>
            </w:r>
            <w:r>
              <w:rPr>
                <w:rFonts w:hint="eastAsia"/>
              </w:rPr>
              <w:sym w:font="Wingdings 2" w:char="F0A2"/>
            </w:r>
          </w:p>
        </w:tc>
        <w:tc>
          <w:tcPr>
            <w:tcW w:w="756" w:type="dxa"/>
            <w:vMerge w:val="continue"/>
            <w:tcBorders>
              <w:bottom w:val="single" w:color="auto" w:sz="4" w:space="0"/>
            </w:tcBorders>
            <w:vAlign w:val="center"/>
          </w:tcPr>
          <w:p w14:paraId="43A893FC">
            <w:pPr>
              <w:pStyle w:val="178"/>
            </w:pPr>
          </w:p>
        </w:tc>
        <w:tc>
          <w:tcPr>
            <w:tcW w:w="756" w:type="dxa"/>
            <w:vMerge w:val="continue"/>
            <w:tcBorders>
              <w:bottom w:val="single" w:color="auto" w:sz="4" w:space="0"/>
            </w:tcBorders>
            <w:vAlign w:val="center"/>
          </w:tcPr>
          <w:p w14:paraId="354213D2">
            <w:pPr>
              <w:pStyle w:val="178"/>
            </w:pPr>
          </w:p>
        </w:tc>
        <w:tc>
          <w:tcPr>
            <w:tcW w:w="721" w:type="dxa"/>
            <w:tcBorders>
              <w:bottom w:val="single" w:color="auto" w:sz="4" w:space="0"/>
            </w:tcBorders>
            <w:vAlign w:val="center"/>
          </w:tcPr>
          <w:p w14:paraId="42FF40FF">
            <w:pPr>
              <w:pStyle w:val="178"/>
            </w:pPr>
            <w:r>
              <w:rPr/>
              <w:sym w:font="Wingdings 2" w:char="F0A3"/>
            </w:r>
          </w:p>
        </w:tc>
        <w:tc>
          <w:tcPr>
            <w:tcW w:w="721" w:type="dxa"/>
            <w:vMerge w:val="continue"/>
            <w:tcBorders>
              <w:bottom w:val="single" w:color="auto" w:sz="4" w:space="0"/>
            </w:tcBorders>
            <w:vAlign w:val="center"/>
          </w:tcPr>
          <w:p w14:paraId="556D4B14">
            <w:pPr>
              <w:pStyle w:val="178"/>
            </w:pPr>
          </w:p>
        </w:tc>
        <w:tc>
          <w:tcPr>
            <w:tcW w:w="721" w:type="dxa"/>
            <w:vMerge w:val="continue"/>
            <w:tcBorders>
              <w:bottom w:val="single" w:color="auto" w:sz="4" w:space="0"/>
            </w:tcBorders>
            <w:vAlign w:val="center"/>
          </w:tcPr>
          <w:p w14:paraId="5CE6334D">
            <w:pPr>
              <w:pStyle w:val="178"/>
            </w:pPr>
          </w:p>
        </w:tc>
      </w:tr>
      <w:tr w14:paraId="4C3BB4F2">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0" w:type="dxa"/>
            <w:bottom w:w="0" w:type="dxa"/>
            <w:right w:w="100" w:type="dxa"/>
          </w:tblCellMar>
        </w:tblPrEx>
        <w:trPr>
          <w:trHeight w:val="340" w:hRule="atLeast"/>
          <w:jc w:val="center"/>
        </w:trPr>
        <w:tc>
          <w:tcPr>
            <w:tcW w:w="983" w:type="dxa"/>
            <w:vMerge w:val="restart"/>
            <w:tcBorders>
              <w:top w:val="single" w:color="auto" w:sz="4" w:space="0"/>
              <w:bottom w:val="single" w:color="auto" w:sz="4" w:space="0"/>
            </w:tcBorders>
            <w:vAlign w:val="center"/>
          </w:tcPr>
          <w:p w14:paraId="07468F63">
            <w:pPr>
              <w:pStyle w:val="178"/>
            </w:pPr>
            <w:r>
              <w:rPr>
                <w:rFonts w:hint="eastAsia"/>
              </w:rPr>
              <w:t>灭火安全</w:t>
            </w:r>
          </w:p>
        </w:tc>
        <w:tc>
          <w:tcPr>
            <w:tcW w:w="1485" w:type="dxa"/>
            <w:tcBorders>
              <w:top w:val="single" w:color="auto" w:sz="4" w:space="0"/>
              <w:bottom w:val="single" w:color="auto" w:sz="4" w:space="0"/>
            </w:tcBorders>
            <w:vAlign w:val="center"/>
          </w:tcPr>
          <w:p w14:paraId="38F785BC">
            <w:pPr>
              <w:pStyle w:val="178"/>
            </w:pPr>
            <w:r>
              <w:rPr>
                <w:rFonts w:hint="eastAsia"/>
                <w:color w:val="000000"/>
                <w:szCs w:val="18"/>
              </w:rPr>
              <w:t>风险评估</w:t>
            </w:r>
          </w:p>
        </w:tc>
        <w:tc>
          <w:tcPr>
            <w:tcW w:w="785" w:type="dxa"/>
            <w:tcBorders>
              <w:top w:val="single" w:color="auto" w:sz="4" w:space="0"/>
              <w:bottom w:val="single" w:color="auto" w:sz="4" w:space="0"/>
            </w:tcBorders>
            <w:vAlign w:val="center"/>
          </w:tcPr>
          <w:p w14:paraId="0AD23CB1">
            <w:pPr>
              <w:pStyle w:val="178"/>
            </w:pPr>
            <w:r>
              <w:rPr/>
              <w:sym w:font="Wingdings 2" w:char="F0A3"/>
            </w:r>
          </w:p>
        </w:tc>
        <w:tc>
          <w:tcPr>
            <w:tcW w:w="756" w:type="dxa"/>
            <w:vMerge w:val="restart"/>
            <w:tcBorders>
              <w:top w:val="single" w:color="auto" w:sz="4" w:space="0"/>
            </w:tcBorders>
            <w:vAlign w:val="center"/>
          </w:tcPr>
          <w:p w14:paraId="3E6EF90A">
            <w:pPr>
              <w:pStyle w:val="178"/>
            </w:pPr>
            <w:r>
              <w:rPr>
                <w:rFonts w:hint="eastAsia"/>
              </w:rPr>
              <w:t>15</w:t>
            </w:r>
          </w:p>
        </w:tc>
        <w:tc>
          <w:tcPr>
            <w:tcW w:w="756" w:type="dxa"/>
            <w:vMerge w:val="restart"/>
            <w:tcBorders>
              <w:top w:val="single" w:color="auto" w:sz="4" w:space="0"/>
            </w:tcBorders>
            <w:vAlign w:val="center"/>
          </w:tcPr>
          <w:p w14:paraId="4254CAF3">
            <w:pPr>
              <w:pStyle w:val="178"/>
            </w:pPr>
            <w:r>
              <w:rPr>
                <w:rFonts w:hint="eastAsia"/>
              </w:rPr>
              <w:t>20</w:t>
            </w:r>
          </w:p>
        </w:tc>
        <w:tc>
          <w:tcPr>
            <w:tcW w:w="785" w:type="dxa"/>
            <w:tcBorders>
              <w:top w:val="single" w:color="auto" w:sz="4" w:space="0"/>
              <w:bottom w:val="single" w:color="auto" w:sz="4" w:space="0"/>
            </w:tcBorders>
            <w:vAlign w:val="center"/>
          </w:tcPr>
          <w:p w14:paraId="49FAAFB5">
            <w:pPr>
              <w:pStyle w:val="178"/>
            </w:pPr>
            <w:r>
              <w:rPr/>
              <w:sym w:font="Wingdings 2" w:char="F0A3"/>
            </w:r>
          </w:p>
        </w:tc>
        <w:tc>
          <w:tcPr>
            <w:tcW w:w="756" w:type="dxa"/>
            <w:vMerge w:val="restart"/>
            <w:tcBorders>
              <w:top w:val="single" w:color="auto" w:sz="4" w:space="0"/>
            </w:tcBorders>
            <w:vAlign w:val="center"/>
          </w:tcPr>
          <w:p w14:paraId="31338E05">
            <w:pPr>
              <w:pStyle w:val="178"/>
            </w:pPr>
            <w:r>
              <w:rPr>
                <w:rFonts w:hint="eastAsia"/>
              </w:rPr>
              <w:t>15</w:t>
            </w:r>
          </w:p>
        </w:tc>
        <w:tc>
          <w:tcPr>
            <w:tcW w:w="756" w:type="dxa"/>
            <w:vMerge w:val="restart"/>
            <w:tcBorders>
              <w:top w:val="single" w:color="auto" w:sz="4" w:space="0"/>
            </w:tcBorders>
            <w:vAlign w:val="center"/>
          </w:tcPr>
          <w:p w14:paraId="21DC1270">
            <w:pPr>
              <w:pStyle w:val="178"/>
            </w:pPr>
            <w:r>
              <w:rPr>
                <w:rFonts w:hint="eastAsia"/>
              </w:rPr>
              <w:t>20</w:t>
            </w:r>
          </w:p>
        </w:tc>
        <w:tc>
          <w:tcPr>
            <w:tcW w:w="721" w:type="dxa"/>
            <w:tcBorders>
              <w:top w:val="single" w:color="auto" w:sz="4" w:space="0"/>
              <w:bottom w:val="single" w:color="auto" w:sz="4" w:space="0"/>
            </w:tcBorders>
            <w:vAlign w:val="center"/>
          </w:tcPr>
          <w:p w14:paraId="12BC0425">
            <w:pPr>
              <w:pStyle w:val="178"/>
            </w:pPr>
            <w:r>
              <w:rPr/>
              <w:sym w:font="Wingdings 2" w:char="F0A2"/>
            </w:r>
          </w:p>
        </w:tc>
        <w:tc>
          <w:tcPr>
            <w:tcW w:w="721" w:type="dxa"/>
            <w:vMerge w:val="restart"/>
            <w:tcBorders>
              <w:top w:val="single" w:color="auto" w:sz="4" w:space="0"/>
            </w:tcBorders>
            <w:vAlign w:val="center"/>
          </w:tcPr>
          <w:p w14:paraId="51F7AE6C">
            <w:pPr>
              <w:pStyle w:val="178"/>
            </w:pPr>
            <w:r>
              <w:rPr>
                <w:rFonts w:hint="eastAsia"/>
              </w:rPr>
              <w:t>15</w:t>
            </w:r>
          </w:p>
        </w:tc>
        <w:tc>
          <w:tcPr>
            <w:tcW w:w="721" w:type="dxa"/>
            <w:vMerge w:val="restart"/>
            <w:tcBorders>
              <w:top w:val="single" w:color="auto" w:sz="4" w:space="0"/>
            </w:tcBorders>
            <w:vAlign w:val="center"/>
          </w:tcPr>
          <w:p w14:paraId="25EB3ACE">
            <w:pPr>
              <w:pStyle w:val="178"/>
            </w:pPr>
            <w:r>
              <w:rPr>
                <w:rFonts w:hint="eastAsia"/>
              </w:rPr>
              <w:t>20</w:t>
            </w:r>
          </w:p>
        </w:tc>
      </w:tr>
      <w:tr w14:paraId="252748F7">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0" w:type="dxa"/>
            <w:bottom w:w="0" w:type="dxa"/>
            <w:right w:w="100" w:type="dxa"/>
          </w:tblCellMar>
        </w:tblPrEx>
        <w:trPr>
          <w:trHeight w:val="340" w:hRule="atLeast"/>
          <w:jc w:val="center"/>
        </w:trPr>
        <w:tc>
          <w:tcPr>
            <w:tcW w:w="983" w:type="dxa"/>
            <w:vMerge w:val="continue"/>
            <w:tcBorders>
              <w:top w:val="single" w:color="auto" w:sz="4" w:space="0"/>
            </w:tcBorders>
            <w:vAlign w:val="center"/>
          </w:tcPr>
          <w:p w14:paraId="29998607">
            <w:pPr>
              <w:pStyle w:val="178"/>
            </w:pPr>
          </w:p>
        </w:tc>
        <w:tc>
          <w:tcPr>
            <w:tcW w:w="1485" w:type="dxa"/>
            <w:tcBorders>
              <w:top w:val="single" w:color="auto" w:sz="4" w:space="0"/>
            </w:tcBorders>
            <w:vAlign w:val="center"/>
          </w:tcPr>
          <w:p w14:paraId="01B7736B">
            <w:pPr>
              <w:pStyle w:val="178"/>
            </w:pPr>
            <w:r>
              <w:rPr>
                <w:rFonts w:hint="eastAsia"/>
                <w:color w:val="000000"/>
                <w:szCs w:val="18"/>
              </w:rPr>
              <w:t>火场救护</w:t>
            </w:r>
          </w:p>
        </w:tc>
        <w:tc>
          <w:tcPr>
            <w:tcW w:w="785" w:type="dxa"/>
            <w:tcBorders>
              <w:top w:val="single" w:color="auto" w:sz="4" w:space="0"/>
            </w:tcBorders>
            <w:vAlign w:val="center"/>
          </w:tcPr>
          <w:p w14:paraId="75D37E2C">
            <w:pPr>
              <w:pStyle w:val="178"/>
            </w:pPr>
            <w:r>
              <w:rPr>
                <w:rFonts w:hint="eastAsia"/>
                <w:color w:val="000000"/>
                <w:szCs w:val="18"/>
              </w:rPr>
              <w:t>—</w:t>
            </w:r>
          </w:p>
        </w:tc>
        <w:tc>
          <w:tcPr>
            <w:tcW w:w="756" w:type="dxa"/>
            <w:vMerge w:val="continue"/>
            <w:vAlign w:val="center"/>
          </w:tcPr>
          <w:p w14:paraId="4D9C67EE">
            <w:pPr>
              <w:pStyle w:val="178"/>
              <w:rPr>
                <w:color w:val="000000"/>
                <w:szCs w:val="18"/>
              </w:rPr>
            </w:pPr>
          </w:p>
        </w:tc>
        <w:tc>
          <w:tcPr>
            <w:tcW w:w="756" w:type="dxa"/>
            <w:vMerge w:val="continue"/>
            <w:vAlign w:val="center"/>
          </w:tcPr>
          <w:p w14:paraId="044BEF4E">
            <w:pPr>
              <w:pStyle w:val="178"/>
              <w:rPr>
                <w:color w:val="000000"/>
                <w:szCs w:val="18"/>
              </w:rPr>
            </w:pPr>
          </w:p>
        </w:tc>
        <w:tc>
          <w:tcPr>
            <w:tcW w:w="785" w:type="dxa"/>
            <w:tcBorders>
              <w:top w:val="single" w:color="auto" w:sz="4" w:space="0"/>
            </w:tcBorders>
            <w:vAlign w:val="center"/>
          </w:tcPr>
          <w:p w14:paraId="70282EA4">
            <w:pPr>
              <w:pStyle w:val="178"/>
              <w:rPr>
                <w:color w:val="000000"/>
                <w:szCs w:val="18"/>
              </w:rPr>
            </w:pPr>
            <w:r>
              <w:rPr>
                <w:rFonts w:hint="eastAsia"/>
                <w:color w:val="000000"/>
                <w:szCs w:val="18"/>
              </w:rPr>
              <w:t>—</w:t>
            </w:r>
          </w:p>
        </w:tc>
        <w:tc>
          <w:tcPr>
            <w:tcW w:w="756" w:type="dxa"/>
            <w:vMerge w:val="continue"/>
            <w:vAlign w:val="center"/>
          </w:tcPr>
          <w:p w14:paraId="50924955">
            <w:pPr>
              <w:pStyle w:val="178"/>
              <w:rPr>
                <w:color w:val="000000"/>
                <w:szCs w:val="18"/>
              </w:rPr>
            </w:pPr>
          </w:p>
        </w:tc>
        <w:tc>
          <w:tcPr>
            <w:tcW w:w="756" w:type="dxa"/>
            <w:vMerge w:val="continue"/>
            <w:vAlign w:val="center"/>
          </w:tcPr>
          <w:p w14:paraId="1714102F">
            <w:pPr>
              <w:pStyle w:val="178"/>
            </w:pPr>
          </w:p>
        </w:tc>
        <w:tc>
          <w:tcPr>
            <w:tcW w:w="721" w:type="dxa"/>
            <w:tcBorders>
              <w:top w:val="single" w:color="auto" w:sz="4" w:space="0"/>
            </w:tcBorders>
            <w:vAlign w:val="center"/>
          </w:tcPr>
          <w:p w14:paraId="77BD876E">
            <w:pPr>
              <w:pStyle w:val="178"/>
            </w:pPr>
            <w:r>
              <w:rPr>
                <w:rFonts w:hint="eastAsia"/>
              </w:rPr>
              <w:sym w:font="Wingdings 2" w:char="F0A2"/>
            </w:r>
          </w:p>
        </w:tc>
        <w:tc>
          <w:tcPr>
            <w:tcW w:w="721" w:type="dxa"/>
            <w:vMerge w:val="continue"/>
            <w:vAlign w:val="center"/>
          </w:tcPr>
          <w:p w14:paraId="3D01752E">
            <w:pPr>
              <w:pStyle w:val="178"/>
            </w:pPr>
          </w:p>
        </w:tc>
        <w:tc>
          <w:tcPr>
            <w:tcW w:w="721" w:type="dxa"/>
            <w:vMerge w:val="continue"/>
            <w:vAlign w:val="center"/>
          </w:tcPr>
          <w:p w14:paraId="7BF9470A">
            <w:pPr>
              <w:pStyle w:val="178"/>
            </w:pPr>
          </w:p>
        </w:tc>
      </w:tr>
      <w:tr w14:paraId="25F365FE">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0" w:type="dxa"/>
            <w:bottom w:w="0" w:type="dxa"/>
            <w:right w:w="100" w:type="dxa"/>
          </w:tblCellMar>
        </w:tblPrEx>
        <w:trPr>
          <w:trHeight w:val="340" w:hRule="atLeast"/>
          <w:jc w:val="center"/>
        </w:trPr>
        <w:tc>
          <w:tcPr>
            <w:tcW w:w="983" w:type="dxa"/>
            <w:vMerge w:val="continue"/>
            <w:vAlign w:val="center"/>
          </w:tcPr>
          <w:p w14:paraId="6F26E8CB">
            <w:pPr>
              <w:pStyle w:val="178"/>
            </w:pPr>
          </w:p>
        </w:tc>
        <w:tc>
          <w:tcPr>
            <w:tcW w:w="1485" w:type="dxa"/>
            <w:vAlign w:val="center"/>
          </w:tcPr>
          <w:p w14:paraId="42BDB55F">
            <w:pPr>
              <w:pStyle w:val="178"/>
            </w:pPr>
            <w:r>
              <w:rPr>
                <w:rFonts w:hint="eastAsia"/>
                <w:color w:val="000000"/>
                <w:szCs w:val="18"/>
              </w:rPr>
              <w:t>紧急避险</w:t>
            </w:r>
          </w:p>
        </w:tc>
        <w:tc>
          <w:tcPr>
            <w:tcW w:w="785" w:type="dxa"/>
            <w:vAlign w:val="center"/>
          </w:tcPr>
          <w:p w14:paraId="02E3E0A5">
            <w:pPr>
              <w:pStyle w:val="178"/>
            </w:pPr>
            <w:r>
              <w:rPr>
                <w:rFonts w:hint="eastAsia"/>
              </w:rPr>
              <w:sym w:font="Wingdings 2" w:char="F0A2"/>
            </w:r>
          </w:p>
        </w:tc>
        <w:tc>
          <w:tcPr>
            <w:tcW w:w="756" w:type="dxa"/>
            <w:vMerge w:val="continue"/>
            <w:vAlign w:val="center"/>
          </w:tcPr>
          <w:p w14:paraId="7B2DD954">
            <w:pPr>
              <w:pStyle w:val="178"/>
            </w:pPr>
          </w:p>
        </w:tc>
        <w:tc>
          <w:tcPr>
            <w:tcW w:w="756" w:type="dxa"/>
            <w:vMerge w:val="continue"/>
            <w:vAlign w:val="center"/>
          </w:tcPr>
          <w:p w14:paraId="28F75EFC">
            <w:pPr>
              <w:pStyle w:val="178"/>
            </w:pPr>
          </w:p>
        </w:tc>
        <w:tc>
          <w:tcPr>
            <w:tcW w:w="785" w:type="dxa"/>
            <w:vAlign w:val="center"/>
          </w:tcPr>
          <w:p w14:paraId="3503B081">
            <w:pPr>
              <w:pStyle w:val="178"/>
            </w:pPr>
            <w:r>
              <w:rPr>
                <w:rFonts w:hint="eastAsia"/>
              </w:rPr>
              <w:sym w:font="Wingdings 2" w:char="F0A2"/>
            </w:r>
          </w:p>
        </w:tc>
        <w:tc>
          <w:tcPr>
            <w:tcW w:w="756" w:type="dxa"/>
            <w:vMerge w:val="continue"/>
            <w:vAlign w:val="center"/>
          </w:tcPr>
          <w:p w14:paraId="69971F39">
            <w:pPr>
              <w:pStyle w:val="178"/>
            </w:pPr>
          </w:p>
        </w:tc>
        <w:tc>
          <w:tcPr>
            <w:tcW w:w="756" w:type="dxa"/>
            <w:vMerge w:val="continue"/>
            <w:vAlign w:val="center"/>
          </w:tcPr>
          <w:p w14:paraId="6595D028">
            <w:pPr>
              <w:pStyle w:val="178"/>
            </w:pPr>
          </w:p>
        </w:tc>
        <w:tc>
          <w:tcPr>
            <w:tcW w:w="721" w:type="dxa"/>
            <w:vAlign w:val="center"/>
          </w:tcPr>
          <w:p w14:paraId="3F5F7170">
            <w:pPr>
              <w:pStyle w:val="178"/>
            </w:pPr>
            <w:r>
              <w:rPr>
                <w:rFonts w:hint="eastAsia"/>
              </w:rPr>
              <w:sym w:font="Wingdings 2" w:char="F0A2"/>
            </w:r>
          </w:p>
        </w:tc>
        <w:tc>
          <w:tcPr>
            <w:tcW w:w="721" w:type="dxa"/>
            <w:vMerge w:val="continue"/>
            <w:vAlign w:val="center"/>
          </w:tcPr>
          <w:p w14:paraId="4B8FA689">
            <w:pPr>
              <w:pStyle w:val="178"/>
            </w:pPr>
          </w:p>
        </w:tc>
        <w:tc>
          <w:tcPr>
            <w:tcW w:w="721" w:type="dxa"/>
            <w:vMerge w:val="continue"/>
            <w:vAlign w:val="center"/>
          </w:tcPr>
          <w:p w14:paraId="60F4AF3B">
            <w:pPr>
              <w:pStyle w:val="178"/>
            </w:pPr>
          </w:p>
        </w:tc>
      </w:tr>
      <w:tr w14:paraId="31D7525F">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0" w:type="dxa"/>
            <w:bottom w:w="0" w:type="dxa"/>
            <w:right w:w="100" w:type="dxa"/>
          </w:tblCellMar>
        </w:tblPrEx>
        <w:trPr>
          <w:trHeight w:val="340" w:hRule="atLeast"/>
          <w:jc w:val="center"/>
        </w:trPr>
        <w:tc>
          <w:tcPr>
            <w:tcW w:w="983" w:type="dxa"/>
            <w:vMerge w:val="continue"/>
            <w:vAlign w:val="center"/>
          </w:tcPr>
          <w:p w14:paraId="059C88E9">
            <w:pPr>
              <w:pStyle w:val="178"/>
            </w:pPr>
          </w:p>
        </w:tc>
        <w:tc>
          <w:tcPr>
            <w:tcW w:w="1485" w:type="dxa"/>
            <w:vAlign w:val="center"/>
          </w:tcPr>
          <w:p w14:paraId="613CF8A2">
            <w:pPr>
              <w:pStyle w:val="178"/>
            </w:pPr>
            <w:r>
              <w:rPr>
                <w:rFonts w:hint="eastAsia"/>
                <w:color w:val="000000"/>
                <w:szCs w:val="18"/>
              </w:rPr>
              <w:t>事故处置</w:t>
            </w:r>
          </w:p>
        </w:tc>
        <w:tc>
          <w:tcPr>
            <w:tcW w:w="785" w:type="dxa"/>
            <w:vAlign w:val="center"/>
          </w:tcPr>
          <w:p w14:paraId="7B1B3C35">
            <w:pPr>
              <w:pStyle w:val="178"/>
            </w:pPr>
            <w:r>
              <w:rPr/>
              <w:sym w:font="Wingdings 2" w:char="F0A3"/>
            </w:r>
          </w:p>
        </w:tc>
        <w:tc>
          <w:tcPr>
            <w:tcW w:w="756" w:type="dxa"/>
            <w:vMerge w:val="continue"/>
            <w:vAlign w:val="center"/>
          </w:tcPr>
          <w:p w14:paraId="5EE1C9E5">
            <w:pPr>
              <w:pStyle w:val="178"/>
            </w:pPr>
          </w:p>
        </w:tc>
        <w:tc>
          <w:tcPr>
            <w:tcW w:w="756" w:type="dxa"/>
            <w:vMerge w:val="continue"/>
            <w:vAlign w:val="center"/>
          </w:tcPr>
          <w:p w14:paraId="170B2DC9">
            <w:pPr>
              <w:pStyle w:val="178"/>
            </w:pPr>
          </w:p>
        </w:tc>
        <w:tc>
          <w:tcPr>
            <w:tcW w:w="785" w:type="dxa"/>
            <w:vAlign w:val="center"/>
          </w:tcPr>
          <w:p w14:paraId="22E83876">
            <w:pPr>
              <w:pStyle w:val="178"/>
            </w:pPr>
            <w:r>
              <w:rPr/>
              <w:sym w:font="Wingdings 2" w:char="F0A3"/>
            </w:r>
          </w:p>
        </w:tc>
        <w:tc>
          <w:tcPr>
            <w:tcW w:w="756" w:type="dxa"/>
            <w:vMerge w:val="continue"/>
            <w:vAlign w:val="center"/>
          </w:tcPr>
          <w:p w14:paraId="41CAC26F">
            <w:pPr>
              <w:pStyle w:val="178"/>
            </w:pPr>
          </w:p>
        </w:tc>
        <w:tc>
          <w:tcPr>
            <w:tcW w:w="756" w:type="dxa"/>
            <w:vMerge w:val="continue"/>
            <w:vAlign w:val="center"/>
          </w:tcPr>
          <w:p w14:paraId="1A9205AD">
            <w:pPr>
              <w:pStyle w:val="178"/>
            </w:pPr>
          </w:p>
        </w:tc>
        <w:tc>
          <w:tcPr>
            <w:tcW w:w="721" w:type="dxa"/>
            <w:vAlign w:val="center"/>
          </w:tcPr>
          <w:p w14:paraId="6EF08028">
            <w:pPr>
              <w:pStyle w:val="178"/>
            </w:pPr>
            <w:r>
              <w:rPr/>
              <w:sym w:font="Wingdings 2" w:char="F0A3"/>
            </w:r>
          </w:p>
        </w:tc>
        <w:tc>
          <w:tcPr>
            <w:tcW w:w="721" w:type="dxa"/>
            <w:vMerge w:val="continue"/>
            <w:vAlign w:val="center"/>
          </w:tcPr>
          <w:p w14:paraId="1B717538">
            <w:pPr>
              <w:pStyle w:val="178"/>
            </w:pPr>
          </w:p>
        </w:tc>
        <w:tc>
          <w:tcPr>
            <w:tcW w:w="721" w:type="dxa"/>
            <w:vMerge w:val="continue"/>
            <w:vAlign w:val="center"/>
          </w:tcPr>
          <w:p w14:paraId="6AAAB464">
            <w:pPr>
              <w:pStyle w:val="178"/>
            </w:pPr>
          </w:p>
        </w:tc>
      </w:tr>
      <w:tr w14:paraId="6F8F8028">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0" w:type="dxa"/>
            <w:bottom w:w="0" w:type="dxa"/>
            <w:right w:w="100" w:type="dxa"/>
          </w:tblCellMar>
        </w:tblPrEx>
        <w:trPr>
          <w:trHeight w:val="340" w:hRule="atLeast"/>
          <w:jc w:val="center"/>
        </w:trPr>
        <w:tc>
          <w:tcPr>
            <w:tcW w:w="983" w:type="dxa"/>
            <w:vMerge w:val="continue"/>
            <w:vAlign w:val="center"/>
          </w:tcPr>
          <w:p w14:paraId="2C7FCB86">
            <w:pPr>
              <w:pStyle w:val="178"/>
            </w:pPr>
          </w:p>
        </w:tc>
        <w:tc>
          <w:tcPr>
            <w:tcW w:w="1485" w:type="dxa"/>
            <w:vAlign w:val="center"/>
          </w:tcPr>
          <w:p w14:paraId="3DAF9252">
            <w:pPr>
              <w:pStyle w:val="178"/>
            </w:pPr>
            <w:r>
              <w:rPr>
                <w:rFonts w:hint="eastAsia"/>
                <w:color w:val="000000"/>
                <w:szCs w:val="18"/>
              </w:rPr>
              <w:t>心理调适</w:t>
            </w:r>
          </w:p>
        </w:tc>
        <w:tc>
          <w:tcPr>
            <w:tcW w:w="785" w:type="dxa"/>
            <w:vAlign w:val="center"/>
          </w:tcPr>
          <w:p w14:paraId="138D27F0">
            <w:pPr>
              <w:pStyle w:val="178"/>
            </w:pPr>
            <w:r>
              <w:rPr>
                <w:rFonts w:hint="eastAsia"/>
                <w:color w:val="000000"/>
                <w:szCs w:val="18"/>
              </w:rPr>
              <w:t>—</w:t>
            </w:r>
          </w:p>
        </w:tc>
        <w:tc>
          <w:tcPr>
            <w:tcW w:w="756" w:type="dxa"/>
            <w:vMerge w:val="continue"/>
            <w:vAlign w:val="center"/>
          </w:tcPr>
          <w:p w14:paraId="2941D4FE">
            <w:pPr>
              <w:pStyle w:val="178"/>
              <w:rPr>
                <w:color w:val="000000"/>
                <w:szCs w:val="18"/>
              </w:rPr>
            </w:pPr>
          </w:p>
        </w:tc>
        <w:tc>
          <w:tcPr>
            <w:tcW w:w="756" w:type="dxa"/>
            <w:vMerge w:val="continue"/>
            <w:vAlign w:val="center"/>
          </w:tcPr>
          <w:p w14:paraId="5D94CD98">
            <w:pPr>
              <w:pStyle w:val="178"/>
              <w:rPr>
                <w:color w:val="000000"/>
                <w:szCs w:val="18"/>
              </w:rPr>
            </w:pPr>
          </w:p>
        </w:tc>
        <w:tc>
          <w:tcPr>
            <w:tcW w:w="785" w:type="dxa"/>
            <w:vAlign w:val="center"/>
          </w:tcPr>
          <w:p w14:paraId="30A01856">
            <w:pPr>
              <w:pStyle w:val="178"/>
              <w:rPr>
                <w:color w:val="000000"/>
                <w:szCs w:val="18"/>
              </w:rPr>
            </w:pPr>
            <w:r>
              <w:rPr>
                <w:rFonts w:hint="eastAsia"/>
                <w:color w:val="000000"/>
                <w:szCs w:val="18"/>
              </w:rPr>
              <w:t>—</w:t>
            </w:r>
          </w:p>
        </w:tc>
        <w:tc>
          <w:tcPr>
            <w:tcW w:w="756" w:type="dxa"/>
            <w:vMerge w:val="continue"/>
            <w:vAlign w:val="center"/>
          </w:tcPr>
          <w:p w14:paraId="08D26619">
            <w:pPr>
              <w:pStyle w:val="178"/>
              <w:rPr>
                <w:color w:val="000000"/>
                <w:szCs w:val="18"/>
              </w:rPr>
            </w:pPr>
          </w:p>
        </w:tc>
        <w:tc>
          <w:tcPr>
            <w:tcW w:w="756" w:type="dxa"/>
            <w:vMerge w:val="continue"/>
            <w:vAlign w:val="center"/>
          </w:tcPr>
          <w:p w14:paraId="0AA3922B">
            <w:pPr>
              <w:pStyle w:val="178"/>
            </w:pPr>
          </w:p>
        </w:tc>
        <w:tc>
          <w:tcPr>
            <w:tcW w:w="721" w:type="dxa"/>
            <w:vAlign w:val="center"/>
          </w:tcPr>
          <w:p w14:paraId="402B413B">
            <w:pPr>
              <w:pStyle w:val="178"/>
              <w:rPr>
                <w:color w:val="000000"/>
                <w:szCs w:val="18"/>
              </w:rPr>
            </w:pPr>
            <w:r>
              <w:rPr/>
              <w:sym w:font="Wingdings 2" w:char="F0A3"/>
            </w:r>
          </w:p>
        </w:tc>
        <w:tc>
          <w:tcPr>
            <w:tcW w:w="721" w:type="dxa"/>
            <w:vMerge w:val="continue"/>
            <w:vAlign w:val="center"/>
          </w:tcPr>
          <w:p w14:paraId="56724475">
            <w:pPr>
              <w:pStyle w:val="178"/>
              <w:rPr>
                <w:color w:val="000000"/>
                <w:szCs w:val="18"/>
              </w:rPr>
            </w:pPr>
          </w:p>
        </w:tc>
        <w:tc>
          <w:tcPr>
            <w:tcW w:w="721" w:type="dxa"/>
            <w:vMerge w:val="continue"/>
            <w:vAlign w:val="center"/>
          </w:tcPr>
          <w:p w14:paraId="78B9160A">
            <w:pPr>
              <w:pStyle w:val="178"/>
              <w:rPr>
                <w:color w:val="000000"/>
                <w:szCs w:val="18"/>
              </w:rPr>
            </w:pPr>
          </w:p>
        </w:tc>
      </w:tr>
      <w:tr w14:paraId="6E5BFC78">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0" w:type="dxa"/>
            <w:bottom w:w="0" w:type="dxa"/>
            <w:right w:w="100" w:type="dxa"/>
          </w:tblCellMar>
        </w:tblPrEx>
        <w:trPr>
          <w:trHeight w:val="567" w:hRule="atLeast"/>
          <w:jc w:val="center"/>
        </w:trPr>
        <w:tc>
          <w:tcPr>
            <w:tcW w:w="3253" w:type="dxa"/>
            <w:gridSpan w:val="3"/>
            <w:tcBorders>
              <w:bottom w:val="single" w:color="auto" w:sz="8" w:space="0"/>
            </w:tcBorders>
            <w:vAlign w:val="center"/>
          </w:tcPr>
          <w:p w14:paraId="6F34688D">
            <w:pPr>
              <w:pStyle w:val="178"/>
              <w:rPr>
                <w:color w:val="000000"/>
                <w:szCs w:val="18"/>
              </w:rPr>
            </w:pPr>
            <w:r>
              <w:rPr>
                <w:rFonts w:hint="eastAsia"/>
              </w:rPr>
              <w:t>合计</w:t>
            </w:r>
          </w:p>
        </w:tc>
        <w:tc>
          <w:tcPr>
            <w:tcW w:w="756" w:type="dxa"/>
            <w:tcBorders>
              <w:bottom w:val="single" w:color="auto" w:sz="8" w:space="0"/>
            </w:tcBorders>
            <w:vAlign w:val="center"/>
          </w:tcPr>
          <w:p w14:paraId="489BEA53">
            <w:pPr>
              <w:pStyle w:val="178"/>
            </w:pPr>
            <w:r>
              <w:rPr>
                <w:rFonts w:hint="eastAsia"/>
              </w:rPr>
              <w:t>100</w:t>
            </w:r>
          </w:p>
        </w:tc>
        <w:tc>
          <w:tcPr>
            <w:tcW w:w="756" w:type="dxa"/>
            <w:tcBorders>
              <w:bottom w:val="single" w:color="auto" w:sz="8" w:space="0"/>
            </w:tcBorders>
            <w:vAlign w:val="center"/>
          </w:tcPr>
          <w:p w14:paraId="20794ACB">
            <w:pPr>
              <w:pStyle w:val="178"/>
            </w:pPr>
            <w:r>
              <w:rPr>
                <w:rFonts w:hint="eastAsia"/>
              </w:rPr>
              <w:t>100</w:t>
            </w:r>
          </w:p>
        </w:tc>
        <w:tc>
          <w:tcPr>
            <w:tcW w:w="785" w:type="dxa"/>
            <w:tcBorders>
              <w:bottom w:val="single" w:color="auto" w:sz="8" w:space="0"/>
            </w:tcBorders>
            <w:vAlign w:val="center"/>
          </w:tcPr>
          <w:p w14:paraId="68372303">
            <w:pPr>
              <w:pStyle w:val="178"/>
            </w:pPr>
          </w:p>
        </w:tc>
        <w:tc>
          <w:tcPr>
            <w:tcW w:w="756" w:type="dxa"/>
            <w:tcBorders>
              <w:bottom w:val="single" w:color="auto" w:sz="8" w:space="0"/>
            </w:tcBorders>
            <w:vAlign w:val="center"/>
          </w:tcPr>
          <w:p w14:paraId="26471F0E">
            <w:pPr>
              <w:pStyle w:val="178"/>
            </w:pPr>
            <w:r>
              <w:rPr>
                <w:rFonts w:hint="eastAsia"/>
              </w:rPr>
              <w:t>100</w:t>
            </w:r>
          </w:p>
        </w:tc>
        <w:tc>
          <w:tcPr>
            <w:tcW w:w="756" w:type="dxa"/>
            <w:tcBorders>
              <w:bottom w:val="single" w:color="auto" w:sz="8" w:space="0"/>
            </w:tcBorders>
            <w:vAlign w:val="center"/>
          </w:tcPr>
          <w:p w14:paraId="117F2452">
            <w:pPr>
              <w:pStyle w:val="178"/>
            </w:pPr>
            <w:r>
              <w:rPr>
                <w:rFonts w:hint="eastAsia"/>
              </w:rPr>
              <w:t>100</w:t>
            </w:r>
          </w:p>
        </w:tc>
        <w:tc>
          <w:tcPr>
            <w:tcW w:w="721" w:type="dxa"/>
            <w:tcBorders>
              <w:bottom w:val="single" w:color="auto" w:sz="8" w:space="0"/>
            </w:tcBorders>
            <w:vAlign w:val="center"/>
          </w:tcPr>
          <w:p w14:paraId="55A11529">
            <w:pPr>
              <w:pStyle w:val="178"/>
            </w:pPr>
          </w:p>
        </w:tc>
        <w:tc>
          <w:tcPr>
            <w:tcW w:w="721" w:type="dxa"/>
            <w:tcBorders>
              <w:bottom w:val="single" w:color="auto" w:sz="8" w:space="0"/>
            </w:tcBorders>
            <w:vAlign w:val="center"/>
          </w:tcPr>
          <w:p w14:paraId="1FB5A8A7">
            <w:pPr>
              <w:pStyle w:val="178"/>
            </w:pPr>
            <w:r>
              <w:rPr>
                <w:rFonts w:hint="eastAsia"/>
              </w:rPr>
              <w:t>100</w:t>
            </w:r>
          </w:p>
        </w:tc>
        <w:tc>
          <w:tcPr>
            <w:tcW w:w="721" w:type="dxa"/>
            <w:tcBorders>
              <w:bottom w:val="single" w:color="auto" w:sz="8" w:space="0"/>
            </w:tcBorders>
            <w:vAlign w:val="center"/>
          </w:tcPr>
          <w:p w14:paraId="1713D195">
            <w:pPr>
              <w:pStyle w:val="178"/>
            </w:pPr>
            <w:r>
              <w:rPr>
                <w:rFonts w:hint="eastAsia"/>
              </w:rPr>
              <w:t>100</w:t>
            </w:r>
          </w:p>
        </w:tc>
      </w:tr>
      <w:tr w14:paraId="2124782B">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0" w:type="dxa"/>
            <w:bottom w:w="0" w:type="dxa"/>
            <w:right w:w="100" w:type="dxa"/>
          </w:tblCellMar>
        </w:tblPrEx>
        <w:trPr>
          <w:trHeight w:val="567" w:hRule="atLeast"/>
          <w:jc w:val="center"/>
        </w:trPr>
        <w:tc>
          <w:tcPr>
            <w:tcW w:w="9225" w:type="dxa"/>
            <w:gridSpan w:val="11"/>
            <w:tcBorders>
              <w:top w:val="single" w:color="auto" w:sz="8" w:space="0"/>
              <w:bottom w:val="single" w:color="auto" w:sz="8" w:space="0"/>
            </w:tcBorders>
            <w:vAlign w:val="center"/>
          </w:tcPr>
          <w:p w14:paraId="59F18266">
            <w:pPr>
              <w:pStyle w:val="180"/>
              <w:numPr>
                <w:ilvl w:val="0"/>
                <w:numId w:val="53"/>
              </w:numPr>
            </w:pPr>
            <w:bookmarkStart w:id="349" w:name="OLE_LINK51"/>
            <w:r>
              <w:rPr/>
              <w:sym w:font="Wingdings 2" w:char="F0A3"/>
            </w:r>
            <w:r>
              <w:rPr>
                <w:rFonts w:hint="eastAsia"/>
              </w:rPr>
              <w:t>为闭卷笔试或计算机考试方式；</w:t>
            </w:r>
            <w:r>
              <w:rPr>
                <w:rFonts w:hint="eastAsia"/>
              </w:rPr>
              <w:sym w:font="Wingdings 2" w:char="F0A2"/>
            </w:r>
            <w:r>
              <w:rPr>
                <w:rFonts w:hint="eastAsia"/>
              </w:rPr>
              <w:t>为现场实操、模拟演练或虚拟仿真演练等考核方式；</w:t>
            </w:r>
            <w:r>
              <w:rPr/>
              <w:sym w:font="Wingdings 2" w:char="F0A3"/>
            </w:r>
            <w:r>
              <w:rPr>
                <w:rFonts w:hint="eastAsia"/>
              </w:rPr>
              <w:sym w:font="Wingdings 2" w:char="F0A2"/>
            </w:r>
            <w:r>
              <w:rPr>
                <w:rFonts w:hint="eastAsia"/>
              </w:rPr>
              <w:t>表示应同时进行专业理论考核和实践操作考核。</w:t>
            </w:r>
            <w:bookmarkEnd w:id="349"/>
          </w:p>
        </w:tc>
      </w:tr>
    </w:tbl>
    <w:p w14:paraId="0F22DFCB">
      <w:pPr>
        <w:pStyle w:val="56"/>
        <w:ind w:firstLine="420"/>
      </w:pPr>
    </w:p>
    <w:p w14:paraId="47F01DE0">
      <w:pPr>
        <w:pStyle w:val="198"/>
        <w:rPr>
          <w:rFonts w:hint="eastAsia"/>
          <w:vanish w:val="0"/>
        </w:rPr>
      </w:pPr>
    </w:p>
    <w:p w14:paraId="61B6FDE1">
      <w:pPr>
        <w:pStyle w:val="199"/>
        <w:rPr>
          <w:vanish w:val="0"/>
        </w:rPr>
      </w:pPr>
    </w:p>
    <w:p w14:paraId="443682F8">
      <w:pPr>
        <w:pStyle w:val="76"/>
        <w:spacing w:after="120"/>
      </w:pPr>
      <w:r>
        <w:br w:type="textWrapping"/>
      </w:r>
      <w:bookmarkStart w:id="350" w:name="_Toc203753137"/>
      <w:bookmarkStart w:id="351" w:name="_Toc203671204"/>
      <w:bookmarkStart w:id="352" w:name="_Toc203579162"/>
      <w:r>
        <w:rPr>
          <w:rFonts w:hint="eastAsia"/>
        </w:rPr>
        <w:t>（规范性）</w:t>
      </w:r>
      <w:r>
        <w:br w:type="textWrapping"/>
      </w:r>
      <w:bookmarkStart w:id="353" w:name="_Hlk203679912"/>
      <w:r>
        <w:rPr>
          <w:rFonts w:hint="eastAsia"/>
        </w:rPr>
        <w:t>地方森林草原火灾扑救指挥员</w:t>
      </w:r>
      <w:bookmarkEnd w:id="353"/>
      <w:r>
        <w:rPr>
          <w:rFonts w:hint="eastAsia"/>
        </w:rPr>
        <w:t>培训结业证书</w:t>
      </w:r>
      <w:bookmarkEnd w:id="350"/>
      <w:bookmarkEnd w:id="351"/>
      <w:bookmarkEnd w:id="352"/>
    </w:p>
    <w:p w14:paraId="7A4B42F3">
      <w:pPr>
        <w:pStyle w:val="56"/>
        <w:ind w:firstLine="420"/>
      </w:pPr>
      <w:bookmarkStart w:id="354" w:name="_Hlk203679941"/>
      <w:r>
        <w:rPr>
          <w:rFonts w:hint="eastAsia"/>
        </w:rPr>
        <w:t>图D.1规定了地方森林草原火灾扑救指挥员培训结业证书制作要求。</w:t>
      </w:r>
    </w:p>
    <w:bookmarkEnd w:id="354"/>
    <w:p w14:paraId="345462D5">
      <w:pPr>
        <w:pStyle w:val="182"/>
        <w:ind w:firstLine="0" w:firstLineChars="0"/>
      </w:pPr>
      <w:r>
        <w:drawing>
          <wp:inline distT="0" distB="0" distL="0" distR="0">
            <wp:extent cx="5923915" cy="4190365"/>
            <wp:effectExtent l="0" t="0" r="635" b="635"/>
            <wp:docPr id="669243797"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9243797" name="图片 3"/>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a:xfrm>
                      <a:off x="0" y="0"/>
                      <a:ext cx="5923915" cy="4190365"/>
                    </a:xfrm>
                    <a:prstGeom prst="rect">
                      <a:avLst/>
                    </a:prstGeom>
                    <a:noFill/>
                    <a:ln>
                      <a:noFill/>
                    </a:ln>
                  </pic:spPr>
                </pic:pic>
              </a:graphicData>
            </a:graphic>
          </wp:inline>
        </w:drawing>
      </w:r>
    </w:p>
    <w:p w14:paraId="24605747">
      <w:pPr>
        <w:pStyle w:val="56"/>
        <w:ind w:firstLine="420"/>
      </w:pPr>
      <w:bookmarkStart w:id="355" w:name="OLE_LINK34"/>
      <w:r>
        <w:rPr>
          <w:rFonts w:hint="eastAsia"/>
        </w:rPr>
        <w:t>说明：</w:t>
      </w:r>
    </w:p>
    <w:p w14:paraId="1F0106BA">
      <w:pPr>
        <w:pStyle w:val="109"/>
        <w:numPr>
          <w:ilvl w:val="1"/>
          <w:numId w:val="54"/>
        </w:numPr>
      </w:pPr>
      <w:r>
        <w:rPr>
          <w:rFonts w:hint="eastAsia"/>
        </w:rPr>
        <w:t>外形尺寸规格为297</w:t>
      </w:r>
      <w:r>
        <w:t>mm</w:t>
      </w:r>
      <w:r>
        <w:rPr>
          <w:rFonts w:hint="eastAsia"/>
        </w:rPr>
        <w:t>×210㎜，使用钢板尺对证书外形尺寸进行测量，允许误差±1㎜；</w:t>
      </w:r>
    </w:p>
    <w:p w14:paraId="056BCF70">
      <w:pPr>
        <w:pStyle w:val="109"/>
        <w:numPr>
          <w:ilvl w:val="1"/>
          <w:numId w:val="54"/>
        </w:numPr>
      </w:pPr>
      <w:r>
        <w:rPr>
          <w:rFonts w:hint="eastAsia"/>
        </w:rPr>
        <w:t>证书背面纸张采用120g/㎡皮纹有色纸，无文字、图案，颜色为火焰蓝（C100、M100、Y50、K0)；</w:t>
      </w:r>
    </w:p>
    <w:p w14:paraId="1401A234">
      <w:pPr>
        <w:pStyle w:val="109"/>
        <w:numPr>
          <w:ilvl w:val="1"/>
          <w:numId w:val="54"/>
        </w:numPr>
      </w:pPr>
      <w:r>
        <w:rPr>
          <w:rFonts w:hint="eastAsia"/>
        </w:rPr>
        <w:t>在证书背面纸张上裱糊</w:t>
      </w:r>
      <w:bookmarkStart w:id="356" w:name="OLE_LINK20"/>
      <w:r>
        <w:rPr>
          <w:rFonts w:hint="eastAsia"/>
        </w:rPr>
        <w:t>水印防伪纸</w:t>
      </w:r>
      <w:bookmarkEnd w:id="356"/>
      <w:r>
        <w:rPr>
          <w:rFonts w:hint="eastAsia"/>
        </w:rPr>
        <w:t>，为证书正面，水印防伪纸各项指标符合</w:t>
      </w:r>
      <w:r>
        <w:t>GB/T 22467.1</w:t>
      </w:r>
      <w:r>
        <w:rPr>
          <w:rFonts w:hint="eastAsia"/>
        </w:rPr>
        <w:t>的规定，水印图案为应急管理系统官方标识，图案尺寸规格为65mm×65㎜，固定水印于正面中央位置。</w:t>
      </w:r>
    </w:p>
    <w:p w14:paraId="1DB8664E">
      <w:pPr>
        <w:pStyle w:val="109"/>
        <w:numPr>
          <w:ilvl w:val="1"/>
          <w:numId w:val="54"/>
        </w:numPr>
      </w:pPr>
      <w:r>
        <w:rPr>
          <w:rFonts w:hint="eastAsia"/>
        </w:rPr>
        <w:t>证书正面所有文字字体均为华文中宋、加粗，“结业证书”字体红色（C0、M100、Y100、K0），字号52pt，其余文字颜色均为黑色（</w:t>
      </w:r>
      <w:r>
        <w:t>C50、M50、Y50、K100</w:t>
      </w:r>
      <w:r>
        <w:rPr>
          <w:rFonts w:hint="eastAsia"/>
        </w:rPr>
        <w:t>），姓名字号30pt，“持证人身份证号码”“发证机关（签章）”“××年××月××日”字号19pt，其余文字均为22 pt；照片为一寸免冠证件照。</w:t>
      </w:r>
    </w:p>
    <w:p w14:paraId="463987C4">
      <w:pPr>
        <w:pStyle w:val="109"/>
        <w:numPr>
          <w:ilvl w:val="1"/>
          <w:numId w:val="54"/>
        </w:numPr>
      </w:pPr>
      <w:r>
        <w:rPr>
          <w:rFonts w:hint="eastAsia"/>
        </w:rPr>
        <w:t>证书正面页底底纹采用防伪设计技术，符合</w:t>
      </w:r>
      <w:r>
        <w:t>GB/T</w:t>
      </w:r>
      <w:r>
        <w:rPr>
          <w:rFonts w:hint="eastAsia"/>
        </w:rPr>
        <w:t xml:space="preserve"> 22258的规定；</w:t>
      </w:r>
    </w:p>
    <w:p w14:paraId="281A4458">
      <w:pPr>
        <w:pStyle w:val="109"/>
        <w:numPr>
          <w:ilvl w:val="1"/>
          <w:numId w:val="54"/>
        </w:numPr>
      </w:pPr>
      <w:r>
        <w:rPr>
          <w:rFonts w:hint="eastAsia"/>
        </w:rPr>
        <w:t>在8倍以上放大镜观察证书正面底纹，整个底纹的线条为实线条，不得有断点。</w:t>
      </w:r>
    </w:p>
    <w:bookmarkEnd w:id="355"/>
    <w:p w14:paraId="12BCAB27">
      <w:pPr>
        <w:pStyle w:val="83"/>
        <w:spacing w:before="120" w:after="120"/>
        <w:sectPr>
          <w:pgSz w:w="11906" w:h="16838"/>
          <w:pgMar w:top="1928" w:right="1134" w:bottom="1134" w:left="1134" w:header="1418" w:footer="1134" w:gutter="284"/>
          <w:cols w:space="425" w:num="1"/>
          <w:formProt w:val="0"/>
          <w:docGrid w:linePitch="312" w:charSpace="0"/>
        </w:sectPr>
      </w:pPr>
      <w:r>
        <w:rPr>
          <w:rFonts w:hint="eastAsia"/>
        </w:rPr>
        <w:t>地方森林草原火灾扑救指挥员培训结业证书</w:t>
      </w:r>
    </w:p>
    <w:p w14:paraId="6AFEC012">
      <w:pPr>
        <w:pStyle w:val="198"/>
        <w:rPr>
          <w:rFonts w:hint="eastAsia"/>
          <w:vanish w:val="0"/>
        </w:rPr>
      </w:pPr>
    </w:p>
    <w:p w14:paraId="4A1B68A0">
      <w:pPr>
        <w:pStyle w:val="199"/>
        <w:rPr>
          <w:vanish w:val="0"/>
        </w:rPr>
      </w:pPr>
    </w:p>
    <w:p w14:paraId="1889A628">
      <w:pPr>
        <w:pStyle w:val="76"/>
        <w:spacing w:after="120"/>
      </w:pPr>
      <w:r>
        <w:br w:type="textWrapping"/>
      </w:r>
      <w:bookmarkStart w:id="357" w:name="_Toc203753138"/>
      <w:bookmarkStart w:id="358" w:name="_Toc203671205"/>
      <w:r>
        <w:rPr>
          <w:rFonts w:hint="eastAsia"/>
        </w:rPr>
        <w:t>（规范性）</w:t>
      </w:r>
      <w:r>
        <w:br w:type="textWrapping"/>
      </w:r>
      <w:bookmarkStart w:id="359" w:name="_Hlk203681872"/>
      <w:r>
        <w:rPr>
          <w:rFonts w:hint="eastAsia"/>
        </w:rPr>
        <w:t>地方森林草原火灾扑救指挥员</w:t>
      </w:r>
      <w:bookmarkEnd w:id="359"/>
      <w:r>
        <w:rPr>
          <w:rFonts w:hint="eastAsia"/>
        </w:rPr>
        <w:t>考核合格证书</w:t>
      </w:r>
      <w:bookmarkEnd w:id="357"/>
      <w:bookmarkEnd w:id="358"/>
    </w:p>
    <w:p w14:paraId="73B812D0">
      <w:pPr>
        <w:pStyle w:val="56"/>
        <w:ind w:firstLine="420"/>
      </w:pPr>
      <w:r>
        <w:rPr>
          <w:rFonts w:hint="eastAsia"/>
        </w:rPr>
        <w:t>图E.1规定了</w:t>
      </w:r>
      <w:bookmarkStart w:id="360" w:name="_Hlk203680036"/>
      <w:r>
        <w:rPr>
          <w:rFonts w:hint="eastAsia"/>
        </w:rPr>
        <w:t>地方森林草原火灾扑救指挥员考核合格证书</w:t>
      </w:r>
      <w:bookmarkEnd w:id="360"/>
      <w:r>
        <w:rPr>
          <w:rFonts w:hint="eastAsia"/>
        </w:rPr>
        <w:t>制作要求。</w:t>
      </w:r>
    </w:p>
    <w:p w14:paraId="77B69DEF">
      <w:pPr>
        <w:pStyle w:val="56"/>
        <w:ind w:firstLine="199" w:firstLineChars="95"/>
      </w:pPr>
      <w:r>
        <w:drawing>
          <wp:inline distT="0" distB="0" distL="0" distR="0">
            <wp:extent cx="5923915" cy="4190365"/>
            <wp:effectExtent l="0" t="0" r="635" b="635"/>
            <wp:docPr id="1181546410"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81546410" name="图片 4"/>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a:xfrm>
                      <a:off x="0" y="0"/>
                      <a:ext cx="5923915" cy="4190365"/>
                    </a:xfrm>
                    <a:prstGeom prst="rect">
                      <a:avLst/>
                    </a:prstGeom>
                    <a:noFill/>
                    <a:ln>
                      <a:noFill/>
                    </a:ln>
                  </pic:spPr>
                </pic:pic>
              </a:graphicData>
            </a:graphic>
          </wp:inline>
        </w:drawing>
      </w:r>
    </w:p>
    <w:p w14:paraId="33D5DB14">
      <w:pPr>
        <w:pStyle w:val="56"/>
        <w:ind w:firstLine="420"/>
      </w:pPr>
      <w:r>
        <w:rPr>
          <w:rFonts w:hint="eastAsia"/>
        </w:rPr>
        <w:t>说明：</w:t>
      </w:r>
    </w:p>
    <w:p w14:paraId="2E424E7B">
      <w:pPr>
        <w:pStyle w:val="109"/>
        <w:numPr>
          <w:ilvl w:val="1"/>
          <w:numId w:val="55"/>
        </w:numPr>
      </w:pPr>
      <w:r>
        <w:rPr>
          <w:rFonts w:hint="eastAsia"/>
        </w:rPr>
        <w:t>证书外形尺寸规格为297</w:t>
      </w:r>
      <w:r>
        <w:t>mm</w:t>
      </w:r>
      <w:r>
        <w:rPr>
          <w:rFonts w:hint="eastAsia"/>
        </w:rPr>
        <w:t>×210㎜，使用钢板尺对证书外形尺寸进行测量，允许误差±1㎜；</w:t>
      </w:r>
    </w:p>
    <w:p w14:paraId="40C991B6">
      <w:pPr>
        <w:pStyle w:val="109"/>
      </w:pPr>
      <w:r>
        <w:rPr>
          <w:rFonts w:hint="eastAsia"/>
        </w:rPr>
        <w:t>证书背面纸张采用120g/㎡皮纹有色纸，无文字、图案，颜色为火焰蓝（C100、M100、Y50、K0)；</w:t>
      </w:r>
    </w:p>
    <w:p w14:paraId="0FE7C278">
      <w:pPr>
        <w:pStyle w:val="109"/>
      </w:pPr>
      <w:r>
        <w:rPr>
          <w:rFonts w:hint="eastAsia"/>
        </w:rPr>
        <w:t>在证书背面纸张上裱糊水印防伪纸，为证书正面，水印防伪纸各项指标符合</w:t>
      </w:r>
      <w:r>
        <w:t>GB/T 22467.1</w:t>
      </w:r>
      <w:r>
        <w:rPr>
          <w:rFonts w:hint="eastAsia"/>
        </w:rPr>
        <w:t>的规定，水印图案为应急管理系统官方标识，图案尺寸规格为65mm×65㎜，固定水印于正面中央位置。</w:t>
      </w:r>
    </w:p>
    <w:p w14:paraId="491C36C8">
      <w:pPr>
        <w:pStyle w:val="109"/>
      </w:pPr>
      <w:r>
        <w:rPr>
          <w:rFonts w:hint="eastAsia"/>
        </w:rPr>
        <w:t>证书正面所有文字字体均为华文中宋、加粗，“合格证书”字体红色（C0、M100、Y100、K0），字号52pt，其余文字颜色均为黑色（</w:t>
      </w:r>
      <w:r>
        <w:t>C50、M50、Y50、K100</w:t>
      </w:r>
      <w:r>
        <w:rPr>
          <w:rFonts w:hint="eastAsia"/>
        </w:rPr>
        <w:t>），姓名字号30pt，“持证人身份证号码”“发证机关（签章）”“××年××月××日”字号19pt，其余文字字号均为22pt；照片为一寸免冠证件照。</w:t>
      </w:r>
    </w:p>
    <w:p w14:paraId="5A6E718B">
      <w:pPr>
        <w:pStyle w:val="109"/>
      </w:pPr>
      <w:r>
        <w:rPr>
          <w:rFonts w:hint="eastAsia"/>
        </w:rPr>
        <w:t>证书正面页底底纹采用防伪设计技术，符合</w:t>
      </w:r>
      <w:r>
        <w:t>GB/T</w:t>
      </w:r>
      <w:r>
        <w:rPr>
          <w:rFonts w:hint="eastAsia"/>
        </w:rPr>
        <w:t xml:space="preserve"> 22258的规定；</w:t>
      </w:r>
    </w:p>
    <w:p w14:paraId="5A06C7FF">
      <w:pPr>
        <w:pStyle w:val="109"/>
      </w:pPr>
      <w:r>
        <w:rPr>
          <w:rFonts w:hint="eastAsia"/>
        </w:rPr>
        <w:t>在8倍以上放大镜观察证书正面底纹，整个底纹的线条为实线条，不得有断点。</w:t>
      </w:r>
    </w:p>
    <w:p w14:paraId="51336E0F">
      <w:pPr>
        <w:pStyle w:val="83"/>
        <w:spacing w:before="120" w:after="120"/>
      </w:pPr>
      <w:r>
        <w:rPr>
          <w:rFonts w:hint="eastAsia"/>
        </w:rPr>
        <w:t>地方森林草原火灾扑救指挥员考核合格证书</w:t>
      </w:r>
    </w:p>
    <w:bookmarkEnd w:id="305"/>
    <w:p w14:paraId="3D1208EB">
      <w:pPr>
        <w:pStyle w:val="56"/>
        <w:ind w:firstLine="0" w:firstLineChars="0"/>
        <w:jc w:val="center"/>
        <w:rPr>
          <w:rFonts w:hint="eastAsia"/>
        </w:rPr>
        <w:sectPr>
          <w:pgSz w:w="11906" w:h="16838"/>
          <w:pgMar w:top="1928" w:right="1134" w:bottom="1134" w:left="1134" w:header="1418" w:footer="1134" w:gutter="284"/>
          <w:cols w:space="425" w:num="1"/>
          <w:formProt w:val="0"/>
          <w:docGrid w:linePitch="312" w:charSpace="0"/>
        </w:sectPr>
      </w:pPr>
    </w:p>
    <w:p w14:paraId="4584FFB7">
      <w:pPr>
        <w:adjustRightInd/>
        <w:spacing w:line="600" w:lineRule="exact"/>
        <w:ind w:firstLine="0" w:firstLineChars="0"/>
        <w:jc w:val="center"/>
        <w:rPr>
          <w:rFonts w:ascii="Times New Roman" w:hAnsi="Times New Roman" w:eastAsia="方正小标宋_GBK" w:cs="Times New Roman"/>
          <w:sz w:val="44"/>
          <w:szCs w:val="44"/>
          <w14:ligatures w14:val="standardContextual"/>
        </w:rPr>
      </w:pPr>
    </w:p>
    <w:p w14:paraId="17FD87EE">
      <w:pPr>
        <w:adjustRightInd/>
        <w:spacing w:line="600" w:lineRule="exact"/>
        <w:ind w:firstLine="0" w:firstLineChars="0"/>
        <w:jc w:val="center"/>
        <w:rPr>
          <w:rFonts w:ascii="Times New Roman" w:hAnsi="Times New Roman" w:eastAsia="方正小标宋_GBK" w:cs="Times New Roman"/>
          <w:sz w:val="44"/>
          <w:szCs w:val="44"/>
          <w14:ligatures w14:val="standardContextual"/>
        </w:rPr>
      </w:pPr>
    </w:p>
    <w:p w14:paraId="7A7A41EB">
      <w:pPr>
        <w:adjustRightInd/>
        <w:spacing w:line="600" w:lineRule="exact"/>
        <w:ind w:firstLine="0" w:firstLineChars="0"/>
        <w:jc w:val="center"/>
        <w:rPr>
          <w:rFonts w:ascii="Times New Roman" w:hAnsi="Times New Roman" w:eastAsia="方正小标宋_GBK" w:cs="Times New Roman"/>
          <w:sz w:val="44"/>
          <w:szCs w:val="44"/>
          <w14:ligatures w14:val="standardContextual"/>
        </w:rPr>
      </w:pPr>
    </w:p>
    <w:p w14:paraId="5C943122">
      <w:pPr>
        <w:adjustRightInd/>
        <w:spacing w:line="600" w:lineRule="exact"/>
        <w:ind w:firstLine="0" w:firstLineChars="0"/>
        <w:rPr>
          <w:rFonts w:ascii="Times New Roman" w:hAnsi="Times New Roman" w:eastAsia="方正小标宋_GBK" w:cs="Times New Roman"/>
          <w:spacing w:val="-20"/>
          <w:sz w:val="44"/>
          <w:szCs w:val="44"/>
          <w14:ligatures w14:val="standardContextual"/>
        </w:rPr>
      </w:pPr>
      <w:r>
        <w:rPr>
          <w:rFonts w:ascii="Times New Roman" w:hAnsi="Times New Roman" w:eastAsia="方正小标宋_GBK" w:cs="Times New Roman"/>
          <w:spacing w:val="-20"/>
          <w:sz w:val="44"/>
          <w:szCs w:val="44"/>
          <w14:ligatures w14:val="standardContextual"/>
        </w:rPr>
        <w:t>《地方森林草原火灾扑救指挥员培训与考核规范》</w:t>
      </w:r>
    </w:p>
    <w:p w14:paraId="21029B26">
      <w:pPr>
        <w:adjustRightInd/>
        <w:spacing w:line="600" w:lineRule="exact"/>
        <w:ind w:firstLine="0" w:firstLineChars="0"/>
        <w:jc w:val="center"/>
        <w:rPr>
          <w:rFonts w:ascii="Times New Roman" w:hAnsi="Times New Roman" w:eastAsia="方正小标宋_GBK" w:cs="Times New Roman"/>
          <w:sz w:val="44"/>
          <w:szCs w:val="44"/>
          <w14:ligatures w14:val="standardContextual"/>
        </w:rPr>
      </w:pPr>
    </w:p>
    <w:p w14:paraId="7675D557">
      <w:pPr>
        <w:adjustRightInd/>
        <w:spacing w:line="600" w:lineRule="exact"/>
        <w:ind w:firstLine="0" w:firstLineChars="0"/>
        <w:jc w:val="center"/>
        <w:rPr>
          <w:rFonts w:ascii="Times New Roman" w:hAnsi="Times New Roman" w:eastAsia="仿宋_GB2312" w:cs="Times New Roman"/>
          <w:sz w:val="32"/>
          <w:szCs w:val="32"/>
          <w14:ligatures w14:val="standardContextual"/>
        </w:rPr>
      </w:pPr>
      <w:r>
        <w:rPr>
          <w:rFonts w:ascii="Times New Roman" w:hAnsi="Times New Roman" w:eastAsia="仿宋_GB2312" w:cs="Times New Roman"/>
          <w:sz w:val="32"/>
          <w:szCs w:val="32"/>
          <w14:ligatures w14:val="standardContextual"/>
        </w:rPr>
        <w:t>（</w:t>
      </w:r>
      <w:r>
        <w:rPr>
          <w:rFonts w:ascii="Times New Roman" w:hAnsi="Times New Roman" w:eastAsia="仿宋_GB2312" w:cs="Times New Roman"/>
          <w:sz w:val="32"/>
          <w:szCs w:val="32"/>
          <w14:ligatures w14:val="standardContextual"/>
        </w:rPr>
        <w:sym w:font="Wingdings 2" w:char="F0A2"/>
      </w:r>
      <w:r>
        <w:rPr>
          <w:rFonts w:ascii="Times New Roman" w:hAnsi="Times New Roman" w:eastAsia="仿宋_GB2312" w:cs="Times New Roman"/>
          <w:sz w:val="32"/>
          <w:szCs w:val="32"/>
          <w14:ligatures w14:val="standardContextual"/>
        </w:rPr>
        <w:t xml:space="preserve">征求意见稿 </w:t>
      </w:r>
      <w:r>
        <w:rPr>
          <w:rFonts w:ascii="Times New Roman" w:hAnsi="Times New Roman" w:eastAsia="仿宋_GB2312" w:cs="Times New Roman"/>
          <w:sz w:val="32"/>
          <w:szCs w:val="32"/>
          <w14:ligatures w14:val="standardContextual"/>
        </w:rPr>
        <w:sym w:font="Wingdings 2" w:char="F0A3"/>
      </w:r>
      <w:r>
        <w:rPr>
          <w:rFonts w:ascii="Times New Roman" w:hAnsi="Times New Roman" w:eastAsia="仿宋_GB2312" w:cs="Times New Roman"/>
          <w:sz w:val="32"/>
          <w:szCs w:val="32"/>
          <w14:ligatures w14:val="standardContextual"/>
        </w:rPr>
        <w:t xml:space="preserve">送审稿 </w:t>
      </w:r>
      <w:r>
        <w:rPr>
          <w:rFonts w:ascii="Times New Roman" w:hAnsi="Times New Roman" w:eastAsia="仿宋_GB2312" w:cs="Times New Roman"/>
          <w:sz w:val="32"/>
          <w:szCs w:val="32"/>
          <w14:ligatures w14:val="standardContextual"/>
        </w:rPr>
        <w:sym w:font="Wingdings 2" w:char="F0A3"/>
      </w:r>
      <w:r>
        <w:rPr>
          <w:rFonts w:ascii="Times New Roman" w:hAnsi="Times New Roman" w:eastAsia="仿宋_GB2312" w:cs="Times New Roman"/>
          <w:sz w:val="32"/>
          <w:szCs w:val="32"/>
          <w14:ligatures w14:val="standardContextual"/>
        </w:rPr>
        <w:t>报批稿）</w:t>
      </w:r>
    </w:p>
    <w:p w14:paraId="15E5C965">
      <w:pPr>
        <w:adjustRightInd/>
        <w:spacing w:line="600" w:lineRule="exact"/>
        <w:ind w:firstLine="0" w:firstLineChars="0"/>
        <w:jc w:val="center"/>
        <w:rPr>
          <w:rFonts w:ascii="Times New Roman" w:hAnsi="Times New Roman" w:eastAsia="仿宋_GB2312" w:cs="Times New Roman"/>
          <w:sz w:val="32"/>
          <w:szCs w:val="32"/>
          <w14:ligatures w14:val="standardContextual"/>
        </w:rPr>
      </w:pPr>
    </w:p>
    <w:p w14:paraId="526A0A12">
      <w:pPr>
        <w:adjustRightInd/>
        <w:spacing w:line="600" w:lineRule="exact"/>
        <w:ind w:firstLine="0" w:firstLineChars="0"/>
        <w:jc w:val="center"/>
        <w:rPr>
          <w:rFonts w:ascii="Times New Roman" w:hAnsi="Times New Roman" w:eastAsia="仿宋_GB2312" w:cs="Times New Roman"/>
          <w:sz w:val="32"/>
          <w:szCs w:val="32"/>
          <w14:ligatures w14:val="standardContextual"/>
        </w:rPr>
      </w:pPr>
    </w:p>
    <w:p w14:paraId="0BFD770D">
      <w:pPr>
        <w:adjustRightInd/>
        <w:spacing w:line="600" w:lineRule="exact"/>
        <w:ind w:firstLine="0" w:firstLineChars="0"/>
        <w:jc w:val="center"/>
        <w:rPr>
          <w:rFonts w:ascii="Times New Roman" w:hAnsi="Times New Roman" w:eastAsia="方正黑体_GBK" w:cs="Times New Roman"/>
          <w:spacing w:val="-20"/>
          <w:sz w:val="44"/>
          <w:szCs w:val="44"/>
          <w14:ligatures w14:val="standardContextual"/>
        </w:rPr>
      </w:pPr>
      <w:r>
        <w:rPr>
          <w:rFonts w:ascii="Times New Roman" w:hAnsi="Times New Roman" w:eastAsia="方正黑体_GBK" w:cs="Times New Roman"/>
          <w:spacing w:val="-20"/>
          <w:sz w:val="44"/>
          <w:szCs w:val="44"/>
          <w14:ligatures w14:val="standardContextual"/>
        </w:rPr>
        <w:t>编制说明</w:t>
      </w:r>
    </w:p>
    <w:p w14:paraId="0D17A73D">
      <w:pPr>
        <w:adjustRightInd/>
        <w:spacing w:line="600" w:lineRule="exact"/>
        <w:ind w:firstLine="0" w:firstLineChars="0"/>
        <w:jc w:val="center"/>
        <w:rPr>
          <w:rFonts w:ascii="Times New Roman" w:hAnsi="Times New Roman" w:eastAsia="方正小标宋_GBK" w:cs="Times New Roman"/>
          <w:spacing w:val="-20"/>
          <w:sz w:val="44"/>
          <w:szCs w:val="44"/>
          <w14:ligatures w14:val="standardContextual"/>
        </w:rPr>
      </w:pPr>
    </w:p>
    <w:p w14:paraId="7284C8EA">
      <w:pPr>
        <w:adjustRightInd/>
        <w:spacing w:line="600" w:lineRule="exact"/>
        <w:ind w:firstLine="0" w:firstLineChars="0"/>
        <w:jc w:val="center"/>
        <w:rPr>
          <w:rFonts w:ascii="Times New Roman" w:hAnsi="Times New Roman" w:eastAsia="方正小标宋_GBK" w:cs="Times New Roman"/>
          <w:spacing w:val="-20"/>
          <w:sz w:val="44"/>
          <w:szCs w:val="44"/>
          <w14:ligatures w14:val="standardContextual"/>
        </w:rPr>
      </w:pPr>
    </w:p>
    <w:p w14:paraId="3A92D711">
      <w:pPr>
        <w:adjustRightInd/>
        <w:spacing w:line="600" w:lineRule="exact"/>
        <w:ind w:firstLine="0" w:firstLineChars="0"/>
        <w:jc w:val="center"/>
        <w:rPr>
          <w:rFonts w:ascii="Times New Roman" w:hAnsi="Times New Roman" w:eastAsia="方正小标宋_GBK" w:cs="Times New Roman"/>
          <w:spacing w:val="-20"/>
          <w:sz w:val="44"/>
          <w:szCs w:val="44"/>
          <w14:ligatures w14:val="standardContextual"/>
        </w:rPr>
      </w:pPr>
    </w:p>
    <w:p w14:paraId="340BD707">
      <w:pPr>
        <w:adjustRightInd/>
        <w:spacing w:line="600" w:lineRule="exact"/>
        <w:ind w:firstLine="0" w:firstLineChars="0"/>
        <w:jc w:val="center"/>
        <w:rPr>
          <w:rFonts w:ascii="Times New Roman" w:hAnsi="Times New Roman" w:eastAsia="方正小标宋_GBK" w:cs="Times New Roman"/>
          <w:spacing w:val="-20"/>
          <w:sz w:val="44"/>
          <w:szCs w:val="44"/>
          <w14:ligatures w14:val="standardContextual"/>
        </w:rPr>
      </w:pPr>
    </w:p>
    <w:p w14:paraId="52025174">
      <w:pPr>
        <w:adjustRightInd/>
        <w:spacing w:line="600" w:lineRule="exact"/>
        <w:ind w:firstLine="0" w:firstLineChars="0"/>
        <w:jc w:val="center"/>
        <w:rPr>
          <w:rFonts w:ascii="Times New Roman" w:hAnsi="Times New Roman" w:eastAsia="方正小标宋_GBK" w:cs="Times New Roman"/>
          <w:spacing w:val="-20"/>
          <w:sz w:val="44"/>
          <w:szCs w:val="44"/>
          <w14:ligatures w14:val="standardContextual"/>
        </w:rPr>
      </w:pPr>
    </w:p>
    <w:p w14:paraId="514D8734">
      <w:pPr>
        <w:adjustRightInd/>
        <w:spacing w:line="600" w:lineRule="exact"/>
        <w:ind w:firstLine="0" w:firstLineChars="0"/>
        <w:jc w:val="center"/>
        <w:rPr>
          <w:rFonts w:ascii="Times New Roman" w:hAnsi="Times New Roman" w:eastAsia="方正小标宋_GBK" w:cs="Times New Roman"/>
          <w:spacing w:val="-20"/>
          <w:sz w:val="44"/>
          <w:szCs w:val="44"/>
          <w14:ligatures w14:val="standardContextual"/>
        </w:rPr>
      </w:pPr>
    </w:p>
    <w:p w14:paraId="3332C0B7">
      <w:pPr>
        <w:adjustRightInd/>
        <w:spacing w:line="600" w:lineRule="exact"/>
        <w:ind w:firstLine="0" w:firstLineChars="0"/>
        <w:jc w:val="center"/>
        <w:rPr>
          <w:rFonts w:ascii="Times New Roman" w:hAnsi="Times New Roman" w:eastAsia="方正小标宋_GBK" w:cs="Times New Roman"/>
          <w:spacing w:val="-20"/>
          <w:sz w:val="44"/>
          <w:szCs w:val="44"/>
          <w14:ligatures w14:val="standardContextual"/>
        </w:rPr>
      </w:pPr>
    </w:p>
    <w:p w14:paraId="38CA2554">
      <w:pPr>
        <w:adjustRightInd/>
        <w:spacing w:line="600" w:lineRule="exact"/>
        <w:ind w:firstLine="0" w:firstLineChars="0"/>
        <w:jc w:val="center"/>
        <w:rPr>
          <w:rFonts w:ascii="Times New Roman" w:hAnsi="Times New Roman" w:eastAsia="方正小标宋_GBK" w:cs="Times New Roman"/>
          <w:spacing w:val="-20"/>
          <w:sz w:val="44"/>
          <w:szCs w:val="44"/>
          <w14:ligatures w14:val="standardContextual"/>
        </w:rPr>
      </w:pPr>
    </w:p>
    <w:p w14:paraId="1870133A">
      <w:pPr>
        <w:adjustRightInd/>
        <w:spacing w:line="600" w:lineRule="exact"/>
        <w:ind w:firstLine="0" w:firstLineChars="0"/>
        <w:jc w:val="center"/>
        <w:rPr>
          <w:rFonts w:ascii="Times New Roman" w:hAnsi="Times New Roman" w:eastAsia="方正小标宋_GBK" w:cs="Times New Roman"/>
          <w:spacing w:val="-20"/>
          <w:sz w:val="44"/>
          <w:szCs w:val="44"/>
          <w14:ligatures w14:val="standardContextual"/>
        </w:rPr>
      </w:pPr>
    </w:p>
    <w:p w14:paraId="1F8A1193">
      <w:pPr>
        <w:adjustRightInd/>
        <w:spacing w:line="600" w:lineRule="exact"/>
        <w:ind w:firstLine="0" w:firstLineChars="0"/>
        <w:jc w:val="center"/>
        <w:rPr>
          <w:rFonts w:ascii="Times New Roman" w:hAnsi="Times New Roman" w:eastAsia="方正仿宋_GBK" w:cs="Times New Roman"/>
          <w:sz w:val="32"/>
          <w:szCs w:val="22"/>
          <w14:ligatures w14:val="standardContextual"/>
        </w:rPr>
      </w:pPr>
      <w:r>
        <w:rPr>
          <w:rFonts w:ascii="Times New Roman" w:hAnsi="Times New Roman" w:eastAsia="方正仿宋_GBK" w:cs="Times New Roman"/>
          <w:sz w:val="32"/>
          <w:szCs w:val="22"/>
          <w14:ligatures w14:val="standardContextual"/>
        </w:rPr>
        <w:t>标准编制组</w:t>
      </w:r>
    </w:p>
    <w:p w14:paraId="2E48C8FD">
      <w:pPr>
        <w:ind w:firstLine="0" w:firstLineChars="0"/>
        <w:jc w:val="center"/>
        <w:rPr>
          <w:rFonts w:ascii="Times New Roman" w:hAnsi="Times New Roman" w:cs="Times New Roman"/>
        </w:rPr>
        <w:sectPr>
          <w:headerReference r:id="rId15" w:type="first"/>
          <w:footerReference r:id="rId18" w:type="first"/>
          <w:headerReference r:id="rId13" w:type="default"/>
          <w:footerReference r:id="rId16" w:type="default"/>
          <w:headerReference r:id="rId14" w:type="even"/>
          <w:footerReference r:id="rId17" w:type="even"/>
          <w:pgSz w:w="11906" w:h="16838"/>
          <w:pgMar w:top="2098" w:right="1531" w:bottom="1985" w:left="1531" w:header="851" w:footer="992" w:gutter="0"/>
          <w:cols w:space="425" w:num="1"/>
          <w:docGrid w:type="lines" w:linePitch="312" w:charSpace="0"/>
        </w:sectPr>
      </w:pPr>
      <w:r>
        <w:rPr>
          <w:rFonts w:ascii="Times New Roman" w:hAnsi="Times New Roman" w:eastAsia="方正仿宋_GBK" w:cs="Times New Roman"/>
          <w:sz w:val="32"/>
          <w:szCs w:val="22"/>
          <w14:ligatures w14:val="standardContextual"/>
        </w:rPr>
        <w:t>2025年</w:t>
      </w:r>
      <w:r>
        <w:rPr>
          <w:rFonts w:hint="eastAsia" w:ascii="Times New Roman" w:hAnsi="Times New Roman" w:eastAsia="方正仿宋_GBK" w:cs="Times New Roman"/>
          <w:sz w:val="32"/>
          <w:szCs w:val="22"/>
          <w14:ligatures w14:val="standardContextual"/>
        </w:rPr>
        <w:t>7</w:t>
      </w:r>
      <w:r>
        <w:rPr>
          <w:rFonts w:ascii="Times New Roman" w:hAnsi="Times New Roman" w:eastAsia="方正仿宋_GBK" w:cs="Times New Roman"/>
          <w:sz w:val="32"/>
          <w:szCs w:val="22"/>
          <w14:ligatures w14:val="standardContextual"/>
        </w:rPr>
        <w:t>月</w:t>
      </w:r>
      <w:r>
        <w:rPr>
          <w:rFonts w:hint="eastAsia" w:ascii="Times New Roman" w:hAnsi="Times New Roman" w:eastAsia="方正仿宋_GBK" w:cs="Times New Roman"/>
          <w:sz w:val="32"/>
          <w:szCs w:val="22"/>
          <w14:ligatures w14:val="standardContextual"/>
        </w:rPr>
        <w:t>1</w:t>
      </w:r>
      <w:r>
        <w:rPr>
          <w:rFonts w:ascii="Times New Roman" w:hAnsi="Times New Roman" w:eastAsia="方正仿宋_GBK" w:cs="Times New Roman"/>
          <w:sz w:val="32"/>
          <w:szCs w:val="22"/>
          <w14:ligatures w14:val="standardContextual"/>
        </w:rPr>
        <w:t>日</w:t>
      </w:r>
    </w:p>
    <w:p w14:paraId="13289654">
      <w:pPr>
        <w:adjustRightInd/>
        <w:spacing w:line="600" w:lineRule="exact"/>
        <w:ind w:firstLine="640" w:firstLineChars="200"/>
        <w:rPr>
          <w:rFonts w:ascii="Times New Roman" w:hAnsi="Times New Roman" w:eastAsia="方正黑体_GBK" w:cs="Times New Roman"/>
          <w:sz w:val="32"/>
          <w:szCs w:val="22"/>
          <w14:ligatures w14:val="standardContextual"/>
        </w:rPr>
      </w:pPr>
      <w:r>
        <w:rPr>
          <w:rFonts w:ascii="Times New Roman" w:hAnsi="Times New Roman" w:eastAsia="方正黑体_GBK" w:cs="Times New Roman"/>
          <w:sz w:val="32"/>
          <w:szCs w:val="22"/>
          <w14:ligatures w14:val="standardContextual"/>
        </w:rPr>
        <w:t>一、工作简况</w:t>
      </w:r>
    </w:p>
    <w:p w14:paraId="33A81437">
      <w:pPr>
        <w:adjustRightInd/>
        <w:spacing w:line="600" w:lineRule="exact"/>
        <w:ind w:firstLine="640" w:firstLineChars="200"/>
        <w:rPr>
          <w:rFonts w:ascii="Times New Roman" w:hAnsi="Times New Roman" w:eastAsia="方正楷体_GBK" w:cs="Times New Roman"/>
          <w:sz w:val="32"/>
          <w:szCs w:val="22"/>
          <w14:ligatures w14:val="standardContextual"/>
        </w:rPr>
      </w:pPr>
      <w:r>
        <w:rPr>
          <w:rFonts w:ascii="Times New Roman" w:hAnsi="Times New Roman" w:eastAsia="方正楷体_GBK" w:cs="Times New Roman"/>
          <w:sz w:val="32"/>
          <w:szCs w:val="22"/>
          <w14:ligatures w14:val="standardContextual"/>
        </w:rPr>
        <w:t>（一）任务来源</w:t>
      </w:r>
    </w:p>
    <w:p w14:paraId="6903A260">
      <w:pPr>
        <w:adjustRightInd/>
        <w:spacing w:line="600" w:lineRule="exact"/>
        <w:ind w:firstLine="640" w:firstLineChars="200"/>
        <w:rPr>
          <w:rFonts w:ascii="Times New Roman" w:hAnsi="Times New Roman" w:eastAsia="方正仿宋_GBK" w:cs="Times New Roman"/>
          <w:sz w:val="32"/>
          <w:szCs w:val="22"/>
          <w14:ligatures w14:val="standardContextual"/>
        </w:rPr>
      </w:pPr>
      <w:r>
        <w:rPr>
          <w:rFonts w:ascii="Times New Roman" w:hAnsi="Times New Roman" w:eastAsia="方正仿宋_GBK" w:cs="Times New Roman"/>
          <w:sz w:val="32"/>
          <w:szCs w:val="22"/>
          <w14:ligatures w14:val="standardContextual"/>
        </w:rPr>
        <w:t xml:space="preserve">本标准由应急管理部风险监测和火灾综合防治司提出（以下简称“监测防火司”），全国应急管理与减灾救灾标准化技术委员会（SAC/TC307）归口。根据2024年9月2日，部办公厅《34项行业标准制修订计划的通知》（应急厅函﹝2024﹞262号），《森林草原火灾扑火指挥员培训大纲与考核规范》列入行业标准制修订计划（计划号：2024-YJ-04），项目周期18个月。 </w:t>
      </w:r>
      <w:bookmarkStart w:id="361" w:name="_Hlk203741881"/>
      <w:r>
        <w:rPr>
          <w:rFonts w:ascii="Times New Roman" w:hAnsi="Times New Roman" w:eastAsia="方正仿宋_GBK" w:cs="Times New Roman"/>
          <w:sz w:val="32"/>
          <w:szCs w:val="22"/>
          <w14:ligatures w14:val="standardContextual"/>
        </w:rPr>
        <w:t>2025年7月1日，编写组召开征求意见稿（草案）专家论证会，一致同意调整标准名称为《地方森林草原火灾扑救指挥员培训与考核规范》</w:t>
      </w:r>
      <w:r>
        <w:rPr>
          <w:rFonts w:hint="eastAsia" w:ascii="Times New Roman" w:hAnsi="Times New Roman" w:eastAsia="方正仿宋_GBK" w:cs="Times New Roman"/>
          <w:sz w:val="32"/>
          <w:szCs w:val="22"/>
          <w14:ligatures w14:val="standardContextual"/>
        </w:rPr>
        <w:t>。</w:t>
      </w:r>
    </w:p>
    <w:bookmarkEnd w:id="361"/>
    <w:p w14:paraId="3D1474DC">
      <w:pPr>
        <w:adjustRightInd/>
        <w:spacing w:line="600" w:lineRule="exact"/>
        <w:ind w:firstLine="640" w:firstLineChars="200"/>
        <w:rPr>
          <w:rFonts w:ascii="Times New Roman" w:hAnsi="Times New Roman" w:eastAsia="方正楷体_GBK" w:cs="Times New Roman"/>
          <w:sz w:val="32"/>
          <w:szCs w:val="22"/>
          <w14:ligatures w14:val="standardContextual"/>
        </w:rPr>
      </w:pPr>
      <w:r>
        <w:rPr>
          <w:rFonts w:ascii="Times New Roman" w:hAnsi="Times New Roman" w:eastAsia="方正楷体_GBK" w:cs="Times New Roman"/>
          <w:sz w:val="32"/>
          <w:szCs w:val="22"/>
          <w14:ligatures w14:val="standardContextual"/>
        </w:rPr>
        <w:t>（二）制定背景</w:t>
      </w:r>
    </w:p>
    <w:p w14:paraId="7B027CF0">
      <w:pPr>
        <w:adjustRightInd/>
        <w:spacing w:line="600" w:lineRule="exact"/>
        <w:ind w:firstLine="643" w:firstLineChars="200"/>
        <w:rPr>
          <w:rFonts w:ascii="Times New Roman" w:hAnsi="Times New Roman" w:eastAsia="方正仿宋_GBK" w:cs="Times New Roman"/>
          <w:sz w:val="32"/>
          <w:szCs w:val="22"/>
          <w14:ligatures w14:val="standardContextual"/>
        </w:rPr>
      </w:pPr>
      <w:bookmarkStart w:id="362" w:name="_Hlk193178188"/>
      <w:r>
        <w:rPr>
          <w:rFonts w:ascii="Times New Roman" w:hAnsi="Times New Roman" w:eastAsia="方正仿宋_GBK" w:cs="Times New Roman"/>
          <w:b/>
          <w:bCs/>
          <w:sz w:val="32"/>
          <w:szCs w:val="22"/>
          <w14:ligatures w14:val="standardContextual"/>
        </w:rPr>
        <w:t>一是应对森林草原防灭火工作严峻形势的需要。</w:t>
      </w:r>
      <w:r>
        <w:rPr>
          <w:rFonts w:ascii="Times New Roman" w:hAnsi="Times New Roman" w:eastAsia="方正仿宋_GBK" w:cs="Times New Roman"/>
          <w:sz w:val="32"/>
          <w:szCs w:val="22"/>
          <w14:ligatures w14:val="standardContextual"/>
        </w:rPr>
        <w:t>随着气候变暖，极端天气增多，以及森林资源日益增长，林内可燃物载量持续增加，我国进入森林草原火灾高危期。近年来，森林草原防灭火工作取得长足进步，但受全球气候变暖、极端天气增多等因素影响，面临自然因素和社会因素叠加的严峻挑战。各级都在聚焦新的形势发展，深研灭火制胜机理，创新灭火战法理论，推进装备研发和应用。新理论、新技术、新战术的创新发展对指挥员能力素质提出了新的更高要求。2018年国家机构改革后，森林火灾应急处置主要任务划归至应急管理部门，同时原武警森林部队转制为国家综合性消防救援队伍，标志着我国森林草原防灭火力量建设进入新时期。为此，需要发挥教育培训引领作用，紧跟形势发展，出台标准规范，以标准化培训与考核提升指挥员能力素质。</w:t>
      </w:r>
    </w:p>
    <w:p w14:paraId="3742418F">
      <w:pPr>
        <w:adjustRightInd/>
        <w:spacing w:line="600" w:lineRule="exact"/>
        <w:ind w:firstLine="643" w:firstLineChars="200"/>
        <w:rPr>
          <w:rFonts w:ascii="Times New Roman" w:hAnsi="Times New Roman" w:eastAsia="方正仿宋_GBK" w:cs="Times New Roman"/>
          <w:sz w:val="32"/>
          <w:szCs w:val="22"/>
          <w14:ligatures w14:val="standardContextual"/>
        </w:rPr>
      </w:pPr>
      <w:r>
        <w:rPr>
          <w:rFonts w:ascii="Times New Roman" w:hAnsi="Times New Roman" w:eastAsia="方正仿宋_GBK" w:cs="Times New Roman"/>
          <w:b/>
          <w:bCs/>
          <w:sz w:val="32"/>
          <w:szCs w:val="22"/>
          <w14:ligatures w14:val="standardContextual"/>
        </w:rPr>
        <w:t>二是提升指挥员科学指挥、临机处置能力的需要。</w:t>
      </w:r>
      <w:r>
        <w:rPr>
          <w:rFonts w:ascii="Times New Roman" w:hAnsi="Times New Roman" w:eastAsia="方正仿宋_GBK" w:cs="Times New Roman"/>
          <w:sz w:val="32"/>
          <w:szCs w:val="22"/>
          <w14:ligatures w14:val="standardContextual"/>
        </w:rPr>
        <w:t>近年来，我国森林防灭火形势相对平稳，但一些人员伤亡情况时有发生，不排除个别领导干部以常规思维应对超规变化，甚至存在能力素质不足的问题，2019-2020年连续2年发生森林火灾扑救重大伤亡事故，近年火灾伤亡事故率呈上升趋势，火灾扑救难度加大，对火灾扑救安全提出了更高要求。为高效应对灾，国内实施防灭火工作行政首长负责制，并按照上下基本对应的原则，吸纳相关职能部门成立森林草原防灭火指挥机构，实施联合指挥。但各级指挥员往往不具有森林草原防灭火专业背景或没有相应任职经历，即使接受过短期培训，但能力参差不齐、评判缺乏统一标准、考核没有制度依据等问题比较突出，相较于欧、美等发达国家的指挥人员培训考核、资质认证专业化，我国仍有差距。为此需要出台培训大纲和考核规范，明确培训内容，建立考核机制，开展针对性教育培训，让“专业人干专业事”。</w:t>
      </w:r>
    </w:p>
    <w:p w14:paraId="511CE678">
      <w:pPr>
        <w:adjustRightInd/>
        <w:spacing w:line="600" w:lineRule="exact"/>
        <w:ind w:firstLine="643" w:firstLineChars="200"/>
        <w:rPr>
          <w:rFonts w:ascii="Times New Roman" w:hAnsi="Times New Roman" w:eastAsia="方正仿宋_GBK" w:cs="Times New Roman"/>
          <w:sz w:val="32"/>
          <w:szCs w:val="22"/>
          <w14:ligatures w14:val="standardContextual"/>
        </w:rPr>
      </w:pPr>
      <w:bookmarkStart w:id="363" w:name="_Hlk202174531"/>
      <w:r>
        <w:rPr>
          <w:rFonts w:ascii="Times New Roman" w:hAnsi="Times New Roman" w:eastAsia="方正仿宋_GBK" w:cs="Times New Roman"/>
          <w:b/>
          <w:bCs/>
          <w:sz w:val="32"/>
          <w:szCs w:val="22"/>
          <w14:ligatures w14:val="standardContextual"/>
        </w:rPr>
        <w:t>三是推动指挥员培训考核专业化、规范化发展的需要。</w:t>
      </w:r>
      <w:bookmarkEnd w:id="363"/>
      <w:r>
        <w:rPr>
          <w:rFonts w:ascii="Times New Roman" w:hAnsi="Times New Roman" w:eastAsia="方正仿宋_GBK" w:cs="Times New Roman"/>
          <w:sz w:val="32"/>
          <w:szCs w:val="22"/>
          <w14:ligatures w14:val="standardContextual"/>
        </w:rPr>
        <w:t>《全国森林防火中长期发展规划》明确要建立森林防火岗位培训体系，实行持证上岗。中办、国办《关于全面加强新形势下森林草原防灭火工作的意见（中办发〔2022〕60号）》（以下简称“60号文”）强调要加强队伍建设，研究建立持证上岗制度，为指挥员培训考核标准化建设提供了政策支撑。我国实行跨部门、跨行业联合指挥机制，应急管理和林业草原主管部是最重要的2个森林草原防灭火主管部门，都需要根据各自职能，加大指挥员培养力度，建强指挥员队伍。</w:t>
      </w:r>
      <w:bookmarkStart w:id="364" w:name="_Hlk202174543"/>
      <w:r>
        <w:rPr>
          <w:rFonts w:ascii="Times New Roman" w:hAnsi="Times New Roman" w:eastAsia="方正仿宋_GBK" w:cs="Times New Roman"/>
          <w:sz w:val="32"/>
          <w:szCs w:val="22"/>
          <w14:ligatures w14:val="standardContextual"/>
        </w:rPr>
        <w:t>近十余年来，林草行业相继出台《 森林消防专业队伍建设和管理规范》等多项标准，与森林消防指挥员相关的仅有1项（《LY/T2796-2017森林消防指挥员业务培训规范》），</w:t>
      </w:r>
      <w:bookmarkEnd w:id="364"/>
      <w:bookmarkStart w:id="365" w:name="_Hlk202174566"/>
      <w:r>
        <w:rPr>
          <w:rFonts w:ascii="Times New Roman" w:hAnsi="Times New Roman" w:eastAsia="方正仿宋_GBK" w:cs="Times New Roman"/>
          <w:sz w:val="32"/>
          <w:szCs w:val="22"/>
          <w14:ligatures w14:val="standardContextual"/>
        </w:rPr>
        <w:t>主要内容是推进指挥员培训规范化，分级明确了培训内容，但是没有明确的考核方法，制约了指挥员队伍的专业化、规范化发展。因此，加强指挥员培训与考核标准化建设，</w:t>
      </w:r>
      <w:bookmarkEnd w:id="365"/>
      <w:r>
        <w:rPr>
          <w:rFonts w:ascii="Times New Roman" w:hAnsi="Times New Roman" w:eastAsia="方正仿宋_GBK" w:cs="Times New Roman"/>
          <w:sz w:val="32"/>
          <w:szCs w:val="22"/>
          <w14:ligatures w14:val="standardContextual"/>
        </w:rPr>
        <w:t>对于提升指挥员队伍的整体素质，确保科学有效防控森林草原火灾具有重要意义。</w:t>
      </w:r>
      <w:bookmarkEnd w:id="362"/>
    </w:p>
    <w:p w14:paraId="76F33C55">
      <w:pPr>
        <w:adjustRightInd/>
        <w:spacing w:line="600" w:lineRule="exact"/>
        <w:ind w:firstLine="640" w:firstLineChars="200"/>
        <w:rPr>
          <w:rFonts w:ascii="Times New Roman" w:hAnsi="Times New Roman" w:eastAsia="方正楷体_GBK" w:cs="Times New Roman"/>
          <w:sz w:val="32"/>
          <w:szCs w:val="22"/>
          <w14:ligatures w14:val="standardContextual"/>
        </w:rPr>
      </w:pPr>
      <w:r>
        <w:rPr>
          <w:rFonts w:ascii="Times New Roman" w:hAnsi="Times New Roman" w:eastAsia="方正楷体_GBK" w:cs="Times New Roman"/>
          <w:sz w:val="32"/>
          <w:szCs w:val="22"/>
          <w14:ligatures w14:val="standardContextual"/>
        </w:rPr>
        <w:t>（三）起草小组人员组成及所在单位</w:t>
      </w:r>
    </w:p>
    <w:p w14:paraId="67808128">
      <w:pPr>
        <w:adjustRightInd/>
        <w:spacing w:line="600" w:lineRule="exact"/>
        <w:ind w:firstLine="640" w:firstLineChars="200"/>
        <w:rPr>
          <w:rFonts w:ascii="Times New Roman" w:hAnsi="Times New Roman" w:eastAsia="方正仿宋_GBK" w:cs="Times New Roman"/>
          <w:sz w:val="32"/>
          <w:szCs w:val="22"/>
          <w14:ligatures w14:val="standardContextual"/>
        </w:rPr>
      </w:pPr>
      <w:r>
        <w:rPr>
          <w:rFonts w:ascii="Times New Roman" w:hAnsi="Times New Roman" w:eastAsia="方正仿宋_GBK" w:cs="Times New Roman"/>
          <w:sz w:val="32"/>
          <w:szCs w:val="22"/>
          <w14:ligatures w14:val="standardContextual"/>
        </w:rPr>
        <w:t>根据立项批复，本标准由中国消防救援学院牵头负责制订，</w:t>
      </w:r>
      <w:bookmarkStart w:id="366" w:name="OLE_LINK46"/>
      <w:r>
        <w:rPr>
          <w:rFonts w:ascii="Times New Roman" w:hAnsi="Times New Roman" w:eastAsia="方正仿宋_GBK" w:cs="Times New Roman"/>
          <w:sz w:val="32"/>
          <w:szCs w:val="22"/>
          <w14:ligatures w14:val="standardContextual"/>
        </w:rPr>
        <w:t>原计划成员单位为应急管理部风险监测和火灾综合防治司、黑龙江省森林消防总队、四川省凉山彝族自治州应急管理局等，2024年10—11月，因部分成员单位人事变动，根据编制工作需要，经</w:t>
      </w:r>
      <w:r>
        <w:rPr>
          <w:rFonts w:hint="eastAsia" w:ascii="Times New Roman" w:hAnsi="Times New Roman" w:eastAsia="方正仿宋_GBK" w:cs="Times New Roman"/>
          <w:sz w:val="32"/>
          <w:szCs w:val="22"/>
          <w14:ligatures w14:val="standardContextual"/>
        </w:rPr>
        <w:t>部</w:t>
      </w:r>
      <w:r>
        <w:rPr>
          <w:rFonts w:ascii="Times New Roman" w:hAnsi="Times New Roman" w:eastAsia="方正仿宋_GBK" w:cs="Times New Roman"/>
          <w:sz w:val="32"/>
          <w:szCs w:val="22"/>
          <w14:ligatures w14:val="standardContextual"/>
        </w:rPr>
        <w:t>标委会同意，成员单位最终确定为国家自然灾害防治研究院、广东省林业科学研究院、北京林业大学以及北京市昌平区森林消防综合应急救援大队等</w:t>
      </w:r>
      <w:bookmarkEnd w:id="366"/>
      <w:r>
        <w:rPr>
          <w:rFonts w:ascii="Times New Roman" w:hAnsi="Times New Roman" w:eastAsia="方正仿宋_GBK" w:cs="Times New Roman"/>
          <w:sz w:val="32"/>
          <w:szCs w:val="22"/>
          <w14:ligatures w14:val="standardContextual"/>
        </w:rPr>
        <w:t>，参加标准制定工作。起草工作组成员及其主要工作见表 1。</w:t>
      </w:r>
    </w:p>
    <w:p w14:paraId="5836D28E">
      <w:pPr>
        <w:adjustRightInd/>
        <w:spacing w:line="600" w:lineRule="exact"/>
        <w:ind w:firstLine="640" w:firstLineChars="200"/>
        <w:jc w:val="center"/>
        <w:rPr>
          <w:rFonts w:ascii="Times New Roman" w:hAnsi="Times New Roman" w:eastAsia="方正仿宋_GBK" w:cs="Times New Roman"/>
          <w:sz w:val="32"/>
          <w:szCs w:val="22"/>
          <w14:ligatures w14:val="standardContextual"/>
        </w:rPr>
      </w:pPr>
      <w:r>
        <w:rPr>
          <w:rFonts w:ascii="Times New Roman" w:hAnsi="Times New Roman" w:eastAsia="方正仿宋_GBK" w:cs="Times New Roman"/>
          <w:sz w:val="32"/>
          <w:szCs w:val="22"/>
          <w14:ligatures w14:val="standardContextual"/>
        </w:rPr>
        <w:t>表1 起草小组成员及其主要工作</w:t>
      </w:r>
    </w:p>
    <w:tbl>
      <w:tblPr>
        <w:tblStyle w:val="26"/>
        <w:tblpPr w:leftFromText="180" w:rightFromText="180" w:vertAnchor="text" w:tblpXSpec="center" w:tblpY="1"/>
        <w:tblOverlap w:val="never"/>
        <w:tblW w:w="892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143"/>
        <w:gridCol w:w="853"/>
        <w:gridCol w:w="1701"/>
        <w:gridCol w:w="3386"/>
        <w:gridCol w:w="1843"/>
      </w:tblGrid>
      <w:tr w14:paraId="1B8D02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1" w:hRule="atLeast"/>
        </w:trPr>
        <w:tc>
          <w:tcPr>
            <w:tcW w:w="1143" w:type="dxa"/>
            <w:tcBorders>
              <w:top w:val="single" w:color="auto" w:sz="4" w:space="0"/>
              <w:left w:val="single" w:color="auto" w:sz="4" w:space="0"/>
              <w:bottom w:val="single" w:color="auto" w:sz="4" w:space="0"/>
              <w:right w:val="single" w:color="auto" w:sz="4" w:space="0"/>
            </w:tcBorders>
            <w:shd w:val="clear" w:color="auto" w:fill="auto"/>
            <w:vAlign w:val="center"/>
          </w:tcPr>
          <w:p w14:paraId="5BCC47A4">
            <w:pPr>
              <w:adjustRightInd/>
              <w:spacing w:line="240" w:lineRule="auto"/>
              <w:ind w:firstLine="0" w:firstLineChars="0"/>
              <w:jc w:val="center"/>
              <w:rPr>
                <w:rFonts w:ascii="Times New Roman" w:hAnsi="Times New Roman" w:eastAsia="仿宋" w:cs="Times New Roman"/>
                <w:b/>
                <w:sz w:val="28"/>
                <w:szCs w:val="28"/>
                <w14:ligatures w14:val="none"/>
              </w:rPr>
            </w:pPr>
            <w:r>
              <w:rPr>
                <w:rFonts w:ascii="Times New Roman" w:hAnsi="Times New Roman" w:eastAsia="仿宋" w:cs="Times New Roman"/>
                <w:b/>
                <w:sz w:val="28"/>
                <w:szCs w:val="28"/>
                <w:lang w:bidi="ar"/>
                <w14:ligatures w14:val="none"/>
              </w:rPr>
              <w:t>姓 名</w:t>
            </w:r>
          </w:p>
        </w:tc>
        <w:tc>
          <w:tcPr>
            <w:tcW w:w="853" w:type="dxa"/>
            <w:tcBorders>
              <w:top w:val="single" w:color="auto" w:sz="4" w:space="0"/>
              <w:left w:val="single" w:color="auto" w:sz="4" w:space="0"/>
              <w:bottom w:val="single" w:color="auto" w:sz="4" w:space="0"/>
              <w:right w:val="single" w:color="auto" w:sz="4" w:space="0"/>
            </w:tcBorders>
            <w:shd w:val="clear" w:color="auto" w:fill="auto"/>
            <w:vAlign w:val="center"/>
          </w:tcPr>
          <w:p w14:paraId="52B2521D">
            <w:pPr>
              <w:adjustRightInd/>
              <w:spacing w:line="240" w:lineRule="auto"/>
              <w:ind w:firstLine="0" w:firstLineChars="0"/>
              <w:jc w:val="center"/>
              <w:rPr>
                <w:rFonts w:ascii="Times New Roman" w:hAnsi="Times New Roman" w:eastAsia="仿宋" w:cs="Times New Roman"/>
                <w:b/>
                <w:sz w:val="28"/>
                <w:szCs w:val="28"/>
                <w14:ligatures w14:val="none"/>
              </w:rPr>
            </w:pPr>
            <w:r>
              <w:rPr>
                <w:rFonts w:ascii="Times New Roman" w:hAnsi="Times New Roman" w:eastAsia="仿宋" w:cs="Times New Roman"/>
                <w:b/>
                <w:sz w:val="28"/>
                <w:szCs w:val="28"/>
                <w:lang w:bidi="ar"/>
                <w14:ligatures w14:val="none"/>
              </w:rPr>
              <w:t>性别</w:t>
            </w:r>
          </w:p>
        </w:tc>
        <w:tc>
          <w:tcPr>
            <w:tcW w:w="1701" w:type="dxa"/>
            <w:tcBorders>
              <w:top w:val="single" w:color="auto" w:sz="4" w:space="0"/>
              <w:left w:val="single" w:color="auto" w:sz="4" w:space="0"/>
              <w:bottom w:val="single" w:color="auto" w:sz="4" w:space="0"/>
              <w:right w:val="single" w:color="auto" w:sz="4" w:space="0"/>
            </w:tcBorders>
            <w:shd w:val="clear" w:color="auto" w:fill="auto"/>
            <w:vAlign w:val="center"/>
          </w:tcPr>
          <w:p w14:paraId="3FA8408A">
            <w:pPr>
              <w:adjustRightInd/>
              <w:spacing w:line="240" w:lineRule="auto"/>
              <w:ind w:firstLine="0" w:firstLineChars="0"/>
              <w:jc w:val="center"/>
              <w:rPr>
                <w:rFonts w:ascii="Times New Roman" w:hAnsi="Times New Roman" w:eastAsia="仿宋" w:cs="Times New Roman"/>
                <w:b/>
                <w:sz w:val="28"/>
                <w:szCs w:val="28"/>
                <w14:ligatures w14:val="none"/>
              </w:rPr>
            </w:pPr>
            <w:r>
              <w:rPr>
                <w:rFonts w:ascii="Times New Roman" w:hAnsi="Times New Roman" w:eastAsia="仿宋" w:cs="Times New Roman"/>
                <w:b/>
                <w:sz w:val="28"/>
                <w:szCs w:val="28"/>
                <w:lang w:bidi="ar"/>
                <w14:ligatures w14:val="none"/>
              </w:rPr>
              <w:t>职务/职称</w:t>
            </w:r>
          </w:p>
        </w:tc>
        <w:tc>
          <w:tcPr>
            <w:tcW w:w="3386" w:type="dxa"/>
            <w:tcBorders>
              <w:top w:val="single" w:color="auto" w:sz="4" w:space="0"/>
              <w:left w:val="single" w:color="auto" w:sz="4" w:space="0"/>
              <w:bottom w:val="single" w:color="auto" w:sz="4" w:space="0"/>
              <w:right w:val="single" w:color="auto" w:sz="4" w:space="0"/>
            </w:tcBorders>
            <w:shd w:val="clear" w:color="auto" w:fill="auto"/>
            <w:vAlign w:val="center"/>
          </w:tcPr>
          <w:p w14:paraId="72FA7EC1">
            <w:pPr>
              <w:adjustRightInd/>
              <w:spacing w:line="240" w:lineRule="auto"/>
              <w:ind w:firstLine="0" w:firstLineChars="0"/>
              <w:jc w:val="center"/>
              <w:rPr>
                <w:rFonts w:ascii="Times New Roman" w:hAnsi="Times New Roman" w:eastAsia="仿宋" w:cs="Times New Roman"/>
                <w:b/>
                <w:sz w:val="28"/>
                <w:szCs w:val="28"/>
                <w14:ligatures w14:val="none"/>
              </w:rPr>
            </w:pPr>
            <w:r>
              <w:rPr>
                <w:rFonts w:ascii="Times New Roman" w:hAnsi="Times New Roman" w:eastAsia="仿宋" w:cs="Times New Roman"/>
                <w:b/>
                <w:sz w:val="28"/>
                <w:szCs w:val="28"/>
                <w:lang w:bidi="ar"/>
                <w14:ligatures w14:val="none"/>
              </w:rPr>
              <w:t>工作单位</w:t>
            </w:r>
          </w:p>
        </w:tc>
        <w:tc>
          <w:tcPr>
            <w:tcW w:w="1843" w:type="dxa"/>
            <w:tcBorders>
              <w:top w:val="single" w:color="auto" w:sz="4" w:space="0"/>
              <w:left w:val="single" w:color="auto" w:sz="4" w:space="0"/>
              <w:bottom w:val="single" w:color="auto" w:sz="4" w:space="0"/>
              <w:right w:val="single" w:color="auto" w:sz="4" w:space="0"/>
            </w:tcBorders>
            <w:shd w:val="clear" w:color="auto" w:fill="auto"/>
            <w:vAlign w:val="center"/>
          </w:tcPr>
          <w:p w14:paraId="02B99FE3">
            <w:pPr>
              <w:adjustRightInd/>
              <w:spacing w:line="240" w:lineRule="auto"/>
              <w:ind w:firstLine="0" w:firstLineChars="0"/>
              <w:jc w:val="center"/>
              <w:rPr>
                <w:rFonts w:ascii="Times New Roman" w:hAnsi="Times New Roman" w:eastAsia="仿宋" w:cs="Times New Roman"/>
                <w:b/>
                <w:sz w:val="28"/>
                <w:szCs w:val="28"/>
                <w14:ligatures w14:val="none"/>
              </w:rPr>
            </w:pPr>
            <w:r>
              <w:rPr>
                <w:rFonts w:ascii="Times New Roman" w:hAnsi="Times New Roman" w:eastAsia="仿宋" w:cs="Times New Roman"/>
                <w:b/>
                <w:sz w:val="28"/>
                <w:szCs w:val="28"/>
                <w:lang w:bidi="ar"/>
                <w14:ligatures w14:val="none"/>
              </w:rPr>
              <w:t>任务分工</w:t>
            </w:r>
          </w:p>
        </w:tc>
      </w:tr>
      <w:tr w14:paraId="1DB5F0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0" w:hRule="atLeast"/>
        </w:trPr>
        <w:tc>
          <w:tcPr>
            <w:tcW w:w="1143" w:type="dxa"/>
            <w:tcBorders>
              <w:top w:val="single" w:color="auto" w:sz="4" w:space="0"/>
              <w:left w:val="single" w:color="auto" w:sz="4" w:space="0"/>
              <w:bottom w:val="single" w:color="auto" w:sz="4" w:space="0"/>
              <w:right w:val="single" w:color="auto" w:sz="4" w:space="0"/>
            </w:tcBorders>
            <w:shd w:val="clear" w:color="auto" w:fill="auto"/>
            <w:vAlign w:val="center"/>
          </w:tcPr>
          <w:p w14:paraId="6817F35B">
            <w:pPr>
              <w:adjustRightInd/>
              <w:spacing w:line="240" w:lineRule="auto"/>
              <w:ind w:firstLine="0" w:firstLineChars="0"/>
              <w:jc w:val="center"/>
              <w:rPr>
                <w:rFonts w:ascii="Times New Roman" w:hAnsi="Times New Roman" w:eastAsia="仿宋" w:cs="Times New Roman"/>
                <w:sz w:val="28"/>
                <w:szCs w:val="28"/>
                <w14:ligatures w14:val="none"/>
              </w:rPr>
            </w:pPr>
            <w:r>
              <w:rPr>
                <w:rFonts w:ascii="Times New Roman" w:hAnsi="Times New Roman" w:eastAsia="仿宋" w:cs="Times New Roman"/>
                <w:sz w:val="28"/>
                <w:szCs w:val="28"/>
                <w14:ligatures w14:val="none"/>
              </w:rPr>
              <w:t>齐方忠</w:t>
            </w:r>
          </w:p>
        </w:tc>
        <w:tc>
          <w:tcPr>
            <w:tcW w:w="853" w:type="dxa"/>
            <w:tcBorders>
              <w:top w:val="single" w:color="auto" w:sz="4" w:space="0"/>
              <w:left w:val="single" w:color="auto" w:sz="4" w:space="0"/>
              <w:bottom w:val="single" w:color="auto" w:sz="4" w:space="0"/>
              <w:right w:val="single" w:color="auto" w:sz="4" w:space="0"/>
            </w:tcBorders>
            <w:shd w:val="clear" w:color="auto" w:fill="auto"/>
            <w:vAlign w:val="center"/>
          </w:tcPr>
          <w:p w14:paraId="5795D7DB">
            <w:pPr>
              <w:adjustRightInd/>
              <w:spacing w:line="240" w:lineRule="auto"/>
              <w:ind w:firstLine="0" w:firstLineChars="0"/>
              <w:jc w:val="center"/>
              <w:rPr>
                <w:rFonts w:ascii="Times New Roman" w:hAnsi="Times New Roman" w:eastAsia="仿宋" w:cs="Times New Roman"/>
                <w:sz w:val="28"/>
                <w:szCs w:val="28"/>
                <w14:ligatures w14:val="none"/>
              </w:rPr>
            </w:pPr>
            <w:r>
              <w:rPr>
                <w:rFonts w:ascii="Times New Roman" w:hAnsi="Times New Roman" w:eastAsia="仿宋" w:cs="Times New Roman"/>
                <w:sz w:val="28"/>
                <w:szCs w:val="28"/>
                <w14:ligatures w14:val="none"/>
              </w:rPr>
              <w:t>男</w:t>
            </w:r>
          </w:p>
        </w:tc>
        <w:tc>
          <w:tcPr>
            <w:tcW w:w="1701" w:type="dxa"/>
            <w:tcBorders>
              <w:top w:val="single" w:color="auto" w:sz="4" w:space="0"/>
              <w:left w:val="single" w:color="auto" w:sz="4" w:space="0"/>
              <w:bottom w:val="single" w:color="auto" w:sz="4" w:space="0"/>
              <w:right w:val="single" w:color="auto" w:sz="4" w:space="0"/>
            </w:tcBorders>
            <w:shd w:val="clear" w:color="auto" w:fill="auto"/>
            <w:vAlign w:val="center"/>
          </w:tcPr>
          <w:p w14:paraId="08A707DB">
            <w:pPr>
              <w:adjustRightInd/>
              <w:spacing w:line="240" w:lineRule="auto"/>
              <w:ind w:firstLine="0" w:firstLineChars="0"/>
              <w:jc w:val="center"/>
              <w:rPr>
                <w:rFonts w:ascii="Times New Roman" w:hAnsi="Times New Roman" w:eastAsia="仿宋" w:cs="Times New Roman"/>
                <w:sz w:val="28"/>
                <w:szCs w:val="28"/>
                <w14:ligatures w14:val="none"/>
              </w:rPr>
            </w:pPr>
            <w:r>
              <w:rPr>
                <w:rFonts w:ascii="Times New Roman" w:hAnsi="Times New Roman" w:eastAsia="仿宋" w:cs="Times New Roman"/>
                <w:sz w:val="28"/>
                <w:szCs w:val="28"/>
                <w14:ligatures w14:val="none"/>
              </w:rPr>
              <w:t>教授</w:t>
            </w:r>
          </w:p>
        </w:tc>
        <w:tc>
          <w:tcPr>
            <w:tcW w:w="3386" w:type="dxa"/>
            <w:tcBorders>
              <w:top w:val="single" w:color="auto" w:sz="4" w:space="0"/>
              <w:left w:val="single" w:color="auto" w:sz="4" w:space="0"/>
              <w:bottom w:val="single" w:color="auto" w:sz="4" w:space="0"/>
              <w:right w:val="single" w:color="auto" w:sz="4" w:space="0"/>
            </w:tcBorders>
            <w:shd w:val="clear" w:color="auto" w:fill="auto"/>
            <w:vAlign w:val="center"/>
          </w:tcPr>
          <w:p w14:paraId="1519B497">
            <w:pPr>
              <w:adjustRightInd/>
              <w:spacing w:line="240" w:lineRule="auto"/>
              <w:ind w:firstLine="0" w:firstLineChars="0"/>
              <w:jc w:val="center"/>
              <w:rPr>
                <w:rFonts w:ascii="Times New Roman" w:hAnsi="Times New Roman" w:eastAsia="仿宋" w:cs="Times New Roman"/>
                <w:sz w:val="28"/>
                <w:szCs w:val="28"/>
                <w14:ligatures w14:val="none"/>
              </w:rPr>
            </w:pPr>
            <w:r>
              <w:rPr>
                <w:rFonts w:ascii="Times New Roman" w:hAnsi="Times New Roman" w:eastAsia="仿宋" w:cs="Times New Roman"/>
                <w:sz w:val="28"/>
                <w:szCs w:val="28"/>
                <w14:ligatures w14:val="none"/>
              </w:rPr>
              <w:t>中国消防救援学院</w:t>
            </w:r>
          </w:p>
        </w:tc>
        <w:tc>
          <w:tcPr>
            <w:tcW w:w="1843" w:type="dxa"/>
            <w:vMerge w:val="restart"/>
            <w:tcBorders>
              <w:top w:val="single" w:color="auto" w:sz="4" w:space="0"/>
              <w:left w:val="single" w:color="auto" w:sz="4" w:space="0"/>
              <w:right w:val="single" w:color="auto" w:sz="4" w:space="0"/>
            </w:tcBorders>
            <w:shd w:val="clear" w:color="auto" w:fill="auto"/>
            <w:vAlign w:val="center"/>
          </w:tcPr>
          <w:p w14:paraId="4A945922">
            <w:pPr>
              <w:adjustRightInd/>
              <w:spacing w:line="240" w:lineRule="auto"/>
              <w:ind w:firstLine="0" w:firstLineChars="0"/>
              <w:rPr>
                <w:rFonts w:ascii="Times New Roman" w:hAnsi="Times New Roman" w:eastAsia="仿宋" w:cs="Times New Roman"/>
                <w:sz w:val="28"/>
                <w:szCs w:val="28"/>
                <w14:ligatures w14:val="none"/>
              </w:rPr>
            </w:pPr>
            <w:r>
              <w:rPr>
                <w:rFonts w:ascii="Times New Roman" w:hAnsi="Times New Roman" w:eastAsia="仿宋" w:cs="Times New Roman"/>
                <w:sz w:val="28"/>
                <w:szCs w:val="28"/>
                <w14:ligatures w14:val="none"/>
              </w:rPr>
              <w:t>总体统筹实施，标准框架搭建、资料收集整理、文本起草于统稿、协调联络等。</w:t>
            </w:r>
          </w:p>
        </w:tc>
      </w:tr>
      <w:tr w14:paraId="447F0C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1" w:hRule="atLeast"/>
        </w:trPr>
        <w:tc>
          <w:tcPr>
            <w:tcW w:w="1143" w:type="dxa"/>
            <w:tcBorders>
              <w:top w:val="single" w:color="auto" w:sz="4" w:space="0"/>
              <w:left w:val="single" w:color="auto" w:sz="4" w:space="0"/>
              <w:bottom w:val="single" w:color="auto" w:sz="4" w:space="0"/>
              <w:right w:val="single" w:color="auto" w:sz="4" w:space="0"/>
            </w:tcBorders>
            <w:shd w:val="clear" w:color="auto" w:fill="auto"/>
            <w:vAlign w:val="center"/>
          </w:tcPr>
          <w:p w14:paraId="0D87B2B8">
            <w:pPr>
              <w:adjustRightInd/>
              <w:spacing w:line="240" w:lineRule="auto"/>
              <w:ind w:firstLine="0" w:firstLineChars="0"/>
              <w:jc w:val="center"/>
              <w:rPr>
                <w:rFonts w:ascii="Times New Roman" w:hAnsi="Times New Roman" w:eastAsia="仿宋" w:cs="Times New Roman"/>
                <w:sz w:val="28"/>
                <w:szCs w:val="28"/>
                <w14:ligatures w14:val="none"/>
              </w:rPr>
            </w:pPr>
            <w:r>
              <w:rPr>
                <w:rFonts w:ascii="Times New Roman" w:hAnsi="Times New Roman" w:eastAsia="仿宋" w:cs="Times New Roman"/>
                <w:sz w:val="28"/>
                <w:szCs w:val="28"/>
                <w14:ligatures w14:val="none"/>
              </w:rPr>
              <w:t>白  夜</w:t>
            </w:r>
          </w:p>
        </w:tc>
        <w:tc>
          <w:tcPr>
            <w:tcW w:w="853" w:type="dxa"/>
            <w:tcBorders>
              <w:top w:val="single" w:color="auto" w:sz="4" w:space="0"/>
              <w:left w:val="single" w:color="auto" w:sz="4" w:space="0"/>
              <w:bottom w:val="single" w:color="auto" w:sz="4" w:space="0"/>
              <w:right w:val="single" w:color="auto" w:sz="4" w:space="0"/>
            </w:tcBorders>
            <w:shd w:val="clear" w:color="auto" w:fill="auto"/>
            <w:vAlign w:val="center"/>
          </w:tcPr>
          <w:p w14:paraId="0592340B">
            <w:pPr>
              <w:adjustRightInd/>
              <w:spacing w:line="240" w:lineRule="auto"/>
              <w:ind w:firstLine="0" w:firstLineChars="0"/>
              <w:jc w:val="center"/>
              <w:rPr>
                <w:rFonts w:ascii="Times New Roman" w:hAnsi="Times New Roman" w:eastAsia="仿宋" w:cs="Times New Roman"/>
                <w:sz w:val="28"/>
                <w:szCs w:val="28"/>
                <w14:ligatures w14:val="none"/>
              </w:rPr>
            </w:pPr>
            <w:r>
              <w:rPr>
                <w:rFonts w:ascii="Times New Roman" w:hAnsi="Times New Roman" w:eastAsia="仿宋" w:cs="Times New Roman"/>
                <w:sz w:val="28"/>
                <w:szCs w:val="28"/>
                <w14:ligatures w14:val="none"/>
              </w:rPr>
              <w:t>男</w:t>
            </w:r>
          </w:p>
        </w:tc>
        <w:tc>
          <w:tcPr>
            <w:tcW w:w="1701" w:type="dxa"/>
            <w:tcBorders>
              <w:top w:val="single" w:color="auto" w:sz="4" w:space="0"/>
              <w:left w:val="single" w:color="auto" w:sz="4" w:space="0"/>
              <w:bottom w:val="single" w:color="auto" w:sz="4" w:space="0"/>
              <w:right w:val="single" w:color="auto" w:sz="4" w:space="0"/>
            </w:tcBorders>
            <w:shd w:val="clear" w:color="auto" w:fill="auto"/>
            <w:vAlign w:val="center"/>
          </w:tcPr>
          <w:p w14:paraId="2411C5D6">
            <w:pPr>
              <w:adjustRightInd/>
              <w:spacing w:line="240" w:lineRule="auto"/>
              <w:ind w:firstLine="0" w:firstLineChars="0"/>
              <w:jc w:val="center"/>
              <w:rPr>
                <w:rFonts w:ascii="Times New Roman" w:hAnsi="Times New Roman" w:eastAsia="仿宋" w:cs="Times New Roman"/>
                <w:sz w:val="28"/>
                <w:szCs w:val="28"/>
                <w14:ligatures w14:val="none"/>
              </w:rPr>
            </w:pPr>
            <w:r>
              <w:rPr>
                <w:rFonts w:ascii="Times New Roman" w:hAnsi="Times New Roman" w:eastAsia="仿宋" w:cs="Times New Roman"/>
                <w:sz w:val="28"/>
                <w:szCs w:val="28"/>
                <w14:ligatures w14:val="none"/>
              </w:rPr>
              <w:t>教授</w:t>
            </w:r>
          </w:p>
        </w:tc>
        <w:tc>
          <w:tcPr>
            <w:tcW w:w="3386" w:type="dxa"/>
            <w:tcBorders>
              <w:top w:val="single" w:color="auto" w:sz="4" w:space="0"/>
              <w:left w:val="single" w:color="auto" w:sz="4" w:space="0"/>
              <w:bottom w:val="single" w:color="auto" w:sz="4" w:space="0"/>
              <w:right w:val="single" w:color="auto" w:sz="4" w:space="0"/>
            </w:tcBorders>
            <w:shd w:val="clear" w:color="auto" w:fill="auto"/>
            <w:vAlign w:val="center"/>
          </w:tcPr>
          <w:p w14:paraId="19859586">
            <w:pPr>
              <w:adjustRightInd/>
              <w:spacing w:line="240" w:lineRule="auto"/>
              <w:ind w:firstLine="0" w:firstLineChars="0"/>
              <w:jc w:val="center"/>
              <w:rPr>
                <w:rFonts w:ascii="Times New Roman" w:hAnsi="Times New Roman" w:eastAsia="仿宋" w:cs="Times New Roman"/>
                <w:sz w:val="28"/>
                <w:szCs w:val="28"/>
                <w14:ligatures w14:val="none"/>
              </w:rPr>
            </w:pPr>
            <w:r>
              <w:rPr>
                <w:rFonts w:ascii="Times New Roman" w:hAnsi="Times New Roman" w:eastAsia="仿宋" w:cs="Times New Roman"/>
                <w:sz w:val="28"/>
                <w:szCs w:val="28"/>
                <w14:ligatures w14:val="none"/>
              </w:rPr>
              <w:t>中国消防救援学院</w:t>
            </w:r>
          </w:p>
        </w:tc>
        <w:tc>
          <w:tcPr>
            <w:tcW w:w="1843" w:type="dxa"/>
            <w:vMerge w:val="continue"/>
            <w:tcBorders>
              <w:left w:val="single" w:color="auto" w:sz="4" w:space="0"/>
              <w:right w:val="single" w:color="auto" w:sz="4" w:space="0"/>
            </w:tcBorders>
            <w:shd w:val="clear" w:color="auto" w:fill="auto"/>
            <w:vAlign w:val="center"/>
          </w:tcPr>
          <w:p w14:paraId="6F47D284">
            <w:pPr>
              <w:adjustRightInd/>
              <w:spacing w:line="440" w:lineRule="exact"/>
              <w:ind w:firstLine="560" w:firstLineChars="200"/>
              <w:jc w:val="center"/>
              <w:rPr>
                <w:rFonts w:ascii="Times New Roman" w:hAnsi="Times New Roman" w:eastAsia="仿宋" w:cs="Times New Roman"/>
                <w:sz w:val="28"/>
                <w:szCs w:val="28"/>
                <w14:ligatures w14:val="none"/>
              </w:rPr>
            </w:pPr>
          </w:p>
        </w:tc>
      </w:tr>
      <w:tr w14:paraId="77B025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0" w:hRule="atLeast"/>
        </w:trPr>
        <w:tc>
          <w:tcPr>
            <w:tcW w:w="1143" w:type="dxa"/>
            <w:tcBorders>
              <w:top w:val="single" w:color="auto" w:sz="4" w:space="0"/>
              <w:left w:val="single" w:color="auto" w:sz="4" w:space="0"/>
              <w:bottom w:val="single" w:color="auto" w:sz="4" w:space="0"/>
              <w:right w:val="single" w:color="auto" w:sz="4" w:space="0"/>
            </w:tcBorders>
            <w:shd w:val="clear" w:color="auto" w:fill="auto"/>
            <w:vAlign w:val="center"/>
          </w:tcPr>
          <w:p w14:paraId="685451ED">
            <w:pPr>
              <w:adjustRightInd/>
              <w:spacing w:line="240" w:lineRule="auto"/>
              <w:ind w:firstLine="0" w:firstLineChars="0"/>
              <w:jc w:val="center"/>
              <w:rPr>
                <w:rFonts w:ascii="Times New Roman" w:hAnsi="Times New Roman" w:eastAsia="仿宋" w:cs="Times New Roman"/>
                <w:sz w:val="28"/>
                <w:szCs w:val="28"/>
                <w14:ligatures w14:val="none"/>
              </w:rPr>
            </w:pPr>
            <w:r>
              <w:rPr>
                <w:rFonts w:ascii="Times New Roman" w:hAnsi="Times New Roman" w:eastAsia="仿宋" w:cs="Times New Roman"/>
                <w:sz w:val="28"/>
                <w:szCs w:val="28"/>
                <w14:ligatures w14:val="none"/>
              </w:rPr>
              <w:t>殷继艳</w:t>
            </w:r>
          </w:p>
        </w:tc>
        <w:tc>
          <w:tcPr>
            <w:tcW w:w="853" w:type="dxa"/>
            <w:tcBorders>
              <w:top w:val="single" w:color="auto" w:sz="4" w:space="0"/>
              <w:left w:val="single" w:color="auto" w:sz="4" w:space="0"/>
              <w:bottom w:val="single" w:color="auto" w:sz="4" w:space="0"/>
              <w:right w:val="single" w:color="auto" w:sz="4" w:space="0"/>
            </w:tcBorders>
            <w:shd w:val="clear" w:color="auto" w:fill="auto"/>
            <w:vAlign w:val="center"/>
          </w:tcPr>
          <w:p w14:paraId="339749A3">
            <w:pPr>
              <w:adjustRightInd/>
              <w:spacing w:line="240" w:lineRule="auto"/>
              <w:ind w:firstLine="0" w:firstLineChars="0"/>
              <w:jc w:val="center"/>
              <w:rPr>
                <w:rFonts w:ascii="Times New Roman" w:hAnsi="Times New Roman" w:eastAsia="仿宋" w:cs="Times New Roman"/>
                <w:sz w:val="28"/>
                <w:szCs w:val="28"/>
                <w14:ligatures w14:val="none"/>
              </w:rPr>
            </w:pPr>
            <w:r>
              <w:rPr>
                <w:rFonts w:ascii="Times New Roman" w:hAnsi="Times New Roman" w:eastAsia="仿宋" w:cs="Times New Roman"/>
                <w:sz w:val="28"/>
                <w:szCs w:val="28"/>
                <w14:ligatures w14:val="none"/>
              </w:rPr>
              <w:t>女</w:t>
            </w:r>
          </w:p>
        </w:tc>
        <w:tc>
          <w:tcPr>
            <w:tcW w:w="1701" w:type="dxa"/>
            <w:tcBorders>
              <w:top w:val="single" w:color="auto" w:sz="4" w:space="0"/>
              <w:left w:val="single" w:color="auto" w:sz="4" w:space="0"/>
              <w:bottom w:val="single" w:color="auto" w:sz="4" w:space="0"/>
              <w:right w:val="single" w:color="auto" w:sz="4" w:space="0"/>
            </w:tcBorders>
            <w:shd w:val="clear" w:color="auto" w:fill="auto"/>
            <w:vAlign w:val="center"/>
          </w:tcPr>
          <w:p w14:paraId="57B4DC05">
            <w:pPr>
              <w:adjustRightInd/>
              <w:spacing w:line="440" w:lineRule="exact"/>
              <w:ind w:firstLine="0" w:firstLineChars="0"/>
              <w:jc w:val="center"/>
              <w:rPr>
                <w:rFonts w:ascii="Times New Roman" w:hAnsi="Times New Roman" w:eastAsia="仿宋" w:cs="Times New Roman"/>
                <w:sz w:val="28"/>
                <w:szCs w:val="28"/>
                <w14:ligatures w14:val="none"/>
              </w:rPr>
            </w:pPr>
            <w:r>
              <w:rPr>
                <w:rFonts w:ascii="Times New Roman" w:hAnsi="Times New Roman" w:eastAsia="仿宋" w:cs="Times New Roman"/>
                <w:sz w:val="28"/>
                <w:szCs w:val="28"/>
                <w14:ligatures w14:val="none"/>
              </w:rPr>
              <w:t>教授</w:t>
            </w:r>
          </w:p>
        </w:tc>
        <w:tc>
          <w:tcPr>
            <w:tcW w:w="3386" w:type="dxa"/>
            <w:tcBorders>
              <w:top w:val="single" w:color="auto" w:sz="4" w:space="0"/>
              <w:left w:val="single" w:color="auto" w:sz="4" w:space="0"/>
              <w:bottom w:val="single" w:color="auto" w:sz="4" w:space="0"/>
              <w:right w:val="single" w:color="auto" w:sz="4" w:space="0"/>
            </w:tcBorders>
            <w:shd w:val="clear" w:color="auto" w:fill="auto"/>
            <w:vAlign w:val="center"/>
          </w:tcPr>
          <w:p w14:paraId="074A7E43">
            <w:pPr>
              <w:adjustRightInd/>
              <w:spacing w:line="240" w:lineRule="auto"/>
              <w:ind w:firstLine="0" w:firstLineChars="0"/>
              <w:jc w:val="center"/>
              <w:rPr>
                <w:rFonts w:ascii="Times New Roman" w:hAnsi="Times New Roman" w:eastAsia="仿宋" w:cs="Times New Roman"/>
                <w:sz w:val="28"/>
                <w:szCs w:val="28"/>
                <w14:ligatures w14:val="none"/>
              </w:rPr>
            </w:pPr>
            <w:r>
              <w:rPr>
                <w:rFonts w:ascii="Times New Roman" w:hAnsi="Times New Roman" w:eastAsia="仿宋" w:cs="Times New Roman"/>
                <w:sz w:val="28"/>
                <w:szCs w:val="28"/>
                <w14:ligatures w14:val="none"/>
              </w:rPr>
              <w:t>中国消防救援学院</w:t>
            </w:r>
          </w:p>
        </w:tc>
        <w:tc>
          <w:tcPr>
            <w:tcW w:w="1843" w:type="dxa"/>
            <w:vMerge w:val="continue"/>
            <w:tcBorders>
              <w:left w:val="single" w:color="auto" w:sz="4" w:space="0"/>
              <w:right w:val="single" w:color="auto" w:sz="4" w:space="0"/>
            </w:tcBorders>
            <w:shd w:val="clear" w:color="auto" w:fill="auto"/>
            <w:vAlign w:val="center"/>
          </w:tcPr>
          <w:p w14:paraId="6EBDB98A">
            <w:pPr>
              <w:adjustRightInd/>
              <w:spacing w:line="440" w:lineRule="exact"/>
              <w:ind w:firstLine="560" w:firstLineChars="200"/>
              <w:jc w:val="center"/>
              <w:rPr>
                <w:rFonts w:ascii="Times New Roman" w:hAnsi="Times New Roman" w:eastAsia="仿宋" w:cs="Times New Roman"/>
                <w:sz w:val="28"/>
                <w:szCs w:val="28"/>
                <w14:ligatures w14:val="none"/>
              </w:rPr>
            </w:pPr>
          </w:p>
        </w:tc>
      </w:tr>
      <w:tr w14:paraId="3E3E3F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7" w:hRule="atLeast"/>
        </w:trPr>
        <w:tc>
          <w:tcPr>
            <w:tcW w:w="1143" w:type="dxa"/>
            <w:tcBorders>
              <w:top w:val="single" w:color="auto" w:sz="4" w:space="0"/>
              <w:left w:val="single" w:color="auto" w:sz="4" w:space="0"/>
              <w:bottom w:val="single" w:color="auto" w:sz="4" w:space="0"/>
              <w:right w:val="single" w:color="auto" w:sz="4" w:space="0"/>
            </w:tcBorders>
            <w:shd w:val="clear" w:color="auto" w:fill="auto"/>
            <w:vAlign w:val="center"/>
          </w:tcPr>
          <w:p w14:paraId="2FD74446">
            <w:pPr>
              <w:adjustRightInd/>
              <w:spacing w:line="240" w:lineRule="auto"/>
              <w:ind w:firstLine="0" w:firstLineChars="0"/>
              <w:jc w:val="center"/>
              <w:rPr>
                <w:rFonts w:ascii="Times New Roman" w:hAnsi="Times New Roman" w:eastAsia="仿宋" w:cs="Times New Roman"/>
                <w:sz w:val="28"/>
                <w:szCs w:val="28"/>
                <w14:ligatures w14:val="none"/>
              </w:rPr>
            </w:pPr>
            <w:r>
              <w:rPr>
                <w:rFonts w:ascii="Times New Roman" w:hAnsi="Times New Roman" w:eastAsia="仿宋" w:cs="Times New Roman"/>
                <w:sz w:val="28"/>
                <w:szCs w:val="28"/>
                <w14:ligatures w14:val="none"/>
              </w:rPr>
              <w:t>石  洋</w:t>
            </w:r>
          </w:p>
        </w:tc>
        <w:tc>
          <w:tcPr>
            <w:tcW w:w="853" w:type="dxa"/>
            <w:tcBorders>
              <w:top w:val="single" w:color="auto" w:sz="4" w:space="0"/>
              <w:left w:val="single" w:color="auto" w:sz="4" w:space="0"/>
              <w:bottom w:val="single" w:color="auto" w:sz="4" w:space="0"/>
              <w:right w:val="single" w:color="auto" w:sz="4" w:space="0"/>
            </w:tcBorders>
            <w:shd w:val="clear" w:color="auto" w:fill="auto"/>
            <w:vAlign w:val="center"/>
          </w:tcPr>
          <w:p w14:paraId="101C84F3">
            <w:pPr>
              <w:adjustRightInd/>
              <w:spacing w:line="240" w:lineRule="auto"/>
              <w:ind w:firstLine="0" w:firstLineChars="0"/>
              <w:jc w:val="center"/>
              <w:rPr>
                <w:rFonts w:ascii="Times New Roman" w:hAnsi="Times New Roman" w:eastAsia="仿宋" w:cs="Times New Roman"/>
                <w:sz w:val="28"/>
                <w:szCs w:val="28"/>
                <w14:ligatures w14:val="none"/>
              </w:rPr>
            </w:pPr>
            <w:r>
              <w:rPr>
                <w:rFonts w:ascii="Times New Roman" w:hAnsi="Times New Roman" w:eastAsia="仿宋" w:cs="Times New Roman"/>
                <w:sz w:val="28"/>
                <w:szCs w:val="28"/>
                <w14:ligatures w14:val="none"/>
              </w:rPr>
              <w:t>男</w:t>
            </w:r>
          </w:p>
        </w:tc>
        <w:tc>
          <w:tcPr>
            <w:tcW w:w="1701" w:type="dxa"/>
            <w:tcBorders>
              <w:top w:val="single" w:color="auto" w:sz="4" w:space="0"/>
              <w:left w:val="single" w:color="auto" w:sz="4" w:space="0"/>
              <w:bottom w:val="single" w:color="auto" w:sz="4" w:space="0"/>
              <w:right w:val="single" w:color="auto" w:sz="4" w:space="0"/>
            </w:tcBorders>
            <w:shd w:val="clear" w:color="auto" w:fill="auto"/>
            <w:vAlign w:val="center"/>
          </w:tcPr>
          <w:p w14:paraId="42569BA7">
            <w:pPr>
              <w:adjustRightInd/>
              <w:spacing w:line="440" w:lineRule="exact"/>
              <w:ind w:firstLine="0" w:firstLineChars="0"/>
              <w:jc w:val="center"/>
              <w:rPr>
                <w:rFonts w:ascii="Times New Roman" w:hAnsi="Times New Roman" w:eastAsia="仿宋" w:cs="Times New Roman"/>
                <w:sz w:val="28"/>
                <w:szCs w:val="28"/>
                <w14:ligatures w14:val="none"/>
              </w:rPr>
            </w:pPr>
            <w:r>
              <w:rPr>
                <w:rFonts w:ascii="Times New Roman" w:hAnsi="Times New Roman" w:eastAsia="仿宋" w:cs="Times New Roman"/>
                <w:sz w:val="28"/>
                <w:szCs w:val="28"/>
                <w14:ligatures w14:val="none"/>
              </w:rPr>
              <w:t>处长</w:t>
            </w:r>
          </w:p>
        </w:tc>
        <w:tc>
          <w:tcPr>
            <w:tcW w:w="3386" w:type="dxa"/>
            <w:tcBorders>
              <w:top w:val="single" w:color="auto" w:sz="4" w:space="0"/>
              <w:left w:val="single" w:color="auto" w:sz="4" w:space="0"/>
              <w:bottom w:val="single" w:color="auto" w:sz="4" w:space="0"/>
              <w:right w:val="single" w:color="auto" w:sz="4" w:space="0"/>
            </w:tcBorders>
            <w:shd w:val="clear" w:color="auto" w:fill="auto"/>
            <w:vAlign w:val="center"/>
          </w:tcPr>
          <w:p w14:paraId="3F61D052">
            <w:pPr>
              <w:adjustRightInd/>
              <w:spacing w:line="240" w:lineRule="auto"/>
              <w:ind w:firstLine="0" w:firstLineChars="0"/>
              <w:jc w:val="center"/>
              <w:rPr>
                <w:rFonts w:ascii="Times New Roman" w:hAnsi="Times New Roman" w:eastAsia="仿宋" w:cs="Times New Roman"/>
                <w:sz w:val="28"/>
                <w:szCs w:val="28"/>
                <w14:ligatures w14:val="none"/>
              </w:rPr>
            </w:pPr>
            <w:r>
              <w:rPr>
                <w:rFonts w:ascii="Times New Roman" w:hAnsi="Times New Roman" w:eastAsia="仿宋" w:cs="Times New Roman"/>
                <w:sz w:val="28"/>
                <w:szCs w:val="28"/>
                <w14:ligatures w14:val="none"/>
              </w:rPr>
              <w:t>中国消防救援学院</w:t>
            </w:r>
          </w:p>
        </w:tc>
        <w:tc>
          <w:tcPr>
            <w:tcW w:w="1843" w:type="dxa"/>
            <w:vMerge w:val="continue"/>
            <w:tcBorders>
              <w:left w:val="single" w:color="auto" w:sz="4" w:space="0"/>
              <w:right w:val="single" w:color="auto" w:sz="4" w:space="0"/>
            </w:tcBorders>
            <w:shd w:val="clear" w:color="auto" w:fill="auto"/>
            <w:vAlign w:val="center"/>
          </w:tcPr>
          <w:p w14:paraId="0CAE64E4">
            <w:pPr>
              <w:adjustRightInd/>
              <w:spacing w:line="440" w:lineRule="exact"/>
              <w:ind w:firstLine="560" w:firstLineChars="200"/>
              <w:jc w:val="center"/>
              <w:rPr>
                <w:rFonts w:ascii="Times New Roman" w:hAnsi="Times New Roman" w:eastAsia="仿宋" w:cs="Times New Roman"/>
                <w:sz w:val="28"/>
                <w:szCs w:val="28"/>
                <w14:ligatures w14:val="none"/>
              </w:rPr>
            </w:pPr>
          </w:p>
        </w:tc>
      </w:tr>
      <w:tr w14:paraId="0B61D1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0" w:hRule="atLeast"/>
        </w:trPr>
        <w:tc>
          <w:tcPr>
            <w:tcW w:w="1143" w:type="dxa"/>
            <w:tcBorders>
              <w:top w:val="single" w:color="auto" w:sz="4" w:space="0"/>
              <w:left w:val="single" w:color="auto" w:sz="4" w:space="0"/>
              <w:bottom w:val="single" w:color="auto" w:sz="4" w:space="0"/>
              <w:right w:val="single" w:color="auto" w:sz="4" w:space="0"/>
            </w:tcBorders>
            <w:shd w:val="clear" w:color="auto" w:fill="auto"/>
            <w:vAlign w:val="center"/>
          </w:tcPr>
          <w:p w14:paraId="5F230946">
            <w:pPr>
              <w:adjustRightInd/>
              <w:spacing w:line="240" w:lineRule="auto"/>
              <w:ind w:firstLine="0" w:firstLineChars="0"/>
              <w:jc w:val="center"/>
              <w:rPr>
                <w:rFonts w:ascii="Times New Roman" w:hAnsi="Times New Roman" w:eastAsia="仿宋" w:cs="Times New Roman"/>
                <w:sz w:val="28"/>
                <w:szCs w:val="28"/>
                <w14:ligatures w14:val="none"/>
              </w:rPr>
            </w:pPr>
            <w:r>
              <w:rPr>
                <w:rFonts w:ascii="Times New Roman" w:hAnsi="Times New Roman" w:eastAsia="仿宋" w:cs="Times New Roman"/>
                <w:sz w:val="28"/>
                <w:szCs w:val="28"/>
                <w14:ligatures w14:val="none"/>
              </w:rPr>
              <w:t>杨少斌</w:t>
            </w:r>
          </w:p>
        </w:tc>
        <w:tc>
          <w:tcPr>
            <w:tcW w:w="853" w:type="dxa"/>
            <w:tcBorders>
              <w:top w:val="single" w:color="auto" w:sz="4" w:space="0"/>
              <w:left w:val="single" w:color="auto" w:sz="4" w:space="0"/>
              <w:bottom w:val="single" w:color="auto" w:sz="4" w:space="0"/>
              <w:right w:val="single" w:color="auto" w:sz="4" w:space="0"/>
            </w:tcBorders>
            <w:shd w:val="clear" w:color="auto" w:fill="auto"/>
            <w:vAlign w:val="center"/>
          </w:tcPr>
          <w:p w14:paraId="0B2BCF4B">
            <w:pPr>
              <w:adjustRightInd/>
              <w:spacing w:line="240" w:lineRule="auto"/>
              <w:ind w:firstLine="0" w:firstLineChars="0"/>
              <w:jc w:val="center"/>
              <w:rPr>
                <w:rFonts w:ascii="Times New Roman" w:hAnsi="Times New Roman" w:eastAsia="仿宋" w:cs="Times New Roman"/>
                <w:sz w:val="28"/>
                <w:szCs w:val="28"/>
                <w14:ligatures w14:val="none"/>
              </w:rPr>
            </w:pPr>
            <w:r>
              <w:rPr>
                <w:rFonts w:ascii="Times New Roman" w:hAnsi="Times New Roman" w:eastAsia="仿宋" w:cs="Times New Roman"/>
                <w:sz w:val="28"/>
                <w:szCs w:val="28"/>
                <w14:ligatures w14:val="none"/>
              </w:rPr>
              <w:t>男</w:t>
            </w:r>
          </w:p>
        </w:tc>
        <w:tc>
          <w:tcPr>
            <w:tcW w:w="1701" w:type="dxa"/>
            <w:tcBorders>
              <w:top w:val="single" w:color="auto" w:sz="4" w:space="0"/>
              <w:left w:val="single" w:color="auto" w:sz="4" w:space="0"/>
              <w:bottom w:val="single" w:color="auto" w:sz="4" w:space="0"/>
              <w:right w:val="single" w:color="auto" w:sz="4" w:space="0"/>
            </w:tcBorders>
            <w:shd w:val="clear" w:color="auto" w:fill="auto"/>
            <w:vAlign w:val="center"/>
          </w:tcPr>
          <w:p w14:paraId="13AC0809">
            <w:pPr>
              <w:adjustRightInd/>
              <w:spacing w:line="240" w:lineRule="auto"/>
              <w:ind w:firstLine="0" w:firstLineChars="0"/>
              <w:jc w:val="center"/>
              <w:rPr>
                <w:rFonts w:ascii="Times New Roman" w:hAnsi="Times New Roman" w:eastAsia="仿宋" w:cs="Times New Roman"/>
                <w:sz w:val="28"/>
                <w:szCs w:val="28"/>
                <w14:ligatures w14:val="none"/>
              </w:rPr>
            </w:pPr>
            <w:r>
              <w:rPr>
                <w:rFonts w:ascii="Times New Roman" w:hAnsi="Times New Roman" w:eastAsia="仿宋" w:cs="Times New Roman"/>
                <w:sz w:val="28"/>
                <w:szCs w:val="28"/>
                <w14:ligatures w14:val="none"/>
              </w:rPr>
              <w:t>讲师</w:t>
            </w:r>
          </w:p>
        </w:tc>
        <w:tc>
          <w:tcPr>
            <w:tcW w:w="3386" w:type="dxa"/>
            <w:tcBorders>
              <w:top w:val="single" w:color="auto" w:sz="4" w:space="0"/>
              <w:left w:val="single" w:color="auto" w:sz="4" w:space="0"/>
              <w:bottom w:val="single" w:color="auto" w:sz="4" w:space="0"/>
              <w:right w:val="single" w:color="auto" w:sz="4" w:space="0"/>
            </w:tcBorders>
            <w:shd w:val="clear" w:color="auto" w:fill="auto"/>
            <w:vAlign w:val="center"/>
          </w:tcPr>
          <w:p w14:paraId="25AD5F0A">
            <w:pPr>
              <w:adjustRightInd/>
              <w:spacing w:line="240" w:lineRule="auto"/>
              <w:ind w:firstLine="0" w:firstLineChars="0"/>
              <w:jc w:val="center"/>
              <w:rPr>
                <w:rFonts w:ascii="Times New Roman" w:hAnsi="Times New Roman" w:eastAsia="仿宋" w:cs="Times New Roman"/>
                <w:sz w:val="28"/>
                <w:szCs w:val="28"/>
                <w14:ligatures w14:val="none"/>
              </w:rPr>
            </w:pPr>
            <w:r>
              <w:rPr>
                <w:rFonts w:ascii="Times New Roman" w:hAnsi="Times New Roman" w:eastAsia="仿宋" w:cs="Times New Roman"/>
                <w:sz w:val="28"/>
                <w:szCs w:val="28"/>
                <w14:ligatures w14:val="none"/>
              </w:rPr>
              <w:t>中国消防救援学院</w:t>
            </w:r>
          </w:p>
        </w:tc>
        <w:tc>
          <w:tcPr>
            <w:tcW w:w="1843" w:type="dxa"/>
            <w:vMerge w:val="continue"/>
            <w:tcBorders>
              <w:left w:val="single" w:color="auto" w:sz="4" w:space="0"/>
              <w:right w:val="single" w:color="auto" w:sz="4" w:space="0"/>
            </w:tcBorders>
            <w:shd w:val="clear" w:color="auto" w:fill="auto"/>
            <w:vAlign w:val="center"/>
          </w:tcPr>
          <w:p w14:paraId="4C45B911">
            <w:pPr>
              <w:adjustRightInd/>
              <w:spacing w:line="440" w:lineRule="exact"/>
              <w:ind w:firstLine="560" w:firstLineChars="200"/>
              <w:jc w:val="center"/>
              <w:rPr>
                <w:rFonts w:ascii="Times New Roman" w:hAnsi="Times New Roman" w:eastAsia="仿宋" w:cs="Times New Roman"/>
                <w:sz w:val="28"/>
                <w:szCs w:val="28"/>
                <w14:ligatures w14:val="none"/>
              </w:rPr>
            </w:pPr>
          </w:p>
        </w:tc>
      </w:tr>
      <w:tr w14:paraId="2BFC03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0" w:hRule="atLeast"/>
        </w:trPr>
        <w:tc>
          <w:tcPr>
            <w:tcW w:w="1143" w:type="dxa"/>
            <w:tcBorders>
              <w:top w:val="single" w:color="auto" w:sz="4" w:space="0"/>
              <w:left w:val="single" w:color="auto" w:sz="4" w:space="0"/>
              <w:bottom w:val="single" w:color="auto" w:sz="4" w:space="0"/>
              <w:right w:val="single" w:color="auto" w:sz="4" w:space="0"/>
            </w:tcBorders>
            <w:shd w:val="clear" w:color="auto" w:fill="auto"/>
            <w:vAlign w:val="center"/>
          </w:tcPr>
          <w:p w14:paraId="6BC76061">
            <w:pPr>
              <w:adjustRightInd/>
              <w:spacing w:line="240" w:lineRule="auto"/>
              <w:ind w:firstLine="0" w:firstLineChars="0"/>
              <w:jc w:val="center"/>
              <w:rPr>
                <w:rFonts w:ascii="Times New Roman" w:hAnsi="Times New Roman" w:eastAsia="仿宋" w:cs="Times New Roman"/>
                <w:sz w:val="28"/>
                <w:szCs w:val="28"/>
                <w14:ligatures w14:val="none"/>
              </w:rPr>
            </w:pPr>
            <w:r>
              <w:rPr>
                <w:rFonts w:ascii="Times New Roman" w:hAnsi="Times New Roman" w:eastAsia="仿宋" w:cs="Times New Roman"/>
                <w:sz w:val="28"/>
                <w:szCs w:val="28"/>
                <w14:ligatures w14:val="none"/>
              </w:rPr>
              <w:t>郝慎思</w:t>
            </w:r>
          </w:p>
        </w:tc>
        <w:tc>
          <w:tcPr>
            <w:tcW w:w="853" w:type="dxa"/>
            <w:tcBorders>
              <w:top w:val="single" w:color="auto" w:sz="4" w:space="0"/>
              <w:left w:val="single" w:color="auto" w:sz="4" w:space="0"/>
              <w:bottom w:val="single" w:color="auto" w:sz="4" w:space="0"/>
              <w:right w:val="single" w:color="auto" w:sz="4" w:space="0"/>
            </w:tcBorders>
            <w:shd w:val="clear" w:color="auto" w:fill="auto"/>
            <w:vAlign w:val="center"/>
          </w:tcPr>
          <w:p w14:paraId="15A8CD0E">
            <w:pPr>
              <w:adjustRightInd/>
              <w:spacing w:line="240" w:lineRule="auto"/>
              <w:ind w:firstLine="0" w:firstLineChars="0"/>
              <w:jc w:val="center"/>
              <w:rPr>
                <w:rFonts w:ascii="Times New Roman" w:hAnsi="Times New Roman" w:eastAsia="仿宋" w:cs="Times New Roman"/>
                <w:sz w:val="28"/>
                <w:szCs w:val="28"/>
                <w14:ligatures w14:val="none"/>
              </w:rPr>
            </w:pPr>
            <w:r>
              <w:rPr>
                <w:rFonts w:ascii="Times New Roman" w:hAnsi="Times New Roman" w:eastAsia="仿宋" w:cs="Times New Roman"/>
                <w:sz w:val="28"/>
                <w:szCs w:val="28"/>
                <w14:ligatures w14:val="none"/>
              </w:rPr>
              <w:t>男</w:t>
            </w:r>
          </w:p>
        </w:tc>
        <w:tc>
          <w:tcPr>
            <w:tcW w:w="1701" w:type="dxa"/>
            <w:tcBorders>
              <w:top w:val="single" w:color="auto" w:sz="4" w:space="0"/>
              <w:left w:val="single" w:color="auto" w:sz="4" w:space="0"/>
              <w:bottom w:val="single" w:color="auto" w:sz="4" w:space="0"/>
              <w:right w:val="single" w:color="auto" w:sz="4" w:space="0"/>
            </w:tcBorders>
            <w:shd w:val="clear" w:color="auto" w:fill="auto"/>
            <w:vAlign w:val="center"/>
          </w:tcPr>
          <w:p w14:paraId="670BB958">
            <w:pPr>
              <w:adjustRightInd/>
              <w:spacing w:line="440" w:lineRule="exact"/>
              <w:ind w:firstLine="0" w:firstLineChars="0"/>
              <w:jc w:val="center"/>
              <w:rPr>
                <w:rFonts w:ascii="Times New Roman" w:hAnsi="Times New Roman" w:eastAsia="仿宋" w:cs="Times New Roman"/>
                <w:sz w:val="28"/>
                <w:szCs w:val="28"/>
                <w14:ligatures w14:val="none"/>
              </w:rPr>
            </w:pPr>
            <w:r>
              <w:rPr>
                <w:rFonts w:ascii="Times New Roman" w:hAnsi="Times New Roman" w:eastAsia="仿宋" w:cs="Times New Roman"/>
                <w:sz w:val="28"/>
                <w:szCs w:val="28"/>
                <w14:ligatures w14:val="none"/>
              </w:rPr>
              <w:t>讲师</w:t>
            </w:r>
          </w:p>
        </w:tc>
        <w:tc>
          <w:tcPr>
            <w:tcW w:w="3386" w:type="dxa"/>
            <w:tcBorders>
              <w:top w:val="single" w:color="auto" w:sz="4" w:space="0"/>
              <w:left w:val="single" w:color="auto" w:sz="4" w:space="0"/>
              <w:bottom w:val="single" w:color="auto" w:sz="4" w:space="0"/>
              <w:right w:val="single" w:color="auto" w:sz="4" w:space="0"/>
            </w:tcBorders>
            <w:shd w:val="clear" w:color="auto" w:fill="auto"/>
            <w:vAlign w:val="center"/>
          </w:tcPr>
          <w:p w14:paraId="205F54A5">
            <w:pPr>
              <w:adjustRightInd/>
              <w:spacing w:line="240" w:lineRule="auto"/>
              <w:ind w:firstLine="0" w:firstLineChars="0"/>
              <w:jc w:val="center"/>
              <w:rPr>
                <w:rFonts w:ascii="Times New Roman" w:hAnsi="Times New Roman" w:eastAsia="仿宋" w:cs="Times New Roman"/>
                <w:sz w:val="28"/>
                <w:szCs w:val="28"/>
                <w14:ligatures w14:val="none"/>
              </w:rPr>
            </w:pPr>
            <w:r>
              <w:rPr>
                <w:rFonts w:ascii="Times New Roman" w:hAnsi="Times New Roman" w:eastAsia="仿宋" w:cs="Times New Roman"/>
                <w:sz w:val="28"/>
                <w:szCs w:val="28"/>
                <w14:ligatures w14:val="none"/>
              </w:rPr>
              <w:t>中国消防救援学院</w:t>
            </w:r>
          </w:p>
        </w:tc>
        <w:tc>
          <w:tcPr>
            <w:tcW w:w="1843" w:type="dxa"/>
            <w:vMerge w:val="continue"/>
            <w:tcBorders>
              <w:left w:val="single" w:color="auto" w:sz="4" w:space="0"/>
              <w:right w:val="single" w:color="auto" w:sz="4" w:space="0"/>
            </w:tcBorders>
            <w:shd w:val="clear" w:color="auto" w:fill="auto"/>
            <w:vAlign w:val="center"/>
          </w:tcPr>
          <w:p w14:paraId="2B783C05">
            <w:pPr>
              <w:adjustRightInd/>
              <w:spacing w:line="440" w:lineRule="exact"/>
              <w:ind w:firstLine="0" w:firstLineChars="0"/>
              <w:jc w:val="center"/>
              <w:rPr>
                <w:rFonts w:ascii="Times New Roman" w:hAnsi="Times New Roman" w:eastAsia="仿宋" w:cs="Times New Roman"/>
                <w:sz w:val="28"/>
                <w:szCs w:val="28"/>
                <w14:ligatures w14:val="none"/>
              </w:rPr>
            </w:pPr>
          </w:p>
        </w:tc>
      </w:tr>
      <w:tr w14:paraId="541E44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7" w:hRule="atLeast"/>
        </w:trPr>
        <w:tc>
          <w:tcPr>
            <w:tcW w:w="1143" w:type="dxa"/>
            <w:tcBorders>
              <w:top w:val="single" w:color="auto" w:sz="4" w:space="0"/>
              <w:left w:val="single" w:color="auto" w:sz="4" w:space="0"/>
              <w:bottom w:val="single" w:color="auto" w:sz="4" w:space="0"/>
              <w:right w:val="single" w:color="auto" w:sz="4" w:space="0"/>
            </w:tcBorders>
            <w:shd w:val="clear" w:color="auto" w:fill="auto"/>
            <w:vAlign w:val="center"/>
          </w:tcPr>
          <w:p w14:paraId="4CFF057F">
            <w:pPr>
              <w:adjustRightInd/>
              <w:spacing w:line="240" w:lineRule="auto"/>
              <w:ind w:firstLine="0" w:firstLineChars="0"/>
              <w:jc w:val="center"/>
              <w:rPr>
                <w:rFonts w:ascii="Times New Roman" w:hAnsi="Times New Roman" w:eastAsia="仿宋" w:cs="Times New Roman"/>
                <w:sz w:val="28"/>
                <w:szCs w:val="28"/>
                <w14:ligatures w14:val="none"/>
              </w:rPr>
            </w:pPr>
            <w:r>
              <w:rPr>
                <w:rFonts w:ascii="Times New Roman" w:hAnsi="Times New Roman" w:eastAsia="仿宋" w:cs="Times New Roman"/>
                <w:sz w:val="28"/>
                <w:szCs w:val="28"/>
                <w14:ligatures w14:val="none"/>
              </w:rPr>
              <w:t>吴建国</w:t>
            </w:r>
          </w:p>
        </w:tc>
        <w:tc>
          <w:tcPr>
            <w:tcW w:w="853" w:type="dxa"/>
            <w:tcBorders>
              <w:top w:val="single" w:color="auto" w:sz="4" w:space="0"/>
              <w:left w:val="single" w:color="auto" w:sz="4" w:space="0"/>
              <w:bottom w:val="single" w:color="auto" w:sz="4" w:space="0"/>
              <w:right w:val="single" w:color="auto" w:sz="4" w:space="0"/>
            </w:tcBorders>
            <w:shd w:val="clear" w:color="auto" w:fill="auto"/>
            <w:vAlign w:val="center"/>
          </w:tcPr>
          <w:p w14:paraId="598B27DC">
            <w:pPr>
              <w:adjustRightInd/>
              <w:spacing w:line="240" w:lineRule="auto"/>
              <w:ind w:firstLine="0" w:firstLineChars="0"/>
              <w:jc w:val="center"/>
              <w:rPr>
                <w:rFonts w:ascii="Times New Roman" w:hAnsi="Times New Roman" w:eastAsia="仿宋" w:cs="Times New Roman"/>
                <w:sz w:val="28"/>
                <w:szCs w:val="28"/>
                <w14:ligatures w14:val="none"/>
              </w:rPr>
            </w:pPr>
            <w:r>
              <w:rPr>
                <w:rFonts w:ascii="Times New Roman" w:hAnsi="Times New Roman" w:eastAsia="仿宋" w:cs="Times New Roman"/>
                <w:sz w:val="28"/>
                <w:szCs w:val="28"/>
                <w14:ligatures w14:val="none"/>
              </w:rPr>
              <w:t>男</w:t>
            </w:r>
          </w:p>
        </w:tc>
        <w:tc>
          <w:tcPr>
            <w:tcW w:w="1701" w:type="dxa"/>
            <w:tcBorders>
              <w:top w:val="single" w:color="auto" w:sz="4" w:space="0"/>
              <w:left w:val="single" w:color="auto" w:sz="4" w:space="0"/>
              <w:bottom w:val="single" w:color="auto" w:sz="4" w:space="0"/>
              <w:right w:val="single" w:color="auto" w:sz="4" w:space="0"/>
            </w:tcBorders>
            <w:shd w:val="clear" w:color="auto" w:fill="auto"/>
            <w:vAlign w:val="center"/>
          </w:tcPr>
          <w:p w14:paraId="483CF66E">
            <w:pPr>
              <w:adjustRightInd/>
              <w:spacing w:line="440" w:lineRule="exact"/>
              <w:ind w:firstLine="0" w:firstLineChars="0"/>
              <w:jc w:val="center"/>
              <w:rPr>
                <w:rFonts w:ascii="Times New Roman" w:hAnsi="Times New Roman" w:eastAsia="仿宋" w:cs="Times New Roman"/>
                <w:sz w:val="28"/>
                <w:szCs w:val="28"/>
                <w14:ligatures w14:val="none"/>
              </w:rPr>
            </w:pPr>
            <w:r>
              <w:rPr>
                <w:rFonts w:ascii="Times New Roman" w:hAnsi="Times New Roman" w:eastAsia="仿宋" w:cs="Times New Roman"/>
                <w:sz w:val="28"/>
                <w:szCs w:val="28"/>
                <w14:ligatures w14:val="none"/>
              </w:rPr>
              <w:t>副院长</w:t>
            </w:r>
          </w:p>
        </w:tc>
        <w:tc>
          <w:tcPr>
            <w:tcW w:w="3386" w:type="dxa"/>
            <w:tcBorders>
              <w:top w:val="single" w:color="auto" w:sz="4" w:space="0"/>
              <w:left w:val="single" w:color="auto" w:sz="4" w:space="0"/>
              <w:bottom w:val="single" w:color="auto" w:sz="4" w:space="0"/>
              <w:right w:val="single" w:color="auto" w:sz="4" w:space="0"/>
            </w:tcBorders>
            <w:shd w:val="clear" w:color="auto" w:fill="auto"/>
            <w:vAlign w:val="center"/>
          </w:tcPr>
          <w:p w14:paraId="67E8EA5B">
            <w:pPr>
              <w:adjustRightInd/>
              <w:spacing w:line="240" w:lineRule="auto"/>
              <w:ind w:firstLine="0" w:firstLineChars="0"/>
              <w:jc w:val="center"/>
              <w:rPr>
                <w:rFonts w:ascii="Times New Roman" w:hAnsi="Times New Roman" w:eastAsia="仿宋" w:cs="Times New Roman"/>
                <w:sz w:val="28"/>
                <w:szCs w:val="28"/>
                <w14:ligatures w14:val="none"/>
              </w:rPr>
            </w:pPr>
            <w:r>
              <w:rPr>
                <w:rFonts w:ascii="Times New Roman" w:hAnsi="Times New Roman" w:eastAsia="仿宋" w:cs="Times New Roman"/>
                <w:sz w:val="28"/>
                <w:szCs w:val="28"/>
                <w14:ligatures w14:val="none"/>
              </w:rPr>
              <w:t>国家自然灾害防治研究院</w:t>
            </w:r>
          </w:p>
        </w:tc>
        <w:tc>
          <w:tcPr>
            <w:tcW w:w="1843" w:type="dxa"/>
            <w:vMerge w:val="restart"/>
            <w:tcBorders>
              <w:top w:val="single" w:color="auto" w:sz="4" w:space="0"/>
              <w:left w:val="single" w:color="auto" w:sz="4" w:space="0"/>
              <w:right w:val="single" w:color="auto" w:sz="4" w:space="0"/>
            </w:tcBorders>
            <w:shd w:val="clear" w:color="auto" w:fill="auto"/>
            <w:vAlign w:val="center"/>
          </w:tcPr>
          <w:p w14:paraId="15A6299C">
            <w:pPr>
              <w:adjustRightInd/>
              <w:spacing w:line="440" w:lineRule="exact"/>
              <w:ind w:firstLine="0" w:firstLineChars="0"/>
              <w:rPr>
                <w:rFonts w:ascii="Times New Roman" w:hAnsi="Times New Roman" w:eastAsia="仿宋" w:cs="Times New Roman"/>
                <w:sz w:val="28"/>
                <w:szCs w:val="28"/>
                <w14:ligatures w14:val="none"/>
              </w:rPr>
            </w:pPr>
            <w:r>
              <w:rPr>
                <w:rFonts w:ascii="Times New Roman" w:hAnsi="Times New Roman" w:eastAsia="仿宋" w:cs="Times New Roman"/>
                <w:sz w:val="28"/>
                <w:szCs w:val="28"/>
                <w14:ligatures w14:val="none"/>
              </w:rPr>
              <w:t>技术支撑、调研、技术指标确定、参与内容的撰写等。</w:t>
            </w:r>
          </w:p>
        </w:tc>
      </w:tr>
      <w:tr w14:paraId="66C584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0" w:hRule="atLeast"/>
        </w:trPr>
        <w:tc>
          <w:tcPr>
            <w:tcW w:w="1143" w:type="dxa"/>
            <w:tcBorders>
              <w:top w:val="single" w:color="auto" w:sz="4" w:space="0"/>
              <w:left w:val="single" w:color="auto" w:sz="4" w:space="0"/>
              <w:bottom w:val="single" w:color="auto" w:sz="4" w:space="0"/>
              <w:right w:val="single" w:color="auto" w:sz="4" w:space="0"/>
            </w:tcBorders>
            <w:shd w:val="clear" w:color="auto" w:fill="auto"/>
            <w:vAlign w:val="center"/>
          </w:tcPr>
          <w:p w14:paraId="2436F72A">
            <w:pPr>
              <w:adjustRightInd/>
              <w:spacing w:line="240" w:lineRule="auto"/>
              <w:ind w:firstLine="0" w:firstLineChars="0"/>
              <w:jc w:val="center"/>
              <w:rPr>
                <w:rFonts w:ascii="Times New Roman" w:hAnsi="Times New Roman" w:eastAsia="仿宋" w:cs="Times New Roman"/>
                <w:sz w:val="28"/>
                <w:szCs w:val="28"/>
                <w14:ligatures w14:val="none"/>
              </w:rPr>
            </w:pPr>
            <w:r>
              <w:rPr>
                <w:rFonts w:ascii="Times New Roman" w:hAnsi="Times New Roman" w:eastAsia="仿宋" w:cs="Times New Roman"/>
                <w:sz w:val="28"/>
                <w:szCs w:val="28"/>
                <w14:ligatures w14:val="none"/>
              </w:rPr>
              <w:t>吴泽鹏</w:t>
            </w:r>
          </w:p>
        </w:tc>
        <w:tc>
          <w:tcPr>
            <w:tcW w:w="853" w:type="dxa"/>
            <w:tcBorders>
              <w:top w:val="single" w:color="auto" w:sz="4" w:space="0"/>
              <w:left w:val="single" w:color="auto" w:sz="4" w:space="0"/>
              <w:bottom w:val="single" w:color="auto" w:sz="4" w:space="0"/>
              <w:right w:val="single" w:color="auto" w:sz="4" w:space="0"/>
            </w:tcBorders>
            <w:shd w:val="clear" w:color="auto" w:fill="auto"/>
            <w:vAlign w:val="center"/>
          </w:tcPr>
          <w:p w14:paraId="0E030B01">
            <w:pPr>
              <w:adjustRightInd/>
              <w:spacing w:line="240" w:lineRule="auto"/>
              <w:ind w:firstLine="0" w:firstLineChars="0"/>
              <w:jc w:val="center"/>
              <w:rPr>
                <w:rFonts w:ascii="Times New Roman" w:hAnsi="Times New Roman" w:eastAsia="仿宋" w:cs="Times New Roman"/>
                <w:sz w:val="28"/>
                <w:szCs w:val="28"/>
                <w14:ligatures w14:val="none"/>
              </w:rPr>
            </w:pPr>
            <w:r>
              <w:rPr>
                <w:rFonts w:ascii="Times New Roman" w:hAnsi="Times New Roman" w:eastAsia="仿宋" w:cs="Times New Roman"/>
                <w:sz w:val="28"/>
                <w:szCs w:val="28"/>
                <w14:ligatures w14:val="none"/>
              </w:rPr>
              <w:t>男</w:t>
            </w:r>
          </w:p>
        </w:tc>
        <w:tc>
          <w:tcPr>
            <w:tcW w:w="1701" w:type="dxa"/>
            <w:tcBorders>
              <w:top w:val="single" w:color="auto" w:sz="4" w:space="0"/>
              <w:left w:val="single" w:color="auto" w:sz="4" w:space="0"/>
              <w:bottom w:val="single" w:color="auto" w:sz="4" w:space="0"/>
              <w:right w:val="single" w:color="auto" w:sz="4" w:space="0"/>
            </w:tcBorders>
            <w:shd w:val="clear" w:color="auto" w:fill="auto"/>
            <w:vAlign w:val="center"/>
          </w:tcPr>
          <w:p w14:paraId="48157444">
            <w:pPr>
              <w:adjustRightInd/>
              <w:spacing w:line="440" w:lineRule="exact"/>
              <w:ind w:firstLine="0" w:firstLineChars="0"/>
              <w:jc w:val="center"/>
              <w:rPr>
                <w:rFonts w:ascii="Times New Roman" w:hAnsi="Times New Roman" w:eastAsia="仿宋" w:cs="Times New Roman"/>
                <w:sz w:val="28"/>
                <w:szCs w:val="28"/>
                <w14:ligatures w14:val="none"/>
              </w:rPr>
            </w:pPr>
            <w:r>
              <w:rPr>
                <w:rFonts w:ascii="Times New Roman" w:hAnsi="Times New Roman" w:eastAsia="仿宋" w:cs="Times New Roman"/>
                <w:sz w:val="28"/>
                <w:szCs w:val="28"/>
                <w14:ligatures w14:val="none"/>
              </w:rPr>
              <w:t>教授级高工</w:t>
            </w:r>
          </w:p>
        </w:tc>
        <w:tc>
          <w:tcPr>
            <w:tcW w:w="3386" w:type="dxa"/>
            <w:tcBorders>
              <w:top w:val="single" w:color="auto" w:sz="4" w:space="0"/>
              <w:left w:val="single" w:color="auto" w:sz="4" w:space="0"/>
              <w:bottom w:val="single" w:color="auto" w:sz="4" w:space="0"/>
              <w:right w:val="single" w:color="auto" w:sz="4" w:space="0"/>
            </w:tcBorders>
            <w:shd w:val="clear" w:color="auto" w:fill="auto"/>
            <w:vAlign w:val="center"/>
          </w:tcPr>
          <w:p w14:paraId="197B77D9">
            <w:pPr>
              <w:adjustRightInd/>
              <w:spacing w:line="240" w:lineRule="auto"/>
              <w:ind w:firstLine="0" w:firstLineChars="0"/>
              <w:jc w:val="center"/>
              <w:rPr>
                <w:rFonts w:ascii="Times New Roman" w:hAnsi="Times New Roman" w:eastAsia="仿宋" w:cs="Times New Roman"/>
                <w:sz w:val="28"/>
                <w:szCs w:val="28"/>
                <w14:ligatures w14:val="none"/>
              </w:rPr>
            </w:pPr>
            <w:r>
              <w:rPr>
                <w:rFonts w:ascii="Times New Roman" w:hAnsi="Times New Roman" w:eastAsia="仿宋" w:cs="Times New Roman"/>
                <w:sz w:val="28"/>
                <w:szCs w:val="28"/>
                <w14:ligatures w14:val="none"/>
              </w:rPr>
              <w:t>广东省林业科学研究院</w:t>
            </w:r>
          </w:p>
        </w:tc>
        <w:tc>
          <w:tcPr>
            <w:tcW w:w="1843" w:type="dxa"/>
            <w:vMerge w:val="continue"/>
            <w:tcBorders>
              <w:left w:val="single" w:color="auto" w:sz="4" w:space="0"/>
              <w:right w:val="single" w:color="auto" w:sz="4" w:space="0"/>
            </w:tcBorders>
            <w:shd w:val="clear" w:color="auto" w:fill="auto"/>
            <w:vAlign w:val="center"/>
          </w:tcPr>
          <w:p w14:paraId="12F8A9F0">
            <w:pPr>
              <w:adjustRightInd/>
              <w:spacing w:line="440" w:lineRule="exact"/>
              <w:ind w:firstLine="560" w:firstLineChars="200"/>
              <w:jc w:val="center"/>
              <w:rPr>
                <w:rFonts w:ascii="Times New Roman" w:hAnsi="Times New Roman" w:eastAsia="仿宋" w:cs="Times New Roman"/>
                <w:sz w:val="28"/>
                <w:szCs w:val="28"/>
                <w14:ligatures w14:val="none"/>
              </w:rPr>
            </w:pPr>
          </w:p>
        </w:tc>
      </w:tr>
      <w:tr w14:paraId="10FD18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43" w:hRule="atLeast"/>
        </w:trPr>
        <w:tc>
          <w:tcPr>
            <w:tcW w:w="1143" w:type="dxa"/>
            <w:tcBorders>
              <w:top w:val="single" w:color="auto" w:sz="4" w:space="0"/>
              <w:left w:val="single" w:color="auto" w:sz="4" w:space="0"/>
              <w:bottom w:val="single" w:color="auto" w:sz="4" w:space="0"/>
              <w:right w:val="single" w:color="auto" w:sz="4" w:space="0"/>
            </w:tcBorders>
            <w:shd w:val="clear" w:color="auto" w:fill="auto"/>
            <w:vAlign w:val="center"/>
          </w:tcPr>
          <w:p w14:paraId="496F5316">
            <w:pPr>
              <w:adjustRightInd/>
              <w:spacing w:line="240" w:lineRule="auto"/>
              <w:ind w:firstLine="0" w:firstLineChars="0"/>
              <w:jc w:val="center"/>
              <w:rPr>
                <w:rFonts w:ascii="Times New Roman" w:hAnsi="Times New Roman" w:eastAsia="仿宋" w:cs="Times New Roman"/>
                <w:sz w:val="28"/>
                <w:szCs w:val="28"/>
                <w14:ligatures w14:val="none"/>
              </w:rPr>
            </w:pPr>
            <w:r>
              <w:rPr>
                <w:rFonts w:ascii="Times New Roman" w:hAnsi="Times New Roman" w:eastAsia="仿宋" w:cs="Times New Roman"/>
                <w:sz w:val="28"/>
                <w:szCs w:val="28"/>
                <w14:ligatures w14:val="none"/>
              </w:rPr>
              <w:t>刘晓东</w:t>
            </w:r>
          </w:p>
        </w:tc>
        <w:tc>
          <w:tcPr>
            <w:tcW w:w="853" w:type="dxa"/>
            <w:tcBorders>
              <w:top w:val="single" w:color="auto" w:sz="4" w:space="0"/>
              <w:left w:val="single" w:color="auto" w:sz="4" w:space="0"/>
              <w:bottom w:val="single" w:color="auto" w:sz="4" w:space="0"/>
              <w:right w:val="single" w:color="auto" w:sz="4" w:space="0"/>
            </w:tcBorders>
            <w:shd w:val="clear" w:color="auto" w:fill="auto"/>
            <w:vAlign w:val="center"/>
          </w:tcPr>
          <w:p w14:paraId="2D0FD46C">
            <w:pPr>
              <w:adjustRightInd/>
              <w:spacing w:line="240" w:lineRule="auto"/>
              <w:ind w:firstLine="0" w:firstLineChars="0"/>
              <w:jc w:val="center"/>
              <w:rPr>
                <w:rFonts w:ascii="Times New Roman" w:hAnsi="Times New Roman" w:eastAsia="仿宋" w:cs="Times New Roman"/>
                <w:sz w:val="28"/>
                <w:szCs w:val="28"/>
                <w14:ligatures w14:val="none"/>
              </w:rPr>
            </w:pPr>
            <w:r>
              <w:rPr>
                <w:rFonts w:ascii="Times New Roman" w:hAnsi="Times New Roman" w:eastAsia="仿宋" w:cs="Times New Roman"/>
                <w:sz w:val="28"/>
                <w:szCs w:val="28"/>
                <w14:ligatures w14:val="none"/>
              </w:rPr>
              <w:t>男</w:t>
            </w:r>
          </w:p>
        </w:tc>
        <w:tc>
          <w:tcPr>
            <w:tcW w:w="1701" w:type="dxa"/>
            <w:tcBorders>
              <w:top w:val="single" w:color="auto" w:sz="4" w:space="0"/>
              <w:left w:val="single" w:color="auto" w:sz="4" w:space="0"/>
              <w:bottom w:val="single" w:color="auto" w:sz="4" w:space="0"/>
              <w:right w:val="single" w:color="auto" w:sz="4" w:space="0"/>
            </w:tcBorders>
            <w:shd w:val="clear" w:color="auto" w:fill="auto"/>
            <w:vAlign w:val="center"/>
          </w:tcPr>
          <w:p w14:paraId="068D64D1">
            <w:pPr>
              <w:adjustRightInd/>
              <w:spacing w:line="440" w:lineRule="exact"/>
              <w:ind w:firstLine="0" w:firstLineChars="0"/>
              <w:jc w:val="center"/>
              <w:rPr>
                <w:rFonts w:ascii="Times New Roman" w:hAnsi="Times New Roman" w:eastAsia="仿宋" w:cs="Times New Roman"/>
                <w:sz w:val="28"/>
                <w:szCs w:val="28"/>
                <w14:ligatures w14:val="none"/>
              </w:rPr>
            </w:pPr>
            <w:r>
              <w:rPr>
                <w:rFonts w:ascii="Times New Roman" w:hAnsi="Times New Roman" w:eastAsia="仿宋" w:cs="Times New Roman"/>
                <w:sz w:val="28"/>
                <w:szCs w:val="28"/>
                <w14:ligatures w14:val="none"/>
              </w:rPr>
              <w:t>教授</w:t>
            </w:r>
          </w:p>
        </w:tc>
        <w:tc>
          <w:tcPr>
            <w:tcW w:w="3386" w:type="dxa"/>
            <w:tcBorders>
              <w:top w:val="single" w:color="auto" w:sz="4" w:space="0"/>
              <w:left w:val="single" w:color="auto" w:sz="4" w:space="0"/>
              <w:bottom w:val="single" w:color="auto" w:sz="4" w:space="0"/>
              <w:right w:val="single" w:color="auto" w:sz="4" w:space="0"/>
            </w:tcBorders>
            <w:shd w:val="clear" w:color="auto" w:fill="auto"/>
            <w:vAlign w:val="center"/>
          </w:tcPr>
          <w:p w14:paraId="4D8B88CC">
            <w:pPr>
              <w:adjustRightInd/>
              <w:spacing w:line="240" w:lineRule="auto"/>
              <w:ind w:firstLine="0" w:firstLineChars="0"/>
              <w:jc w:val="center"/>
              <w:rPr>
                <w:rFonts w:ascii="Times New Roman" w:hAnsi="Times New Roman" w:eastAsia="仿宋" w:cs="Times New Roman"/>
                <w:sz w:val="28"/>
                <w:szCs w:val="28"/>
                <w14:ligatures w14:val="none"/>
              </w:rPr>
            </w:pPr>
            <w:r>
              <w:rPr>
                <w:rFonts w:ascii="Times New Roman" w:hAnsi="Times New Roman" w:eastAsia="仿宋" w:cs="Times New Roman"/>
                <w:sz w:val="28"/>
                <w:szCs w:val="28"/>
                <w14:ligatures w14:val="none"/>
              </w:rPr>
              <w:t>北京林业大学生态与自然保护学院</w:t>
            </w:r>
          </w:p>
        </w:tc>
        <w:tc>
          <w:tcPr>
            <w:tcW w:w="1843" w:type="dxa"/>
            <w:vMerge w:val="continue"/>
            <w:tcBorders>
              <w:left w:val="single" w:color="auto" w:sz="4" w:space="0"/>
              <w:right w:val="single" w:color="auto" w:sz="4" w:space="0"/>
            </w:tcBorders>
            <w:shd w:val="clear" w:color="auto" w:fill="auto"/>
            <w:vAlign w:val="center"/>
          </w:tcPr>
          <w:p w14:paraId="2772CD7C">
            <w:pPr>
              <w:adjustRightInd/>
              <w:spacing w:line="440" w:lineRule="exact"/>
              <w:ind w:firstLine="0" w:firstLineChars="0"/>
              <w:jc w:val="center"/>
              <w:rPr>
                <w:rFonts w:ascii="Times New Roman" w:hAnsi="Times New Roman" w:eastAsia="仿宋" w:cs="Times New Roman"/>
                <w:sz w:val="28"/>
                <w:szCs w:val="28"/>
                <w14:ligatures w14:val="none"/>
              </w:rPr>
            </w:pPr>
          </w:p>
        </w:tc>
      </w:tr>
      <w:tr w14:paraId="7C8462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20" w:hRule="atLeast"/>
        </w:trPr>
        <w:tc>
          <w:tcPr>
            <w:tcW w:w="1143" w:type="dxa"/>
            <w:tcBorders>
              <w:top w:val="single" w:color="auto" w:sz="4" w:space="0"/>
              <w:left w:val="single" w:color="auto" w:sz="4" w:space="0"/>
              <w:bottom w:val="single" w:color="auto" w:sz="4" w:space="0"/>
              <w:right w:val="single" w:color="auto" w:sz="4" w:space="0"/>
            </w:tcBorders>
            <w:shd w:val="clear" w:color="auto" w:fill="auto"/>
            <w:vAlign w:val="center"/>
          </w:tcPr>
          <w:p w14:paraId="4E3E93D1">
            <w:pPr>
              <w:adjustRightInd/>
              <w:spacing w:line="240" w:lineRule="auto"/>
              <w:ind w:firstLine="0" w:firstLineChars="0"/>
              <w:jc w:val="center"/>
              <w:rPr>
                <w:rFonts w:ascii="Times New Roman" w:hAnsi="Times New Roman" w:eastAsia="仿宋" w:cs="Times New Roman"/>
                <w:sz w:val="28"/>
                <w:szCs w:val="28"/>
                <w14:ligatures w14:val="none"/>
              </w:rPr>
            </w:pPr>
            <w:r>
              <w:rPr>
                <w:rFonts w:ascii="Times New Roman" w:hAnsi="Times New Roman" w:eastAsia="仿宋" w:cs="Times New Roman"/>
                <w:sz w:val="28"/>
                <w:szCs w:val="28"/>
                <w14:ligatures w14:val="none"/>
              </w:rPr>
              <w:t>孙忠伟</w:t>
            </w:r>
          </w:p>
        </w:tc>
        <w:tc>
          <w:tcPr>
            <w:tcW w:w="853" w:type="dxa"/>
            <w:tcBorders>
              <w:top w:val="single" w:color="auto" w:sz="4" w:space="0"/>
              <w:left w:val="single" w:color="auto" w:sz="4" w:space="0"/>
              <w:bottom w:val="single" w:color="auto" w:sz="4" w:space="0"/>
              <w:right w:val="single" w:color="auto" w:sz="4" w:space="0"/>
            </w:tcBorders>
            <w:shd w:val="clear" w:color="auto" w:fill="auto"/>
            <w:vAlign w:val="center"/>
          </w:tcPr>
          <w:p w14:paraId="6E928553">
            <w:pPr>
              <w:adjustRightInd/>
              <w:spacing w:line="240" w:lineRule="auto"/>
              <w:ind w:firstLine="0" w:firstLineChars="0"/>
              <w:jc w:val="center"/>
              <w:rPr>
                <w:rFonts w:ascii="Times New Roman" w:hAnsi="Times New Roman" w:eastAsia="仿宋" w:cs="Times New Roman"/>
                <w:sz w:val="28"/>
                <w:szCs w:val="28"/>
                <w14:ligatures w14:val="none"/>
              </w:rPr>
            </w:pPr>
            <w:r>
              <w:rPr>
                <w:rFonts w:ascii="Times New Roman" w:hAnsi="Times New Roman" w:eastAsia="仿宋" w:cs="Times New Roman"/>
                <w:sz w:val="28"/>
                <w:szCs w:val="28"/>
                <w14:ligatures w14:val="none"/>
              </w:rPr>
              <w:t>男</w:t>
            </w:r>
          </w:p>
        </w:tc>
        <w:tc>
          <w:tcPr>
            <w:tcW w:w="1701" w:type="dxa"/>
            <w:tcBorders>
              <w:top w:val="single" w:color="auto" w:sz="4" w:space="0"/>
              <w:left w:val="single" w:color="auto" w:sz="4" w:space="0"/>
              <w:bottom w:val="single" w:color="auto" w:sz="4" w:space="0"/>
              <w:right w:val="single" w:color="auto" w:sz="4" w:space="0"/>
            </w:tcBorders>
            <w:shd w:val="clear" w:color="auto" w:fill="auto"/>
            <w:vAlign w:val="center"/>
          </w:tcPr>
          <w:p w14:paraId="7A144C9E">
            <w:pPr>
              <w:adjustRightInd/>
              <w:spacing w:line="440" w:lineRule="exact"/>
              <w:ind w:firstLine="0" w:firstLineChars="0"/>
              <w:jc w:val="center"/>
              <w:rPr>
                <w:rFonts w:ascii="Times New Roman" w:hAnsi="Times New Roman" w:eastAsia="仿宋" w:cs="Times New Roman"/>
                <w:sz w:val="28"/>
                <w:szCs w:val="28"/>
                <w14:ligatures w14:val="none"/>
              </w:rPr>
            </w:pPr>
            <w:r>
              <w:rPr>
                <w:rFonts w:ascii="Times New Roman" w:hAnsi="Times New Roman" w:eastAsia="仿宋" w:cs="Times New Roman"/>
                <w:sz w:val="28"/>
                <w:szCs w:val="28"/>
                <w14:ligatures w14:val="none"/>
              </w:rPr>
              <w:t>大队长</w:t>
            </w:r>
          </w:p>
        </w:tc>
        <w:tc>
          <w:tcPr>
            <w:tcW w:w="3386" w:type="dxa"/>
            <w:tcBorders>
              <w:top w:val="single" w:color="auto" w:sz="4" w:space="0"/>
              <w:left w:val="single" w:color="auto" w:sz="4" w:space="0"/>
              <w:bottom w:val="single" w:color="auto" w:sz="4" w:space="0"/>
              <w:right w:val="single" w:color="auto" w:sz="4" w:space="0"/>
            </w:tcBorders>
            <w:shd w:val="clear" w:color="auto" w:fill="auto"/>
            <w:vAlign w:val="center"/>
          </w:tcPr>
          <w:p w14:paraId="19CC87CA">
            <w:pPr>
              <w:adjustRightInd/>
              <w:spacing w:line="240" w:lineRule="auto"/>
              <w:ind w:firstLine="0" w:firstLineChars="0"/>
              <w:jc w:val="center"/>
              <w:rPr>
                <w:rFonts w:ascii="Times New Roman" w:hAnsi="Times New Roman" w:eastAsia="仿宋" w:cs="Times New Roman"/>
                <w:sz w:val="28"/>
                <w:szCs w:val="28"/>
                <w14:ligatures w14:val="none"/>
              </w:rPr>
            </w:pPr>
            <w:r>
              <w:rPr>
                <w:rFonts w:ascii="Times New Roman" w:hAnsi="Times New Roman" w:eastAsia="仿宋" w:cs="Times New Roman"/>
                <w:sz w:val="28"/>
                <w:szCs w:val="28"/>
                <w14:ligatures w14:val="none"/>
              </w:rPr>
              <w:t>北京市昌平区森林消防综合应急救援大队</w:t>
            </w:r>
          </w:p>
        </w:tc>
        <w:tc>
          <w:tcPr>
            <w:tcW w:w="1843" w:type="dxa"/>
            <w:vMerge w:val="continue"/>
            <w:tcBorders>
              <w:left w:val="single" w:color="auto" w:sz="4" w:space="0"/>
              <w:bottom w:val="single" w:color="auto" w:sz="4" w:space="0"/>
              <w:right w:val="single" w:color="auto" w:sz="4" w:space="0"/>
            </w:tcBorders>
            <w:shd w:val="clear" w:color="auto" w:fill="auto"/>
            <w:vAlign w:val="center"/>
          </w:tcPr>
          <w:p w14:paraId="0FDC70CD">
            <w:pPr>
              <w:adjustRightInd/>
              <w:spacing w:line="440" w:lineRule="exact"/>
              <w:ind w:firstLine="0" w:firstLineChars="0"/>
              <w:jc w:val="center"/>
              <w:rPr>
                <w:rFonts w:ascii="Times New Roman" w:hAnsi="Times New Roman" w:eastAsia="仿宋" w:cs="Times New Roman"/>
                <w:sz w:val="28"/>
                <w:szCs w:val="28"/>
                <w14:ligatures w14:val="none"/>
              </w:rPr>
            </w:pPr>
          </w:p>
        </w:tc>
      </w:tr>
    </w:tbl>
    <w:p w14:paraId="073F8DC5">
      <w:pPr>
        <w:adjustRightInd/>
        <w:spacing w:line="600" w:lineRule="exact"/>
        <w:ind w:firstLine="640" w:firstLineChars="200"/>
        <w:rPr>
          <w:rFonts w:ascii="Times New Roman" w:hAnsi="Times New Roman" w:eastAsia="方正楷体_GBK" w:cs="Times New Roman"/>
          <w:sz w:val="32"/>
          <w:szCs w:val="22"/>
          <w14:ligatures w14:val="standardContextual"/>
        </w:rPr>
      </w:pPr>
      <w:r>
        <w:rPr>
          <w:rFonts w:ascii="Times New Roman" w:hAnsi="Times New Roman" w:eastAsia="方正楷体_GBK" w:cs="Times New Roman"/>
          <w:sz w:val="32"/>
          <w:szCs w:val="22"/>
          <w14:ligatures w14:val="standardContextual"/>
        </w:rPr>
        <w:t>（四）主要起草过程</w:t>
      </w:r>
    </w:p>
    <w:p w14:paraId="0B880093">
      <w:pPr>
        <w:adjustRightInd/>
        <w:spacing w:line="600" w:lineRule="exact"/>
        <w:ind w:firstLine="643" w:firstLineChars="200"/>
        <w:rPr>
          <w:rFonts w:ascii="Times New Roman" w:hAnsi="Times New Roman" w:eastAsia="方正仿宋_GBK" w:cs="Times New Roman"/>
          <w:b/>
          <w:bCs/>
          <w:sz w:val="32"/>
          <w:szCs w:val="22"/>
          <w14:ligatures w14:val="standardContextual"/>
        </w:rPr>
      </w:pPr>
      <w:r>
        <w:rPr>
          <w:rFonts w:ascii="Times New Roman" w:hAnsi="Times New Roman" w:eastAsia="方正仿宋_GBK" w:cs="Times New Roman"/>
          <w:b/>
          <w:bCs/>
          <w:sz w:val="32"/>
          <w:szCs w:val="22"/>
          <w14:ligatures w14:val="standardContextual"/>
        </w:rPr>
        <w:t>1.预研论证</w:t>
      </w:r>
    </w:p>
    <w:p w14:paraId="36F900A3">
      <w:pPr>
        <w:adjustRightInd/>
        <w:spacing w:line="600" w:lineRule="exact"/>
        <w:ind w:firstLine="640" w:firstLineChars="200"/>
        <w:rPr>
          <w:rFonts w:ascii="Times New Roman" w:hAnsi="Times New Roman" w:eastAsia="方正仿宋_GBK" w:cs="Times New Roman"/>
          <w:sz w:val="32"/>
          <w:szCs w:val="22"/>
          <w14:ligatures w14:val="standardContextual"/>
        </w:rPr>
      </w:pPr>
      <w:r>
        <w:rPr>
          <w:rFonts w:ascii="Times New Roman" w:hAnsi="Times New Roman" w:eastAsia="方正仿宋_GBK" w:cs="Times New Roman"/>
          <w:sz w:val="32"/>
          <w:szCs w:val="22"/>
          <w14:ligatures w14:val="standardContextual"/>
        </w:rPr>
        <w:t>60号文明确“要加强指挥员队伍建设，研究建立持证上岗制度，完善考核评估制度，实行国家负责省市两级、省级负责县级和基层的指挥员培训机制”，制定本标准是落实和推进相关工作的前提。同年12月，</w:t>
      </w:r>
      <w:bookmarkStart w:id="367" w:name="_Hlk202035687"/>
      <w:r>
        <w:rPr>
          <w:rFonts w:ascii="Times New Roman" w:hAnsi="Times New Roman" w:eastAsia="方正仿宋_GBK" w:cs="Times New Roman"/>
          <w:sz w:val="32"/>
          <w:szCs w:val="22"/>
          <w14:ligatures w14:val="standardContextual"/>
        </w:rPr>
        <w:t>部监测防火司</w:t>
      </w:r>
      <w:bookmarkEnd w:id="367"/>
      <w:r>
        <w:rPr>
          <w:rFonts w:ascii="Times New Roman" w:hAnsi="Times New Roman" w:eastAsia="方正仿宋_GBK" w:cs="Times New Roman"/>
          <w:sz w:val="32"/>
          <w:szCs w:val="22"/>
          <w14:ligatures w14:val="standardContextual"/>
        </w:rPr>
        <w:t xml:space="preserve">委托学院组建专班，就文件必要性、可行性、基本框架等进行先期论证，暂定标准名称为《森林草原消防指挥员考核认定规范》。 </w:t>
      </w:r>
    </w:p>
    <w:p w14:paraId="4A0C36EA">
      <w:pPr>
        <w:adjustRightInd/>
        <w:spacing w:line="600" w:lineRule="exact"/>
        <w:ind w:firstLine="643" w:firstLineChars="200"/>
        <w:rPr>
          <w:rFonts w:ascii="Times New Roman" w:hAnsi="Times New Roman" w:eastAsia="方正仿宋_GBK" w:cs="Times New Roman"/>
          <w:b/>
          <w:bCs/>
          <w:sz w:val="32"/>
          <w:szCs w:val="22"/>
          <w14:ligatures w14:val="standardContextual"/>
        </w:rPr>
      </w:pPr>
      <w:r>
        <w:rPr>
          <w:rFonts w:ascii="Times New Roman" w:hAnsi="Times New Roman" w:eastAsia="方正仿宋_GBK" w:cs="Times New Roman"/>
          <w:b/>
          <w:bCs/>
          <w:sz w:val="32"/>
          <w:szCs w:val="22"/>
          <w14:ligatures w14:val="standardContextual"/>
        </w:rPr>
        <w:t>2.立项准备</w:t>
      </w:r>
    </w:p>
    <w:p w14:paraId="6ED404E1">
      <w:pPr>
        <w:adjustRightInd/>
        <w:spacing w:line="600" w:lineRule="exact"/>
        <w:ind w:firstLine="640" w:firstLineChars="200"/>
        <w:rPr>
          <w:rFonts w:ascii="Times New Roman" w:hAnsi="Times New Roman" w:eastAsia="方正仿宋_GBK" w:cs="Times New Roman"/>
          <w:sz w:val="32"/>
          <w:szCs w:val="22"/>
          <w14:ligatures w14:val="standardContextual"/>
        </w:rPr>
      </w:pPr>
      <w:r>
        <w:rPr>
          <w:rFonts w:ascii="Times New Roman" w:hAnsi="Times New Roman" w:eastAsia="方正仿宋_GBK" w:cs="Times New Roman"/>
          <w:sz w:val="32"/>
          <w:szCs w:val="22"/>
          <w14:ligatures w14:val="standardContextual"/>
        </w:rPr>
        <w:t>2024年1月25日，中国消防救援学院代表起草工作小组，参加部监测防火司标准工作推进会，汇报预研情况及编写实施方案，参加消防标准化管理相关政策制度培训。27日，学院组织内部专家及起草人员对起草实施方案、核心技术要素进行研究讨论，优化调整起草人员，并决定加强与其他在研的相关标准项目组沟通联系，确保标准协调一致，并于2月底形成初步草案。</w:t>
      </w:r>
    </w:p>
    <w:p w14:paraId="39F34CF0">
      <w:pPr>
        <w:adjustRightInd/>
        <w:spacing w:line="600" w:lineRule="exact"/>
        <w:ind w:firstLine="640" w:firstLineChars="200"/>
        <w:rPr>
          <w:rFonts w:ascii="Times New Roman" w:hAnsi="Times New Roman" w:eastAsia="方正仿宋_GBK" w:cs="Times New Roman"/>
          <w:sz w:val="32"/>
          <w:szCs w:val="22"/>
          <w14:ligatures w14:val="standardContextual"/>
        </w:rPr>
      </w:pPr>
      <w:r>
        <w:rPr>
          <w:rFonts w:ascii="Times New Roman" w:hAnsi="Times New Roman" w:eastAsia="方正仿宋_GBK" w:cs="Times New Roman"/>
          <w:sz w:val="32"/>
          <w:szCs w:val="22"/>
          <w14:ligatures w14:val="standardContextual"/>
        </w:rPr>
        <w:t>2024年3月1日，中国消防救援学院代表起草组，再次赴部监测防火司汇报标准起草情况，相关业务处室领导提出探索训考一体化的指导意见，建议考虑以推荐性国家标准进行立项。经请示司领导同意，调整标准名称为“森林消防指挥员培训大纲与考核规范”，并按照推荐性国家标准进行编制。</w:t>
      </w:r>
    </w:p>
    <w:p w14:paraId="1B5BD7DC">
      <w:pPr>
        <w:adjustRightInd/>
        <w:spacing w:line="600" w:lineRule="exact"/>
        <w:ind w:firstLine="643" w:firstLineChars="200"/>
        <w:rPr>
          <w:rFonts w:ascii="Times New Roman" w:hAnsi="Times New Roman" w:eastAsia="方正仿宋_GBK" w:cs="Times New Roman"/>
          <w:b/>
          <w:bCs/>
          <w:sz w:val="32"/>
          <w:szCs w:val="22"/>
          <w14:ligatures w14:val="standardContextual"/>
        </w:rPr>
      </w:pPr>
      <w:r>
        <w:rPr>
          <w:rFonts w:ascii="Times New Roman" w:hAnsi="Times New Roman" w:eastAsia="方正仿宋_GBK" w:cs="Times New Roman"/>
          <w:b/>
          <w:bCs/>
          <w:sz w:val="32"/>
          <w:szCs w:val="22"/>
          <w14:ligatures w14:val="standardContextual"/>
        </w:rPr>
        <w:t>3.立项评审</w:t>
      </w:r>
    </w:p>
    <w:p w14:paraId="24F4C61E">
      <w:pPr>
        <w:adjustRightInd/>
        <w:spacing w:line="600" w:lineRule="exact"/>
        <w:ind w:firstLine="640" w:firstLineChars="200"/>
        <w:rPr>
          <w:rFonts w:ascii="Times New Roman" w:hAnsi="Times New Roman" w:eastAsia="方正仿宋_GBK" w:cs="Times New Roman"/>
          <w:sz w:val="32"/>
          <w:szCs w:val="22"/>
          <w14:ligatures w14:val="standardContextual"/>
        </w:rPr>
      </w:pPr>
      <w:r>
        <w:rPr>
          <w:rFonts w:ascii="Times New Roman" w:hAnsi="Times New Roman" w:eastAsia="方正仿宋_GBK" w:cs="Times New Roman"/>
          <w:sz w:val="32"/>
          <w:szCs w:val="22"/>
          <w14:ligatures w14:val="standardContextual"/>
        </w:rPr>
        <w:t>2024年4月28日，部监测防火司组织召开2024年森林草原消防标准立项评审会，与会专家对标准立项建议书、标准草案、预研报告、项目申报书等材料进行审阅和讨论后，同意按照推荐性国家标准立项并提出修改意见，6月18日完成草案修改并提交立项材料。</w:t>
      </w:r>
    </w:p>
    <w:p w14:paraId="0CD687BA">
      <w:pPr>
        <w:adjustRightInd/>
        <w:spacing w:line="600" w:lineRule="exact"/>
        <w:ind w:firstLine="643" w:firstLineChars="200"/>
        <w:rPr>
          <w:rFonts w:ascii="Times New Roman" w:hAnsi="Times New Roman" w:eastAsia="方正仿宋_GBK" w:cs="Times New Roman"/>
          <w:b/>
          <w:bCs/>
          <w:sz w:val="32"/>
          <w:szCs w:val="22"/>
          <w14:ligatures w14:val="standardContextual"/>
        </w:rPr>
      </w:pPr>
      <w:bookmarkStart w:id="368" w:name="_Hlk202174804"/>
      <w:r>
        <w:rPr>
          <w:rFonts w:ascii="Times New Roman" w:hAnsi="Times New Roman" w:eastAsia="方正仿宋_GBK" w:cs="Times New Roman"/>
          <w:b/>
          <w:bCs/>
          <w:sz w:val="32"/>
          <w:szCs w:val="22"/>
          <w14:ligatures w14:val="standardContextual"/>
        </w:rPr>
        <w:t>4.立项批复</w:t>
      </w:r>
    </w:p>
    <w:p w14:paraId="3F1E91A7">
      <w:pPr>
        <w:adjustRightInd/>
        <w:spacing w:line="600" w:lineRule="exact"/>
        <w:ind w:firstLine="640" w:firstLineChars="200"/>
        <w:rPr>
          <w:rFonts w:ascii="Times New Roman" w:hAnsi="Times New Roman" w:eastAsia="方正仿宋_GBK" w:cs="Times New Roman"/>
          <w:sz w:val="32"/>
          <w:szCs w:val="22"/>
          <w14:ligatures w14:val="standardContextual"/>
        </w:rPr>
      </w:pPr>
      <w:r>
        <w:rPr>
          <w:rFonts w:ascii="Times New Roman" w:hAnsi="Times New Roman" w:eastAsia="方正仿宋_GBK" w:cs="Times New Roman"/>
          <w:sz w:val="32"/>
          <w:szCs w:val="22"/>
          <w14:ligatures w14:val="standardContextual"/>
        </w:rPr>
        <w:t>2024年9月2日，经部领导同意，部办公厅《34项行业标准制修订计划的通知》要求，决定以推荐性行业标准立项，要求按照《应急管理标准化工作管理办法》开展工作，并正式命名为“森林草原火灾扑火指挥员培训大纲与考核规范”（计划号2024-YJ-04），由全国应急管理与减灾救灾标准化技术委员会（SAC/TC307）归口。编写组持续对草案进行修改完善。</w:t>
      </w:r>
    </w:p>
    <w:p w14:paraId="6DFF2D33">
      <w:pPr>
        <w:adjustRightInd/>
        <w:spacing w:line="600" w:lineRule="exact"/>
        <w:ind w:firstLine="643" w:firstLineChars="200"/>
        <w:rPr>
          <w:rFonts w:ascii="Times New Roman" w:hAnsi="Times New Roman" w:eastAsia="方正仿宋_GBK" w:cs="Times New Roman"/>
          <w:b/>
          <w:bCs/>
          <w:sz w:val="32"/>
          <w:szCs w:val="22"/>
          <w14:ligatures w14:val="standardContextual"/>
        </w:rPr>
      </w:pPr>
      <w:r>
        <w:rPr>
          <w:rFonts w:ascii="Times New Roman" w:hAnsi="Times New Roman" w:eastAsia="方正仿宋_GBK" w:cs="Times New Roman"/>
          <w:b/>
          <w:bCs/>
          <w:sz w:val="32"/>
          <w:szCs w:val="22"/>
          <w14:ligatures w14:val="standardContextual"/>
        </w:rPr>
        <w:t>5.项目启动</w:t>
      </w:r>
    </w:p>
    <w:p w14:paraId="3849163D">
      <w:pPr>
        <w:adjustRightInd/>
        <w:spacing w:line="600" w:lineRule="exact"/>
        <w:ind w:firstLine="640" w:firstLineChars="200"/>
        <w:rPr>
          <w:rFonts w:ascii="Times New Roman" w:hAnsi="Times New Roman" w:eastAsia="方正仿宋_GBK" w:cs="Times New Roman"/>
          <w:sz w:val="32"/>
          <w:szCs w:val="22"/>
          <w14:ligatures w14:val="standardContextual"/>
        </w:rPr>
      </w:pPr>
      <w:r>
        <w:rPr>
          <w:rFonts w:ascii="Times New Roman" w:hAnsi="Times New Roman" w:eastAsia="方正仿宋_GBK" w:cs="Times New Roman"/>
          <w:sz w:val="32"/>
          <w:szCs w:val="22"/>
          <w14:ligatures w14:val="standardContextual"/>
        </w:rPr>
        <w:t>2024年10—11月，由于原部分参编单位人事变动，根据编制工作需要，经标委会同意，参编单位最终确定为国家自然灾害防治研究院、广东省林业科学研究院、北京林业大学以及北京市昌平区森林消防综合应急救援大队。12月6日，在中国消防救援学院组织召开项目启动会，应急管理部国家减灾中心研究员陈厦等5名专家出席会议</w:t>
      </w:r>
      <w:r>
        <w:rPr>
          <w:rFonts w:hint="eastAsia" w:ascii="Times New Roman" w:hAnsi="Times New Roman" w:eastAsia="方正仿宋_GBK" w:cs="Times New Roman"/>
          <w:sz w:val="32"/>
          <w:szCs w:val="22"/>
          <w14:ligatures w14:val="standardContextual"/>
        </w:rPr>
        <w:t>，</w:t>
      </w:r>
      <w:r>
        <w:rPr>
          <w:rFonts w:ascii="Times New Roman" w:hAnsi="Times New Roman" w:eastAsia="方正仿宋_GBK" w:cs="Times New Roman"/>
          <w:sz w:val="32"/>
          <w:szCs w:val="22"/>
          <w14:ligatures w14:val="standardContextual"/>
        </w:rPr>
        <w:t>听取了编写组先期工作情况汇报，质询和讨论了标准草案，并提出修改意见。</w:t>
      </w:r>
    </w:p>
    <w:p w14:paraId="211287D8">
      <w:pPr>
        <w:adjustRightInd/>
        <w:spacing w:line="600" w:lineRule="exact"/>
        <w:ind w:firstLine="643" w:firstLineChars="200"/>
        <w:rPr>
          <w:rFonts w:ascii="Times New Roman" w:hAnsi="Times New Roman" w:eastAsia="方正仿宋_GBK" w:cs="Times New Roman"/>
          <w:b/>
          <w:bCs/>
          <w:sz w:val="32"/>
          <w:szCs w:val="22"/>
          <w14:ligatures w14:val="standardContextual"/>
        </w:rPr>
      </w:pPr>
      <w:r>
        <w:rPr>
          <w:rFonts w:ascii="Times New Roman" w:hAnsi="Times New Roman" w:eastAsia="方正仿宋_GBK" w:cs="Times New Roman"/>
          <w:b/>
          <w:bCs/>
          <w:sz w:val="32"/>
          <w:szCs w:val="22"/>
          <w14:ligatures w14:val="standardContextual"/>
        </w:rPr>
        <w:t>6.项目实施</w:t>
      </w:r>
    </w:p>
    <w:p w14:paraId="6F17B3CA">
      <w:pPr>
        <w:adjustRightInd/>
        <w:spacing w:line="600" w:lineRule="exact"/>
        <w:ind w:firstLine="640" w:firstLineChars="200"/>
        <w:rPr>
          <w:rFonts w:ascii="Times New Roman" w:hAnsi="Times New Roman" w:eastAsia="方正仿宋_GBK" w:cs="Times New Roman"/>
          <w:sz w:val="32"/>
          <w:szCs w:val="22"/>
          <w14:ligatures w14:val="standardContextual"/>
        </w:rPr>
      </w:pPr>
      <w:r>
        <w:rPr>
          <w:rFonts w:ascii="Times New Roman" w:hAnsi="Times New Roman" w:eastAsia="方正仿宋_GBK" w:cs="Times New Roman"/>
          <w:sz w:val="32"/>
          <w:szCs w:val="22"/>
          <w14:ligatures w14:val="standardContextual"/>
        </w:rPr>
        <w:t>2024年12月—2025年1月，编写组完成</w:t>
      </w:r>
      <w:r>
        <w:rPr>
          <w:rFonts w:hint="eastAsia" w:ascii="Times New Roman" w:hAnsi="Times New Roman" w:eastAsia="方正仿宋_GBK" w:cs="Times New Roman"/>
          <w:sz w:val="32"/>
          <w:szCs w:val="22"/>
          <w14:ligatures w14:val="standardContextual"/>
        </w:rPr>
        <w:t>意见</w:t>
      </w:r>
      <w:r>
        <w:rPr>
          <w:rFonts w:ascii="Times New Roman" w:hAnsi="Times New Roman" w:eastAsia="方正仿宋_GBK" w:cs="Times New Roman"/>
          <w:sz w:val="32"/>
          <w:szCs w:val="22"/>
          <w14:ligatures w14:val="standardContextual"/>
        </w:rPr>
        <w:t>修改和反馈，再次征集意见建议35条，1月20日，牵头单位组织内部专家对意见进行研究讨论，并修改草案。</w:t>
      </w:r>
    </w:p>
    <w:p w14:paraId="64BDB688">
      <w:pPr>
        <w:adjustRightInd/>
        <w:spacing w:line="600" w:lineRule="exact"/>
        <w:ind w:firstLine="640" w:firstLineChars="200"/>
        <w:rPr>
          <w:rFonts w:ascii="Times New Roman" w:hAnsi="Times New Roman" w:eastAsia="方正仿宋_GBK" w:cs="Times New Roman"/>
          <w:sz w:val="32"/>
          <w:szCs w:val="22"/>
          <w14:ligatures w14:val="standardContextual"/>
        </w:rPr>
      </w:pPr>
      <w:r>
        <w:rPr>
          <w:rFonts w:ascii="Times New Roman" w:hAnsi="Times New Roman" w:eastAsia="方正仿宋简体" w:cs="Times New Roman"/>
          <w:sz w:val="32"/>
          <w:szCs w:val="32"/>
          <w14:ligatures w14:val="standardContextual"/>
        </w:rPr>
        <w:t>2025年3—6月，面向北京市4个代表区县、吉林省各地市、四川西昌市、江苏苏州市等10余个省（市），就标准草案开展调研。其中北京市、吉林省、及四川西昌市采取线下座谈调研，黑龙江、江苏苏州采取书面调研，湖南、内蒙古、山东、甘肃等地区采取问卷调研，共计60余人参与调研座谈、257人参加线上问卷，收回书面意见12份、现场征集意见51条，调查问卷257份，梳理形成意见建议90余条，对意见进行充分讨论后，采纳意见30条，修改形成征求意见稿初稿</w:t>
      </w:r>
      <w:r>
        <w:rPr>
          <w:rFonts w:ascii="Times New Roman" w:hAnsi="Times New Roman" w:eastAsia="方正仿宋_GBK" w:cs="Times New Roman"/>
          <w:sz w:val="32"/>
          <w:szCs w:val="22"/>
          <w14:ligatures w14:val="standardContextual"/>
        </w:rPr>
        <w:t>。7月1日，组织标准化工作及防灭火领域专家对征求意见稿</w:t>
      </w:r>
      <w:r>
        <w:rPr>
          <w:rFonts w:hint="eastAsia" w:ascii="Times New Roman" w:hAnsi="Times New Roman" w:eastAsia="方正仿宋_GBK" w:cs="Times New Roman"/>
          <w:sz w:val="32"/>
          <w:szCs w:val="22"/>
          <w14:ligatures w14:val="standardContextual"/>
        </w:rPr>
        <w:t>（</w:t>
      </w:r>
      <w:r>
        <w:rPr>
          <w:rFonts w:ascii="Times New Roman" w:hAnsi="Times New Roman" w:eastAsia="方正仿宋_GBK" w:cs="Times New Roman"/>
          <w:sz w:val="32"/>
          <w:szCs w:val="22"/>
          <w14:ligatures w14:val="standardContextual"/>
        </w:rPr>
        <w:t>初稿</w:t>
      </w:r>
      <w:r>
        <w:rPr>
          <w:rFonts w:hint="eastAsia" w:ascii="Times New Roman" w:hAnsi="Times New Roman" w:eastAsia="方正仿宋_GBK" w:cs="Times New Roman"/>
          <w:sz w:val="32"/>
          <w:szCs w:val="22"/>
          <w14:ligatures w14:val="standardContextual"/>
        </w:rPr>
        <w:t>）</w:t>
      </w:r>
      <w:r>
        <w:rPr>
          <w:rFonts w:ascii="Times New Roman" w:hAnsi="Times New Roman" w:eastAsia="方正仿宋_GBK" w:cs="Times New Roman"/>
          <w:sz w:val="32"/>
          <w:szCs w:val="22"/>
          <w14:ligatures w14:val="standardContextual"/>
        </w:rPr>
        <w:t>进行论证，提出调整标注名称为《地方森林草原火灾扑救指挥员培训与考核规范》，编写组同意采纳该意见</w:t>
      </w:r>
      <w:r>
        <w:rPr>
          <w:rFonts w:hint="eastAsia" w:ascii="Times New Roman" w:hAnsi="Times New Roman" w:eastAsia="方正仿宋_GBK" w:cs="Times New Roman"/>
          <w:sz w:val="32"/>
          <w:szCs w:val="22"/>
          <w14:ligatures w14:val="standardContextual"/>
        </w:rPr>
        <w:t>，修改形成本征求意见稿</w:t>
      </w:r>
      <w:r>
        <w:rPr>
          <w:rFonts w:ascii="Times New Roman" w:hAnsi="Times New Roman" w:eastAsia="方正仿宋_GBK" w:cs="Times New Roman"/>
          <w:sz w:val="32"/>
          <w:szCs w:val="22"/>
          <w14:ligatures w14:val="standardContextual"/>
        </w:rPr>
        <w:t>。</w:t>
      </w:r>
    </w:p>
    <w:bookmarkEnd w:id="368"/>
    <w:p w14:paraId="43DB213F">
      <w:pPr>
        <w:adjustRightInd/>
        <w:spacing w:line="600" w:lineRule="exact"/>
        <w:ind w:firstLine="640" w:firstLineChars="200"/>
        <w:rPr>
          <w:rFonts w:ascii="Times New Roman" w:hAnsi="Times New Roman" w:eastAsia="方正黑体_GBK" w:cs="Times New Roman"/>
          <w:sz w:val="32"/>
          <w:szCs w:val="22"/>
          <w14:ligatures w14:val="standardContextual"/>
        </w:rPr>
      </w:pPr>
      <w:r>
        <w:rPr>
          <w:rFonts w:ascii="Times New Roman" w:hAnsi="Times New Roman" w:eastAsia="方正黑体_GBK" w:cs="Times New Roman"/>
          <w:sz w:val="32"/>
          <w:szCs w:val="22"/>
          <w14:ligatures w14:val="standardContextual"/>
        </w:rPr>
        <w:t>二、标准编制原则、主要技术内容及确定依据</w:t>
      </w:r>
    </w:p>
    <w:p w14:paraId="2F3F915C">
      <w:pPr>
        <w:adjustRightInd/>
        <w:spacing w:line="600" w:lineRule="exact"/>
        <w:ind w:firstLine="640" w:firstLineChars="200"/>
        <w:rPr>
          <w:rFonts w:ascii="Times New Roman" w:hAnsi="Times New Roman" w:eastAsia="方正楷体_GBK" w:cs="Times New Roman"/>
          <w:sz w:val="32"/>
          <w:szCs w:val="22"/>
          <w14:ligatures w14:val="standardContextual"/>
        </w:rPr>
      </w:pPr>
      <w:bookmarkStart w:id="369" w:name="_Hlk193177984"/>
      <w:r>
        <w:rPr>
          <w:rFonts w:ascii="Times New Roman" w:hAnsi="Times New Roman" w:eastAsia="方正楷体_GBK" w:cs="Times New Roman"/>
          <w:sz w:val="32"/>
          <w:szCs w:val="22"/>
          <w14:ligatures w14:val="standardContextual"/>
        </w:rPr>
        <w:t>（一）标准编制原则</w:t>
      </w:r>
    </w:p>
    <w:p w14:paraId="193BF6E4">
      <w:pPr>
        <w:adjustRightInd/>
        <w:spacing w:line="600" w:lineRule="exact"/>
        <w:ind w:firstLine="640" w:firstLineChars="200"/>
        <w:rPr>
          <w:rFonts w:ascii="Times New Roman" w:hAnsi="Times New Roman" w:eastAsia="方正仿宋_GBK" w:cs="Times New Roman"/>
          <w:sz w:val="32"/>
          <w:szCs w:val="22"/>
          <w14:ligatures w14:val="standardContextual"/>
        </w:rPr>
      </w:pPr>
      <w:r>
        <w:rPr>
          <w:rFonts w:ascii="Times New Roman" w:hAnsi="Times New Roman" w:eastAsia="方正仿宋_GBK" w:cs="Times New Roman"/>
          <w:sz w:val="32"/>
          <w:szCs w:val="22"/>
          <w14:ligatures w14:val="standardContextual"/>
        </w:rPr>
        <w:t xml:space="preserve">指挥员是安全高效扑救森林草原火灾的第一责任人， 需系统掌握火灾扑救指挥有关知识和技能。本标准面向地方森林草原火灾扑救指挥员，对培训与考核进行全要素、全流程规范，可以为地方开展指挥员培训、考核提供依据和指导，对规范化开展指挥员培训与考核，整体提升指挥能力水平、安全高效处置火灾是非常有必要的。 </w:t>
      </w:r>
    </w:p>
    <w:p w14:paraId="465A08CE">
      <w:pPr>
        <w:adjustRightInd/>
        <w:spacing w:line="600" w:lineRule="exact"/>
        <w:ind w:firstLine="640" w:firstLineChars="200"/>
        <w:rPr>
          <w:rFonts w:ascii="Times New Roman" w:hAnsi="Times New Roman" w:eastAsia="方正仿宋_GBK" w:cs="Times New Roman"/>
          <w:sz w:val="32"/>
          <w:szCs w:val="22"/>
          <w14:ligatures w14:val="standardContextual"/>
        </w:rPr>
      </w:pPr>
      <w:r>
        <w:rPr>
          <w:rFonts w:ascii="Times New Roman" w:hAnsi="Times New Roman" w:eastAsia="方正仿宋_GBK" w:cs="Times New Roman"/>
          <w:sz w:val="32"/>
          <w:szCs w:val="22"/>
          <w14:ligatures w14:val="standardContextual"/>
        </w:rPr>
        <w:t>标准按照GB/T 1.1-2020（标准化工作导则 第一部分：标准化文件的结构和起草规则）的规定起草制定，遵循以下原则：</w:t>
      </w:r>
    </w:p>
    <w:p w14:paraId="17CFCEE0">
      <w:pPr>
        <w:adjustRightInd/>
        <w:spacing w:line="600" w:lineRule="exact"/>
        <w:ind w:firstLine="643" w:firstLineChars="200"/>
        <w:rPr>
          <w:rFonts w:ascii="Times New Roman" w:hAnsi="Times New Roman" w:eastAsia="方正仿宋_GBK" w:cs="Times New Roman"/>
          <w:b/>
          <w:bCs/>
          <w:sz w:val="32"/>
          <w:szCs w:val="22"/>
          <w14:ligatures w14:val="standardContextual"/>
        </w:rPr>
      </w:pPr>
      <w:r>
        <w:rPr>
          <w:rFonts w:ascii="Times New Roman" w:hAnsi="Times New Roman" w:eastAsia="方正仿宋_GBK" w:cs="Times New Roman"/>
          <w:b/>
          <w:bCs/>
          <w:sz w:val="32"/>
          <w:szCs w:val="22"/>
          <w14:ligatures w14:val="standardContextual"/>
        </w:rPr>
        <w:t>1.科学性原则</w:t>
      </w:r>
    </w:p>
    <w:p w14:paraId="0A12667E">
      <w:pPr>
        <w:adjustRightInd/>
        <w:spacing w:line="600" w:lineRule="exact"/>
        <w:ind w:firstLine="640" w:firstLineChars="200"/>
        <w:rPr>
          <w:rFonts w:ascii="Times New Roman" w:hAnsi="Times New Roman" w:eastAsia="方正仿宋_GBK" w:cs="Times New Roman"/>
          <w:sz w:val="32"/>
          <w:szCs w:val="22"/>
          <w14:ligatures w14:val="standardContextual"/>
        </w:rPr>
      </w:pPr>
      <w:r>
        <w:rPr>
          <w:rFonts w:ascii="Times New Roman" w:hAnsi="Times New Roman" w:eastAsia="方正仿宋_GBK" w:cs="Times New Roman"/>
          <w:sz w:val="32"/>
          <w:szCs w:val="22"/>
          <w14:ligatures w14:val="standardContextual"/>
        </w:rPr>
        <w:t>基于客观真实的调查研究数据设计标准主要技术内容。区分省级、市级、县级及以下森林草原防灭火指挥部、森工企业、</w:t>
      </w:r>
      <w:r>
        <w:rPr>
          <w:rFonts w:hint="eastAsia" w:ascii="Times New Roman" w:hAnsi="Times New Roman" w:eastAsia="方正仿宋_GBK" w:cs="Times New Roman"/>
          <w:sz w:val="32"/>
          <w:szCs w:val="22"/>
          <w14:ligatures w14:val="standardContextual"/>
        </w:rPr>
        <w:t>地方</w:t>
      </w:r>
      <w:r>
        <w:rPr>
          <w:rFonts w:ascii="Times New Roman" w:hAnsi="Times New Roman" w:eastAsia="方正仿宋_GBK" w:cs="Times New Roman"/>
          <w:sz w:val="32"/>
          <w:szCs w:val="22"/>
          <w14:ligatures w14:val="standardContextual"/>
        </w:rPr>
        <w:t>基层森林消防队伍等5个层级，面向行业专家、地方业务骨干、森林草原消防队伍指挥员、战斗员等4个方向从业人员，征集意见建议，精准对焦培训与考核需求。</w:t>
      </w:r>
    </w:p>
    <w:p w14:paraId="2A2A0B0D">
      <w:pPr>
        <w:adjustRightInd/>
        <w:spacing w:line="600" w:lineRule="exact"/>
        <w:ind w:firstLine="643" w:firstLineChars="200"/>
        <w:rPr>
          <w:rFonts w:ascii="Times New Roman" w:hAnsi="Times New Roman" w:eastAsia="方正仿宋_GBK" w:cs="Times New Roman"/>
          <w:b/>
          <w:bCs/>
          <w:sz w:val="32"/>
          <w:szCs w:val="22"/>
          <w14:ligatures w14:val="standardContextual"/>
        </w:rPr>
      </w:pPr>
      <w:r>
        <w:rPr>
          <w:rFonts w:ascii="Times New Roman" w:hAnsi="Times New Roman" w:eastAsia="方正仿宋_GBK" w:cs="Times New Roman"/>
          <w:b/>
          <w:bCs/>
          <w:sz w:val="32"/>
          <w:szCs w:val="22"/>
          <w14:ligatures w14:val="standardContextual"/>
        </w:rPr>
        <w:t>2.协调性原则</w:t>
      </w:r>
    </w:p>
    <w:p w14:paraId="6E6713A7">
      <w:pPr>
        <w:adjustRightInd/>
        <w:spacing w:line="600" w:lineRule="exact"/>
        <w:ind w:firstLine="640" w:firstLineChars="200"/>
        <w:rPr>
          <w:rFonts w:ascii="Times New Roman" w:hAnsi="Times New Roman" w:eastAsia="方正仿宋_GBK" w:cs="Times New Roman"/>
          <w:sz w:val="32"/>
          <w:szCs w:val="22"/>
          <w14:ligatures w14:val="standardContextual"/>
        </w:rPr>
      </w:pPr>
      <w:r>
        <w:rPr>
          <w:rFonts w:ascii="Times New Roman" w:hAnsi="Times New Roman" w:eastAsia="方正仿宋_GBK" w:cs="Times New Roman"/>
          <w:sz w:val="32"/>
          <w:szCs w:val="22"/>
          <w14:ligatures w14:val="standardContextual"/>
        </w:rPr>
        <w:t>依照《森林法》《草原法》《突发事件应对法》《森林防火条例》《草原防火条例》等法律法规规定，论证标准法理依据；</w:t>
      </w:r>
      <w:bookmarkStart w:id="370" w:name="_Hlk202136112"/>
      <w:r>
        <w:rPr>
          <w:rFonts w:ascii="Times New Roman" w:hAnsi="Times New Roman" w:eastAsia="方正仿宋_GBK" w:cs="Times New Roman"/>
          <w:sz w:val="32"/>
          <w:szCs w:val="22"/>
          <w14:ligatures w14:val="standardContextual"/>
        </w:rPr>
        <w:t>对标60号文、《全国森林防火中长期发展规划》、《“十四五”国家消防工作规划》《国家森防指关于加强地方森林草原消防队伍建设的意见》《中共中央办公厅、国务院办公厅关于进一步提升基层应急管理能力的意见》等文件，把准工作方向；对表《国家森林草原火灾应急预案》、国家森防指</w:t>
      </w:r>
      <w:bookmarkStart w:id="371" w:name="OLE_LINK11"/>
      <w:r>
        <w:rPr>
          <w:rFonts w:ascii="Times New Roman" w:hAnsi="Times New Roman" w:eastAsia="方正仿宋_GBK" w:cs="Times New Roman"/>
          <w:sz w:val="32"/>
          <w:szCs w:val="22"/>
          <w14:ligatures w14:val="standardContextual"/>
        </w:rPr>
        <w:t>《关于健全完善地方森林草原防灭火工作机制的指导意见（国森防发﹝2020﹞7号）》《扑救森林草原火灾现场指挥机制（国森防发﹝2021﹞1号）》等</w:t>
      </w:r>
      <w:bookmarkEnd w:id="370"/>
      <w:bookmarkEnd w:id="371"/>
      <w:r>
        <w:rPr>
          <w:rFonts w:ascii="Times New Roman" w:hAnsi="Times New Roman" w:eastAsia="方正仿宋_GBK" w:cs="Times New Roman"/>
          <w:sz w:val="32"/>
          <w:szCs w:val="22"/>
          <w14:ligatures w14:val="standardContextual"/>
        </w:rPr>
        <w:t>文件，确保标准与机制体制运行相适应；参考林业行业标准《森林消防指挥员业务培训规范》、《森林消防专业队伍建设和管理规范》等成熟标准，协调跟进《森林草原火灾扑救安全指南》《森林草原火灾扑救训练大纲》《地方森林草原消防队伍建设规范》《地方森林草原消防队伍考核规范》《森林草原防灭火专业术语（国标计划）》等项目，确保横向协调。</w:t>
      </w:r>
    </w:p>
    <w:p w14:paraId="086FFDCD">
      <w:pPr>
        <w:adjustRightInd/>
        <w:spacing w:line="600" w:lineRule="exact"/>
        <w:ind w:firstLine="643" w:firstLineChars="200"/>
        <w:rPr>
          <w:rFonts w:ascii="Times New Roman" w:hAnsi="Times New Roman" w:eastAsia="方正仿宋_GBK" w:cs="Times New Roman"/>
          <w:b/>
          <w:bCs/>
          <w:sz w:val="32"/>
          <w:szCs w:val="22"/>
          <w14:ligatures w14:val="standardContextual"/>
        </w:rPr>
      </w:pPr>
      <w:r>
        <w:rPr>
          <w:rFonts w:ascii="Times New Roman" w:hAnsi="Times New Roman" w:eastAsia="方正仿宋_GBK" w:cs="Times New Roman"/>
          <w:b/>
          <w:bCs/>
          <w:sz w:val="32"/>
          <w:szCs w:val="22"/>
          <w14:ligatures w14:val="standardContextual"/>
        </w:rPr>
        <w:t>3.实战化原则</w:t>
      </w:r>
    </w:p>
    <w:p w14:paraId="731BFA77">
      <w:pPr>
        <w:adjustRightInd/>
        <w:spacing w:line="600" w:lineRule="exact"/>
        <w:ind w:firstLine="640" w:firstLineChars="200"/>
        <w:rPr>
          <w:rFonts w:ascii="Times New Roman" w:hAnsi="Times New Roman" w:eastAsia="方正仿宋_GBK" w:cs="Times New Roman"/>
          <w:sz w:val="32"/>
          <w:szCs w:val="22"/>
          <w14:ligatures w14:val="standardContextual"/>
        </w:rPr>
      </w:pPr>
      <w:r>
        <w:rPr>
          <w:rFonts w:ascii="Times New Roman" w:hAnsi="Times New Roman" w:eastAsia="方正仿宋_GBK" w:cs="Times New Roman"/>
          <w:sz w:val="32"/>
          <w:szCs w:val="22"/>
          <w14:ligatures w14:val="standardContextual"/>
        </w:rPr>
        <w:t>聚焦森林草原火灾扑救指挥痛点难题，系统分析指挥员培训与考核需求，准确界定适用范围，明确有关工作原则，确定培训与考核要求，规范培训与考核流程。内容设置上，全要素覆盖扑火指挥能力要求，设计灭火基础、灭火技术、灭火装备、灭火战术、灭火指挥、灭火安全等6个课目</w:t>
      </w:r>
      <w:r>
        <w:rPr>
          <w:rFonts w:hint="eastAsia" w:ascii="Times New Roman" w:hAnsi="Times New Roman" w:eastAsia="方正仿宋_GBK" w:cs="Times New Roman"/>
          <w:sz w:val="32"/>
          <w:szCs w:val="22"/>
          <w14:ligatures w14:val="standardContextual"/>
        </w:rPr>
        <w:t>，24个具体内容。</w:t>
      </w:r>
      <w:r>
        <w:rPr>
          <w:rFonts w:ascii="Times New Roman" w:hAnsi="Times New Roman" w:eastAsia="方正仿宋_GBK" w:cs="Times New Roman"/>
          <w:sz w:val="32"/>
          <w:szCs w:val="22"/>
          <w14:ligatures w14:val="standardContextual"/>
        </w:rPr>
        <w:t>培训和考核方式上，注重打牢理论基础，有针对性地加大战术运用、典型战例研究、指挥程序</w:t>
      </w:r>
      <w:r>
        <w:rPr>
          <w:rFonts w:hint="eastAsia" w:ascii="Times New Roman" w:hAnsi="Times New Roman" w:eastAsia="方正仿宋_GBK" w:cs="Times New Roman"/>
          <w:sz w:val="32"/>
          <w:szCs w:val="22"/>
          <w14:ligatures w14:val="standardContextual"/>
        </w:rPr>
        <w:t>等内容</w:t>
      </w:r>
      <w:r>
        <w:rPr>
          <w:rFonts w:ascii="Times New Roman" w:hAnsi="Times New Roman" w:eastAsia="方正仿宋_GBK" w:cs="Times New Roman"/>
          <w:sz w:val="32"/>
          <w:szCs w:val="22"/>
          <w14:ligatures w14:val="standardContextual"/>
        </w:rPr>
        <w:t>学时比例，促进指挥员核心能力生成；依据人员性质，分类明确培训目标、考核条件等，最大限度做到“练有依据，考有标准”，形成培训与考核闭环，确保标准能用、实用、管用、好用。</w:t>
      </w:r>
    </w:p>
    <w:p w14:paraId="5BE82BDB">
      <w:pPr>
        <w:adjustRightInd/>
        <w:spacing w:line="600" w:lineRule="exact"/>
        <w:ind w:firstLine="643" w:firstLineChars="200"/>
        <w:rPr>
          <w:rFonts w:ascii="Times New Roman" w:hAnsi="Times New Roman" w:eastAsia="方正仿宋_GBK" w:cs="Times New Roman"/>
          <w:b/>
          <w:bCs/>
          <w:sz w:val="32"/>
          <w:szCs w:val="22"/>
          <w14:ligatures w14:val="standardContextual"/>
        </w:rPr>
      </w:pPr>
      <w:r>
        <w:rPr>
          <w:rFonts w:ascii="Times New Roman" w:hAnsi="Times New Roman" w:eastAsia="方正仿宋_GBK" w:cs="Times New Roman"/>
          <w:b/>
          <w:bCs/>
          <w:sz w:val="32"/>
          <w:szCs w:val="22"/>
          <w14:ligatures w14:val="standardContextual"/>
        </w:rPr>
        <w:t>4.前瞻性原则</w:t>
      </w:r>
    </w:p>
    <w:p w14:paraId="50D6470F">
      <w:pPr>
        <w:adjustRightInd/>
        <w:spacing w:line="600" w:lineRule="exact"/>
        <w:ind w:firstLine="640" w:firstLineChars="200"/>
        <w:rPr>
          <w:rFonts w:ascii="Times New Roman" w:hAnsi="Times New Roman" w:eastAsia="方正仿宋_GBK" w:cs="Times New Roman"/>
          <w:sz w:val="32"/>
          <w:szCs w:val="22"/>
          <w14:ligatures w14:val="standardContextual"/>
        </w:rPr>
      </w:pPr>
      <w:r>
        <w:rPr>
          <w:rFonts w:ascii="Times New Roman" w:hAnsi="Times New Roman" w:eastAsia="方正仿宋_GBK" w:cs="Times New Roman"/>
          <w:sz w:val="32"/>
          <w:szCs w:val="22"/>
          <w14:ligatures w14:val="standardContextual"/>
        </w:rPr>
        <w:t>紧跟我国森林草原火灾形势，把准当下及未来森林草原防灭火工作方向，与当前《森林消防员》国家职业资格标准研究项目有机统一，关注职业大典关于“森林火灾扑救指挥员”工种职业功能变化情况，为未来推进森林扑火指挥员向着更高水平的专业化、职业化发展奠定基础。</w:t>
      </w:r>
    </w:p>
    <w:bookmarkEnd w:id="369"/>
    <w:p w14:paraId="674D38B9">
      <w:pPr>
        <w:adjustRightInd/>
        <w:spacing w:line="600" w:lineRule="exact"/>
        <w:ind w:firstLine="640" w:firstLineChars="200"/>
        <w:rPr>
          <w:rFonts w:ascii="Times New Roman" w:hAnsi="Times New Roman" w:eastAsia="方正楷体_GBK" w:cs="Times New Roman"/>
          <w:sz w:val="32"/>
          <w:szCs w:val="22"/>
          <w14:ligatures w14:val="standardContextual"/>
        </w:rPr>
      </w:pPr>
      <w:r>
        <w:rPr>
          <w:rFonts w:ascii="Times New Roman" w:hAnsi="Times New Roman" w:eastAsia="方正楷体_GBK" w:cs="Times New Roman"/>
          <w:sz w:val="32"/>
          <w:szCs w:val="22"/>
          <w14:ligatures w14:val="standardContextual"/>
        </w:rPr>
        <w:t>（二）标准主要技术内容及确定依据</w:t>
      </w:r>
    </w:p>
    <w:p w14:paraId="59CDFBEE">
      <w:pPr>
        <w:adjustRightInd/>
        <w:spacing w:line="600" w:lineRule="exact"/>
        <w:ind w:firstLine="640" w:firstLineChars="200"/>
        <w:rPr>
          <w:rFonts w:ascii="Times New Roman" w:hAnsi="Times New Roman" w:eastAsia="方正仿宋_GBK" w:cs="Times New Roman"/>
          <w:sz w:val="32"/>
          <w:szCs w:val="22"/>
          <w14:ligatures w14:val="standardContextual"/>
        </w:rPr>
      </w:pPr>
      <w:bookmarkStart w:id="372" w:name="_Hlk193178070"/>
      <w:r>
        <w:rPr>
          <w:rFonts w:ascii="Times New Roman" w:hAnsi="Times New Roman" w:eastAsia="方正仿宋_GBK" w:cs="Times New Roman"/>
          <w:sz w:val="32"/>
          <w:szCs w:val="22"/>
          <w14:ligatures w14:val="standardContextual"/>
        </w:rPr>
        <w:t>本标准包括：范围、规范性引用文件、术语和定义、总体要求、培训与考核要求、培训、考核、培训与考核结果运用等 8个章节。</w:t>
      </w:r>
    </w:p>
    <w:p w14:paraId="7A7BE80F">
      <w:pPr>
        <w:adjustRightInd/>
        <w:spacing w:line="600" w:lineRule="exact"/>
        <w:ind w:firstLine="643" w:firstLineChars="200"/>
        <w:rPr>
          <w:rFonts w:ascii="Times New Roman" w:hAnsi="Times New Roman" w:eastAsia="方正仿宋_GBK" w:cs="Times New Roman"/>
          <w:b/>
          <w:bCs/>
          <w:sz w:val="32"/>
          <w:szCs w:val="22"/>
          <w14:ligatures w14:val="standardContextual"/>
        </w:rPr>
      </w:pPr>
      <w:r>
        <w:rPr>
          <w:rFonts w:ascii="Times New Roman" w:hAnsi="Times New Roman" w:eastAsia="方正仿宋_GBK" w:cs="Times New Roman"/>
          <w:b/>
          <w:bCs/>
          <w:sz w:val="32"/>
          <w:szCs w:val="22"/>
          <w14:ligatures w14:val="standardContextual"/>
        </w:rPr>
        <w:t>1.范围</w:t>
      </w:r>
    </w:p>
    <w:p w14:paraId="5A7B2289">
      <w:pPr>
        <w:adjustRightInd/>
        <w:spacing w:line="600" w:lineRule="exact"/>
        <w:ind w:firstLine="640" w:firstLineChars="200"/>
        <w:rPr>
          <w:rFonts w:ascii="Times New Roman" w:hAnsi="Times New Roman" w:eastAsia="方正仿宋_GBK" w:cs="Times New Roman"/>
          <w:sz w:val="32"/>
          <w:szCs w:val="22"/>
          <w14:ligatures w14:val="standardContextual"/>
        </w:rPr>
      </w:pPr>
      <w:bookmarkStart w:id="373" w:name="_Hlk202175749"/>
      <w:r>
        <w:rPr>
          <w:rFonts w:hint="eastAsia" w:ascii="Times New Roman" w:hAnsi="Times New Roman" w:eastAsia="方正仿宋_GBK" w:cs="Times New Roman"/>
          <w:sz w:val="32"/>
          <w:szCs w:val="22"/>
          <w14:ligatures w14:val="standardContextual"/>
        </w:rPr>
        <w:t>主要是</w:t>
      </w:r>
      <w:r>
        <w:rPr>
          <w:rFonts w:ascii="Times New Roman" w:hAnsi="Times New Roman" w:eastAsia="方正仿宋_GBK" w:cs="Times New Roman"/>
          <w:sz w:val="32"/>
          <w:szCs w:val="22"/>
          <w14:ligatures w14:val="standardContextual"/>
        </w:rPr>
        <w:t>对标准主要内容、适用范围进行凝练</w:t>
      </w:r>
      <w:r>
        <w:rPr>
          <w:rFonts w:hint="eastAsia" w:ascii="Times New Roman" w:hAnsi="Times New Roman" w:eastAsia="方正仿宋_GBK" w:cs="Times New Roman"/>
          <w:sz w:val="32"/>
          <w:szCs w:val="22"/>
          <w14:ligatures w14:val="standardContextual"/>
        </w:rPr>
        <w:t>。</w:t>
      </w:r>
      <w:r>
        <w:rPr>
          <w:rFonts w:ascii="Times New Roman" w:hAnsi="Times New Roman" w:eastAsia="方正仿宋_GBK" w:cs="Times New Roman"/>
          <w:sz w:val="32"/>
          <w:szCs w:val="22"/>
          <w14:ligatures w14:val="standardContextual"/>
        </w:rPr>
        <w:t>依据《GB/T 20001.5-2017标准编写规则 第5部分：规范标准》，关于“范围”要素的编写规则，结合主要技术内容</w:t>
      </w:r>
      <w:r>
        <w:rPr>
          <w:rFonts w:hint="eastAsia" w:ascii="Times New Roman" w:hAnsi="Times New Roman" w:eastAsia="方正仿宋_GBK" w:cs="Times New Roman"/>
          <w:sz w:val="32"/>
          <w:szCs w:val="22"/>
          <w14:ligatures w14:val="standardContextual"/>
        </w:rPr>
        <w:t>进行编写。</w:t>
      </w:r>
      <w:r>
        <w:rPr>
          <w:rFonts w:ascii="Times New Roman" w:hAnsi="Times New Roman" w:eastAsia="方正仿宋_GBK" w:cs="Times New Roman"/>
          <w:sz w:val="32"/>
          <w:szCs w:val="22"/>
          <w14:ligatures w14:val="standardContextual"/>
        </w:rPr>
        <w:t>适用范围上，“地方”是相对于国家综合性消防救援队伍的称谓，属于惯性叫法，目的是强调本标准不适用于国家综合性消防救援队伍。</w:t>
      </w:r>
      <w:r>
        <w:rPr>
          <w:rFonts w:hint="eastAsia" w:ascii="Times New Roman" w:hAnsi="Times New Roman" w:eastAsia="方正仿宋_GBK" w:cs="Times New Roman"/>
          <w:sz w:val="32"/>
          <w:szCs w:val="22"/>
          <w14:ligatures w14:val="standardContextual"/>
        </w:rPr>
        <w:t>另外，</w:t>
      </w:r>
      <w:r>
        <w:rPr>
          <w:rFonts w:ascii="Times New Roman" w:hAnsi="Times New Roman" w:eastAsia="方正仿宋_GBK" w:cs="Times New Roman"/>
          <w:sz w:val="32"/>
          <w:szCs w:val="22"/>
          <w14:ligatures w14:val="standardContextual"/>
        </w:rPr>
        <w:t>依据《森林防火条例》《草原防火条例》，森林草原防灭火工作实行地方各级人民政府行政首长负责制，县（县级市、市辖区、旗、自治县）级以上人民政府设森林草原防灭火业务主管部门，成立森林草原防灭火指挥机构，相关人员参与火灾扑救指挥，</w:t>
      </w:r>
      <w:r>
        <w:rPr>
          <w:rFonts w:hint="eastAsia" w:ascii="Times New Roman" w:hAnsi="Times New Roman" w:eastAsia="方正仿宋_GBK" w:cs="Times New Roman"/>
          <w:sz w:val="32"/>
          <w:szCs w:val="22"/>
          <w14:ligatures w14:val="standardContextual"/>
        </w:rPr>
        <w:t>所以</w:t>
      </w:r>
      <w:r>
        <w:rPr>
          <w:rFonts w:ascii="Times New Roman" w:hAnsi="Times New Roman" w:eastAsia="方正仿宋_GBK" w:cs="Times New Roman"/>
          <w:sz w:val="32"/>
          <w:szCs w:val="22"/>
          <w14:ligatures w14:val="standardContextual"/>
        </w:rPr>
        <w:t>地方人民政府是森林火灾处置指挥主体</w:t>
      </w:r>
      <w:bookmarkEnd w:id="373"/>
      <w:r>
        <w:rPr>
          <w:rFonts w:hint="eastAsia" w:ascii="Times New Roman" w:hAnsi="Times New Roman" w:eastAsia="方正仿宋_GBK" w:cs="Times New Roman"/>
          <w:sz w:val="32"/>
          <w:szCs w:val="22"/>
          <w14:ligatures w14:val="standardContextual"/>
        </w:rPr>
        <w:t>，再次突出了指挥员的“地方”属性。</w:t>
      </w:r>
    </w:p>
    <w:p w14:paraId="3FEA8E89">
      <w:pPr>
        <w:adjustRightInd/>
        <w:spacing w:line="600" w:lineRule="exact"/>
        <w:ind w:firstLine="643" w:firstLineChars="200"/>
        <w:rPr>
          <w:rFonts w:ascii="Times New Roman" w:hAnsi="Times New Roman" w:eastAsia="方正仿宋_GBK" w:cs="Times New Roman"/>
          <w:b/>
          <w:bCs/>
          <w:sz w:val="32"/>
          <w:szCs w:val="22"/>
          <w14:ligatures w14:val="standardContextual"/>
        </w:rPr>
      </w:pPr>
      <w:r>
        <w:rPr>
          <w:rFonts w:ascii="Times New Roman" w:hAnsi="Times New Roman" w:eastAsia="方正仿宋_GBK" w:cs="Times New Roman"/>
          <w:b/>
          <w:bCs/>
          <w:sz w:val="32"/>
          <w:szCs w:val="22"/>
          <w14:ligatures w14:val="standardContextual"/>
        </w:rPr>
        <w:t>2.规范性引用文件</w:t>
      </w:r>
    </w:p>
    <w:p w14:paraId="193B5560">
      <w:pPr>
        <w:wordWrap w:val="0"/>
        <w:adjustRightInd/>
        <w:spacing w:line="600" w:lineRule="exact"/>
        <w:ind w:firstLine="640" w:firstLineChars="200"/>
        <w:rPr>
          <w:rFonts w:ascii="Times New Roman" w:hAnsi="Times New Roman" w:eastAsia="方正仿宋_GBK" w:cs="Times New Roman"/>
          <w:sz w:val="32"/>
          <w:szCs w:val="22"/>
          <w14:ligatures w14:val="standardContextual"/>
        </w:rPr>
      </w:pPr>
      <w:bookmarkStart w:id="374" w:name="_Hlk202175856"/>
      <w:r>
        <w:rPr>
          <w:rFonts w:ascii="Times New Roman" w:hAnsi="Times New Roman" w:eastAsia="方正仿宋简体" w:cs="Times New Roman"/>
          <w:sz w:val="32"/>
          <w:szCs w:val="32"/>
          <w14:ligatures w14:val="standardContextual"/>
        </w:rPr>
        <w:t>依据GB/T 1.1-2020有关规定，规范性引用文件7项，其中国家标准6项，行业标准1项，为标准有关</w:t>
      </w:r>
      <w:r>
        <w:rPr>
          <w:rFonts w:hint="eastAsia" w:ascii="Times New Roman" w:hAnsi="Times New Roman" w:eastAsia="方正仿宋简体" w:cs="Times New Roman"/>
          <w:sz w:val="32"/>
          <w:szCs w:val="32"/>
          <w14:ligatures w14:val="standardContextual"/>
        </w:rPr>
        <w:t>条款</w:t>
      </w:r>
      <w:r>
        <w:rPr>
          <w:rFonts w:ascii="Times New Roman" w:hAnsi="Times New Roman" w:eastAsia="方正仿宋简体" w:cs="Times New Roman"/>
          <w:sz w:val="32"/>
          <w:szCs w:val="32"/>
          <w14:ligatures w14:val="standardContextual"/>
        </w:rPr>
        <w:t>提供必不可少的</w:t>
      </w:r>
      <w:r>
        <w:rPr>
          <w:rFonts w:hint="eastAsia" w:ascii="Times New Roman" w:hAnsi="Times New Roman" w:eastAsia="方正仿宋简体" w:cs="Times New Roman"/>
          <w:sz w:val="32"/>
          <w:szCs w:val="32"/>
          <w14:ligatures w14:val="standardContextual"/>
        </w:rPr>
        <w:t>依据</w:t>
      </w:r>
      <w:r>
        <w:rPr>
          <w:rFonts w:ascii="Times New Roman" w:hAnsi="Times New Roman" w:eastAsia="方正仿宋简体" w:cs="Times New Roman"/>
          <w:sz w:val="32"/>
          <w:szCs w:val="32"/>
          <w14:ligatures w14:val="standardContextual"/>
        </w:rPr>
        <w:t>支撑</w:t>
      </w:r>
      <w:r>
        <w:rPr>
          <w:rFonts w:hint="eastAsia" w:ascii="Times New Roman" w:hAnsi="Times New Roman" w:eastAsia="方正仿宋简体" w:cs="Times New Roman"/>
          <w:sz w:val="32"/>
          <w:szCs w:val="32"/>
          <w14:ligatures w14:val="standardContextual"/>
        </w:rPr>
        <w:t>；</w:t>
      </w:r>
      <w:r>
        <w:rPr>
          <w:rFonts w:ascii="Times New Roman" w:hAnsi="Times New Roman" w:eastAsia="方正仿宋_GBK" w:cs="Times New Roman"/>
          <w:sz w:val="32"/>
          <w:szCs w:val="22"/>
          <w14:ligatures w14:val="standardContextual"/>
        </w:rPr>
        <w:t>另外，参考《地方森林草原消防队伍建设规范》《地方森林草原消防队伍考核规范》《森林草原防灭火专业术语（国标</w:t>
      </w:r>
      <w:r>
        <w:rPr>
          <w:rFonts w:hint="eastAsia" w:ascii="Times New Roman" w:hAnsi="Times New Roman" w:eastAsia="方正仿宋_GBK" w:cs="Times New Roman"/>
          <w:sz w:val="32"/>
          <w:szCs w:val="22"/>
          <w14:ligatures w14:val="standardContextual"/>
        </w:rPr>
        <w:t>计划</w:t>
      </w:r>
      <w:r>
        <w:rPr>
          <w:rFonts w:ascii="Times New Roman" w:hAnsi="Times New Roman" w:eastAsia="方正仿宋_GBK" w:cs="Times New Roman"/>
          <w:sz w:val="32"/>
          <w:szCs w:val="22"/>
          <w14:ligatures w14:val="standardContextual"/>
        </w:rPr>
        <w:t>）》等在研标准项目，但均未进行规范性用。</w:t>
      </w:r>
    </w:p>
    <w:bookmarkEnd w:id="374"/>
    <w:p w14:paraId="1A7B46D0">
      <w:pPr>
        <w:wordWrap w:val="0"/>
        <w:adjustRightInd/>
        <w:spacing w:line="600" w:lineRule="exact"/>
        <w:ind w:firstLine="643" w:firstLineChars="200"/>
        <w:rPr>
          <w:rFonts w:ascii="Times New Roman" w:hAnsi="Times New Roman" w:eastAsia="方正仿宋_GBK" w:cs="Times New Roman"/>
          <w:b/>
          <w:bCs/>
          <w:sz w:val="32"/>
          <w:szCs w:val="22"/>
          <w14:ligatures w14:val="standardContextual"/>
        </w:rPr>
      </w:pPr>
      <w:r>
        <w:rPr>
          <w:rFonts w:ascii="Times New Roman" w:hAnsi="Times New Roman" w:eastAsia="方正仿宋_GBK" w:cs="Times New Roman"/>
          <w:b/>
          <w:bCs/>
          <w:sz w:val="32"/>
          <w:szCs w:val="22"/>
          <w14:ligatures w14:val="standardContextual"/>
        </w:rPr>
        <w:t>3.</w:t>
      </w:r>
      <w:bookmarkStart w:id="375" w:name="_Hlk202175881"/>
      <w:r>
        <w:rPr>
          <w:rFonts w:ascii="Times New Roman" w:hAnsi="Times New Roman" w:eastAsia="方正仿宋_GBK" w:cs="Times New Roman"/>
          <w:b/>
          <w:bCs/>
          <w:sz w:val="32"/>
          <w:szCs w:val="22"/>
          <w14:ligatures w14:val="standardContextual"/>
        </w:rPr>
        <w:t>术语和定义</w:t>
      </w:r>
    </w:p>
    <w:p w14:paraId="4442D7F6">
      <w:pPr>
        <w:adjustRightInd/>
        <w:spacing w:line="560" w:lineRule="exact"/>
        <w:ind w:firstLine="640" w:firstLineChars="200"/>
        <w:rPr>
          <w:rFonts w:ascii="Times New Roman" w:hAnsi="Times New Roman" w:eastAsia="方正仿宋简体" w:cs="Times New Roman"/>
          <w:sz w:val="32"/>
          <w:szCs w:val="32"/>
          <w14:ligatures w14:val="standardContextual"/>
        </w:rPr>
      </w:pPr>
      <w:r>
        <w:rPr>
          <w:rFonts w:ascii="Times New Roman" w:hAnsi="Times New Roman" w:eastAsia="方正仿宋简体" w:cs="Times New Roman"/>
          <w:sz w:val="32"/>
          <w:szCs w:val="32"/>
          <w14:ligatures w14:val="standardContextual"/>
        </w:rPr>
        <w:t>由基本术语和专业术语</w:t>
      </w:r>
      <w:r>
        <w:rPr>
          <w:rFonts w:hint="eastAsia" w:ascii="Times New Roman" w:hAnsi="Times New Roman" w:eastAsia="方正仿宋简体" w:cs="Times New Roman"/>
          <w:sz w:val="32"/>
          <w:szCs w:val="32"/>
          <w14:ligatures w14:val="standardContextual"/>
        </w:rPr>
        <w:t>2部分</w:t>
      </w:r>
      <w:r>
        <w:rPr>
          <w:rFonts w:ascii="Times New Roman" w:hAnsi="Times New Roman" w:eastAsia="方正仿宋简体" w:cs="Times New Roman"/>
          <w:sz w:val="32"/>
          <w:szCs w:val="32"/>
          <w14:ligatures w14:val="standardContextual"/>
        </w:rPr>
        <w:t>组成，共计16条</w:t>
      </w:r>
      <w:r>
        <w:rPr>
          <w:rFonts w:hint="eastAsia" w:ascii="Times New Roman" w:hAnsi="Times New Roman" w:eastAsia="方正仿宋简体" w:cs="Times New Roman"/>
          <w:sz w:val="32"/>
          <w:szCs w:val="32"/>
          <w14:ligatures w14:val="standardContextual"/>
        </w:rPr>
        <w:t>，</w:t>
      </w:r>
      <w:r>
        <w:rPr>
          <w:rFonts w:ascii="Times New Roman" w:hAnsi="Times New Roman" w:eastAsia="方正仿宋简体" w:cs="Times New Roman"/>
          <w:sz w:val="32"/>
          <w:szCs w:val="32"/>
          <w14:ligatures w14:val="standardContextual"/>
        </w:rPr>
        <w:t>其中基本术语11条，通用性强，是构成专业术语的基础，</w:t>
      </w:r>
      <w:r>
        <w:rPr>
          <w:rFonts w:ascii="Times New Roman" w:hAnsi="Times New Roman" w:eastAsia="方正楷体_GBK" w:cs="Times New Roman"/>
          <w:sz w:val="32"/>
          <w:szCs w:val="22"/>
          <w14:ligatures w14:val="standardContextual"/>
        </w:rPr>
        <w:t>“森林”、“草原”、“森林草原火灾”、“森林草原火灾扑救指挥员”</w:t>
      </w:r>
      <w:r>
        <w:rPr>
          <w:rFonts w:ascii="Times New Roman" w:hAnsi="Times New Roman" w:eastAsia="方正仿宋简体" w:cs="Times New Roman"/>
          <w:sz w:val="32"/>
          <w:szCs w:val="32"/>
          <w14:ligatures w14:val="standardContextual"/>
        </w:rPr>
        <w:t>等术语抄录或修订了其他</w:t>
      </w:r>
      <w:r>
        <w:rPr>
          <w:rFonts w:hint="eastAsia" w:ascii="Times New Roman" w:hAnsi="Times New Roman" w:eastAsia="方正仿宋简体" w:cs="Times New Roman"/>
          <w:sz w:val="32"/>
          <w:szCs w:val="32"/>
          <w14:ligatures w14:val="standardContextual"/>
        </w:rPr>
        <w:t>有关</w:t>
      </w:r>
      <w:r>
        <w:rPr>
          <w:rFonts w:ascii="Times New Roman" w:hAnsi="Times New Roman" w:eastAsia="方正仿宋简体" w:cs="Times New Roman"/>
          <w:sz w:val="32"/>
          <w:szCs w:val="32"/>
          <w14:ligatures w14:val="standardContextual"/>
        </w:rPr>
        <w:t>标准，已在标准中列出来源；“</w:t>
      </w:r>
      <w:r>
        <w:rPr>
          <w:rFonts w:ascii="Times New Roman" w:hAnsi="Times New Roman" w:eastAsia="方正楷体_GBK" w:cs="Times New Roman"/>
          <w:sz w:val="32"/>
          <w:szCs w:val="22"/>
          <w14:ligatures w14:val="standardContextual"/>
        </w:rPr>
        <w:t>地方森林草原消防队伍 ”</w:t>
      </w:r>
      <w:r>
        <w:rPr>
          <w:rFonts w:ascii="Times New Roman" w:hAnsi="Times New Roman" w:eastAsia="方正仿宋简体" w:cs="Times New Roman"/>
          <w:sz w:val="32"/>
          <w:szCs w:val="32"/>
          <w14:ligatures w14:val="standardContextual"/>
        </w:rPr>
        <w:t>术语以国家森防指《关于加强地方森林草原消防队伍建设的意见》中的相关描述为依据进行确定；</w:t>
      </w:r>
      <w:r>
        <w:rPr>
          <w:rFonts w:ascii="Times New Roman" w:hAnsi="Times New Roman" w:eastAsia="方正楷体_GBK" w:cs="Times New Roman"/>
          <w:sz w:val="32"/>
          <w:szCs w:val="22"/>
          <w14:ligatures w14:val="standardContextual"/>
        </w:rPr>
        <w:t>“指挥员培训”“结业考核”“指挥员考核”“培训机构”“考核机构”“复训”</w:t>
      </w:r>
      <w:r>
        <w:rPr>
          <w:rFonts w:ascii="Times New Roman" w:hAnsi="Times New Roman" w:eastAsia="方正仿宋简体" w:cs="Times New Roman"/>
          <w:sz w:val="32"/>
          <w:szCs w:val="32"/>
          <w14:ligatures w14:val="standardContextual"/>
        </w:rPr>
        <w:t>等术语则是结合</w:t>
      </w:r>
      <w:r>
        <w:rPr>
          <w:rFonts w:hint="eastAsia" w:ascii="Times New Roman" w:hAnsi="Times New Roman" w:eastAsia="方正仿宋简体" w:cs="Times New Roman"/>
          <w:sz w:val="32"/>
          <w:szCs w:val="32"/>
          <w14:ligatures w14:val="standardContextual"/>
        </w:rPr>
        <w:t>标准编制</w:t>
      </w:r>
      <w:r>
        <w:rPr>
          <w:rFonts w:ascii="Times New Roman" w:hAnsi="Times New Roman" w:eastAsia="方正仿宋简体" w:cs="Times New Roman"/>
          <w:sz w:val="32"/>
          <w:szCs w:val="32"/>
          <w14:ligatures w14:val="standardContextual"/>
        </w:rPr>
        <w:t>目的</w:t>
      </w:r>
      <w:r>
        <w:rPr>
          <w:rFonts w:hint="eastAsia" w:ascii="Times New Roman" w:hAnsi="Times New Roman" w:eastAsia="方正仿宋简体" w:cs="Times New Roman"/>
          <w:sz w:val="32"/>
          <w:szCs w:val="32"/>
          <w14:ligatures w14:val="standardContextual"/>
        </w:rPr>
        <w:t>及适用性</w:t>
      </w:r>
      <w:r>
        <w:rPr>
          <w:rFonts w:ascii="Times New Roman" w:hAnsi="Times New Roman" w:eastAsia="方正仿宋简体" w:cs="Times New Roman"/>
          <w:sz w:val="32"/>
          <w:szCs w:val="32"/>
          <w14:ligatures w14:val="standardContextual"/>
        </w:rPr>
        <w:t>，综合调研</w:t>
      </w:r>
      <w:r>
        <w:rPr>
          <w:rFonts w:hint="eastAsia" w:ascii="Times New Roman" w:hAnsi="Times New Roman" w:eastAsia="方正仿宋简体" w:cs="Times New Roman"/>
          <w:sz w:val="32"/>
          <w:szCs w:val="32"/>
          <w14:ligatures w14:val="standardContextual"/>
        </w:rPr>
        <w:t>及</w:t>
      </w:r>
      <w:r>
        <w:rPr>
          <w:rFonts w:ascii="Times New Roman" w:hAnsi="Times New Roman" w:eastAsia="方正仿宋简体" w:cs="Times New Roman"/>
          <w:sz w:val="32"/>
          <w:szCs w:val="32"/>
          <w14:ligatures w14:val="standardContextual"/>
        </w:rPr>
        <w:t>专家意见，有针对性地进行界定。</w:t>
      </w:r>
    </w:p>
    <w:p w14:paraId="13443A7F">
      <w:pPr>
        <w:adjustRightInd/>
        <w:spacing w:line="560" w:lineRule="exact"/>
        <w:ind w:firstLine="640" w:firstLineChars="200"/>
        <w:rPr>
          <w:rFonts w:ascii="Times New Roman" w:hAnsi="Times New Roman" w:eastAsia="方正仿宋简体" w:cs="Times New Roman"/>
          <w:sz w:val="32"/>
          <w:szCs w:val="32"/>
          <w14:ligatures w14:val="standardContextual"/>
        </w:rPr>
      </w:pPr>
      <w:r>
        <w:rPr>
          <w:rFonts w:ascii="Times New Roman" w:hAnsi="Times New Roman" w:eastAsia="方正仿宋简体" w:cs="Times New Roman"/>
          <w:sz w:val="32"/>
          <w:szCs w:val="32"/>
          <w14:ligatures w14:val="standardContextual"/>
        </w:rPr>
        <w:t>专业术语5项，</w:t>
      </w:r>
      <w:r>
        <w:rPr>
          <w:rFonts w:hint="eastAsia" w:ascii="Times New Roman" w:hAnsi="Times New Roman" w:eastAsia="方正仿宋简体" w:cs="Times New Roman"/>
          <w:sz w:val="32"/>
          <w:szCs w:val="32"/>
          <w14:ligatures w14:val="standardContextual"/>
        </w:rPr>
        <w:t>均</w:t>
      </w:r>
      <w:r>
        <w:rPr>
          <w:rFonts w:ascii="Times New Roman" w:hAnsi="Times New Roman" w:eastAsia="方正仿宋简体" w:cs="Times New Roman"/>
          <w:sz w:val="32"/>
          <w:szCs w:val="32"/>
          <w14:ligatures w14:val="standardContextual"/>
        </w:rPr>
        <w:t>具有较强的专业指向性，其中</w:t>
      </w:r>
      <w:r>
        <w:rPr>
          <w:rFonts w:ascii="Times New Roman" w:hAnsi="Times New Roman" w:eastAsia="方正楷体_GBK" w:cs="Times New Roman"/>
          <w:sz w:val="32"/>
          <w:szCs w:val="22"/>
          <w14:ligatures w14:val="standardContextual"/>
        </w:rPr>
        <w:t>“火灾扑救”</w:t>
      </w:r>
      <w:r>
        <w:rPr>
          <w:rFonts w:ascii="Times New Roman" w:hAnsi="Times New Roman" w:eastAsia="方正仿宋简体" w:cs="Times New Roman"/>
          <w:sz w:val="32"/>
          <w:szCs w:val="32"/>
          <w14:ligatures w14:val="standardContextual"/>
        </w:rPr>
        <w:t>术语依据《国家森林草原火灾应急预案》规定的5项主要任务，综合调研意见进行界定；其他术语参考原国家森林消防局相关教材、教育训练大纲等资料，综合调研意见界定。</w:t>
      </w:r>
    </w:p>
    <w:p w14:paraId="10C977A5">
      <w:pPr>
        <w:adjustRightInd/>
        <w:spacing w:line="600" w:lineRule="exact"/>
        <w:ind w:firstLine="643" w:firstLineChars="200"/>
        <w:rPr>
          <w:rFonts w:ascii="Times New Roman" w:hAnsi="Times New Roman" w:eastAsia="方正仿宋_GBK" w:cs="Times New Roman"/>
          <w:b/>
          <w:bCs/>
          <w:sz w:val="32"/>
          <w:szCs w:val="22"/>
          <w14:ligatures w14:val="standardContextual"/>
        </w:rPr>
      </w:pPr>
      <w:r>
        <w:rPr>
          <w:rFonts w:ascii="Times New Roman" w:hAnsi="Times New Roman" w:eastAsia="方正仿宋_GBK" w:cs="Times New Roman"/>
          <w:b/>
          <w:bCs/>
          <w:sz w:val="32"/>
          <w:szCs w:val="22"/>
          <w14:ligatures w14:val="standardContextual"/>
        </w:rPr>
        <w:t>4.总体要求</w:t>
      </w:r>
    </w:p>
    <w:p w14:paraId="57A0838C">
      <w:pPr>
        <w:adjustRightInd/>
        <w:spacing w:line="600" w:lineRule="exact"/>
        <w:ind w:firstLine="640" w:firstLineChars="200"/>
        <w:rPr>
          <w:rFonts w:ascii="Times New Roman" w:hAnsi="Times New Roman" w:eastAsia="方正仿宋_GBK" w:cs="Times New Roman"/>
          <w:sz w:val="32"/>
          <w:szCs w:val="22"/>
          <w14:ligatures w14:val="standardContextual"/>
        </w:rPr>
      </w:pPr>
      <w:r>
        <w:rPr>
          <w:rFonts w:ascii="Times New Roman" w:hAnsi="Times New Roman" w:eastAsia="方正仿宋_GBK" w:cs="Times New Roman"/>
          <w:sz w:val="32"/>
          <w:szCs w:val="22"/>
          <w14:ligatures w14:val="standardContextual"/>
        </w:rPr>
        <w:t>以解决扑火指挥实际问题为导向，强调要根据防灭火工作需要，贴近实战开展培训和考核，同时探索培训考核一体化，形成培训与考核闭环，确定总体要求为</w:t>
      </w:r>
      <w:r>
        <w:rPr>
          <w:rFonts w:ascii="Times New Roman" w:hAnsi="Times New Roman" w:eastAsia="方正楷体_GBK" w:cs="Times New Roman"/>
          <w:sz w:val="32"/>
          <w:szCs w:val="22"/>
          <w14:ligatures w14:val="standardContextual"/>
        </w:rPr>
        <w:t>“需求牵引、强化实践、先训后考”</w:t>
      </w:r>
      <w:r>
        <w:rPr>
          <w:rFonts w:ascii="Times New Roman" w:hAnsi="Times New Roman" w:eastAsia="方正仿宋_GBK" w:cs="Times New Roman"/>
          <w:sz w:val="32"/>
          <w:szCs w:val="22"/>
          <w14:ligatures w14:val="standardContextual"/>
        </w:rPr>
        <w:t>。</w:t>
      </w:r>
    </w:p>
    <w:p w14:paraId="6B28B9A9">
      <w:pPr>
        <w:adjustRightInd/>
        <w:spacing w:line="600" w:lineRule="exact"/>
        <w:ind w:firstLine="643" w:firstLineChars="200"/>
        <w:rPr>
          <w:rFonts w:ascii="Times New Roman" w:hAnsi="Times New Roman" w:eastAsia="方正仿宋_GBK" w:cs="Times New Roman"/>
          <w:b/>
          <w:bCs/>
          <w:sz w:val="32"/>
          <w:szCs w:val="22"/>
          <w14:ligatures w14:val="standardContextual"/>
        </w:rPr>
      </w:pPr>
      <w:r>
        <w:rPr>
          <w:rFonts w:ascii="Times New Roman" w:hAnsi="Times New Roman" w:eastAsia="方正仿宋_GBK" w:cs="Times New Roman"/>
          <w:b/>
          <w:bCs/>
          <w:sz w:val="32"/>
          <w:szCs w:val="22"/>
          <w14:ligatures w14:val="standardContextual"/>
        </w:rPr>
        <w:t>5.培训与考核要求</w:t>
      </w:r>
    </w:p>
    <w:p w14:paraId="7090A1B6">
      <w:pPr>
        <w:adjustRightInd/>
        <w:spacing w:line="600" w:lineRule="exact"/>
        <w:ind w:firstLine="643" w:firstLineChars="200"/>
        <w:rPr>
          <w:rFonts w:ascii="Times New Roman" w:hAnsi="Times New Roman" w:eastAsia="方正仿宋_GBK" w:cs="Times New Roman"/>
          <w:b/>
          <w:bCs/>
          <w:sz w:val="32"/>
          <w:szCs w:val="22"/>
          <w14:ligatures w14:val="standardContextual"/>
        </w:rPr>
      </w:pPr>
      <w:bookmarkStart w:id="376" w:name="_Hlk203728644"/>
      <w:r>
        <w:rPr>
          <w:rFonts w:ascii="Times New Roman" w:hAnsi="Times New Roman" w:eastAsia="方正仿宋_GBK" w:cs="Times New Roman"/>
          <w:b/>
          <w:bCs/>
          <w:sz w:val="32"/>
          <w:szCs w:val="22"/>
          <w14:ligatures w14:val="standardContextual"/>
        </w:rPr>
        <w:t>（1）培训要求</w:t>
      </w:r>
    </w:p>
    <w:bookmarkEnd w:id="376"/>
    <w:p w14:paraId="14C5139A">
      <w:pPr>
        <w:adjustRightInd/>
        <w:spacing w:line="600" w:lineRule="exact"/>
        <w:ind w:firstLine="640" w:firstLineChars="200"/>
        <w:rPr>
          <w:rFonts w:ascii="Times New Roman" w:hAnsi="Times New Roman" w:eastAsia="方正仿宋_GBK" w:cs="Times New Roman"/>
          <w:sz w:val="32"/>
          <w:szCs w:val="22"/>
          <w14:ligatures w14:val="standardContextual"/>
        </w:rPr>
      </w:pPr>
      <w:r>
        <w:rPr>
          <w:rFonts w:hint="eastAsia" w:ascii="Times New Roman" w:hAnsi="Times New Roman" w:eastAsia="方正仿宋_GBK" w:cs="Times New Roman"/>
          <w:sz w:val="32"/>
          <w:szCs w:val="22"/>
          <w14:ligatures w14:val="standardContextual"/>
        </w:rPr>
        <w:t>为</w:t>
      </w:r>
      <w:r>
        <w:rPr>
          <w:rFonts w:ascii="Times New Roman" w:hAnsi="Times New Roman" w:eastAsia="方正仿宋_GBK" w:cs="Times New Roman"/>
          <w:sz w:val="32"/>
          <w:szCs w:val="22"/>
          <w14:ligatures w14:val="standardContextual"/>
        </w:rPr>
        <w:t>增强培训针对性，提出根据培训对象岗位性质、指挥任务，分类明确培训目标和组织培训</w:t>
      </w:r>
      <w:r>
        <w:rPr>
          <w:rFonts w:hint="eastAsia" w:ascii="Times New Roman" w:hAnsi="Times New Roman" w:eastAsia="方正仿宋_GBK" w:cs="Times New Roman"/>
          <w:sz w:val="32"/>
          <w:szCs w:val="22"/>
          <w14:ligatures w14:val="standardContextual"/>
        </w:rPr>
        <w:t>的要求</w:t>
      </w:r>
      <w:r>
        <w:rPr>
          <w:rFonts w:ascii="Times New Roman" w:hAnsi="Times New Roman" w:eastAsia="方正仿宋_GBK" w:cs="Times New Roman"/>
          <w:sz w:val="32"/>
          <w:szCs w:val="22"/>
          <w14:ligatures w14:val="standardContextual"/>
        </w:rPr>
        <w:t>；</w:t>
      </w:r>
      <w:r>
        <w:rPr>
          <w:rFonts w:ascii="Times New Roman" w:hAnsi="Times New Roman" w:eastAsia="方正仿宋简体" w:cs="Times New Roman"/>
          <w:sz w:val="32"/>
          <w:szCs w:val="32"/>
          <w14:ligatures w14:val="standardContextual"/>
        </w:rPr>
        <w:t>依据60号文“优化体制机制，建强组织指挥体系”部分关于“</w:t>
      </w:r>
      <w:r>
        <w:rPr>
          <w:rFonts w:ascii="Times New Roman" w:hAnsi="Times New Roman" w:eastAsia="方正楷体_GBK" w:cs="Times New Roman"/>
          <w:sz w:val="32"/>
          <w:szCs w:val="32"/>
          <w14:ligatures w14:val="standardContextual"/>
        </w:rPr>
        <w:t>实行国家负责省市两级、省级负责县级和基层的指挥员培训机制</w:t>
      </w:r>
      <w:r>
        <w:rPr>
          <w:rFonts w:ascii="Times New Roman" w:hAnsi="Times New Roman" w:eastAsia="方正仿宋简体" w:cs="Times New Roman"/>
          <w:sz w:val="32"/>
          <w:szCs w:val="32"/>
          <w14:ligatures w14:val="standardContextual"/>
        </w:rPr>
        <w:t>”的要求，</w:t>
      </w:r>
      <w:r>
        <w:rPr>
          <w:rFonts w:hint="eastAsia" w:ascii="Times New Roman" w:hAnsi="Times New Roman" w:eastAsia="方正仿宋简体" w:cs="Times New Roman"/>
          <w:sz w:val="32"/>
          <w:szCs w:val="32"/>
          <w14:ligatures w14:val="standardContextual"/>
        </w:rPr>
        <w:t>同时</w:t>
      </w:r>
      <w:r>
        <w:rPr>
          <w:rFonts w:ascii="Times New Roman" w:hAnsi="Times New Roman" w:eastAsia="方正仿宋简体" w:cs="Times New Roman"/>
          <w:sz w:val="32"/>
          <w:szCs w:val="32"/>
          <w14:ligatures w14:val="standardContextual"/>
        </w:rPr>
        <w:t>考虑现实可操作性，提出“国家指导省、市两级指挥员培训，省级指导县级及以下指挥员培训”；为有效发挥业务主管部门主导作用，同时考虑地方通过购买服务，委托第三方机构承办培训班的现实需求，以及《行业标准管理办法》关于资质方面的规定，提出由业务主管部门委托</w:t>
      </w:r>
      <w:r>
        <w:rPr>
          <w:rFonts w:hint="eastAsia" w:ascii="Times New Roman" w:hAnsi="Times New Roman" w:eastAsia="方正仿宋简体" w:cs="Times New Roman"/>
          <w:sz w:val="32"/>
          <w:szCs w:val="32"/>
          <w14:ligatures w14:val="standardContextual"/>
        </w:rPr>
        <w:t>专业机构</w:t>
      </w:r>
      <w:r>
        <w:rPr>
          <w:rFonts w:ascii="Times New Roman" w:hAnsi="Times New Roman" w:eastAsia="方正仿宋简体" w:cs="Times New Roman"/>
          <w:sz w:val="32"/>
          <w:szCs w:val="32"/>
          <w14:ligatures w14:val="standardContextual"/>
        </w:rPr>
        <w:t>举办培训班，并</w:t>
      </w:r>
      <w:r>
        <w:rPr>
          <w:rFonts w:hint="eastAsia" w:ascii="Times New Roman" w:hAnsi="Times New Roman" w:eastAsia="方正仿宋简体" w:cs="Times New Roman"/>
          <w:sz w:val="32"/>
          <w:szCs w:val="32"/>
          <w14:ligatures w14:val="standardContextual"/>
        </w:rPr>
        <w:t>对</w:t>
      </w:r>
      <w:r>
        <w:rPr>
          <w:rFonts w:ascii="Times New Roman" w:hAnsi="Times New Roman" w:eastAsia="方正仿宋简体" w:cs="Times New Roman"/>
          <w:sz w:val="32"/>
          <w:szCs w:val="32"/>
          <w14:ligatures w14:val="standardContextual"/>
        </w:rPr>
        <w:t>培训机构条件进行明确，</w:t>
      </w:r>
      <w:r>
        <w:rPr>
          <w:rFonts w:hint="eastAsia" w:ascii="Times New Roman" w:hAnsi="Times New Roman" w:eastAsia="方正仿宋简体" w:cs="Times New Roman"/>
          <w:sz w:val="32"/>
          <w:szCs w:val="32"/>
          <w14:ligatures w14:val="standardContextual"/>
        </w:rPr>
        <w:t>确保</w:t>
      </w:r>
      <w:r>
        <w:rPr>
          <w:rFonts w:ascii="Times New Roman" w:hAnsi="Times New Roman" w:eastAsia="方正仿宋简体" w:cs="Times New Roman"/>
          <w:sz w:val="32"/>
          <w:szCs w:val="32"/>
          <w14:ligatures w14:val="standardContextual"/>
        </w:rPr>
        <w:t>地方可以根据实际需要，自主选择培训机构</w:t>
      </w:r>
      <w:r>
        <w:rPr>
          <w:rFonts w:hint="eastAsia" w:ascii="Times New Roman" w:hAnsi="Times New Roman" w:eastAsia="方正仿宋简体" w:cs="Times New Roman"/>
          <w:sz w:val="32"/>
          <w:szCs w:val="32"/>
          <w14:ligatures w14:val="standardContextual"/>
        </w:rPr>
        <w:t>；</w:t>
      </w:r>
      <w:r>
        <w:rPr>
          <w:rFonts w:ascii="Times New Roman" w:hAnsi="Times New Roman" w:eastAsia="方正仿宋简体" w:cs="Times New Roman"/>
          <w:sz w:val="32"/>
          <w:szCs w:val="32"/>
          <w14:ligatures w14:val="standardContextual"/>
        </w:rPr>
        <w:t>在培训形式上，为确保培训效率，</w:t>
      </w:r>
      <w:r>
        <w:rPr>
          <w:rFonts w:hint="eastAsia" w:ascii="Times New Roman" w:hAnsi="Times New Roman" w:eastAsia="方正仿宋简体" w:cs="Times New Roman"/>
          <w:sz w:val="32"/>
          <w:szCs w:val="32"/>
          <w14:ligatures w14:val="standardContextual"/>
        </w:rPr>
        <w:t>提出</w:t>
      </w:r>
      <w:r>
        <w:rPr>
          <w:rFonts w:ascii="Times New Roman" w:hAnsi="Times New Roman" w:eastAsia="方正仿宋简体" w:cs="Times New Roman"/>
          <w:sz w:val="32"/>
          <w:szCs w:val="32"/>
          <w14:ligatures w14:val="standardContextual"/>
        </w:rPr>
        <w:t>培训应集中组织进行；</w:t>
      </w:r>
      <w:r>
        <w:rPr>
          <w:rFonts w:hint="eastAsia" w:ascii="Times New Roman" w:hAnsi="Times New Roman" w:eastAsia="方正仿宋简体" w:cs="Times New Roman"/>
          <w:sz w:val="32"/>
          <w:szCs w:val="32"/>
          <w14:ligatures w14:val="standardContextual"/>
        </w:rPr>
        <w:t>明确</w:t>
      </w:r>
      <w:r>
        <w:rPr>
          <w:rFonts w:ascii="Times New Roman" w:hAnsi="Times New Roman" w:eastAsia="方正仿宋简体" w:cs="Times New Roman"/>
          <w:sz w:val="32"/>
          <w:szCs w:val="32"/>
          <w14:ligatures w14:val="standardContextual"/>
        </w:rPr>
        <w:t>培训结业考核和培训服务质量保障机制要求，实现培训效果最大化。</w:t>
      </w:r>
    </w:p>
    <w:p w14:paraId="4B226E41">
      <w:pPr>
        <w:adjustRightInd/>
        <w:spacing w:line="600" w:lineRule="exact"/>
        <w:ind w:firstLine="643" w:firstLineChars="200"/>
        <w:rPr>
          <w:rFonts w:ascii="Times New Roman" w:hAnsi="Times New Roman" w:eastAsia="方正仿宋_GBK" w:cs="Times New Roman"/>
          <w:b/>
          <w:bCs/>
          <w:sz w:val="32"/>
          <w:szCs w:val="22"/>
          <w14:ligatures w14:val="standardContextual"/>
        </w:rPr>
      </w:pPr>
      <w:r>
        <w:rPr>
          <w:rFonts w:ascii="Times New Roman" w:hAnsi="Times New Roman" w:eastAsia="方正仿宋_GBK" w:cs="Times New Roman"/>
          <w:b/>
          <w:bCs/>
          <w:sz w:val="32"/>
          <w:szCs w:val="22"/>
          <w14:ligatures w14:val="standardContextual"/>
        </w:rPr>
        <w:t>（2）考核要求</w:t>
      </w:r>
    </w:p>
    <w:p w14:paraId="68F7C676">
      <w:pPr>
        <w:wordWrap w:val="0"/>
        <w:adjustRightInd/>
        <w:spacing w:line="600" w:lineRule="exact"/>
        <w:ind w:firstLine="640" w:firstLineChars="200"/>
        <w:rPr>
          <w:rFonts w:ascii="Times New Roman" w:hAnsi="Times New Roman" w:eastAsia="方正仿宋_GBK" w:cs="Times New Roman"/>
          <w:sz w:val="32"/>
          <w:szCs w:val="22"/>
          <w14:ligatures w14:val="standardContextual"/>
        </w:rPr>
      </w:pPr>
      <w:r>
        <w:rPr>
          <w:rFonts w:hint="eastAsia" w:ascii="Times New Roman" w:hAnsi="Times New Roman" w:eastAsia="方正仿宋_GBK" w:cs="Times New Roman"/>
          <w:sz w:val="32"/>
          <w:szCs w:val="22"/>
          <w14:ligatures w14:val="standardContextual"/>
        </w:rPr>
        <w:t>参照</w:t>
      </w:r>
      <w:r>
        <w:rPr>
          <w:rFonts w:ascii="Times New Roman" w:hAnsi="Times New Roman" w:eastAsia="方正仿宋_GBK" w:cs="Times New Roman"/>
          <w:sz w:val="32"/>
          <w:szCs w:val="22"/>
          <w14:ligatures w14:val="standardContextual"/>
        </w:rPr>
        <w:t>培训分类要求，</w:t>
      </w:r>
      <w:r>
        <w:rPr>
          <w:rFonts w:hint="eastAsia" w:ascii="Times New Roman" w:hAnsi="Times New Roman" w:eastAsia="方正仿宋_GBK" w:cs="Times New Roman"/>
          <w:sz w:val="32"/>
          <w:szCs w:val="22"/>
          <w14:ligatures w14:val="standardContextual"/>
        </w:rPr>
        <w:t>对应</w:t>
      </w:r>
      <w:r>
        <w:rPr>
          <w:rFonts w:ascii="Times New Roman" w:hAnsi="Times New Roman" w:eastAsia="方正仿宋_GBK" w:cs="Times New Roman"/>
          <w:sz w:val="32"/>
          <w:szCs w:val="22"/>
          <w14:ligatures w14:val="standardContextual"/>
        </w:rPr>
        <w:t>提出“</w:t>
      </w:r>
      <w:r>
        <w:rPr>
          <w:rFonts w:hint="eastAsia" w:ascii="方正楷体_GBK" w:hAnsi="Times New Roman" w:eastAsia="方正楷体_GBK" w:cs="Times New Roman"/>
          <w:sz w:val="32"/>
          <w:szCs w:val="22"/>
          <w14:ligatures w14:val="standardContextual"/>
        </w:rPr>
        <w:t>考核应区分指挥员类别，分类明确报考条件和组织考核。</w:t>
      </w:r>
      <w:r>
        <w:rPr>
          <w:rFonts w:ascii="Times New Roman" w:hAnsi="Times New Roman" w:eastAsia="方正仿宋_GBK" w:cs="Times New Roman"/>
          <w:sz w:val="32"/>
          <w:szCs w:val="22"/>
          <w14:ligatures w14:val="standardContextual"/>
        </w:rPr>
        <w:t>”“</w:t>
      </w:r>
      <w:r>
        <w:rPr>
          <w:rFonts w:hint="eastAsia" w:ascii="方正楷体_GBK" w:hAnsi="Times New Roman" w:eastAsia="方正楷体_GBK" w:cs="Times New Roman"/>
          <w:sz w:val="32"/>
          <w:szCs w:val="22"/>
          <w14:ligatures w14:val="standardContextual"/>
        </w:rPr>
        <w:t>国家指导省、市两级指挥员考核，省级指导县级及以下、地方森林森林队伍指挥员考核。</w:t>
      </w:r>
      <w:r>
        <w:rPr>
          <w:rFonts w:ascii="Times New Roman" w:hAnsi="Times New Roman" w:eastAsia="方正仿宋_GBK" w:cs="Times New Roman"/>
          <w:sz w:val="32"/>
          <w:szCs w:val="22"/>
          <w14:ligatures w14:val="standardContextual"/>
        </w:rPr>
        <w:t>”等要求；为确保考核公平性和针对性，</w:t>
      </w:r>
      <w:r>
        <w:rPr>
          <w:rFonts w:hint="eastAsia" w:ascii="Times New Roman" w:hAnsi="Times New Roman" w:eastAsia="方正仿宋_GBK" w:cs="Times New Roman"/>
          <w:sz w:val="32"/>
          <w:szCs w:val="22"/>
          <w14:ligatures w14:val="standardContextual"/>
        </w:rPr>
        <w:t>突出</w:t>
      </w:r>
      <w:r>
        <w:rPr>
          <w:rFonts w:ascii="Times New Roman" w:hAnsi="Times New Roman" w:eastAsia="方正仿宋_GBK" w:cs="Times New Roman"/>
          <w:sz w:val="32"/>
          <w:szCs w:val="22"/>
          <w14:ligatures w14:val="standardContextual"/>
        </w:rPr>
        <w:t>地方业务部门</w:t>
      </w:r>
      <w:r>
        <w:rPr>
          <w:rFonts w:hint="eastAsia" w:ascii="Times New Roman" w:hAnsi="Times New Roman" w:eastAsia="方正仿宋_GBK" w:cs="Times New Roman"/>
          <w:sz w:val="32"/>
          <w:szCs w:val="22"/>
          <w14:ligatures w14:val="standardContextual"/>
        </w:rPr>
        <w:t>的</w:t>
      </w:r>
      <w:r>
        <w:rPr>
          <w:rFonts w:ascii="Times New Roman" w:hAnsi="Times New Roman" w:eastAsia="方正仿宋_GBK" w:cs="Times New Roman"/>
          <w:sz w:val="32"/>
          <w:szCs w:val="22"/>
          <w14:ligatures w14:val="standardContextual"/>
        </w:rPr>
        <w:t>主导作用</w:t>
      </w:r>
      <w:r>
        <w:rPr>
          <w:rFonts w:hint="eastAsia" w:ascii="Times New Roman" w:hAnsi="Times New Roman" w:eastAsia="方正仿宋_GBK" w:cs="Times New Roman"/>
          <w:sz w:val="32"/>
          <w:szCs w:val="22"/>
          <w14:ligatures w14:val="standardContextual"/>
        </w:rPr>
        <w:t>及</w:t>
      </w:r>
      <w:r>
        <w:rPr>
          <w:rFonts w:ascii="Times New Roman" w:hAnsi="Times New Roman" w:eastAsia="方正仿宋_GBK" w:cs="Times New Roman"/>
          <w:sz w:val="32"/>
          <w:szCs w:val="22"/>
          <w14:ligatures w14:val="standardContextual"/>
        </w:rPr>
        <w:t>购买</w:t>
      </w:r>
      <w:r>
        <w:rPr>
          <w:rFonts w:hint="eastAsia" w:ascii="Times New Roman" w:hAnsi="Times New Roman" w:eastAsia="方正仿宋_GBK" w:cs="Times New Roman"/>
          <w:sz w:val="32"/>
          <w:szCs w:val="22"/>
          <w14:ligatures w14:val="standardContextual"/>
        </w:rPr>
        <w:t>培训</w:t>
      </w:r>
      <w:r>
        <w:rPr>
          <w:rFonts w:ascii="Times New Roman" w:hAnsi="Times New Roman" w:eastAsia="方正仿宋_GBK" w:cs="Times New Roman"/>
          <w:sz w:val="32"/>
          <w:szCs w:val="22"/>
          <w14:ligatures w14:val="standardContextual"/>
        </w:rPr>
        <w:t>服务</w:t>
      </w:r>
      <w:r>
        <w:rPr>
          <w:rFonts w:hint="eastAsia" w:ascii="Times New Roman" w:hAnsi="Times New Roman" w:eastAsia="方正仿宋_GBK" w:cs="Times New Roman"/>
          <w:sz w:val="32"/>
          <w:szCs w:val="22"/>
          <w14:ligatures w14:val="standardContextual"/>
        </w:rPr>
        <w:t>的</w:t>
      </w:r>
      <w:r>
        <w:rPr>
          <w:rFonts w:ascii="Times New Roman" w:hAnsi="Times New Roman" w:eastAsia="方正仿宋_GBK" w:cs="Times New Roman"/>
          <w:sz w:val="32"/>
          <w:szCs w:val="22"/>
          <w14:ligatures w14:val="standardContextual"/>
        </w:rPr>
        <w:t>现实需求，</w:t>
      </w:r>
      <w:r>
        <w:rPr>
          <w:rFonts w:hint="eastAsia" w:ascii="Times New Roman" w:hAnsi="Times New Roman" w:eastAsia="方正仿宋_GBK" w:cs="Times New Roman"/>
          <w:sz w:val="32"/>
          <w:szCs w:val="22"/>
          <w14:ligatures w14:val="standardContextual"/>
        </w:rPr>
        <w:t>同时</w:t>
      </w:r>
      <w:r>
        <w:rPr>
          <w:rFonts w:ascii="Times New Roman" w:hAnsi="Times New Roman" w:eastAsia="方正仿宋_GBK" w:cs="Times New Roman"/>
          <w:sz w:val="32"/>
          <w:szCs w:val="22"/>
          <w14:ligatures w14:val="standardContextual"/>
        </w:rPr>
        <w:t>依据《行业标准管理办法》关于资质的有关规定，提出由业务主管部门委托第三方考核机构，并对考核机构条件进行明确，地方可以根据实际需要，自主选择符合条件的考核机构，同时对考核组提出要求，确保考核专业性；依据“强化实践”的要求，兼顾打牢理论基础，提出</w:t>
      </w:r>
      <w:r>
        <w:rPr>
          <w:rFonts w:ascii="Times New Roman" w:hAnsi="Times New Roman" w:eastAsia="方正楷体_GBK" w:cs="Times New Roman"/>
          <w:sz w:val="32"/>
          <w:szCs w:val="22"/>
          <w14:ligatures w14:val="standardContextual"/>
        </w:rPr>
        <w:t>“</w:t>
      </w:r>
      <w:r>
        <w:rPr>
          <w:rFonts w:ascii="Times New Roman" w:hAnsi="Times New Roman" w:eastAsia="方正仿宋_GBK" w:cs="Times New Roman"/>
          <w:sz w:val="32"/>
          <w:szCs w:val="22"/>
          <w14:ligatures w14:val="standardContextual"/>
        </w:rPr>
        <w:t>考核应坚持理论和实践结合，包括专业理论考核和实践操作考核2项”</w:t>
      </w:r>
      <w:r>
        <w:rPr>
          <w:rFonts w:hint="eastAsia" w:ascii="Times New Roman" w:hAnsi="Times New Roman" w:eastAsia="方正仿宋_GBK" w:cs="Times New Roman"/>
          <w:sz w:val="32"/>
          <w:szCs w:val="22"/>
          <w14:ligatures w14:val="standardContextual"/>
        </w:rPr>
        <w:t>的要求</w:t>
      </w:r>
      <w:r>
        <w:rPr>
          <w:rFonts w:ascii="Times New Roman" w:hAnsi="Times New Roman" w:eastAsia="方正仿宋_GBK" w:cs="Times New Roman"/>
          <w:sz w:val="32"/>
          <w:szCs w:val="22"/>
          <w14:ligatures w14:val="standardContextual"/>
        </w:rPr>
        <w:t>，并对考核方式</w:t>
      </w:r>
      <w:r>
        <w:rPr>
          <w:rFonts w:hint="eastAsia" w:ascii="Times New Roman" w:hAnsi="Times New Roman" w:eastAsia="方正仿宋_GBK" w:cs="Times New Roman"/>
          <w:sz w:val="32"/>
          <w:szCs w:val="22"/>
          <w14:ligatures w14:val="standardContextual"/>
        </w:rPr>
        <w:t>选择</w:t>
      </w:r>
      <w:r>
        <w:rPr>
          <w:rFonts w:ascii="Times New Roman" w:hAnsi="Times New Roman" w:eastAsia="方正仿宋_GBK" w:cs="Times New Roman"/>
          <w:sz w:val="32"/>
          <w:szCs w:val="22"/>
          <w14:ligatures w14:val="standardContextual"/>
        </w:rPr>
        <w:t>、分值比例设置及组织过程应遵循的要求进行明确。</w:t>
      </w:r>
    </w:p>
    <w:p w14:paraId="1039801E">
      <w:pPr>
        <w:adjustRightInd/>
        <w:spacing w:line="600" w:lineRule="exact"/>
        <w:ind w:firstLine="643" w:firstLineChars="200"/>
        <w:rPr>
          <w:rFonts w:ascii="Times New Roman" w:hAnsi="Times New Roman" w:eastAsia="方正仿宋_GBK" w:cs="Times New Roman"/>
          <w:b/>
          <w:bCs/>
          <w:sz w:val="32"/>
          <w:szCs w:val="22"/>
          <w14:ligatures w14:val="standardContextual"/>
        </w:rPr>
      </w:pPr>
      <w:r>
        <w:rPr>
          <w:rFonts w:ascii="Times New Roman" w:hAnsi="Times New Roman" w:eastAsia="方正仿宋_GBK" w:cs="Times New Roman"/>
          <w:b/>
          <w:bCs/>
          <w:sz w:val="32"/>
          <w:szCs w:val="22"/>
          <w14:ligatures w14:val="standardContextual"/>
        </w:rPr>
        <w:t>6.培训</w:t>
      </w:r>
    </w:p>
    <w:p w14:paraId="6B0E494A">
      <w:pPr>
        <w:adjustRightInd/>
        <w:spacing w:line="600" w:lineRule="exact"/>
        <w:ind w:firstLine="640" w:firstLineChars="200"/>
        <w:rPr>
          <w:rFonts w:ascii="Times New Roman" w:hAnsi="Times New Roman" w:eastAsia="方正仿宋_GBK" w:cs="Times New Roman"/>
          <w:sz w:val="32"/>
          <w:szCs w:val="22"/>
          <w14:ligatures w14:val="standardContextual"/>
        </w:rPr>
      </w:pPr>
      <w:r>
        <w:rPr>
          <w:rFonts w:ascii="Times New Roman" w:hAnsi="Times New Roman" w:eastAsia="方正仿宋_GBK" w:cs="Times New Roman"/>
          <w:sz w:val="32"/>
          <w:szCs w:val="22"/>
          <w14:ligatures w14:val="standardContextual"/>
        </w:rPr>
        <w:t>为突出培训组织的规范性，依据培训要求，对培训对象类别、培训目标、培训流程等内容进行规范。</w:t>
      </w:r>
    </w:p>
    <w:p w14:paraId="1CAA701A">
      <w:pPr>
        <w:adjustRightInd/>
        <w:spacing w:line="600" w:lineRule="exact"/>
        <w:ind w:firstLine="643" w:firstLineChars="200"/>
        <w:rPr>
          <w:rFonts w:ascii="Times New Roman" w:hAnsi="Times New Roman" w:eastAsia="方正仿宋_GBK" w:cs="Times New Roman"/>
          <w:b/>
          <w:bCs/>
          <w:sz w:val="32"/>
          <w:szCs w:val="22"/>
          <w14:ligatures w14:val="standardContextual"/>
        </w:rPr>
      </w:pPr>
      <w:r>
        <w:rPr>
          <w:rFonts w:ascii="Times New Roman" w:hAnsi="Times New Roman" w:eastAsia="方正仿宋_GBK" w:cs="Times New Roman"/>
          <w:b/>
          <w:bCs/>
          <w:sz w:val="32"/>
          <w:szCs w:val="22"/>
          <w14:ligatures w14:val="standardContextual"/>
        </w:rPr>
        <w:t>（1）培训对象类别</w:t>
      </w:r>
    </w:p>
    <w:p w14:paraId="07E77A76">
      <w:pPr>
        <w:wordWrap w:val="0"/>
        <w:adjustRightInd/>
        <w:spacing w:line="600" w:lineRule="exact"/>
        <w:ind w:firstLine="640" w:firstLineChars="200"/>
        <w:rPr>
          <w:rFonts w:ascii="Times New Roman" w:hAnsi="Times New Roman" w:eastAsia="方正仿宋_GBK" w:cs="Times New Roman"/>
          <w:sz w:val="32"/>
          <w:szCs w:val="22"/>
          <w14:ligatures w14:val="standardContextual"/>
        </w:rPr>
      </w:pPr>
      <w:r>
        <w:rPr>
          <w:rFonts w:ascii="Times New Roman" w:hAnsi="Times New Roman" w:eastAsia="方正仿宋_GBK" w:cs="Times New Roman"/>
          <w:sz w:val="32"/>
          <w:szCs w:val="22"/>
          <w14:ligatures w14:val="standardContextual"/>
        </w:rPr>
        <w:t>目前对指挥员分级</w:t>
      </w:r>
      <w:r>
        <w:rPr>
          <w:rFonts w:hint="eastAsia" w:ascii="Times New Roman" w:hAnsi="Times New Roman" w:eastAsia="方正仿宋_GBK" w:cs="Times New Roman"/>
          <w:sz w:val="32"/>
          <w:szCs w:val="22"/>
          <w14:ligatures w14:val="standardContextual"/>
        </w:rPr>
        <w:t>分类</w:t>
      </w:r>
      <w:r>
        <w:rPr>
          <w:rFonts w:ascii="Times New Roman" w:hAnsi="Times New Roman" w:eastAsia="方正仿宋_GBK" w:cs="Times New Roman"/>
          <w:sz w:val="32"/>
          <w:szCs w:val="22"/>
          <w14:ligatures w14:val="standardContextual"/>
        </w:rPr>
        <w:t>尚无明确的法理依据和政策支撑，</w:t>
      </w:r>
      <w:r>
        <w:rPr>
          <w:rFonts w:hint="eastAsia" w:ascii="Times New Roman" w:hAnsi="Times New Roman" w:eastAsia="方正仿宋_GBK" w:cs="Times New Roman"/>
          <w:sz w:val="32"/>
          <w:szCs w:val="22"/>
          <w14:ligatures w14:val="standardContextual"/>
        </w:rPr>
        <w:t>但是</w:t>
      </w:r>
      <w:r>
        <w:rPr>
          <w:rFonts w:ascii="Times New Roman" w:hAnsi="Times New Roman" w:eastAsia="方正仿宋_GBK" w:cs="Times New Roman"/>
          <w:sz w:val="32"/>
          <w:szCs w:val="22"/>
          <w14:ligatures w14:val="standardContextual"/>
        </w:rPr>
        <w:t>依据国家森防指《关于健全完善地方森林草原防灭火工作机制的指导意见（国森防发﹝2020﹞7号）》《扑救森林草原火灾现场指挥机制（国森防发﹝2021﹞1号）》</w:t>
      </w:r>
      <w:r>
        <w:rPr>
          <w:rFonts w:hint="eastAsia" w:ascii="Times New Roman" w:hAnsi="Times New Roman" w:eastAsia="方正仿宋_GBK" w:cs="Times New Roman"/>
          <w:sz w:val="32"/>
          <w:szCs w:val="22"/>
          <w14:ligatures w14:val="standardContextual"/>
        </w:rPr>
        <w:t>中</w:t>
      </w:r>
      <w:r>
        <w:rPr>
          <w:rFonts w:ascii="Times New Roman" w:hAnsi="Times New Roman" w:eastAsia="方正仿宋_GBK" w:cs="Times New Roman"/>
          <w:sz w:val="32"/>
          <w:szCs w:val="22"/>
          <w14:ligatures w14:val="standardContextual"/>
        </w:rPr>
        <w:t>，关于火灾现场指挥部运行、人员组成及指挥任务的相关规定</w:t>
      </w:r>
      <w:r>
        <w:rPr>
          <w:rFonts w:hint="eastAsia" w:ascii="Times New Roman" w:hAnsi="Times New Roman" w:eastAsia="方正仿宋_GBK" w:cs="Times New Roman"/>
          <w:sz w:val="32"/>
          <w:szCs w:val="22"/>
          <w14:ligatures w14:val="standardContextual"/>
        </w:rPr>
        <w:t>表明</w:t>
      </w:r>
      <w:r>
        <w:rPr>
          <w:rFonts w:ascii="Times New Roman" w:hAnsi="Times New Roman" w:eastAsia="方正仿宋_GBK" w:cs="Times New Roman"/>
          <w:sz w:val="32"/>
          <w:szCs w:val="22"/>
          <w14:ligatures w14:val="standardContextual"/>
        </w:rPr>
        <w:t>，地方参与火灾扑救指挥的人员主要</w:t>
      </w:r>
      <w:r>
        <w:rPr>
          <w:rFonts w:hint="eastAsia" w:ascii="Times New Roman" w:hAnsi="Times New Roman" w:eastAsia="方正仿宋_GBK" w:cs="Times New Roman"/>
          <w:sz w:val="32"/>
          <w:szCs w:val="22"/>
          <w14:ligatures w14:val="standardContextual"/>
        </w:rPr>
        <w:t>包括</w:t>
      </w:r>
      <w:r>
        <w:rPr>
          <w:rFonts w:ascii="Times New Roman" w:hAnsi="Times New Roman" w:eastAsia="方正仿宋_GBK" w:cs="Times New Roman"/>
          <w:sz w:val="32"/>
          <w:szCs w:val="22"/>
          <w14:ligatures w14:val="standardContextual"/>
        </w:rPr>
        <w:t>2个方向</w:t>
      </w:r>
      <w:r>
        <w:rPr>
          <w:rFonts w:hint="eastAsia" w:ascii="Times New Roman" w:hAnsi="Times New Roman" w:eastAsia="方正仿宋_GBK" w:cs="Times New Roman"/>
          <w:sz w:val="32"/>
          <w:szCs w:val="22"/>
          <w14:ligatures w14:val="standardContextual"/>
        </w:rPr>
        <w:t>：</w:t>
      </w:r>
      <w:r>
        <w:rPr>
          <w:rFonts w:ascii="Times New Roman" w:hAnsi="Times New Roman" w:eastAsia="方正仿宋_GBK" w:cs="Times New Roman"/>
          <w:sz w:val="32"/>
          <w:szCs w:val="22"/>
          <w14:ligatures w14:val="standardContextual"/>
        </w:rPr>
        <w:t>一是业务有关业务人员，包括现场指挥部总指挥、副总指挥、调度长以及有关工作组等</w:t>
      </w:r>
      <w:r>
        <w:rPr>
          <w:rFonts w:hint="eastAsia" w:ascii="Times New Roman" w:hAnsi="Times New Roman" w:eastAsia="方正仿宋_GBK" w:cs="Times New Roman"/>
          <w:sz w:val="32"/>
          <w:szCs w:val="22"/>
          <w14:ligatures w14:val="standardContextual"/>
        </w:rPr>
        <w:t>，</w:t>
      </w:r>
      <w:r>
        <w:rPr>
          <w:rFonts w:ascii="Times New Roman" w:hAnsi="Times New Roman" w:eastAsia="方正仿宋_GBK" w:cs="Times New Roman"/>
          <w:sz w:val="32"/>
          <w:szCs w:val="22"/>
          <w14:ligatures w14:val="standardContextual"/>
        </w:rPr>
        <w:t>通常属于在编行政人员</w:t>
      </w:r>
      <w:r>
        <w:rPr>
          <w:rFonts w:hint="eastAsia" w:ascii="Times New Roman" w:hAnsi="Times New Roman" w:eastAsia="方正仿宋_GBK" w:cs="Times New Roman"/>
          <w:sz w:val="32"/>
          <w:szCs w:val="22"/>
          <w14:ligatures w14:val="standardContextual"/>
        </w:rPr>
        <w:t>，</w:t>
      </w:r>
      <w:r>
        <w:rPr>
          <w:rFonts w:ascii="Times New Roman" w:hAnsi="Times New Roman" w:eastAsia="方正仿宋_GBK" w:cs="Times New Roman"/>
          <w:sz w:val="32"/>
          <w:szCs w:val="22"/>
          <w14:ligatures w14:val="standardContextual"/>
        </w:rPr>
        <w:t>其中总指挥由地方行政首长担任，副总指挥主要由经验丰富的领导及行业专家等担任，调度长主要由森防指办公室负责人或行业主管部门分管领导担任，救援指挥组由</w:t>
      </w:r>
      <w:r>
        <w:rPr>
          <w:rFonts w:hint="eastAsia" w:ascii="Times New Roman" w:hAnsi="Times New Roman" w:eastAsia="方正仿宋_GBK" w:cs="Times New Roman"/>
          <w:sz w:val="32"/>
          <w:szCs w:val="22"/>
          <w14:ligatures w14:val="standardContextual"/>
        </w:rPr>
        <w:t>有</w:t>
      </w:r>
      <w:r>
        <w:rPr>
          <w:rFonts w:ascii="Times New Roman" w:hAnsi="Times New Roman" w:eastAsia="方正仿宋_GBK" w:cs="Times New Roman"/>
          <w:sz w:val="32"/>
          <w:szCs w:val="22"/>
          <w14:ligatures w14:val="standardContextual"/>
        </w:rPr>
        <w:t>关业务岗位人员组成，这些人员都需要熟悉扑救指挥业务</w:t>
      </w:r>
      <w:r>
        <w:rPr>
          <w:rFonts w:ascii="Times New Roman" w:hAnsi="Times New Roman" w:eastAsia="方正仿宋_GBK" w:cs="Times New Roman"/>
          <w:b/>
          <w:bCs/>
          <w:sz w:val="32"/>
          <w:szCs w:val="22"/>
          <w14:ligatures w14:val="standardContextual"/>
        </w:rPr>
        <w:t>，</w:t>
      </w:r>
      <w:r>
        <w:rPr>
          <w:rFonts w:hint="eastAsia" w:ascii="Times New Roman" w:hAnsi="Times New Roman" w:eastAsia="方正仿宋_GBK" w:cs="Times New Roman"/>
          <w:b/>
          <w:bCs/>
          <w:sz w:val="32"/>
          <w:szCs w:val="22"/>
          <w14:ligatures w14:val="standardContextual"/>
        </w:rPr>
        <w:t>任务内容</w:t>
      </w:r>
      <w:r>
        <w:rPr>
          <w:rFonts w:ascii="Times New Roman" w:hAnsi="Times New Roman" w:eastAsia="方正仿宋_GBK" w:cs="Times New Roman"/>
          <w:b/>
          <w:bCs/>
          <w:sz w:val="32"/>
          <w:szCs w:val="22"/>
          <w14:ligatures w14:val="standardContextual"/>
        </w:rPr>
        <w:t>偏向于综合研判、统筹协调，指挥协同等</w:t>
      </w:r>
      <w:r>
        <w:rPr>
          <w:rFonts w:hint="eastAsia" w:ascii="Times New Roman" w:hAnsi="Times New Roman" w:eastAsia="方正仿宋_GBK" w:cs="Times New Roman"/>
          <w:sz w:val="32"/>
          <w:szCs w:val="22"/>
          <w14:ligatures w14:val="standardContextual"/>
        </w:rPr>
        <w:t>。</w:t>
      </w:r>
      <w:r>
        <w:rPr>
          <w:rFonts w:ascii="Times New Roman" w:hAnsi="Times New Roman" w:eastAsia="方正仿宋_GBK" w:cs="Times New Roman"/>
          <w:sz w:val="32"/>
          <w:szCs w:val="22"/>
          <w14:ligatures w14:val="standardContextual"/>
        </w:rPr>
        <w:t>另外依据《国家森林草原火灾应急预案》规定“</w:t>
      </w:r>
      <w:r>
        <w:rPr>
          <w:rFonts w:ascii="Times New Roman" w:hAnsi="Times New Roman" w:eastAsia="方正仿宋_GBK" w:cs="Times New Roman"/>
          <w:color w:val="333333"/>
          <w:sz w:val="32"/>
          <w:szCs w:val="22"/>
          <w14:ligatures w14:val="standardContextual"/>
        </w:rPr>
        <w:t>森林草原火灾应对工作坚持统一领导、协调联动，</w:t>
      </w:r>
      <w:r>
        <w:rPr>
          <w:rFonts w:ascii="Times New Roman" w:hAnsi="Times New Roman" w:eastAsia="方正仿宋_GBK" w:cs="Times New Roman"/>
          <w:b/>
          <w:bCs/>
          <w:color w:val="333333"/>
          <w:sz w:val="32"/>
          <w:szCs w:val="22"/>
          <w14:ligatures w14:val="standardContextual"/>
        </w:rPr>
        <w:t>分级负责、属地为主，</w:t>
      </w:r>
      <w:r>
        <w:rPr>
          <w:rFonts w:ascii="Times New Roman" w:hAnsi="Times New Roman" w:eastAsia="方正仿宋_GBK" w:cs="Times New Roman"/>
          <w:color w:val="333333"/>
          <w:sz w:val="32"/>
          <w:szCs w:val="22"/>
          <w14:ligatures w14:val="standardContextual"/>
        </w:rPr>
        <w:t>以人为本、科学扑救，快速反应、安全高效的原则”。</w:t>
      </w:r>
      <w:r>
        <w:rPr>
          <w:rFonts w:hint="eastAsia" w:ascii="Times New Roman" w:hAnsi="Times New Roman" w:eastAsia="方正仿宋_GBK" w:cs="Times New Roman"/>
          <w:color w:val="333333"/>
          <w:sz w:val="32"/>
          <w:szCs w:val="22"/>
          <w14:ligatures w14:val="standardContextual"/>
        </w:rPr>
        <w:t>要求</w:t>
      </w:r>
      <w:r>
        <w:rPr>
          <w:rFonts w:ascii="Times New Roman" w:hAnsi="Times New Roman" w:eastAsia="方正仿宋_GBK" w:cs="Times New Roman"/>
          <w:color w:val="333333"/>
          <w:sz w:val="32"/>
          <w:szCs w:val="22"/>
          <w14:ligatures w14:val="standardContextual"/>
        </w:rPr>
        <w:t>不同等级行政区域要按照上下基本对应，结合实际制定森林草原防灭火预案，故</w:t>
      </w:r>
      <w:r>
        <w:rPr>
          <w:rFonts w:ascii="Times New Roman" w:hAnsi="Times New Roman" w:eastAsia="方正仿宋_GBK" w:cs="Times New Roman"/>
          <w:b/>
          <w:bCs/>
          <w:color w:val="333333"/>
          <w:sz w:val="32"/>
          <w:szCs w:val="22"/>
          <w14:ligatures w14:val="standardContextual"/>
        </w:rPr>
        <w:t>建议将业务部门的指挥员分类与属地行政等级关联</w:t>
      </w:r>
      <w:r>
        <w:rPr>
          <w:rFonts w:ascii="Times New Roman" w:hAnsi="Times New Roman" w:eastAsia="方正仿宋_GBK" w:cs="Times New Roman"/>
          <w:b/>
          <w:bCs/>
          <w:sz w:val="32"/>
          <w:szCs w:val="22"/>
          <w14:ligatures w14:val="standardContextual"/>
        </w:rPr>
        <w:t>，</w:t>
      </w:r>
      <w:r>
        <w:rPr>
          <w:rFonts w:hint="eastAsia" w:ascii="Times New Roman" w:hAnsi="Times New Roman" w:eastAsia="方正仿宋_GBK" w:cs="Times New Roman"/>
          <w:b/>
          <w:bCs/>
          <w:sz w:val="32"/>
          <w:szCs w:val="22"/>
          <w14:ligatures w14:val="standardContextual"/>
        </w:rPr>
        <w:t>即</w:t>
      </w:r>
      <w:r>
        <w:rPr>
          <w:rFonts w:ascii="Times New Roman" w:hAnsi="Times New Roman" w:eastAsia="方正仿宋_GBK" w:cs="Times New Roman"/>
          <w:b/>
          <w:bCs/>
          <w:sz w:val="32"/>
          <w:szCs w:val="22"/>
          <w14:ligatures w14:val="standardContextual"/>
        </w:rPr>
        <w:t>按照县级及以下、市级、省级进行</w:t>
      </w:r>
      <w:r>
        <w:rPr>
          <w:rFonts w:hint="eastAsia" w:ascii="Times New Roman" w:hAnsi="Times New Roman" w:eastAsia="方正仿宋_GBK" w:cs="Times New Roman"/>
          <w:b/>
          <w:bCs/>
          <w:sz w:val="32"/>
          <w:szCs w:val="22"/>
          <w14:ligatures w14:val="standardContextual"/>
        </w:rPr>
        <w:t>再</w:t>
      </w:r>
      <w:r>
        <w:rPr>
          <w:rFonts w:ascii="Times New Roman" w:hAnsi="Times New Roman" w:eastAsia="方正仿宋_GBK" w:cs="Times New Roman"/>
          <w:b/>
          <w:bCs/>
          <w:sz w:val="32"/>
          <w:szCs w:val="22"/>
          <w14:ligatures w14:val="standardContextual"/>
        </w:rPr>
        <w:t>分类，</w:t>
      </w:r>
      <w:r>
        <w:rPr>
          <w:rFonts w:ascii="Times New Roman" w:hAnsi="Times New Roman" w:eastAsia="方正仿宋_GBK" w:cs="Times New Roman"/>
          <w:sz w:val="32"/>
          <w:szCs w:val="22"/>
          <w14:ligatures w14:val="standardContextual"/>
        </w:rPr>
        <w:t>以增强培训针对性</w:t>
      </w:r>
      <w:r>
        <w:rPr>
          <w:rFonts w:hint="eastAsia" w:ascii="Times New Roman" w:hAnsi="Times New Roman" w:eastAsia="方正仿宋_GBK" w:cs="Times New Roman"/>
          <w:sz w:val="32"/>
          <w:szCs w:val="22"/>
          <w14:ligatures w14:val="standardContextual"/>
        </w:rPr>
        <w:t>，也更便于界定培训对象，提升工作便利性。</w:t>
      </w:r>
    </w:p>
    <w:p w14:paraId="663D17C5">
      <w:pPr>
        <w:wordWrap w:val="0"/>
        <w:adjustRightInd/>
        <w:spacing w:line="600" w:lineRule="exact"/>
        <w:ind w:firstLine="640" w:firstLineChars="200"/>
        <w:rPr>
          <w:rFonts w:ascii="Times New Roman" w:hAnsi="Times New Roman" w:eastAsia="方正仿宋_GBK" w:cs="Times New Roman"/>
          <w:sz w:val="32"/>
          <w:szCs w:val="22"/>
          <w14:ligatures w14:val="standardContextual"/>
        </w:rPr>
      </w:pPr>
      <w:r>
        <w:rPr>
          <w:rFonts w:ascii="Times New Roman" w:hAnsi="Times New Roman" w:eastAsia="方正仿宋_GBK" w:cs="Times New Roman"/>
          <w:sz w:val="32"/>
          <w:szCs w:val="22"/>
          <w14:ligatures w14:val="standardContextual"/>
        </w:rPr>
        <w:t>二是地方森林消防队伍指挥员，调研显示，这部分指挥员有的是</w:t>
      </w:r>
      <w:r>
        <w:rPr>
          <w:rFonts w:hint="eastAsia" w:ascii="Times New Roman" w:hAnsi="Times New Roman" w:eastAsia="方正仿宋_GBK" w:cs="Times New Roman"/>
          <w:sz w:val="32"/>
          <w:szCs w:val="22"/>
          <w14:ligatures w14:val="standardContextual"/>
        </w:rPr>
        <w:t>由</w:t>
      </w:r>
      <w:r>
        <w:rPr>
          <w:rFonts w:ascii="Times New Roman" w:hAnsi="Times New Roman" w:eastAsia="方正仿宋_GBK" w:cs="Times New Roman"/>
          <w:sz w:val="32"/>
          <w:szCs w:val="22"/>
          <w14:ligatures w14:val="standardContextual"/>
        </w:rPr>
        <w:t>业务主管部门任命的在编</w:t>
      </w:r>
      <w:r>
        <w:rPr>
          <w:rFonts w:hint="eastAsia" w:ascii="Times New Roman" w:hAnsi="Times New Roman" w:eastAsia="方正仿宋_GBK" w:cs="Times New Roman"/>
          <w:sz w:val="32"/>
          <w:szCs w:val="22"/>
          <w14:ligatures w14:val="standardContextual"/>
        </w:rPr>
        <w:t>工作人员</w:t>
      </w:r>
      <w:r>
        <w:rPr>
          <w:rFonts w:ascii="Times New Roman" w:hAnsi="Times New Roman" w:eastAsia="方正仿宋_GBK" w:cs="Times New Roman"/>
          <w:sz w:val="32"/>
          <w:szCs w:val="22"/>
          <w14:ligatures w14:val="standardContextual"/>
        </w:rPr>
        <w:t>，有的是聘任制非编人员，主要任务是在现场指挥部领导下完成火灾扑救</w:t>
      </w:r>
      <w:r>
        <w:rPr>
          <w:rFonts w:hint="eastAsia" w:ascii="Times New Roman" w:hAnsi="Times New Roman" w:eastAsia="方正仿宋_GBK" w:cs="Times New Roman"/>
          <w:sz w:val="32"/>
          <w:szCs w:val="22"/>
          <w14:ligatures w14:val="standardContextual"/>
        </w:rPr>
        <w:t>指挥</w:t>
      </w:r>
      <w:r>
        <w:rPr>
          <w:rFonts w:ascii="Times New Roman" w:hAnsi="Times New Roman" w:eastAsia="方正仿宋_GBK" w:cs="Times New Roman"/>
          <w:sz w:val="32"/>
          <w:szCs w:val="22"/>
          <w14:ligatures w14:val="standardContextual"/>
        </w:rPr>
        <w:t>任务，</w:t>
      </w:r>
      <w:r>
        <w:rPr>
          <w:rFonts w:hint="eastAsia" w:ascii="Times New Roman" w:hAnsi="Times New Roman" w:eastAsia="方正仿宋_GBK" w:cs="Times New Roman"/>
          <w:sz w:val="32"/>
          <w:szCs w:val="22"/>
          <w14:ligatures w14:val="standardContextual"/>
        </w:rPr>
        <w:t>虽然</w:t>
      </w:r>
      <w:r>
        <w:rPr>
          <w:rFonts w:ascii="Times New Roman" w:hAnsi="Times New Roman" w:eastAsia="方正仿宋_GBK" w:cs="Times New Roman"/>
          <w:sz w:val="32"/>
          <w:szCs w:val="22"/>
          <w14:ligatures w14:val="standardContextual"/>
        </w:rPr>
        <w:t>部分地方（常见于县级及以下）现场指挥部将</w:t>
      </w:r>
      <w:r>
        <w:rPr>
          <w:rFonts w:hint="eastAsia" w:ascii="Times New Roman" w:hAnsi="Times New Roman" w:eastAsia="方正仿宋_GBK" w:cs="Times New Roman"/>
          <w:sz w:val="32"/>
          <w:szCs w:val="22"/>
          <w14:ligatures w14:val="standardContextual"/>
        </w:rPr>
        <w:t>地方队伍</w:t>
      </w:r>
      <w:r>
        <w:rPr>
          <w:rFonts w:ascii="Times New Roman" w:hAnsi="Times New Roman" w:eastAsia="方正仿宋_GBK" w:cs="Times New Roman"/>
          <w:sz w:val="32"/>
          <w:szCs w:val="22"/>
          <w14:ligatures w14:val="standardContextual"/>
        </w:rPr>
        <w:t>指挥员纳入指挥部（如担任专业副总指挥），但</w:t>
      </w:r>
      <w:r>
        <w:rPr>
          <w:rFonts w:hint="eastAsia" w:ascii="Times New Roman" w:hAnsi="Times New Roman" w:eastAsia="方正仿宋_GBK" w:cs="Times New Roman"/>
          <w:sz w:val="32"/>
          <w:szCs w:val="22"/>
          <w14:ligatures w14:val="standardContextual"/>
        </w:rPr>
        <w:t>其</w:t>
      </w:r>
      <w:r>
        <w:rPr>
          <w:rFonts w:ascii="Times New Roman" w:hAnsi="Times New Roman" w:eastAsia="方正仿宋_GBK" w:cs="Times New Roman"/>
          <w:sz w:val="32"/>
          <w:szCs w:val="22"/>
          <w14:ligatures w14:val="standardContextual"/>
        </w:rPr>
        <w:t>任务</w:t>
      </w:r>
      <w:r>
        <w:rPr>
          <w:rFonts w:hint="eastAsia" w:ascii="Times New Roman" w:hAnsi="Times New Roman" w:eastAsia="方正仿宋_GBK" w:cs="Times New Roman"/>
          <w:sz w:val="32"/>
          <w:szCs w:val="22"/>
          <w14:ligatures w14:val="standardContextual"/>
        </w:rPr>
        <w:t>大多还是集中于</w:t>
      </w:r>
      <w:r>
        <w:rPr>
          <w:rFonts w:ascii="Times New Roman" w:hAnsi="Times New Roman" w:eastAsia="方正仿宋_GBK" w:cs="Times New Roman"/>
          <w:sz w:val="32"/>
          <w:szCs w:val="22"/>
          <w14:ligatures w14:val="standardContextual"/>
        </w:rPr>
        <w:t>火场一线指挥（也被称为“线段指挥员”）</w:t>
      </w:r>
      <w:r>
        <w:rPr>
          <w:rFonts w:hint="eastAsia" w:ascii="Times New Roman" w:hAnsi="Times New Roman" w:eastAsia="方正仿宋_GBK" w:cs="Times New Roman"/>
          <w:sz w:val="32"/>
          <w:szCs w:val="22"/>
          <w14:ligatures w14:val="standardContextual"/>
        </w:rPr>
        <w:t>，所以建议单列一类。另外，</w:t>
      </w:r>
      <w:r>
        <w:rPr>
          <w:rFonts w:ascii="Times New Roman" w:hAnsi="Times New Roman" w:eastAsia="方正仿宋_GBK" w:cs="Times New Roman"/>
          <w:b/>
          <w:bCs/>
          <w:sz w:val="32"/>
          <w:szCs w:val="22"/>
          <w14:ligatures w14:val="standardContextual"/>
        </w:rPr>
        <w:t>特别强调，</w:t>
      </w:r>
      <w:r>
        <w:rPr>
          <w:rFonts w:hint="eastAsia" w:ascii="Times New Roman" w:hAnsi="Times New Roman" w:eastAsia="方正仿宋_GBK" w:cs="Times New Roman"/>
          <w:sz w:val="32"/>
          <w:szCs w:val="22"/>
          <w14:ligatures w14:val="standardContextual"/>
        </w:rPr>
        <w:t>地</w:t>
      </w:r>
      <w:r>
        <w:rPr>
          <w:rFonts w:ascii="Times New Roman" w:hAnsi="Times New Roman" w:eastAsia="方正仿宋_GBK" w:cs="Times New Roman"/>
          <w:sz w:val="32"/>
          <w:szCs w:val="22"/>
          <w14:ligatures w14:val="standardContextual"/>
        </w:rPr>
        <w:t>方行政首长任现场指挥部总指挥，主要任务是火灾扑救指挥统筹决策，同样需要学习有关业务知识和技能，考虑现实可操作性和分管业务方向的现实需求，建议这部分人员归</w:t>
      </w:r>
      <w:r>
        <w:rPr>
          <w:rFonts w:hint="eastAsia" w:ascii="Times New Roman" w:hAnsi="Times New Roman" w:eastAsia="方正仿宋_GBK" w:cs="Times New Roman"/>
          <w:sz w:val="32"/>
          <w:szCs w:val="22"/>
          <w14:ligatures w14:val="standardContextual"/>
        </w:rPr>
        <w:t>类</w:t>
      </w:r>
      <w:r>
        <w:rPr>
          <w:rFonts w:ascii="Times New Roman" w:hAnsi="Times New Roman" w:eastAsia="方正仿宋_GBK" w:cs="Times New Roman"/>
          <w:sz w:val="32"/>
          <w:szCs w:val="22"/>
          <w14:ligatures w14:val="standardContextual"/>
        </w:rPr>
        <w:t>为业务部门指挥员。</w:t>
      </w:r>
    </w:p>
    <w:p w14:paraId="4D72126F">
      <w:pPr>
        <w:wordWrap w:val="0"/>
        <w:adjustRightInd/>
        <w:spacing w:line="600" w:lineRule="exact"/>
        <w:ind w:firstLine="640" w:firstLineChars="200"/>
        <w:rPr>
          <w:rFonts w:ascii="Times New Roman" w:hAnsi="Times New Roman" w:eastAsia="方正仿宋_GBK" w:cs="Times New Roman"/>
          <w:color w:val="333333"/>
          <w:sz w:val="32"/>
          <w:szCs w:val="22"/>
          <w14:ligatures w14:val="standardContextual"/>
        </w:rPr>
      </w:pPr>
      <w:r>
        <w:rPr>
          <w:rFonts w:ascii="Times New Roman" w:hAnsi="Times New Roman" w:eastAsia="方正仿宋_GBK" w:cs="Times New Roman"/>
          <w:sz w:val="32"/>
          <w:szCs w:val="22"/>
          <w14:ligatures w14:val="standardContextual"/>
        </w:rPr>
        <w:t>综上，</w:t>
      </w:r>
      <w:r>
        <w:rPr>
          <w:rFonts w:hint="eastAsia" w:ascii="Times New Roman" w:hAnsi="Times New Roman" w:eastAsia="方正仿宋_GBK" w:cs="Times New Roman"/>
          <w:color w:val="333333"/>
          <w:sz w:val="32"/>
          <w:szCs w:val="22"/>
          <w14:ligatures w14:val="standardContextual"/>
        </w:rPr>
        <w:t>提出</w:t>
      </w:r>
      <w:r>
        <w:rPr>
          <w:rFonts w:ascii="Times New Roman" w:hAnsi="Times New Roman" w:eastAsia="方正仿宋_GBK" w:cs="Times New Roman"/>
          <w:color w:val="333333"/>
          <w:sz w:val="32"/>
          <w:szCs w:val="22"/>
          <w14:ligatures w14:val="standardContextual"/>
        </w:rPr>
        <w:t>指挥员分为：地方森林草原防灭火有关业务部门火灾扑救指挥员（以下简称“业务部门指挥员”）和地方森林草原消防队伍指挥员（以下简称“队伍指挥员”）2类，前者包括县级及以下、市级、省级3类。</w:t>
      </w:r>
    </w:p>
    <w:p w14:paraId="0CB6CF49">
      <w:pPr>
        <w:adjustRightInd/>
        <w:spacing w:line="600" w:lineRule="exact"/>
        <w:ind w:firstLine="643" w:firstLineChars="200"/>
        <w:rPr>
          <w:rFonts w:ascii="Times New Roman" w:hAnsi="Times New Roman" w:eastAsia="方正仿宋_GBK" w:cs="Times New Roman"/>
          <w:b/>
          <w:bCs/>
          <w:sz w:val="32"/>
          <w:szCs w:val="22"/>
          <w14:ligatures w14:val="standardContextual"/>
        </w:rPr>
      </w:pPr>
      <w:r>
        <w:rPr>
          <w:rFonts w:ascii="Times New Roman" w:hAnsi="Times New Roman" w:eastAsia="方正仿宋_GBK" w:cs="Times New Roman"/>
          <w:b/>
          <w:bCs/>
          <w:sz w:val="32"/>
          <w:szCs w:val="22"/>
          <w14:ligatures w14:val="standardContextual"/>
        </w:rPr>
        <w:t>（2）培训目标</w:t>
      </w:r>
    </w:p>
    <w:p w14:paraId="609D65C1">
      <w:pPr>
        <w:adjustRightInd/>
        <w:spacing w:line="600" w:lineRule="exact"/>
        <w:ind w:firstLine="640" w:firstLineChars="200"/>
        <w:rPr>
          <w:rFonts w:ascii="Times New Roman" w:hAnsi="Times New Roman" w:eastAsia="方正仿宋_GBK" w:cs="Times New Roman"/>
          <w:sz w:val="32"/>
          <w:szCs w:val="22"/>
          <w14:ligatures w14:val="standardContextual"/>
        </w:rPr>
      </w:pPr>
      <w:r>
        <w:rPr>
          <w:rFonts w:ascii="Times New Roman" w:hAnsi="Times New Roman" w:eastAsia="方正仿宋_GBK" w:cs="Times New Roman"/>
          <w:sz w:val="32"/>
          <w:szCs w:val="22"/>
          <w14:ligatures w14:val="standardContextual"/>
        </w:rPr>
        <w:t>依据《国家森林草原火灾应急预案》“3.组织指挥体系”以及“6.1分级响应”部分关于不同等级规模火灾及跨区域火灾处置指挥相关规定，</w:t>
      </w:r>
      <w:r>
        <w:rPr>
          <w:rFonts w:hint="eastAsia" w:ascii="Times New Roman" w:hAnsi="Times New Roman" w:eastAsia="方正仿宋_GBK" w:cs="Times New Roman"/>
          <w:sz w:val="32"/>
          <w:szCs w:val="22"/>
          <w14:ligatures w14:val="standardContextual"/>
        </w:rPr>
        <w:t>结合</w:t>
      </w:r>
      <w:r>
        <w:rPr>
          <w:rFonts w:ascii="Times New Roman" w:hAnsi="Times New Roman" w:eastAsia="方正仿宋_GBK" w:cs="Times New Roman"/>
          <w:sz w:val="32"/>
          <w:szCs w:val="22"/>
          <w14:ligatures w14:val="standardContextual"/>
        </w:rPr>
        <w:t>指挥员任务特征，分类明确培训目标。其中</w:t>
      </w:r>
      <w:r>
        <w:rPr>
          <w:rFonts w:ascii="Times New Roman" w:hAnsi="Times New Roman" w:eastAsia="方正仿宋_GBK" w:cs="Times New Roman"/>
          <w:color w:val="333333"/>
          <w:sz w:val="32"/>
          <w:szCs w:val="22"/>
          <w14:ligatures w14:val="standardContextual"/>
        </w:rPr>
        <w:t>业务部门火灾扑救指挥员突出火情综合研判、指挥调度、协调控制、综合统筹及协调保障等方面的能力，</w:t>
      </w:r>
      <w:r>
        <w:rPr>
          <w:rFonts w:ascii="Times New Roman" w:hAnsi="Times New Roman" w:eastAsia="方正仿宋简体" w:cs="Times New Roman"/>
          <w:sz w:val="32"/>
          <w:szCs w:val="32"/>
          <w14:ligatures w14:val="standardContextual"/>
        </w:rPr>
        <w:t>同时兼顾地方特点需求，提出具备按照本级预案完成火灾扑救指挥任务的能力。</w:t>
      </w:r>
      <w:r>
        <w:rPr>
          <w:rFonts w:ascii="Times New Roman" w:hAnsi="Times New Roman" w:eastAsia="方正仿宋_GBK" w:cs="Times New Roman"/>
          <w:color w:val="333333"/>
          <w:sz w:val="32"/>
          <w:szCs w:val="22"/>
          <w14:ligatures w14:val="standardContextual"/>
        </w:rPr>
        <w:t>地方森林草原消防队伍指挥员则突出落实现场指挥部决策、完成线段指挥任务的能力需求。</w:t>
      </w:r>
    </w:p>
    <w:p w14:paraId="5310A28E">
      <w:pPr>
        <w:adjustRightInd/>
        <w:spacing w:line="600" w:lineRule="exact"/>
        <w:ind w:firstLine="643" w:firstLineChars="200"/>
        <w:rPr>
          <w:rFonts w:ascii="Times New Roman" w:hAnsi="Times New Roman" w:eastAsia="方正仿宋_GBK" w:cs="Times New Roman"/>
          <w:b/>
          <w:bCs/>
          <w:sz w:val="32"/>
          <w:szCs w:val="22"/>
          <w14:ligatures w14:val="standardContextual"/>
        </w:rPr>
      </w:pPr>
      <w:r>
        <w:rPr>
          <w:rFonts w:ascii="Times New Roman" w:hAnsi="Times New Roman" w:eastAsia="方正仿宋_GBK" w:cs="Times New Roman"/>
          <w:b/>
          <w:bCs/>
          <w:sz w:val="32"/>
          <w:szCs w:val="22"/>
          <w14:ligatures w14:val="standardContextual"/>
        </w:rPr>
        <w:t>（3）培训内容</w:t>
      </w:r>
    </w:p>
    <w:p w14:paraId="4A114952">
      <w:pPr>
        <w:adjustRightInd/>
        <w:spacing w:line="600" w:lineRule="exact"/>
        <w:ind w:firstLine="640" w:firstLineChars="200"/>
        <w:rPr>
          <w:rFonts w:ascii="Times New Roman" w:hAnsi="Times New Roman" w:eastAsia="方正仿宋_GBK" w:cs="Times New Roman"/>
          <w:b/>
          <w:bCs/>
          <w:sz w:val="32"/>
          <w:szCs w:val="22"/>
          <w14:ligatures w14:val="standardContextual"/>
        </w:rPr>
      </w:pPr>
      <w:r>
        <w:rPr>
          <w:rFonts w:ascii="Times New Roman" w:hAnsi="Times New Roman" w:eastAsia="方正仿宋简体" w:cs="Times New Roman"/>
          <w:sz w:val="32"/>
          <w:szCs w:val="32"/>
          <w14:ligatures w14:val="standardContextual"/>
        </w:rPr>
        <w:t>根据指挥员培训目标，综合调研意见，内容设置上突出知识能力的系统性和针对性，全要素覆盖指挥能力需求，设计灭火基础、灭火技术、灭火装备、灭火战术、灭火指挥、灭火安全等6个课目</w:t>
      </w:r>
      <w:r>
        <w:rPr>
          <w:rFonts w:hint="eastAsia" w:ascii="Times New Roman" w:hAnsi="Times New Roman" w:eastAsia="方正仿宋简体" w:cs="Times New Roman"/>
          <w:sz w:val="32"/>
          <w:szCs w:val="32"/>
          <w14:ligatures w14:val="standardContextual"/>
        </w:rPr>
        <w:t>24</w:t>
      </w:r>
      <w:r>
        <w:rPr>
          <w:rFonts w:ascii="Times New Roman" w:hAnsi="Times New Roman" w:eastAsia="方正仿宋简体" w:cs="Times New Roman"/>
          <w:sz w:val="32"/>
          <w:szCs w:val="32"/>
          <w14:ligatures w14:val="standardContextual"/>
        </w:rPr>
        <w:t>项具体内容。</w:t>
      </w:r>
      <w:r>
        <w:rPr>
          <w:rFonts w:hint="eastAsia" w:ascii="Times New Roman" w:hAnsi="Times New Roman" w:eastAsia="方正仿宋简体" w:cs="Times New Roman"/>
          <w:sz w:val="32"/>
          <w:szCs w:val="32"/>
          <w14:ligatures w14:val="standardContextual"/>
        </w:rPr>
        <w:t>结合各</w:t>
      </w:r>
      <w:r>
        <w:rPr>
          <w:rFonts w:ascii="Times New Roman" w:hAnsi="Times New Roman" w:eastAsia="方正仿宋简体" w:cs="Times New Roman"/>
          <w:sz w:val="32"/>
          <w:szCs w:val="32"/>
          <w14:ligatures w14:val="standardContextual"/>
        </w:rPr>
        <w:t>课目学习目的，指挥任务性质，现实工作特征，</w:t>
      </w:r>
      <w:r>
        <w:rPr>
          <w:rFonts w:hint="eastAsia" w:ascii="Times New Roman" w:hAnsi="Times New Roman" w:eastAsia="方正仿宋简体" w:cs="Times New Roman"/>
          <w:sz w:val="32"/>
          <w:szCs w:val="32"/>
          <w14:ligatures w14:val="standardContextual"/>
        </w:rPr>
        <w:t>分别</w:t>
      </w:r>
      <w:r>
        <w:rPr>
          <w:rFonts w:ascii="Times New Roman" w:hAnsi="Times New Roman" w:eastAsia="方正仿宋简体" w:cs="Times New Roman"/>
          <w:sz w:val="32"/>
          <w:szCs w:val="32"/>
          <w14:ligatures w14:val="standardContextual"/>
        </w:rPr>
        <w:t>对培训内容、学时、知会程度要求进行分类明确。内容上，队伍指挥员不开展装备体系建设培训</w:t>
      </w:r>
      <w:r>
        <w:rPr>
          <w:rFonts w:hint="eastAsia" w:ascii="Times New Roman" w:hAnsi="Times New Roman" w:eastAsia="方正仿宋简体" w:cs="Times New Roman"/>
          <w:sz w:val="32"/>
          <w:szCs w:val="32"/>
          <w14:ligatures w14:val="standardContextual"/>
        </w:rPr>
        <w:t>，</w:t>
      </w:r>
      <w:r>
        <w:rPr>
          <w:rFonts w:ascii="Times New Roman" w:hAnsi="Times New Roman" w:eastAsia="方正仿宋简体" w:cs="Times New Roman"/>
          <w:sz w:val="32"/>
          <w:szCs w:val="32"/>
          <w14:ligatures w14:val="standardContextual"/>
        </w:rPr>
        <w:t>业务部门指挥员不开展火场救护、心理调适、装备操作与使用等内容培训；学时上，依据强化实践要求，有针对性加大灭火战术、灭火指挥、灭火安全等实践要求高的课目学时比例（均达60%以上），其中</w:t>
      </w:r>
      <w:bookmarkStart w:id="377" w:name="OLE_LINK19"/>
      <w:r>
        <w:rPr>
          <w:rFonts w:ascii="Times New Roman" w:hAnsi="Times New Roman" w:eastAsia="方正仿宋简体" w:cs="Times New Roman"/>
          <w:sz w:val="32"/>
          <w:szCs w:val="32"/>
          <w14:ligatures w14:val="standardContextual"/>
        </w:rPr>
        <w:t>业务部门指挥员</w:t>
      </w:r>
      <w:bookmarkEnd w:id="377"/>
      <w:r>
        <w:rPr>
          <w:rFonts w:ascii="Times New Roman" w:hAnsi="Times New Roman" w:eastAsia="方正仿宋简体" w:cs="Times New Roman"/>
          <w:sz w:val="32"/>
          <w:szCs w:val="32"/>
          <w14:ligatures w14:val="standardContextual"/>
        </w:rPr>
        <w:t>区分县级及以下、市级及省级2个大类进行明确，分别要求64学时、56学时，队伍指挥员72学时；知会程度要求上， 业务部门指挥员侧重了解和熟悉</w:t>
      </w:r>
      <w:r>
        <w:rPr>
          <w:rFonts w:hint="eastAsia" w:ascii="Times New Roman" w:hAnsi="Times New Roman" w:eastAsia="方正仿宋简体" w:cs="Times New Roman"/>
          <w:sz w:val="32"/>
          <w:szCs w:val="32"/>
          <w14:ligatures w14:val="standardContextual"/>
        </w:rPr>
        <w:t>基本</w:t>
      </w:r>
      <w:r>
        <w:rPr>
          <w:rFonts w:ascii="Times New Roman" w:hAnsi="Times New Roman" w:eastAsia="方正仿宋简体" w:cs="Times New Roman"/>
          <w:sz w:val="32"/>
          <w:szCs w:val="32"/>
          <w14:ligatures w14:val="standardContextual"/>
        </w:rPr>
        <w:t>概念、基本规律</w:t>
      </w:r>
      <w:r>
        <w:rPr>
          <w:rFonts w:hint="eastAsia" w:ascii="Times New Roman" w:hAnsi="Times New Roman" w:eastAsia="方正仿宋简体" w:cs="Times New Roman"/>
          <w:sz w:val="32"/>
          <w:szCs w:val="32"/>
          <w14:ligatures w14:val="standardContextual"/>
        </w:rPr>
        <w:t>、</w:t>
      </w:r>
      <w:r>
        <w:rPr>
          <w:rFonts w:ascii="Times New Roman" w:hAnsi="Times New Roman" w:eastAsia="方正仿宋简体" w:cs="Times New Roman"/>
          <w:sz w:val="32"/>
          <w:szCs w:val="32"/>
          <w14:ligatures w14:val="standardContextual"/>
        </w:rPr>
        <w:t>特征</w:t>
      </w:r>
      <w:r>
        <w:rPr>
          <w:rFonts w:hint="eastAsia" w:ascii="Times New Roman" w:hAnsi="Times New Roman" w:eastAsia="方正仿宋简体" w:cs="Times New Roman"/>
          <w:sz w:val="32"/>
          <w:szCs w:val="32"/>
          <w14:ligatures w14:val="standardContextual"/>
        </w:rPr>
        <w:t>及原理</w:t>
      </w:r>
      <w:r>
        <w:rPr>
          <w:rFonts w:ascii="Times New Roman" w:hAnsi="Times New Roman" w:eastAsia="方正仿宋简体" w:cs="Times New Roman"/>
          <w:sz w:val="32"/>
          <w:szCs w:val="32"/>
          <w14:ligatures w14:val="standardContextual"/>
        </w:rPr>
        <w:t>等，队伍指挥员侧重掌握具体知识和技能</w:t>
      </w:r>
      <w:r>
        <w:rPr>
          <w:rFonts w:hint="eastAsia" w:ascii="Times New Roman" w:hAnsi="Times New Roman" w:eastAsia="方正仿宋简体" w:cs="Times New Roman"/>
          <w:sz w:val="32"/>
          <w:szCs w:val="32"/>
          <w14:ligatures w14:val="standardContextual"/>
        </w:rPr>
        <w:t>运用</w:t>
      </w:r>
      <w:r>
        <w:rPr>
          <w:rFonts w:ascii="Times New Roman" w:hAnsi="Times New Roman" w:eastAsia="方正仿宋简体" w:cs="Times New Roman"/>
          <w:sz w:val="32"/>
          <w:szCs w:val="32"/>
          <w14:ligatures w14:val="standardContextual"/>
        </w:rPr>
        <w:t>，</w:t>
      </w:r>
      <w:r>
        <w:rPr>
          <w:rFonts w:hint="eastAsia" w:ascii="Times New Roman" w:hAnsi="Times New Roman" w:eastAsia="方正仿宋简体" w:cs="Times New Roman"/>
          <w:sz w:val="32"/>
          <w:szCs w:val="32"/>
          <w14:ligatures w14:val="standardContextual"/>
        </w:rPr>
        <w:t>培养解决</w:t>
      </w:r>
      <w:r>
        <w:rPr>
          <w:rFonts w:ascii="Times New Roman" w:hAnsi="Times New Roman" w:eastAsia="方正仿宋简体" w:cs="Times New Roman"/>
          <w:sz w:val="32"/>
          <w:szCs w:val="32"/>
          <w14:ligatures w14:val="standardContextual"/>
        </w:rPr>
        <w:t>火线具体问题</w:t>
      </w:r>
      <w:r>
        <w:rPr>
          <w:rFonts w:hint="eastAsia" w:ascii="Times New Roman" w:hAnsi="Times New Roman" w:eastAsia="方正仿宋简体" w:cs="Times New Roman"/>
          <w:sz w:val="32"/>
          <w:szCs w:val="32"/>
          <w14:ligatures w14:val="standardContextual"/>
        </w:rPr>
        <w:t>的</w:t>
      </w:r>
      <w:r>
        <w:rPr>
          <w:rFonts w:ascii="Times New Roman" w:hAnsi="Times New Roman" w:eastAsia="方正仿宋简体" w:cs="Times New Roman"/>
          <w:sz w:val="32"/>
          <w:szCs w:val="32"/>
          <w14:ligatures w14:val="standardContextual"/>
        </w:rPr>
        <w:t>能力。</w:t>
      </w:r>
    </w:p>
    <w:p w14:paraId="7F662928">
      <w:pPr>
        <w:adjustRightInd/>
        <w:spacing w:line="600" w:lineRule="exact"/>
        <w:ind w:firstLine="643" w:firstLineChars="200"/>
        <w:rPr>
          <w:rFonts w:ascii="Times New Roman" w:hAnsi="Times New Roman" w:eastAsia="方正仿宋_GBK" w:cs="Times New Roman"/>
          <w:b/>
          <w:bCs/>
          <w:sz w:val="32"/>
          <w:szCs w:val="22"/>
          <w14:ligatures w14:val="standardContextual"/>
        </w:rPr>
      </w:pPr>
      <w:r>
        <w:rPr>
          <w:rFonts w:ascii="Times New Roman" w:hAnsi="Times New Roman" w:eastAsia="方正仿宋_GBK" w:cs="Times New Roman"/>
          <w:b/>
          <w:bCs/>
          <w:sz w:val="32"/>
          <w:szCs w:val="22"/>
          <w14:ligatures w14:val="standardContextual"/>
        </w:rPr>
        <w:t>（4）培训方式</w:t>
      </w:r>
    </w:p>
    <w:p w14:paraId="1B760864">
      <w:pPr>
        <w:adjustRightInd/>
        <w:spacing w:line="600" w:lineRule="exact"/>
        <w:ind w:firstLine="640" w:firstLineChars="200"/>
        <w:rPr>
          <w:rFonts w:ascii="Times New Roman" w:hAnsi="Times New Roman" w:eastAsia="方正仿宋_GBK" w:cs="Times New Roman"/>
          <w:sz w:val="32"/>
          <w:szCs w:val="22"/>
          <w14:ligatures w14:val="standardContextual"/>
        </w:rPr>
      </w:pPr>
      <w:r>
        <w:rPr>
          <w:rFonts w:ascii="Times New Roman" w:hAnsi="Times New Roman" w:eastAsia="方正仿宋简体" w:cs="Times New Roman"/>
          <w:sz w:val="32"/>
          <w:szCs w:val="32"/>
          <w14:ligatures w14:val="standardContextual"/>
        </w:rPr>
        <w:t>依据需求牵引、强化实践要求，培训方式包括理论</w:t>
      </w:r>
      <w:r>
        <w:rPr>
          <w:rFonts w:hint="eastAsia" w:ascii="Times New Roman" w:hAnsi="Times New Roman" w:eastAsia="方正仿宋简体" w:cs="Times New Roman"/>
          <w:sz w:val="32"/>
          <w:szCs w:val="32"/>
          <w14:ligatures w14:val="standardContextual"/>
        </w:rPr>
        <w:t>教学</w:t>
      </w:r>
      <w:r>
        <w:rPr>
          <w:rFonts w:ascii="Times New Roman" w:hAnsi="Times New Roman" w:eastAsia="方正仿宋简体" w:cs="Times New Roman"/>
          <w:sz w:val="32"/>
          <w:szCs w:val="32"/>
          <w14:ligatures w14:val="standardContextual"/>
        </w:rPr>
        <w:t>和实践培</w:t>
      </w:r>
      <w:r>
        <w:rPr>
          <w:rFonts w:hint="eastAsia" w:ascii="Times New Roman" w:hAnsi="Times New Roman" w:eastAsia="方正仿宋简体" w:cs="Times New Roman"/>
          <w:sz w:val="32"/>
          <w:szCs w:val="32"/>
          <w14:ligatures w14:val="standardContextual"/>
        </w:rPr>
        <w:t>教学，并</w:t>
      </w:r>
      <w:r>
        <w:rPr>
          <w:rFonts w:ascii="Times New Roman" w:hAnsi="Times New Roman" w:eastAsia="方正仿宋简体" w:cs="Times New Roman"/>
          <w:sz w:val="32"/>
          <w:szCs w:val="32"/>
          <w14:ligatures w14:val="standardContextual"/>
        </w:rPr>
        <w:t>将虚拟仿真先进技术</w:t>
      </w:r>
      <w:r>
        <w:rPr>
          <w:rFonts w:hint="eastAsia" w:ascii="Times New Roman" w:hAnsi="Times New Roman" w:eastAsia="方正仿宋简体" w:cs="Times New Roman"/>
          <w:sz w:val="32"/>
          <w:szCs w:val="32"/>
          <w14:ligatures w14:val="standardContextual"/>
        </w:rPr>
        <w:t>运用到</w:t>
      </w:r>
      <w:r>
        <w:rPr>
          <w:rFonts w:ascii="Times New Roman" w:hAnsi="Times New Roman" w:eastAsia="方正仿宋简体" w:cs="Times New Roman"/>
          <w:sz w:val="32"/>
          <w:szCs w:val="32"/>
          <w14:ligatures w14:val="standardContextual"/>
        </w:rPr>
        <w:t>培训</w:t>
      </w:r>
      <w:r>
        <w:rPr>
          <w:rFonts w:hint="eastAsia" w:ascii="Times New Roman" w:hAnsi="Times New Roman" w:eastAsia="方正仿宋简体" w:cs="Times New Roman"/>
          <w:sz w:val="32"/>
          <w:szCs w:val="32"/>
          <w14:ligatures w14:val="standardContextual"/>
        </w:rPr>
        <w:t>中</w:t>
      </w:r>
      <w:r>
        <w:rPr>
          <w:rFonts w:ascii="Times New Roman" w:hAnsi="Times New Roman" w:eastAsia="方正仿宋简体" w:cs="Times New Roman"/>
          <w:sz w:val="32"/>
          <w:szCs w:val="32"/>
          <w14:ligatures w14:val="standardContextual"/>
        </w:rPr>
        <w:t>，丰富培训手段，增强科技赋能，</w:t>
      </w:r>
      <w:r>
        <w:rPr>
          <w:rFonts w:hint="eastAsia" w:ascii="Times New Roman" w:hAnsi="Times New Roman" w:eastAsia="方正仿宋简体" w:cs="Times New Roman"/>
          <w:sz w:val="32"/>
          <w:szCs w:val="32"/>
          <w14:ligatures w14:val="standardContextual"/>
        </w:rPr>
        <w:t>故规定</w:t>
      </w:r>
      <w:r>
        <w:rPr>
          <w:rFonts w:ascii="Times New Roman" w:hAnsi="Times New Roman" w:eastAsia="方正仿宋简体" w:cs="Times New Roman"/>
          <w:sz w:val="32"/>
          <w:szCs w:val="32"/>
          <w14:ligatures w14:val="standardContextual"/>
        </w:rPr>
        <w:t>实践</w:t>
      </w:r>
      <w:r>
        <w:rPr>
          <w:rFonts w:hint="eastAsia" w:ascii="Times New Roman" w:hAnsi="Times New Roman" w:eastAsia="方正仿宋简体" w:cs="Times New Roman"/>
          <w:sz w:val="32"/>
          <w:szCs w:val="32"/>
          <w14:ligatures w14:val="standardContextual"/>
        </w:rPr>
        <w:t>教学</w:t>
      </w:r>
      <w:r>
        <w:rPr>
          <w:rFonts w:ascii="Times New Roman" w:hAnsi="Times New Roman" w:eastAsia="方正仿宋简体" w:cs="Times New Roman"/>
          <w:sz w:val="32"/>
          <w:szCs w:val="32"/>
          <w14:ligatures w14:val="standardContextual"/>
        </w:rPr>
        <w:t>方式包括：实操训练、虚拟仿真训练、模拟训练等。</w:t>
      </w:r>
    </w:p>
    <w:p w14:paraId="0FFD9BA7">
      <w:pPr>
        <w:adjustRightInd/>
        <w:spacing w:line="600" w:lineRule="exact"/>
        <w:ind w:firstLine="643" w:firstLineChars="200"/>
        <w:rPr>
          <w:rFonts w:ascii="Times New Roman" w:hAnsi="Times New Roman" w:eastAsia="方正仿宋_GBK" w:cs="Times New Roman"/>
          <w:b/>
          <w:bCs/>
          <w:sz w:val="32"/>
          <w:szCs w:val="22"/>
          <w14:ligatures w14:val="standardContextual"/>
        </w:rPr>
      </w:pPr>
      <w:r>
        <w:rPr>
          <w:rFonts w:ascii="Times New Roman" w:hAnsi="Times New Roman" w:eastAsia="方正仿宋_GBK" w:cs="Times New Roman"/>
          <w:b/>
          <w:bCs/>
          <w:sz w:val="32"/>
          <w:szCs w:val="22"/>
          <w14:ligatures w14:val="standardContextual"/>
        </w:rPr>
        <w:t>（5）培训流程</w:t>
      </w:r>
    </w:p>
    <w:p w14:paraId="785EB2D1">
      <w:pPr>
        <w:adjustRightInd/>
        <w:spacing w:line="600" w:lineRule="exact"/>
        <w:ind w:firstLine="640" w:firstLineChars="200"/>
        <w:rPr>
          <w:rFonts w:ascii="Times New Roman" w:hAnsi="Times New Roman" w:eastAsia="方正仿宋_GBK" w:cs="Times New Roman"/>
          <w:sz w:val="32"/>
          <w:szCs w:val="22"/>
          <w14:ligatures w14:val="standardContextual"/>
        </w:rPr>
      </w:pPr>
      <w:r>
        <w:rPr>
          <w:rFonts w:ascii="Times New Roman" w:hAnsi="Times New Roman" w:eastAsia="方正仿宋_GBK" w:cs="Times New Roman"/>
          <w:sz w:val="32"/>
          <w:szCs w:val="22"/>
          <w14:ligatures w14:val="standardContextual"/>
        </w:rPr>
        <w:t>借鉴相关单位培训班开展情况及经验做法，综合调研意见，对培训准备、培训实施、培训结束三个阶段应开展的工作及方法进行明确。</w:t>
      </w:r>
    </w:p>
    <w:p w14:paraId="7587889F">
      <w:pPr>
        <w:adjustRightInd/>
        <w:spacing w:line="600" w:lineRule="exact"/>
        <w:ind w:firstLine="643" w:firstLineChars="200"/>
        <w:rPr>
          <w:rFonts w:ascii="Times New Roman" w:hAnsi="Times New Roman" w:eastAsia="方正仿宋_GBK" w:cs="Times New Roman"/>
          <w:sz w:val="32"/>
          <w:szCs w:val="22"/>
          <w14:ligatures w14:val="standardContextual"/>
        </w:rPr>
      </w:pPr>
      <w:r>
        <w:rPr>
          <w:rFonts w:ascii="Times New Roman" w:hAnsi="Times New Roman" w:eastAsia="方正仿宋_GBK" w:cs="Times New Roman"/>
          <w:b/>
          <w:bCs/>
          <w:sz w:val="32"/>
          <w:szCs w:val="22"/>
          <w14:ligatures w14:val="standardContextual"/>
        </w:rPr>
        <w:t>培训准备方面，</w:t>
      </w:r>
      <w:r>
        <w:rPr>
          <w:rFonts w:ascii="Times New Roman" w:hAnsi="Times New Roman" w:eastAsia="方正仿宋_GBK" w:cs="Times New Roman"/>
          <w:sz w:val="32"/>
          <w:szCs w:val="22"/>
          <w14:ligatures w14:val="standardContextual"/>
        </w:rPr>
        <w:t>对培训方案、培训通知、培训前准备</w:t>
      </w:r>
      <w:r>
        <w:rPr>
          <w:rFonts w:hint="eastAsia" w:ascii="Times New Roman" w:hAnsi="Times New Roman" w:eastAsia="方正仿宋_GBK" w:cs="Times New Roman"/>
          <w:sz w:val="32"/>
          <w:szCs w:val="22"/>
          <w14:ligatures w14:val="standardContextual"/>
        </w:rPr>
        <w:t>工作</w:t>
      </w:r>
      <w:r>
        <w:rPr>
          <w:rFonts w:ascii="Times New Roman" w:hAnsi="Times New Roman" w:eastAsia="方正仿宋_GBK" w:cs="Times New Roman"/>
          <w:sz w:val="32"/>
          <w:szCs w:val="22"/>
          <w14:ligatures w14:val="standardContextual"/>
        </w:rPr>
        <w:t>等进行</w:t>
      </w:r>
      <w:r>
        <w:rPr>
          <w:rFonts w:hint="eastAsia" w:ascii="Times New Roman" w:hAnsi="Times New Roman" w:eastAsia="方正仿宋_GBK" w:cs="Times New Roman"/>
          <w:sz w:val="32"/>
          <w:szCs w:val="22"/>
          <w14:ligatures w14:val="standardContextual"/>
        </w:rPr>
        <w:t>规范</w:t>
      </w:r>
      <w:r>
        <w:rPr>
          <w:rFonts w:ascii="Times New Roman" w:hAnsi="Times New Roman" w:eastAsia="方正仿宋_GBK" w:cs="Times New Roman"/>
          <w:sz w:val="32"/>
          <w:szCs w:val="22"/>
          <w14:ligatures w14:val="standardContextual"/>
        </w:rPr>
        <w:t>，确保培训顺利；</w:t>
      </w:r>
      <w:r>
        <w:rPr>
          <w:rFonts w:ascii="Times New Roman" w:hAnsi="Times New Roman" w:eastAsia="方正仿宋_GBK" w:cs="Times New Roman"/>
          <w:b/>
          <w:bCs/>
          <w:sz w:val="32"/>
          <w:szCs w:val="22"/>
          <w14:ligatures w14:val="standardContextual"/>
        </w:rPr>
        <w:t>培训实施</w:t>
      </w:r>
      <w:r>
        <w:rPr>
          <w:rFonts w:ascii="Times New Roman" w:hAnsi="Times New Roman" w:eastAsia="方正仿宋_GBK" w:cs="Times New Roman"/>
          <w:sz w:val="32"/>
          <w:szCs w:val="22"/>
          <w14:ligatures w14:val="standardContextual"/>
        </w:rPr>
        <w:t>方面，注重体现培训过程正规有序，对人员报到、组织实施</w:t>
      </w:r>
      <w:r>
        <w:rPr>
          <w:rFonts w:hint="eastAsia" w:ascii="Times New Roman" w:hAnsi="Times New Roman" w:eastAsia="方正仿宋_GBK" w:cs="Times New Roman"/>
          <w:sz w:val="32"/>
          <w:szCs w:val="22"/>
          <w14:ligatures w14:val="standardContextual"/>
        </w:rPr>
        <w:t>工作等进行规范</w:t>
      </w:r>
      <w:r>
        <w:rPr>
          <w:rFonts w:ascii="Times New Roman" w:hAnsi="Times New Roman" w:eastAsia="方正仿宋_GBK" w:cs="Times New Roman"/>
          <w:sz w:val="32"/>
          <w:szCs w:val="22"/>
          <w14:ligatures w14:val="standardContextual"/>
        </w:rPr>
        <w:t>；</w:t>
      </w:r>
      <w:r>
        <w:rPr>
          <w:rFonts w:ascii="Times New Roman" w:hAnsi="Times New Roman" w:eastAsia="方正仿宋_GBK" w:cs="Times New Roman"/>
          <w:b/>
          <w:bCs/>
          <w:sz w:val="32"/>
          <w:szCs w:val="22"/>
          <w14:ligatures w14:val="standardContextual"/>
        </w:rPr>
        <w:t>培训结束方面，</w:t>
      </w:r>
      <w:r>
        <w:rPr>
          <w:rFonts w:ascii="Times New Roman" w:hAnsi="Times New Roman" w:eastAsia="方正仿宋_GBK" w:cs="Times New Roman"/>
          <w:sz w:val="32"/>
          <w:szCs w:val="22"/>
          <w14:ligatures w14:val="standardContextual"/>
        </w:rPr>
        <w:t>规范培训效果检验，依据强化实践原则，同时注重理论知识素养提升，提出结业考核包括专业理论考核和实践操作考核2项，其中专业理论考核采用闭卷笔试或计算机考试，实践操作考核采用现场实操、模拟演练、虚拟仿真演练等方式；</w:t>
      </w:r>
      <w:r>
        <w:rPr>
          <w:rFonts w:hint="eastAsia" w:ascii="Times New Roman" w:hAnsi="Times New Roman" w:eastAsia="方正仿宋_GBK" w:cs="Times New Roman"/>
          <w:sz w:val="32"/>
          <w:szCs w:val="22"/>
          <w14:ligatures w14:val="standardContextual"/>
        </w:rPr>
        <w:t>同时依据培训服务质量保障机制的要求，提出</w:t>
      </w:r>
      <w:r>
        <w:rPr>
          <w:rFonts w:ascii="Times New Roman" w:hAnsi="Times New Roman" w:eastAsia="方正仿宋_GBK" w:cs="Times New Roman"/>
          <w:sz w:val="32"/>
          <w:szCs w:val="22"/>
          <w14:ligatures w14:val="standardContextual"/>
        </w:rPr>
        <w:t>对培训服务和教师满意度调查</w:t>
      </w:r>
      <w:r>
        <w:rPr>
          <w:rFonts w:hint="eastAsia" w:ascii="Times New Roman" w:hAnsi="Times New Roman" w:eastAsia="方正仿宋_GBK" w:cs="Times New Roman"/>
          <w:sz w:val="32"/>
          <w:szCs w:val="22"/>
          <w14:ligatures w14:val="standardContextual"/>
        </w:rPr>
        <w:t>进行规范</w:t>
      </w:r>
      <w:r>
        <w:rPr>
          <w:rFonts w:ascii="Times New Roman" w:hAnsi="Times New Roman" w:eastAsia="方正仿宋_GBK" w:cs="Times New Roman"/>
          <w:sz w:val="32"/>
          <w:szCs w:val="22"/>
          <w14:ligatures w14:val="standardContextual"/>
        </w:rPr>
        <w:t>，可以有效督促培训机构提供符合质量要求的服务</w:t>
      </w:r>
      <w:r>
        <w:rPr>
          <w:rFonts w:hint="eastAsia" w:ascii="Times New Roman" w:hAnsi="Times New Roman" w:eastAsia="方正仿宋_GBK" w:cs="Times New Roman"/>
          <w:sz w:val="32"/>
          <w:szCs w:val="22"/>
          <w14:ligatures w14:val="standardContextual"/>
        </w:rPr>
        <w:t>。</w:t>
      </w:r>
    </w:p>
    <w:p w14:paraId="7D80372B">
      <w:pPr>
        <w:adjustRightInd/>
        <w:spacing w:line="600" w:lineRule="exact"/>
        <w:ind w:firstLine="643" w:firstLineChars="200"/>
        <w:rPr>
          <w:rFonts w:ascii="Times New Roman" w:hAnsi="Times New Roman" w:eastAsia="方正仿宋_GBK" w:cs="Times New Roman"/>
          <w:b/>
          <w:bCs/>
          <w:sz w:val="32"/>
          <w:szCs w:val="22"/>
          <w14:ligatures w14:val="standardContextual"/>
        </w:rPr>
      </w:pPr>
      <w:r>
        <w:rPr>
          <w:rFonts w:ascii="Times New Roman" w:hAnsi="Times New Roman" w:eastAsia="方正仿宋_GBK" w:cs="Times New Roman"/>
          <w:b/>
          <w:bCs/>
          <w:sz w:val="32"/>
          <w:szCs w:val="22"/>
          <w14:ligatures w14:val="standardContextual"/>
        </w:rPr>
        <w:t>7.考核</w:t>
      </w:r>
    </w:p>
    <w:p w14:paraId="213AC706">
      <w:pPr>
        <w:adjustRightInd/>
        <w:spacing w:line="600" w:lineRule="exact"/>
        <w:ind w:firstLine="643" w:firstLineChars="200"/>
        <w:rPr>
          <w:rFonts w:ascii="Times New Roman" w:hAnsi="Times New Roman" w:eastAsia="方正仿宋_GBK" w:cs="Times New Roman"/>
          <w:b/>
          <w:bCs/>
          <w:sz w:val="32"/>
          <w:szCs w:val="22"/>
          <w14:ligatures w14:val="standardContextual"/>
        </w:rPr>
      </w:pPr>
      <w:r>
        <w:rPr>
          <w:rFonts w:ascii="Times New Roman" w:hAnsi="Times New Roman" w:eastAsia="方正仿宋_GBK" w:cs="Times New Roman"/>
          <w:b/>
          <w:bCs/>
          <w:sz w:val="32"/>
          <w:szCs w:val="22"/>
          <w14:ligatures w14:val="standardContextual"/>
        </w:rPr>
        <w:t>（1）考核对象类别</w:t>
      </w:r>
    </w:p>
    <w:p w14:paraId="0BC4A0BF">
      <w:pPr>
        <w:adjustRightInd/>
        <w:spacing w:line="600" w:lineRule="exact"/>
        <w:ind w:firstLine="640" w:firstLineChars="200"/>
        <w:rPr>
          <w:rFonts w:ascii="Times New Roman" w:hAnsi="Times New Roman" w:eastAsia="方正仿宋_GBK" w:cs="Times New Roman"/>
          <w:sz w:val="32"/>
          <w:szCs w:val="22"/>
          <w14:ligatures w14:val="standardContextual"/>
        </w:rPr>
      </w:pPr>
      <w:r>
        <w:rPr>
          <w:rFonts w:ascii="Times New Roman" w:hAnsi="Times New Roman" w:eastAsia="方正仿宋_GBK" w:cs="Times New Roman"/>
          <w:sz w:val="32"/>
          <w:szCs w:val="22"/>
          <w14:ligatures w14:val="standardContextual"/>
        </w:rPr>
        <w:t>依据先训后考</w:t>
      </w:r>
      <w:r>
        <w:rPr>
          <w:rFonts w:hint="eastAsia" w:ascii="Times New Roman" w:hAnsi="Times New Roman" w:eastAsia="方正仿宋_GBK" w:cs="Times New Roman"/>
          <w:sz w:val="32"/>
          <w:szCs w:val="22"/>
          <w14:ligatures w14:val="standardContextual"/>
        </w:rPr>
        <w:t>要求</w:t>
      </w:r>
      <w:r>
        <w:rPr>
          <w:rFonts w:ascii="Times New Roman" w:hAnsi="Times New Roman" w:eastAsia="方正仿宋_GBK" w:cs="Times New Roman"/>
          <w:sz w:val="32"/>
          <w:szCs w:val="22"/>
          <w14:ligatures w14:val="standardContextual"/>
        </w:rPr>
        <w:t>，考核对象类别与培训对象</w:t>
      </w:r>
      <w:r>
        <w:rPr>
          <w:rFonts w:hint="eastAsia" w:ascii="Times New Roman" w:hAnsi="Times New Roman" w:eastAsia="方正仿宋_GBK" w:cs="Times New Roman"/>
          <w:sz w:val="32"/>
          <w:szCs w:val="22"/>
          <w14:ligatures w14:val="standardContextual"/>
        </w:rPr>
        <w:t>类别</w:t>
      </w:r>
      <w:r>
        <w:rPr>
          <w:rFonts w:ascii="Times New Roman" w:hAnsi="Times New Roman" w:eastAsia="方正仿宋_GBK" w:cs="Times New Roman"/>
          <w:sz w:val="32"/>
          <w:szCs w:val="22"/>
          <w14:ligatures w14:val="standardContextual"/>
        </w:rPr>
        <w:t>相同。</w:t>
      </w:r>
    </w:p>
    <w:p w14:paraId="3FFEAEF1">
      <w:pPr>
        <w:adjustRightInd/>
        <w:spacing w:line="600" w:lineRule="exact"/>
        <w:ind w:firstLine="643" w:firstLineChars="200"/>
        <w:rPr>
          <w:rFonts w:ascii="Times New Roman" w:hAnsi="Times New Roman" w:eastAsia="方正仿宋_GBK" w:cs="Times New Roman"/>
          <w:b/>
          <w:bCs/>
          <w:sz w:val="32"/>
          <w:szCs w:val="22"/>
          <w14:ligatures w14:val="standardContextual"/>
        </w:rPr>
      </w:pPr>
      <w:r>
        <w:rPr>
          <w:rFonts w:ascii="Times New Roman" w:hAnsi="Times New Roman" w:eastAsia="方正仿宋_GBK" w:cs="Times New Roman"/>
          <w:b/>
          <w:bCs/>
          <w:sz w:val="32"/>
          <w:szCs w:val="22"/>
          <w14:ligatures w14:val="standardContextual"/>
        </w:rPr>
        <w:t>（2）报考条件</w:t>
      </w:r>
    </w:p>
    <w:p w14:paraId="423A6DF7">
      <w:pPr>
        <w:adjustRightInd/>
        <w:spacing w:line="560" w:lineRule="exact"/>
        <w:ind w:firstLine="640" w:firstLineChars="200"/>
        <w:rPr>
          <w:rFonts w:ascii="Times New Roman" w:hAnsi="Times New Roman" w:eastAsia="方正仿宋_GBK" w:cs="Times New Roman"/>
          <w:sz w:val="32"/>
          <w:szCs w:val="22"/>
          <w14:ligatures w14:val="standardContextual"/>
        </w:rPr>
      </w:pPr>
      <w:r>
        <w:rPr>
          <w:rFonts w:ascii="Times New Roman" w:hAnsi="Times New Roman" w:eastAsia="方正仿宋简体" w:cs="Times New Roman"/>
          <w:sz w:val="32"/>
          <w:szCs w:val="32"/>
          <w14:ligatures w14:val="standardContextual"/>
        </w:rPr>
        <w:t>区分</w:t>
      </w:r>
      <w:r>
        <w:rPr>
          <w:rFonts w:hint="eastAsia" w:ascii="Times New Roman" w:hAnsi="Times New Roman" w:eastAsia="方正仿宋简体" w:cs="Times New Roman"/>
          <w:sz w:val="32"/>
          <w:szCs w:val="32"/>
          <w14:ligatures w14:val="standardContextual"/>
        </w:rPr>
        <w:t>有关业务部门指挥员和队伍指挥员</w:t>
      </w:r>
      <w:r>
        <w:rPr>
          <w:rFonts w:ascii="Times New Roman" w:hAnsi="Times New Roman" w:eastAsia="方正仿宋简体" w:cs="Times New Roman"/>
          <w:sz w:val="32"/>
          <w:szCs w:val="32"/>
          <w14:ligatures w14:val="standardContextual"/>
        </w:rPr>
        <w:t>，从完成培训情况、扑火指挥经历、从业年限及岗位需求等方面综合衡量，分类明确报条件。按照“先训后考”</w:t>
      </w:r>
      <w:r>
        <w:rPr>
          <w:rFonts w:hint="eastAsia" w:ascii="Times New Roman" w:hAnsi="Times New Roman" w:eastAsia="方正仿宋简体" w:cs="Times New Roman"/>
          <w:sz w:val="32"/>
          <w:szCs w:val="32"/>
          <w14:ligatures w14:val="standardContextual"/>
        </w:rPr>
        <w:t>要求</w:t>
      </w:r>
      <w:r>
        <w:rPr>
          <w:rFonts w:ascii="Times New Roman" w:hAnsi="Times New Roman" w:eastAsia="方正仿宋简体" w:cs="Times New Roman"/>
          <w:sz w:val="32"/>
          <w:szCs w:val="32"/>
          <w14:ligatures w14:val="standardContextual"/>
        </w:rPr>
        <w:t>，将</w:t>
      </w:r>
      <w:r>
        <w:rPr>
          <w:rFonts w:hint="eastAsia" w:ascii="Times New Roman" w:hAnsi="Times New Roman" w:eastAsia="方正仿宋简体" w:cs="Times New Roman"/>
          <w:b/>
          <w:bCs/>
          <w:sz w:val="32"/>
          <w:szCs w:val="32"/>
          <w14:ligatures w14:val="standardContextual"/>
        </w:rPr>
        <w:t>培训合格</w:t>
      </w:r>
      <w:r>
        <w:rPr>
          <w:rFonts w:ascii="Times New Roman" w:hAnsi="Times New Roman" w:eastAsia="方正仿宋简体" w:cs="Times New Roman"/>
          <w:b/>
          <w:bCs/>
          <w:sz w:val="32"/>
          <w:szCs w:val="32"/>
          <w14:ligatures w14:val="standardContextual"/>
        </w:rPr>
        <w:t>作为报名参加考核的前置条件</w:t>
      </w:r>
      <w:r>
        <w:rPr>
          <w:rFonts w:ascii="Times New Roman" w:hAnsi="Times New Roman" w:eastAsia="方正仿宋简体" w:cs="Times New Roman"/>
          <w:sz w:val="32"/>
          <w:szCs w:val="32"/>
          <w14:ligatures w14:val="standardContextual"/>
        </w:rPr>
        <w:t>。为确保标准普遍适用性，覆盖大多数，提出其他3项条件满足其中之一即可报名</w:t>
      </w:r>
      <w:r>
        <w:rPr>
          <w:rFonts w:hint="eastAsia" w:ascii="Times New Roman" w:hAnsi="Times New Roman" w:eastAsia="方正仿宋简体" w:cs="Times New Roman"/>
          <w:sz w:val="32"/>
          <w:szCs w:val="32"/>
          <w14:ligatures w14:val="standardContextual"/>
        </w:rPr>
        <w:t>参加</w:t>
      </w:r>
      <w:r>
        <w:rPr>
          <w:rFonts w:ascii="Times New Roman" w:hAnsi="Times New Roman" w:eastAsia="方正仿宋简体" w:cs="Times New Roman"/>
          <w:sz w:val="32"/>
          <w:szCs w:val="32"/>
          <w14:ligatures w14:val="standardContextual"/>
        </w:rPr>
        <w:t>考核。其中扑火指挥经历方面，在综合分析我国各省近年森林草原火灾发生频率的基础上，依据《国家森林草原火灾应急预案》关于不同等级规模火灾扑救指挥机构规定，以及现场指挥部工作机制等相关规定进行</w:t>
      </w:r>
      <w:r>
        <w:rPr>
          <w:rFonts w:hint="eastAsia" w:ascii="Times New Roman" w:hAnsi="Times New Roman" w:eastAsia="方正仿宋简体" w:cs="Times New Roman"/>
          <w:sz w:val="32"/>
          <w:szCs w:val="32"/>
          <w14:ligatures w14:val="standardContextual"/>
        </w:rPr>
        <w:t>界定</w:t>
      </w:r>
      <w:r>
        <w:rPr>
          <w:rFonts w:ascii="Times New Roman" w:hAnsi="Times New Roman" w:eastAsia="方正仿宋简体" w:cs="Times New Roman"/>
          <w:sz w:val="32"/>
          <w:szCs w:val="32"/>
          <w14:ligatures w14:val="standardContextual"/>
        </w:rPr>
        <w:t>；从业年限方面，依据不同类别指挥员指挥任务</w:t>
      </w:r>
      <w:r>
        <w:rPr>
          <w:rFonts w:hint="eastAsia" w:ascii="Times New Roman" w:hAnsi="Times New Roman" w:eastAsia="方正仿宋简体" w:cs="Times New Roman"/>
          <w:sz w:val="32"/>
          <w:szCs w:val="32"/>
          <w14:ligatures w14:val="standardContextual"/>
        </w:rPr>
        <w:t>性质及难易程度进行界定</w:t>
      </w:r>
      <w:r>
        <w:rPr>
          <w:rFonts w:ascii="Times New Roman" w:hAnsi="Times New Roman" w:eastAsia="方正仿宋简体" w:cs="Times New Roman"/>
          <w:sz w:val="32"/>
          <w:szCs w:val="32"/>
          <w14:ligatures w14:val="standardContextual"/>
        </w:rPr>
        <w:t>，</w:t>
      </w:r>
      <w:r>
        <w:rPr>
          <w:rFonts w:hint="eastAsia" w:ascii="Times New Roman" w:hAnsi="Times New Roman" w:eastAsia="方正仿宋简体" w:cs="Times New Roman"/>
          <w:sz w:val="32"/>
          <w:szCs w:val="32"/>
          <w14:ligatures w14:val="standardContextual"/>
        </w:rPr>
        <w:t>对于</w:t>
      </w:r>
      <w:r>
        <w:rPr>
          <w:rFonts w:ascii="Times New Roman" w:hAnsi="Times New Roman" w:eastAsia="方正仿宋简体" w:cs="Times New Roman"/>
          <w:sz w:val="32"/>
          <w:szCs w:val="32"/>
          <w14:ligatures w14:val="standardContextual"/>
        </w:rPr>
        <w:t>业务部门指挥员，县级及以下、市级、省级等指挥员应分别从事相关工作满1年（1个防灭火周期）、3年及5年；岗位需求方面，</w:t>
      </w:r>
      <w:r>
        <w:rPr>
          <w:rFonts w:hint="eastAsia" w:ascii="Times New Roman" w:hAnsi="Times New Roman" w:eastAsia="方正仿宋简体" w:cs="Times New Roman"/>
          <w:sz w:val="32"/>
          <w:szCs w:val="32"/>
          <w14:ligatures w14:val="standardContextual"/>
        </w:rPr>
        <w:t>依据需求牵引要求，指出应</w:t>
      </w:r>
      <w:r>
        <w:rPr>
          <w:rFonts w:ascii="Times New Roman" w:hAnsi="Times New Roman" w:eastAsia="方正仿宋简体" w:cs="Times New Roman"/>
          <w:sz w:val="32"/>
          <w:szCs w:val="32"/>
          <w14:ligatures w14:val="standardContextual"/>
        </w:rPr>
        <w:t>在相应等级业务部门从事火灾扑救指挥工作。队伍指挥员</w:t>
      </w:r>
      <w:r>
        <w:rPr>
          <w:rFonts w:hint="eastAsia" w:ascii="Times New Roman" w:hAnsi="Times New Roman" w:eastAsia="方正仿宋简体" w:cs="Times New Roman"/>
          <w:sz w:val="32"/>
          <w:szCs w:val="32"/>
          <w14:ligatures w14:val="standardContextual"/>
        </w:rPr>
        <w:t>在</w:t>
      </w:r>
      <w:r>
        <w:rPr>
          <w:rFonts w:ascii="Times New Roman" w:hAnsi="Times New Roman" w:eastAsia="方正仿宋简体" w:cs="Times New Roman"/>
          <w:sz w:val="32"/>
          <w:szCs w:val="32"/>
          <w14:ligatures w14:val="standardContextual"/>
        </w:rPr>
        <w:t>火灾扑救指挥经历</w:t>
      </w:r>
      <w:r>
        <w:rPr>
          <w:rFonts w:hint="eastAsia" w:ascii="Times New Roman" w:hAnsi="Times New Roman" w:eastAsia="方正仿宋简体" w:cs="Times New Roman"/>
          <w:sz w:val="32"/>
          <w:szCs w:val="32"/>
          <w14:ligatures w14:val="standardContextual"/>
        </w:rPr>
        <w:t>方面，条件</w:t>
      </w:r>
      <w:r>
        <w:rPr>
          <w:rFonts w:ascii="Times New Roman" w:hAnsi="Times New Roman" w:eastAsia="方正仿宋简体" w:cs="Times New Roman"/>
          <w:sz w:val="32"/>
          <w:szCs w:val="32"/>
          <w14:ligatures w14:val="standardContextual"/>
        </w:rPr>
        <w:t>与县级及以下指挥员相同，</w:t>
      </w:r>
      <w:r>
        <w:rPr>
          <w:rFonts w:hint="eastAsia" w:ascii="Times New Roman" w:hAnsi="Times New Roman" w:eastAsia="方正仿宋简体" w:cs="Times New Roman"/>
          <w:sz w:val="32"/>
          <w:szCs w:val="32"/>
          <w14:ligatures w14:val="standardContextual"/>
        </w:rPr>
        <w:t>并</w:t>
      </w:r>
      <w:r>
        <w:rPr>
          <w:rFonts w:ascii="Times New Roman" w:hAnsi="Times New Roman" w:eastAsia="方正仿宋简体" w:cs="Times New Roman"/>
          <w:sz w:val="32"/>
          <w:szCs w:val="32"/>
          <w14:ligatures w14:val="standardContextual"/>
        </w:rPr>
        <w:t>提出担任指挥员满1年及以上</w:t>
      </w:r>
      <w:r>
        <w:rPr>
          <w:rFonts w:hint="eastAsia" w:ascii="Times New Roman" w:hAnsi="Times New Roman" w:eastAsia="方正仿宋简体" w:cs="Times New Roman"/>
          <w:sz w:val="32"/>
          <w:szCs w:val="32"/>
          <w14:ligatures w14:val="standardContextual"/>
        </w:rPr>
        <w:t>的要求</w:t>
      </w:r>
      <w:r>
        <w:rPr>
          <w:rFonts w:ascii="Times New Roman" w:hAnsi="Times New Roman" w:eastAsia="方正仿宋简体" w:cs="Times New Roman"/>
          <w:sz w:val="32"/>
          <w:szCs w:val="32"/>
          <w14:ligatures w14:val="standardContextual"/>
        </w:rPr>
        <w:t>。</w:t>
      </w:r>
    </w:p>
    <w:p w14:paraId="2E1D686D">
      <w:pPr>
        <w:adjustRightInd/>
        <w:spacing w:line="600" w:lineRule="exact"/>
        <w:ind w:firstLine="643" w:firstLineChars="200"/>
        <w:rPr>
          <w:rFonts w:ascii="Times New Roman" w:hAnsi="Times New Roman" w:eastAsia="方正仿宋_GBK" w:cs="Times New Roman"/>
          <w:b/>
          <w:bCs/>
          <w:sz w:val="32"/>
          <w:szCs w:val="22"/>
          <w14:ligatures w14:val="standardContextual"/>
        </w:rPr>
      </w:pPr>
      <w:r>
        <w:rPr>
          <w:rFonts w:ascii="Times New Roman" w:hAnsi="Times New Roman" w:eastAsia="方正仿宋_GBK" w:cs="Times New Roman"/>
          <w:b/>
          <w:bCs/>
          <w:sz w:val="32"/>
          <w:szCs w:val="22"/>
          <w14:ligatures w14:val="standardContextual"/>
        </w:rPr>
        <w:t>（2）考核内容</w:t>
      </w:r>
    </w:p>
    <w:p w14:paraId="70B9D161">
      <w:pPr>
        <w:adjustRightInd/>
        <w:spacing w:line="600" w:lineRule="exact"/>
        <w:ind w:firstLine="640" w:firstLineChars="200"/>
        <w:rPr>
          <w:rFonts w:ascii="Times New Roman" w:hAnsi="Times New Roman" w:eastAsia="方正仿宋_GBK" w:cs="Times New Roman"/>
          <w:sz w:val="32"/>
          <w:szCs w:val="22"/>
          <w14:ligatures w14:val="standardContextual"/>
        </w:rPr>
      </w:pPr>
      <w:r>
        <w:rPr>
          <w:rFonts w:ascii="Times New Roman" w:hAnsi="Times New Roman" w:eastAsia="方正仿宋_GBK" w:cs="Times New Roman"/>
          <w:sz w:val="32"/>
          <w:szCs w:val="22"/>
          <w14:ligatures w14:val="standardContextual"/>
        </w:rPr>
        <w:t>按照“学什么、用什么就考什么”的原则，考核内容与培训内容一致，形成培训与考核闭环。</w:t>
      </w:r>
      <w:r>
        <w:rPr>
          <w:rFonts w:hint="eastAsia" w:ascii="Times New Roman" w:hAnsi="Times New Roman" w:eastAsia="方正仿宋_GBK" w:cs="Times New Roman"/>
          <w:sz w:val="32"/>
          <w:szCs w:val="22"/>
          <w14:ligatures w14:val="standardContextual"/>
        </w:rPr>
        <w:t>设置</w:t>
      </w:r>
      <w:r>
        <w:rPr>
          <w:rFonts w:ascii="Times New Roman" w:hAnsi="Times New Roman" w:eastAsia="方正仿宋_GBK" w:cs="Times New Roman"/>
          <w:sz w:val="32"/>
          <w:szCs w:val="22"/>
          <w14:ligatures w14:val="standardContextual"/>
        </w:rPr>
        <w:t>灭火基础、灭火装备、灭火技术、灭火战术、灭火指挥、灭火安全等</w:t>
      </w:r>
      <w:r>
        <w:rPr>
          <w:rFonts w:hint="eastAsia" w:ascii="Times New Roman" w:hAnsi="Times New Roman" w:eastAsia="方正仿宋_GBK" w:cs="Times New Roman"/>
          <w:sz w:val="32"/>
          <w:szCs w:val="22"/>
          <w14:ligatures w14:val="standardContextual"/>
        </w:rPr>
        <w:t>内容</w:t>
      </w:r>
      <w:r>
        <w:rPr>
          <w:rFonts w:ascii="Times New Roman" w:hAnsi="Times New Roman" w:eastAsia="方正仿宋_GBK" w:cs="Times New Roman"/>
          <w:sz w:val="32"/>
          <w:szCs w:val="22"/>
          <w14:ligatures w14:val="standardContextual"/>
        </w:rPr>
        <w:t>。</w:t>
      </w:r>
    </w:p>
    <w:p w14:paraId="13A87985">
      <w:pPr>
        <w:adjustRightInd/>
        <w:spacing w:line="600" w:lineRule="exact"/>
        <w:ind w:firstLine="643" w:firstLineChars="200"/>
        <w:rPr>
          <w:rFonts w:ascii="Times New Roman" w:hAnsi="Times New Roman" w:eastAsia="方正仿宋_GBK" w:cs="Times New Roman"/>
          <w:b/>
          <w:bCs/>
          <w:sz w:val="32"/>
          <w:szCs w:val="22"/>
          <w14:ligatures w14:val="standardContextual"/>
        </w:rPr>
      </w:pPr>
      <w:r>
        <w:rPr>
          <w:rFonts w:ascii="Times New Roman" w:hAnsi="Times New Roman" w:eastAsia="方正仿宋_GBK" w:cs="Times New Roman"/>
          <w:b/>
          <w:bCs/>
          <w:sz w:val="32"/>
          <w:szCs w:val="22"/>
          <w14:ligatures w14:val="standardContextual"/>
        </w:rPr>
        <w:t>（4）考核方式</w:t>
      </w:r>
    </w:p>
    <w:p w14:paraId="4D2FF6A7">
      <w:pPr>
        <w:adjustRightInd/>
        <w:spacing w:line="600" w:lineRule="exact"/>
        <w:ind w:firstLine="640" w:firstLineChars="200"/>
        <w:rPr>
          <w:rFonts w:ascii="Times New Roman" w:hAnsi="Times New Roman" w:eastAsia="方正仿宋_GBK" w:cs="Times New Roman"/>
          <w:sz w:val="32"/>
          <w:szCs w:val="22"/>
          <w14:ligatures w14:val="standardContextual"/>
        </w:rPr>
      </w:pPr>
      <w:r>
        <w:rPr>
          <w:rFonts w:ascii="Times New Roman" w:hAnsi="Times New Roman" w:eastAsia="方正仿宋_GBK" w:cs="Times New Roman"/>
          <w:sz w:val="32"/>
          <w:szCs w:val="22"/>
          <w14:ligatures w14:val="standardContextual"/>
        </w:rPr>
        <w:t>为确保培训与考核协调，考核方式与培训结业考核方式相同。另外，考虑省级指挥员工作特征，提出</w:t>
      </w:r>
      <w:r>
        <w:rPr>
          <w:rFonts w:ascii="Times New Roman" w:hAnsi="Times New Roman" w:eastAsia="方正楷体_GBK" w:cs="Times New Roman"/>
          <w:sz w:val="32"/>
          <w:szCs w:val="22"/>
          <w14:ligatures w14:val="standardContextual"/>
        </w:rPr>
        <w:t>“省级指挥员考核可采取评审制形式进行”</w:t>
      </w:r>
      <w:r>
        <w:rPr>
          <w:rFonts w:ascii="Times New Roman" w:hAnsi="Times New Roman" w:eastAsia="方正仿宋_GBK" w:cs="Times New Roman"/>
          <w:sz w:val="32"/>
          <w:szCs w:val="22"/>
          <w14:ligatures w14:val="standardContextual"/>
        </w:rPr>
        <w:t>。</w:t>
      </w:r>
    </w:p>
    <w:p w14:paraId="25E830A7">
      <w:pPr>
        <w:adjustRightInd/>
        <w:spacing w:line="600" w:lineRule="exact"/>
        <w:ind w:firstLine="643" w:firstLineChars="200"/>
        <w:rPr>
          <w:rFonts w:ascii="Times New Roman" w:hAnsi="Times New Roman" w:eastAsia="方正仿宋_GBK" w:cs="Times New Roman"/>
          <w:b/>
          <w:bCs/>
          <w:sz w:val="32"/>
          <w:szCs w:val="22"/>
          <w14:ligatures w14:val="standardContextual"/>
        </w:rPr>
      </w:pPr>
      <w:r>
        <w:rPr>
          <w:rFonts w:ascii="Times New Roman" w:hAnsi="Times New Roman" w:eastAsia="方正仿宋_GBK" w:cs="Times New Roman"/>
          <w:b/>
          <w:bCs/>
          <w:sz w:val="32"/>
          <w:szCs w:val="22"/>
          <w14:ligatures w14:val="standardContextual"/>
        </w:rPr>
        <w:t>（5）考核流程</w:t>
      </w:r>
    </w:p>
    <w:p w14:paraId="64FC2733">
      <w:pPr>
        <w:adjustRightInd/>
        <w:spacing w:line="600" w:lineRule="exact"/>
        <w:ind w:firstLine="643" w:firstLineChars="200"/>
        <w:rPr>
          <w:rFonts w:ascii="Times New Roman" w:hAnsi="Times New Roman" w:eastAsia="方正仿宋_GBK" w:cs="Times New Roman"/>
          <w:sz w:val="32"/>
          <w:szCs w:val="22"/>
          <w14:ligatures w14:val="standardContextual"/>
        </w:rPr>
      </w:pPr>
      <w:r>
        <w:rPr>
          <w:rFonts w:ascii="Times New Roman" w:hAnsi="Times New Roman" w:eastAsia="方正仿宋_GBK" w:cs="Times New Roman"/>
          <w:b/>
          <w:bCs/>
          <w:sz w:val="32"/>
          <w:szCs w:val="22"/>
          <w14:ligatures w14:val="standardContextual"/>
        </w:rPr>
        <w:t>一是考核准备</w:t>
      </w:r>
      <w:r>
        <w:rPr>
          <w:rFonts w:hint="eastAsia" w:ascii="Times New Roman" w:hAnsi="Times New Roman" w:eastAsia="方正仿宋_GBK" w:cs="Times New Roman"/>
          <w:b/>
          <w:bCs/>
          <w:sz w:val="32"/>
          <w:szCs w:val="22"/>
          <w14:ligatures w14:val="standardContextual"/>
        </w:rPr>
        <w:t>。</w:t>
      </w:r>
      <w:r>
        <w:rPr>
          <w:rFonts w:ascii="Times New Roman" w:hAnsi="Times New Roman" w:eastAsia="方正仿宋_GBK" w:cs="Times New Roman"/>
          <w:sz w:val="32"/>
          <w:szCs w:val="22"/>
          <w14:ligatures w14:val="standardContextual"/>
        </w:rPr>
        <w:t>对考核方案及通知、报名通知、确定参考人员、考前准备以及考核分值等进行规范，为考核顺利实施奠定基础</w:t>
      </w:r>
      <w:r>
        <w:rPr>
          <w:rFonts w:hint="eastAsia" w:ascii="Times New Roman" w:hAnsi="Times New Roman" w:eastAsia="方正仿宋_GBK" w:cs="Times New Roman"/>
          <w:sz w:val="32"/>
          <w:szCs w:val="22"/>
          <w14:ligatures w14:val="standardContextual"/>
        </w:rPr>
        <w:t>，其中</w:t>
      </w:r>
      <w:r>
        <w:rPr>
          <w:rFonts w:ascii="Times New Roman" w:hAnsi="Times New Roman" w:eastAsia="方正仿宋_GBK" w:cs="Times New Roman"/>
          <w:sz w:val="32"/>
          <w:szCs w:val="22"/>
          <w14:ligatures w14:val="standardContextual"/>
        </w:rPr>
        <w:t>考核分值设计上，综合考虑考核对象、培训学时比例、知会程度要求，区分专业理论和实践操作设计分值</w:t>
      </w:r>
      <w:r>
        <w:rPr>
          <w:rFonts w:hint="eastAsia" w:ascii="Times New Roman" w:hAnsi="Times New Roman" w:eastAsia="方正仿宋_GBK" w:cs="Times New Roman"/>
          <w:sz w:val="32"/>
          <w:szCs w:val="22"/>
          <w14:ligatures w14:val="standardContextual"/>
        </w:rPr>
        <w:t>比例。专业理论考核方面，</w:t>
      </w:r>
      <w:r>
        <w:rPr>
          <w:rFonts w:ascii="Times New Roman" w:hAnsi="Times New Roman" w:eastAsia="方正仿宋_GBK" w:cs="Times New Roman"/>
          <w:sz w:val="32"/>
          <w:szCs w:val="22"/>
          <w14:ligatures w14:val="standardContextual"/>
        </w:rPr>
        <w:t>所有指挥员各课目理论考核分值一致</w:t>
      </w:r>
      <w:r>
        <w:rPr>
          <w:rFonts w:hint="eastAsia" w:ascii="Times New Roman" w:hAnsi="Times New Roman" w:eastAsia="方正仿宋_GBK" w:cs="Times New Roman"/>
          <w:sz w:val="32"/>
          <w:szCs w:val="22"/>
          <w14:ligatures w14:val="standardContextual"/>
        </w:rPr>
        <w:t>，突出</w:t>
      </w:r>
      <w:r>
        <w:rPr>
          <w:rFonts w:ascii="Times New Roman" w:hAnsi="Times New Roman" w:eastAsia="方正仿宋_GBK" w:cs="Times New Roman"/>
          <w:sz w:val="32"/>
          <w:szCs w:val="22"/>
          <w14:ligatures w14:val="standardContextual"/>
        </w:rPr>
        <w:t>打牢</w:t>
      </w:r>
      <w:r>
        <w:rPr>
          <w:rFonts w:hint="eastAsia" w:ascii="Times New Roman" w:hAnsi="Times New Roman" w:eastAsia="方正仿宋_GBK" w:cs="Times New Roman"/>
          <w:sz w:val="32"/>
          <w:szCs w:val="22"/>
          <w14:ligatures w14:val="standardContextual"/>
        </w:rPr>
        <w:t>理论基础同时，</w:t>
      </w:r>
      <w:r>
        <w:rPr>
          <w:rFonts w:ascii="Times New Roman" w:hAnsi="Times New Roman" w:eastAsia="方正仿宋_GBK" w:cs="Times New Roman"/>
          <w:sz w:val="32"/>
          <w:szCs w:val="22"/>
          <w14:ligatures w14:val="standardContextual"/>
        </w:rPr>
        <w:t>有针对性地加大</w:t>
      </w:r>
      <w:r>
        <w:rPr>
          <w:rFonts w:hint="eastAsia" w:ascii="Times New Roman" w:hAnsi="Times New Roman" w:eastAsia="方正仿宋_GBK" w:cs="Times New Roman"/>
          <w:sz w:val="32"/>
          <w:szCs w:val="22"/>
          <w14:ligatures w14:val="standardContextual"/>
        </w:rPr>
        <w:t>灭火</w:t>
      </w:r>
      <w:r>
        <w:rPr>
          <w:rFonts w:ascii="Times New Roman" w:hAnsi="Times New Roman" w:eastAsia="方正仿宋_GBK" w:cs="Times New Roman"/>
          <w:sz w:val="32"/>
          <w:szCs w:val="22"/>
          <w14:ligatures w14:val="standardContextual"/>
        </w:rPr>
        <w:t>战术、指挥及安全等课目的分值比例（60%）</w:t>
      </w:r>
      <w:r>
        <w:rPr>
          <w:rFonts w:hint="eastAsia" w:ascii="Times New Roman" w:hAnsi="Times New Roman" w:eastAsia="方正仿宋_GBK" w:cs="Times New Roman"/>
          <w:sz w:val="32"/>
          <w:szCs w:val="22"/>
          <w14:ligatures w14:val="standardContextual"/>
        </w:rPr>
        <w:t>；考核内容上，</w:t>
      </w:r>
      <w:r>
        <w:rPr>
          <w:rFonts w:ascii="Times New Roman" w:hAnsi="Times New Roman" w:eastAsia="方正仿宋_GBK" w:cs="Times New Roman"/>
          <w:sz w:val="32"/>
          <w:szCs w:val="22"/>
          <w14:ligatures w14:val="standardContextual"/>
        </w:rPr>
        <w:t>有关业务部门指挥员实践操技能考核涵盖灭火战术、灭火指挥、灭火安全等3个课目，队伍指挥员除进行上述3个课目考核外，还</w:t>
      </w:r>
      <w:r>
        <w:rPr>
          <w:rFonts w:hint="eastAsia" w:ascii="Times New Roman" w:hAnsi="Times New Roman" w:eastAsia="方正仿宋_GBK" w:cs="Times New Roman"/>
          <w:sz w:val="32"/>
          <w:szCs w:val="22"/>
          <w14:ligatures w14:val="standardContextual"/>
        </w:rPr>
        <w:t>需</w:t>
      </w:r>
      <w:r>
        <w:rPr>
          <w:rFonts w:ascii="Times New Roman" w:hAnsi="Times New Roman" w:eastAsia="方正仿宋_GBK" w:cs="Times New Roman"/>
          <w:sz w:val="32"/>
          <w:szCs w:val="22"/>
          <w14:ligatures w14:val="standardContextual"/>
        </w:rPr>
        <w:t>进行灭火装备、灭火技术考核。</w:t>
      </w:r>
      <w:r>
        <w:rPr>
          <w:rFonts w:ascii="Times New Roman" w:hAnsi="Times New Roman" w:eastAsia="方正仿宋_GBK" w:cs="Times New Roman"/>
          <w:b/>
          <w:bCs/>
          <w:sz w:val="32"/>
          <w:szCs w:val="22"/>
          <w14:ligatures w14:val="standardContextual"/>
        </w:rPr>
        <w:t>二是考核实施</w:t>
      </w:r>
      <w:r>
        <w:rPr>
          <w:rFonts w:hint="eastAsia" w:ascii="Times New Roman" w:hAnsi="Times New Roman" w:eastAsia="方正仿宋_GBK" w:cs="Times New Roman"/>
          <w:b/>
          <w:bCs/>
          <w:sz w:val="32"/>
          <w:szCs w:val="22"/>
          <w14:ligatures w14:val="standardContextual"/>
        </w:rPr>
        <w:t>。</w:t>
      </w:r>
      <w:r>
        <w:rPr>
          <w:rFonts w:ascii="Times New Roman" w:hAnsi="Times New Roman" w:eastAsia="方正仿宋_GBK" w:cs="Times New Roman"/>
          <w:sz w:val="32"/>
          <w:szCs w:val="22"/>
          <w14:ligatures w14:val="standardContextual"/>
        </w:rPr>
        <w:t>主要是对考核实施工作进行规范，可有效确保考核顺利进行。</w:t>
      </w:r>
      <w:r>
        <w:rPr>
          <w:rFonts w:ascii="Times New Roman" w:hAnsi="Times New Roman" w:eastAsia="方正仿宋_GBK" w:cs="Times New Roman"/>
          <w:b/>
          <w:bCs/>
          <w:sz w:val="32"/>
          <w:szCs w:val="22"/>
          <w14:ligatures w14:val="standardContextual"/>
        </w:rPr>
        <w:t>三是考核结束，</w:t>
      </w:r>
      <w:r>
        <w:rPr>
          <w:rFonts w:ascii="Times New Roman" w:hAnsi="Times New Roman" w:eastAsia="方正仿宋_GBK" w:cs="Times New Roman"/>
          <w:sz w:val="32"/>
          <w:szCs w:val="22"/>
          <w14:ligatures w14:val="standardContextual"/>
        </w:rPr>
        <w:t>对考核结束阶段工作内容进行规范。</w:t>
      </w:r>
    </w:p>
    <w:p w14:paraId="01029988">
      <w:pPr>
        <w:adjustRightInd/>
        <w:spacing w:line="600" w:lineRule="exact"/>
        <w:ind w:firstLine="643" w:firstLineChars="200"/>
        <w:rPr>
          <w:rFonts w:ascii="Times New Roman" w:hAnsi="Times New Roman" w:eastAsia="方正仿宋_GBK" w:cs="Times New Roman"/>
          <w:b/>
          <w:bCs/>
          <w:sz w:val="32"/>
          <w:szCs w:val="22"/>
          <w14:ligatures w14:val="standardContextual"/>
        </w:rPr>
      </w:pPr>
      <w:r>
        <w:rPr>
          <w:rFonts w:ascii="Times New Roman" w:hAnsi="Times New Roman" w:eastAsia="方正仿宋_GBK" w:cs="Times New Roman"/>
          <w:b/>
          <w:bCs/>
          <w:sz w:val="32"/>
          <w:szCs w:val="22"/>
          <w14:ligatures w14:val="standardContextual"/>
        </w:rPr>
        <w:t>8.培训与考核结果及运用</w:t>
      </w:r>
    </w:p>
    <w:p w14:paraId="6BEAA03C">
      <w:pPr>
        <w:adjustRightInd/>
        <w:spacing w:line="600" w:lineRule="exact"/>
        <w:ind w:firstLine="643" w:firstLineChars="200"/>
        <w:rPr>
          <w:rFonts w:ascii="Times New Roman" w:hAnsi="Times New Roman" w:eastAsia="方正仿宋_GBK" w:cs="Times New Roman"/>
          <w:b/>
          <w:bCs/>
          <w:sz w:val="32"/>
          <w:szCs w:val="22"/>
          <w14:ligatures w14:val="standardContextual"/>
        </w:rPr>
      </w:pPr>
      <w:r>
        <w:rPr>
          <w:rFonts w:ascii="Times New Roman" w:hAnsi="Times New Roman" w:eastAsia="方正仿宋_GBK" w:cs="Times New Roman"/>
          <w:b/>
          <w:bCs/>
          <w:sz w:val="32"/>
          <w:szCs w:val="22"/>
          <w14:ligatures w14:val="standardContextual"/>
        </w:rPr>
        <w:t>（1）结果表达</w:t>
      </w:r>
    </w:p>
    <w:p w14:paraId="7E795E0D">
      <w:pPr>
        <w:adjustRightInd/>
        <w:spacing w:line="600" w:lineRule="exact"/>
        <w:ind w:firstLine="640" w:firstLineChars="200"/>
        <w:rPr>
          <w:rFonts w:ascii="Times New Roman" w:hAnsi="Times New Roman" w:eastAsia="方正仿宋_GBK" w:cs="Times New Roman"/>
          <w:sz w:val="32"/>
          <w:szCs w:val="22"/>
          <w14:ligatures w14:val="standardContextual"/>
        </w:rPr>
      </w:pPr>
      <w:r>
        <w:rPr>
          <w:rFonts w:ascii="Times New Roman" w:hAnsi="Times New Roman" w:eastAsia="方正仿宋_GBK" w:cs="Times New Roman"/>
          <w:sz w:val="32"/>
          <w:szCs w:val="22"/>
          <w14:ligatures w14:val="standardContextual"/>
        </w:rPr>
        <w:t>一是培训结果表达。</w:t>
      </w:r>
      <w:r>
        <w:rPr>
          <w:rFonts w:hint="eastAsia" w:ascii="Times New Roman" w:hAnsi="Times New Roman" w:eastAsia="方正仿宋_GBK" w:cs="Times New Roman"/>
          <w:sz w:val="32"/>
          <w:szCs w:val="22"/>
          <w14:ligatures w14:val="standardContextual"/>
        </w:rPr>
        <w:t>综合调研意见，借鉴</w:t>
      </w:r>
      <w:r>
        <w:rPr>
          <w:rFonts w:ascii="Times New Roman" w:hAnsi="Times New Roman" w:eastAsia="方正仿宋_GBK" w:cs="Times New Roman"/>
          <w:sz w:val="32"/>
          <w:szCs w:val="22"/>
          <w14:ligatures w14:val="standardContextual"/>
        </w:rPr>
        <w:t>国家综合性消防救援队伍教育训练大纲（森林消防方面）及部分地方标准经验做法，提出按照二级制评定单项成绩及综合成绩，即“</w:t>
      </w:r>
      <w:r>
        <w:rPr>
          <w:rFonts w:ascii="Times New Roman" w:hAnsi="Times New Roman" w:eastAsia="方正楷体_GBK" w:cs="Times New Roman"/>
          <w:sz w:val="32"/>
          <w:szCs w:val="22"/>
          <w14:ligatures w14:val="standardContextual"/>
        </w:rPr>
        <w:t>培训结业考核采取百分制，分合格和不合格二级。专业理论考核正确率60%（含）以上合格，否则不合格；实践操作考核依据评分细则进行综合评判，达标率70%（含）以上合格，否则不合格。</w:t>
      </w:r>
      <w:r>
        <w:rPr>
          <w:rFonts w:ascii="Times New Roman" w:hAnsi="Times New Roman" w:eastAsia="方正仿宋_GBK" w:cs="Times New Roman"/>
          <w:sz w:val="32"/>
          <w:szCs w:val="22"/>
          <w14:ligatures w14:val="standardContextual"/>
        </w:rPr>
        <w:t>”；</w:t>
      </w:r>
      <w:r>
        <w:rPr>
          <w:rFonts w:hint="eastAsia" w:ascii="Times New Roman" w:hAnsi="Times New Roman" w:eastAsia="方正仿宋_GBK" w:cs="Times New Roman"/>
          <w:sz w:val="32"/>
          <w:szCs w:val="22"/>
          <w14:ligatures w14:val="standardContextual"/>
        </w:rPr>
        <w:t>并</w:t>
      </w:r>
      <w:r>
        <w:rPr>
          <w:rFonts w:ascii="Times New Roman" w:hAnsi="Times New Roman" w:eastAsia="方正仿宋_GBK" w:cs="Times New Roman"/>
          <w:sz w:val="32"/>
          <w:szCs w:val="22"/>
          <w14:ligatures w14:val="standardContextual"/>
        </w:rPr>
        <w:t>规定结业考核合格，方可评定为培训合格，</w:t>
      </w:r>
      <w:r>
        <w:rPr>
          <w:rFonts w:hint="eastAsia" w:ascii="Times New Roman" w:hAnsi="Times New Roman" w:eastAsia="方正仿宋_GBK" w:cs="Times New Roman"/>
          <w:sz w:val="32"/>
          <w:szCs w:val="22"/>
          <w14:ligatures w14:val="standardContextual"/>
        </w:rPr>
        <w:t>将</w:t>
      </w:r>
      <w:r>
        <w:rPr>
          <w:rFonts w:ascii="Times New Roman" w:hAnsi="Times New Roman" w:eastAsia="方正仿宋_GBK" w:cs="Times New Roman"/>
          <w:sz w:val="32"/>
          <w:szCs w:val="22"/>
          <w14:ligatures w14:val="standardContextual"/>
        </w:rPr>
        <w:t>培训结业证书作为培训合格</w:t>
      </w:r>
      <w:r>
        <w:rPr>
          <w:rFonts w:hint="eastAsia" w:ascii="Times New Roman" w:hAnsi="Times New Roman" w:eastAsia="方正仿宋_GBK" w:cs="Times New Roman"/>
          <w:sz w:val="32"/>
          <w:szCs w:val="22"/>
          <w14:ligatures w14:val="standardContextual"/>
        </w:rPr>
        <w:t>的</w:t>
      </w:r>
      <w:r>
        <w:rPr>
          <w:rFonts w:ascii="Times New Roman" w:hAnsi="Times New Roman" w:eastAsia="方正仿宋_GBK" w:cs="Times New Roman"/>
          <w:sz w:val="32"/>
          <w:szCs w:val="22"/>
          <w14:ligatures w14:val="standardContextual"/>
        </w:rPr>
        <w:t>证明，</w:t>
      </w:r>
      <w:r>
        <w:rPr>
          <w:rFonts w:hint="eastAsia" w:ascii="Times New Roman" w:hAnsi="Times New Roman" w:eastAsia="方正仿宋_GBK" w:cs="Times New Roman"/>
          <w:sz w:val="32"/>
          <w:szCs w:val="22"/>
          <w14:ligatures w14:val="standardContextual"/>
        </w:rPr>
        <w:t>并</w:t>
      </w:r>
      <w:r>
        <w:rPr>
          <w:rFonts w:ascii="Times New Roman" w:hAnsi="Times New Roman" w:eastAsia="方正仿宋_GBK" w:cs="Times New Roman"/>
          <w:sz w:val="32"/>
          <w:szCs w:val="22"/>
          <w14:ligatures w14:val="standardContextual"/>
        </w:rPr>
        <w:t>对培训证书制作进行规范统一，增强培训结果正规性有效性；同时对补考、复训进行</w:t>
      </w:r>
      <w:r>
        <w:rPr>
          <w:rFonts w:hint="eastAsia" w:ascii="Times New Roman" w:hAnsi="Times New Roman" w:eastAsia="方正仿宋_GBK" w:cs="Times New Roman"/>
          <w:sz w:val="32"/>
          <w:szCs w:val="22"/>
          <w14:ligatures w14:val="standardContextual"/>
        </w:rPr>
        <w:t>了</w:t>
      </w:r>
      <w:r>
        <w:rPr>
          <w:rFonts w:ascii="Times New Roman" w:hAnsi="Times New Roman" w:eastAsia="方正仿宋_GBK" w:cs="Times New Roman"/>
          <w:sz w:val="32"/>
          <w:szCs w:val="22"/>
          <w14:ligatures w14:val="standardContextual"/>
        </w:rPr>
        <w:t>明确</w:t>
      </w:r>
      <w:r>
        <w:rPr>
          <w:rFonts w:hint="eastAsia" w:ascii="Times New Roman" w:hAnsi="Times New Roman" w:eastAsia="方正仿宋_GBK" w:cs="Times New Roman"/>
          <w:sz w:val="32"/>
          <w:szCs w:val="22"/>
          <w14:ligatures w14:val="standardContextual"/>
        </w:rPr>
        <w:t>，</w:t>
      </w:r>
      <w:r>
        <w:rPr>
          <w:rFonts w:ascii="Times New Roman" w:hAnsi="Times New Roman" w:eastAsia="方正仿宋_GBK" w:cs="Times New Roman"/>
          <w:sz w:val="32"/>
          <w:szCs w:val="22"/>
          <w14:ligatures w14:val="standardContextual"/>
        </w:rPr>
        <w:t>形成</w:t>
      </w:r>
      <w:r>
        <w:rPr>
          <w:rFonts w:hint="eastAsia" w:ascii="Times New Roman" w:hAnsi="Times New Roman" w:eastAsia="方正仿宋_GBK" w:cs="Times New Roman"/>
          <w:sz w:val="32"/>
          <w:szCs w:val="22"/>
          <w14:ligatures w14:val="standardContextual"/>
        </w:rPr>
        <w:t>培训</w:t>
      </w:r>
      <w:r>
        <w:rPr>
          <w:rFonts w:ascii="Times New Roman" w:hAnsi="Times New Roman" w:eastAsia="方正仿宋_GBK" w:cs="Times New Roman"/>
          <w:sz w:val="32"/>
          <w:szCs w:val="22"/>
          <w14:ligatures w14:val="standardContextual"/>
        </w:rPr>
        <w:t>闭环。</w:t>
      </w:r>
    </w:p>
    <w:p w14:paraId="15DFAC5F">
      <w:pPr>
        <w:adjustRightInd/>
        <w:spacing w:line="600" w:lineRule="exact"/>
        <w:ind w:firstLine="640" w:firstLineChars="200"/>
        <w:rPr>
          <w:rFonts w:ascii="Times New Roman" w:hAnsi="Times New Roman" w:eastAsia="方正仿宋_GBK" w:cs="Times New Roman"/>
          <w:sz w:val="32"/>
          <w:szCs w:val="22"/>
          <w14:ligatures w14:val="standardContextual"/>
        </w:rPr>
      </w:pPr>
      <w:r>
        <w:rPr>
          <w:rFonts w:ascii="Times New Roman" w:hAnsi="Times New Roman" w:eastAsia="方正仿宋_GBK" w:cs="Times New Roman"/>
          <w:sz w:val="32"/>
          <w:szCs w:val="22"/>
          <w14:ligatures w14:val="standardContextual"/>
        </w:rPr>
        <w:t>二是考核结果表达。</w:t>
      </w:r>
      <w:r>
        <w:rPr>
          <w:rFonts w:hint="eastAsia" w:ascii="Times New Roman" w:hAnsi="Times New Roman" w:eastAsia="方正仿宋_GBK" w:cs="Times New Roman"/>
          <w:sz w:val="32"/>
          <w:szCs w:val="22"/>
          <w14:ligatures w14:val="standardContextual"/>
        </w:rPr>
        <w:t>综合调研意见，借鉴</w:t>
      </w:r>
      <w:r>
        <w:rPr>
          <w:rFonts w:ascii="Times New Roman" w:hAnsi="Times New Roman" w:eastAsia="方正仿宋_GBK" w:cs="Times New Roman"/>
          <w:sz w:val="32"/>
          <w:szCs w:val="22"/>
          <w14:ligatures w14:val="standardContextual"/>
        </w:rPr>
        <w:t>国家综合性消防救援队伍教育训练大纲（森林消防方面）及部分地方标准经验做法，提出按照二级制评定单项成绩及综合成绩，但是成绩要求要高于培训结业考核。即“</w:t>
      </w:r>
      <w:r>
        <w:rPr>
          <w:rFonts w:ascii="Times New Roman" w:hAnsi="Times New Roman" w:eastAsia="方正楷体_GBK" w:cs="Times New Roman"/>
          <w:sz w:val="32"/>
          <w:szCs w:val="22"/>
          <w14:ligatures w14:val="standardContextual"/>
        </w:rPr>
        <w:t>培训结业考核采取百分制，分合格和不合格二级。专业理论考核正确率70%（含）以上合格，否则不合格；实践操作考核依据评分细则进行综合评判，达标率80%（含）以上合格，否则不合格。</w:t>
      </w:r>
      <w:r>
        <w:rPr>
          <w:rFonts w:ascii="Times New Roman" w:hAnsi="Times New Roman" w:eastAsia="方正仿宋_GBK" w:cs="Times New Roman"/>
          <w:sz w:val="32"/>
          <w:szCs w:val="22"/>
          <w14:ligatures w14:val="standardContextual"/>
        </w:rPr>
        <w:t>”；提出为考核合格人员签发合格证书，作为考核合格证明，对证书制作进行规范统一，增强考核结果正规性有效性；同时对补考、复训进行明确，形成考核闭环。</w:t>
      </w:r>
    </w:p>
    <w:p w14:paraId="2EFE26E4">
      <w:pPr>
        <w:adjustRightInd/>
        <w:spacing w:line="600" w:lineRule="exact"/>
        <w:ind w:firstLine="643" w:firstLineChars="200"/>
        <w:rPr>
          <w:rFonts w:ascii="Times New Roman" w:hAnsi="Times New Roman" w:eastAsia="方正仿宋_GBK" w:cs="Times New Roman"/>
          <w:b/>
          <w:bCs/>
          <w:sz w:val="32"/>
          <w:szCs w:val="22"/>
          <w14:ligatures w14:val="standardContextual"/>
        </w:rPr>
      </w:pPr>
      <w:r>
        <w:rPr>
          <w:rFonts w:ascii="Times New Roman" w:hAnsi="Times New Roman" w:eastAsia="方正仿宋_GBK" w:cs="Times New Roman"/>
          <w:b/>
          <w:bCs/>
          <w:sz w:val="32"/>
          <w:szCs w:val="22"/>
          <w14:ligatures w14:val="standardContextual"/>
        </w:rPr>
        <w:t>（2）结果运用</w:t>
      </w:r>
    </w:p>
    <w:p w14:paraId="5BBF2B21">
      <w:pPr>
        <w:adjustRightInd/>
        <w:spacing w:line="600" w:lineRule="exact"/>
        <w:ind w:firstLine="640" w:firstLineChars="200"/>
        <w:rPr>
          <w:rFonts w:ascii="Times New Roman" w:hAnsi="Times New Roman" w:eastAsia="方正仿宋_GBK" w:cs="Times New Roman"/>
          <w:sz w:val="32"/>
          <w:szCs w:val="22"/>
          <w14:ligatures w14:val="standardContextual"/>
        </w:rPr>
      </w:pPr>
      <w:r>
        <w:rPr>
          <w:rFonts w:ascii="Times New Roman" w:hAnsi="Times New Roman" w:eastAsia="方正仿宋_GBK" w:cs="Times New Roman"/>
          <w:sz w:val="32"/>
          <w:szCs w:val="22"/>
          <w14:ligatures w14:val="standardContextual"/>
        </w:rPr>
        <w:t>鉴于各地对指挥员培养、选拔任用、待遇保障等方面的机制</w:t>
      </w:r>
      <w:r>
        <w:rPr>
          <w:rFonts w:hint="eastAsia" w:ascii="Times New Roman" w:hAnsi="Times New Roman" w:eastAsia="方正仿宋_GBK" w:cs="Times New Roman"/>
          <w:sz w:val="32"/>
          <w:szCs w:val="22"/>
          <w14:ligatures w14:val="standardContextual"/>
        </w:rPr>
        <w:t>及</w:t>
      </w:r>
      <w:r>
        <w:rPr>
          <w:rFonts w:ascii="Times New Roman" w:hAnsi="Times New Roman" w:eastAsia="方正仿宋_GBK" w:cs="Times New Roman"/>
          <w:sz w:val="32"/>
          <w:szCs w:val="22"/>
          <w14:ligatures w14:val="standardContextual"/>
        </w:rPr>
        <w:t>标准没有完全统一，统一采用“宜考虑运用于···”的表述</w:t>
      </w:r>
      <w:r>
        <w:rPr>
          <w:rFonts w:hint="eastAsia" w:ascii="Times New Roman" w:hAnsi="Times New Roman" w:eastAsia="方正仿宋_GBK" w:cs="Times New Roman"/>
          <w:sz w:val="32"/>
          <w:szCs w:val="22"/>
          <w14:ligatures w14:val="standardContextual"/>
        </w:rPr>
        <w:t>形式</w:t>
      </w:r>
      <w:r>
        <w:rPr>
          <w:rFonts w:ascii="Times New Roman" w:hAnsi="Times New Roman" w:eastAsia="方正仿宋_GBK" w:cs="Times New Roman"/>
          <w:sz w:val="32"/>
          <w:szCs w:val="22"/>
          <w14:ligatures w14:val="standardContextual"/>
        </w:rPr>
        <w:t>，对指挥员培训</w:t>
      </w:r>
      <w:r>
        <w:rPr>
          <w:rFonts w:hint="eastAsia" w:ascii="Times New Roman" w:hAnsi="Times New Roman" w:eastAsia="方正仿宋_GBK" w:cs="Times New Roman"/>
          <w:sz w:val="32"/>
          <w:szCs w:val="22"/>
          <w14:ligatures w14:val="standardContextual"/>
        </w:rPr>
        <w:t>与</w:t>
      </w:r>
      <w:r>
        <w:rPr>
          <w:rFonts w:ascii="Times New Roman" w:hAnsi="Times New Roman" w:eastAsia="方正仿宋_GBK" w:cs="Times New Roman"/>
          <w:sz w:val="32"/>
          <w:szCs w:val="22"/>
          <w14:ligatures w14:val="standardContextual"/>
        </w:rPr>
        <w:t>考核</w:t>
      </w:r>
      <w:r>
        <w:rPr>
          <w:rFonts w:hint="eastAsia" w:ascii="Times New Roman" w:hAnsi="Times New Roman" w:eastAsia="方正仿宋_GBK" w:cs="Times New Roman"/>
          <w:sz w:val="32"/>
          <w:szCs w:val="22"/>
          <w14:ligatures w14:val="standardContextual"/>
        </w:rPr>
        <w:t>结果</w:t>
      </w:r>
      <w:r>
        <w:rPr>
          <w:rFonts w:ascii="Times New Roman" w:hAnsi="Times New Roman" w:eastAsia="方正仿宋_GBK" w:cs="Times New Roman"/>
          <w:sz w:val="32"/>
          <w:szCs w:val="22"/>
          <w14:ligatures w14:val="standardContextual"/>
        </w:rPr>
        <w:t>运用</w:t>
      </w:r>
      <w:r>
        <w:rPr>
          <w:rFonts w:hint="eastAsia" w:ascii="Times New Roman" w:hAnsi="Times New Roman" w:eastAsia="方正仿宋_GBK" w:cs="Times New Roman"/>
          <w:sz w:val="32"/>
          <w:szCs w:val="22"/>
          <w14:ligatures w14:val="standardContextual"/>
        </w:rPr>
        <w:t>提出</w:t>
      </w:r>
      <w:r>
        <w:rPr>
          <w:rFonts w:ascii="Times New Roman" w:hAnsi="Times New Roman" w:eastAsia="方正仿宋_GBK" w:cs="Times New Roman"/>
          <w:sz w:val="32"/>
          <w:szCs w:val="22"/>
          <w14:ligatures w14:val="standardContextual"/>
        </w:rPr>
        <w:t>建议，供地方参考。</w:t>
      </w:r>
    </w:p>
    <w:p w14:paraId="616539A2">
      <w:pPr>
        <w:adjustRightInd/>
        <w:spacing w:line="600" w:lineRule="exact"/>
        <w:ind w:firstLine="643" w:firstLineChars="200"/>
        <w:rPr>
          <w:rFonts w:ascii="Times New Roman" w:hAnsi="Times New Roman" w:eastAsia="方正仿宋_GBK" w:cs="Times New Roman"/>
          <w:b/>
          <w:bCs/>
          <w:sz w:val="32"/>
          <w:szCs w:val="22"/>
          <w14:ligatures w14:val="standardContextual"/>
        </w:rPr>
      </w:pPr>
      <w:r>
        <w:rPr>
          <w:rFonts w:ascii="Times New Roman" w:hAnsi="Times New Roman" w:eastAsia="方正仿宋_GBK" w:cs="Times New Roman"/>
          <w:b/>
          <w:bCs/>
          <w:sz w:val="32"/>
          <w:szCs w:val="22"/>
          <w14:ligatures w14:val="standardContextual"/>
        </w:rPr>
        <w:t>（3）资料管理</w:t>
      </w:r>
    </w:p>
    <w:p w14:paraId="538DB67F">
      <w:pPr>
        <w:adjustRightInd/>
        <w:spacing w:line="600" w:lineRule="exact"/>
        <w:ind w:firstLine="640" w:firstLineChars="200"/>
        <w:rPr>
          <w:rFonts w:ascii="Times New Roman" w:hAnsi="Times New Roman" w:eastAsia="方正仿宋_GBK" w:cs="Times New Roman"/>
          <w:sz w:val="32"/>
          <w:szCs w:val="22"/>
          <w14:ligatures w14:val="standardContextual"/>
        </w:rPr>
      </w:pPr>
      <w:r>
        <w:rPr>
          <w:rFonts w:hint="eastAsia" w:ascii="Times New Roman" w:hAnsi="Times New Roman" w:eastAsia="方正仿宋_GBK" w:cs="Times New Roman"/>
          <w:sz w:val="32"/>
          <w:szCs w:val="22"/>
          <w14:ligatures w14:val="standardContextual"/>
        </w:rPr>
        <w:t>对</w:t>
      </w:r>
      <w:r>
        <w:rPr>
          <w:rFonts w:ascii="Times New Roman" w:hAnsi="Times New Roman" w:eastAsia="方正仿宋_GBK" w:cs="Times New Roman"/>
          <w:sz w:val="32"/>
          <w:szCs w:val="22"/>
          <w14:ligatures w14:val="standardContextual"/>
        </w:rPr>
        <w:t>培训</w:t>
      </w:r>
      <w:r>
        <w:rPr>
          <w:rFonts w:hint="eastAsia" w:ascii="Times New Roman" w:hAnsi="Times New Roman" w:eastAsia="方正仿宋_GBK" w:cs="Times New Roman"/>
          <w:sz w:val="32"/>
          <w:szCs w:val="22"/>
          <w14:ligatures w14:val="standardContextual"/>
        </w:rPr>
        <w:t>与</w:t>
      </w:r>
      <w:r>
        <w:rPr>
          <w:rFonts w:ascii="Times New Roman" w:hAnsi="Times New Roman" w:eastAsia="方正仿宋_GBK" w:cs="Times New Roman"/>
          <w:sz w:val="32"/>
          <w:szCs w:val="22"/>
          <w14:ligatures w14:val="standardContextual"/>
        </w:rPr>
        <w:t>考核档案</w:t>
      </w:r>
      <w:r>
        <w:rPr>
          <w:rFonts w:hint="eastAsia" w:ascii="Times New Roman" w:hAnsi="Times New Roman" w:eastAsia="方正仿宋_GBK" w:cs="Times New Roman"/>
          <w:sz w:val="32"/>
          <w:szCs w:val="22"/>
          <w14:ligatures w14:val="standardContextual"/>
        </w:rPr>
        <w:t>资料管理进行规范</w:t>
      </w:r>
      <w:r>
        <w:rPr>
          <w:rFonts w:ascii="Times New Roman" w:hAnsi="Times New Roman" w:eastAsia="方正仿宋_GBK" w:cs="Times New Roman"/>
          <w:sz w:val="32"/>
          <w:szCs w:val="22"/>
          <w14:ligatures w14:val="standardContextual"/>
        </w:rPr>
        <w:t>，</w:t>
      </w:r>
      <w:r>
        <w:rPr>
          <w:rFonts w:hint="eastAsia" w:ascii="Times New Roman" w:hAnsi="Times New Roman" w:eastAsia="方正仿宋_GBK" w:cs="Times New Roman"/>
          <w:sz w:val="32"/>
          <w:szCs w:val="22"/>
          <w14:ligatures w14:val="standardContextual"/>
        </w:rPr>
        <w:t>并提出</w:t>
      </w:r>
      <w:r>
        <w:rPr>
          <w:rFonts w:ascii="Times New Roman" w:hAnsi="Times New Roman" w:eastAsia="方正仿宋_GBK" w:cs="Times New Roman"/>
          <w:sz w:val="32"/>
          <w:szCs w:val="22"/>
          <w14:ligatures w14:val="standardContextual"/>
        </w:rPr>
        <w:t>长期保存</w:t>
      </w:r>
      <w:r>
        <w:rPr>
          <w:rFonts w:hint="eastAsia" w:ascii="Times New Roman" w:hAnsi="Times New Roman" w:eastAsia="方正仿宋_GBK" w:cs="Times New Roman"/>
          <w:sz w:val="32"/>
          <w:szCs w:val="22"/>
          <w14:ligatures w14:val="standardContextual"/>
        </w:rPr>
        <w:t>（不少于5年）</w:t>
      </w:r>
      <w:r>
        <w:rPr>
          <w:rFonts w:ascii="Times New Roman" w:hAnsi="Times New Roman" w:eastAsia="方正仿宋_GBK" w:cs="Times New Roman"/>
          <w:sz w:val="32"/>
          <w:szCs w:val="22"/>
          <w14:ligatures w14:val="standardContextual"/>
        </w:rPr>
        <w:t>的要求，目的是为培训和考核提供溯源依据，</w:t>
      </w:r>
      <w:r>
        <w:rPr>
          <w:rFonts w:hint="eastAsia" w:ascii="Times New Roman" w:hAnsi="Times New Roman" w:eastAsia="方正仿宋_GBK" w:cs="Times New Roman"/>
          <w:sz w:val="32"/>
          <w:szCs w:val="22"/>
          <w14:ligatures w14:val="standardContextual"/>
        </w:rPr>
        <w:t>让</w:t>
      </w:r>
      <w:r>
        <w:rPr>
          <w:rFonts w:ascii="Times New Roman" w:hAnsi="Times New Roman" w:eastAsia="方正仿宋_GBK" w:cs="Times New Roman"/>
          <w:sz w:val="32"/>
          <w:szCs w:val="22"/>
          <w14:ligatures w14:val="standardContextual"/>
        </w:rPr>
        <w:t>指挥员能力</w:t>
      </w:r>
      <w:r>
        <w:rPr>
          <w:rFonts w:hint="eastAsia" w:ascii="Times New Roman" w:hAnsi="Times New Roman" w:eastAsia="方正仿宋_GBK" w:cs="Times New Roman"/>
          <w:sz w:val="32"/>
          <w:szCs w:val="22"/>
          <w14:ligatures w14:val="standardContextual"/>
        </w:rPr>
        <w:t>生成可持续</w:t>
      </w:r>
      <w:r>
        <w:rPr>
          <w:rFonts w:ascii="Times New Roman" w:hAnsi="Times New Roman" w:eastAsia="方正仿宋_GBK" w:cs="Times New Roman"/>
          <w:sz w:val="32"/>
          <w:szCs w:val="22"/>
          <w14:ligatures w14:val="standardContextual"/>
        </w:rPr>
        <w:t>。</w:t>
      </w:r>
    </w:p>
    <w:bookmarkEnd w:id="372"/>
    <w:bookmarkEnd w:id="375"/>
    <w:p w14:paraId="389907EC">
      <w:pPr>
        <w:adjustRightInd/>
        <w:spacing w:line="600" w:lineRule="exact"/>
        <w:ind w:firstLine="640" w:firstLineChars="200"/>
        <w:rPr>
          <w:rFonts w:ascii="Times New Roman" w:hAnsi="Times New Roman" w:eastAsia="方正楷体_GBK" w:cs="Times New Roman"/>
          <w:sz w:val="32"/>
          <w:szCs w:val="22"/>
          <w14:ligatures w14:val="standardContextual"/>
        </w:rPr>
      </w:pPr>
      <w:r>
        <w:rPr>
          <w:rFonts w:ascii="Times New Roman" w:hAnsi="Times New Roman" w:eastAsia="方正楷体_GBK" w:cs="Times New Roman"/>
          <w:sz w:val="32"/>
          <w:szCs w:val="22"/>
          <w14:ligatures w14:val="standardContextual"/>
        </w:rPr>
        <w:t>（三）标准修订变化及依据（仅修订标准需要列出）</w:t>
      </w:r>
    </w:p>
    <w:p w14:paraId="5D1FBF85">
      <w:pPr>
        <w:adjustRightInd/>
        <w:spacing w:line="600" w:lineRule="exact"/>
        <w:ind w:firstLine="640" w:firstLineChars="200"/>
        <w:rPr>
          <w:rFonts w:ascii="Times New Roman" w:hAnsi="Times New Roman" w:eastAsia="方正仿宋_GBK" w:cs="Times New Roman"/>
          <w:sz w:val="32"/>
          <w:szCs w:val="22"/>
          <w14:ligatures w14:val="standardContextual"/>
        </w:rPr>
      </w:pPr>
      <w:r>
        <w:rPr>
          <w:rFonts w:ascii="Times New Roman" w:hAnsi="Times New Roman" w:eastAsia="方正仿宋_GBK" w:cs="Times New Roman"/>
          <w:sz w:val="32"/>
          <w:szCs w:val="22"/>
          <w14:ligatures w14:val="standardContextual"/>
        </w:rPr>
        <w:t>无。</w:t>
      </w:r>
    </w:p>
    <w:p w14:paraId="4195F9B0">
      <w:pPr>
        <w:adjustRightInd/>
        <w:spacing w:line="600" w:lineRule="exact"/>
        <w:ind w:firstLine="640" w:firstLineChars="200"/>
        <w:rPr>
          <w:rFonts w:ascii="Times New Roman" w:hAnsi="Times New Roman" w:eastAsia="方正黑体_GBK" w:cs="Times New Roman"/>
          <w:sz w:val="32"/>
          <w:szCs w:val="22"/>
          <w14:ligatures w14:val="standardContextual"/>
        </w:rPr>
      </w:pPr>
      <w:r>
        <w:rPr>
          <w:rFonts w:ascii="Times New Roman" w:hAnsi="Times New Roman" w:eastAsia="方正黑体_GBK" w:cs="Times New Roman"/>
          <w:sz w:val="32"/>
          <w:szCs w:val="22"/>
          <w14:ligatures w14:val="standardContextual"/>
        </w:rPr>
        <w:t>三、实验验证的分析、综述报告、技术经济论证，预期的经济效益、社会效益和生态效益。</w:t>
      </w:r>
    </w:p>
    <w:p w14:paraId="340B8606">
      <w:pPr>
        <w:adjustRightInd/>
        <w:spacing w:line="600" w:lineRule="exact"/>
        <w:ind w:firstLine="640" w:firstLineChars="200"/>
        <w:rPr>
          <w:rFonts w:ascii="Times New Roman" w:hAnsi="Times New Roman" w:eastAsia="方正仿宋_GBK" w:cs="Times New Roman"/>
          <w:sz w:val="32"/>
          <w:szCs w:val="22"/>
          <w14:ligatures w14:val="standardContextual"/>
        </w:rPr>
      </w:pPr>
      <w:bookmarkStart w:id="378" w:name="_Hlk193178218"/>
      <w:r>
        <w:rPr>
          <w:rFonts w:ascii="Times New Roman" w:hAnsi="Times New Roman" w:eastAsia="方正仿宋_GBK" w:cs="Times New Roman"/>
          <w:sz w:val="32"/>
          <w:szCs w:val="22"/>
          <w14:ligatures w14:val="standardContextual"/>
        </w:rPr>
        <w:t>本标准适用于</w:t>
      </w:r>
      <w:bookmarkEnd w:id="378"/>
      <w:r>
        <w:rPr>
          <w:rFonts w:hint="eastAsia" w:ascii="Times New Roman" w:hAnsi="Times New Roman" w:eastAsia="方正仿宋_GBK" w:cs="Times New Roman"/>
          <w:sz w:val="32"/>
          <w:szCs w:val="22"/>
          <w14:ligatures w14:val="standardContextual"/>
        </w:rPr>
        <w:t>地方森林草原火灾</w:t>
      </w:r>
      <w:r>
        <w:rPr>
          <w:rFonts w:ascii="Times New Roman" w:hAnsi="Times New Roman" w:eastAsia="方正仿宋_GBK" w:cs="Times New Roman"/>
          <w:sz w:val="32"/>
          <w:szCs w:val="22"/>
          <w14:ligatures w14:val="standardContextual"/>
        </w:rPr>
        <w:t>培训</w:t>
      </w:r>
      <w:r>
        <w:rPr>
          <w:rFonts w:hint="eastAsia" w:ascii="Times New Roman" w:hAnsi="Times New Roman" w:eastAsia="方正仿宋_GBK" w:cs="Times New Roman"/>
          <w:sz w:val="32"/>
          <w:szCs w:val="22"/>
          <w14:ligatures w14:val="standardContextual"/>
        </w:rPr>
        <w:t>与</w:t>
      </w:r>
      <w:r>
        <w:rPr>
          <w:rFonts w:ascii="Times New Roman" w:hAnsi="Times New Roman" w:eastAsia="方正仿宋_GBK" w:cs="Times New Roman"/>
          <w:sz w:val="32"/>
          <w:szCs w:val="22"/>
          <w14:ligatures w14:val="standardContextual"/>
        </w:rPr>
        <w:t>考核。起草过程中，近10个省（市）</w:t>
      </w:r>
      <w:r>
        <w:rPr>
          <w:rFonts w:hint="eastAsia" w:ascii="Times New Roman" w:hAnsi="Times New Roman" w:eastAsia="方正仿宋_GBK" w:cs="Times New Roman"/>
          <w:sz w:val="32"/>
          <w:szCs w:val="22"/>
          <w14:ligatures w14:val="standardContextual"/>
        </w:rPr>
        <w:t>的</w:t>
      </w:r>
      <w:r>
        <w:rPr>
          <w:rFonts w:ascii="Times New Roman" w:hAnsi="Times New Roman" w:eastAsia="方正仿宋_GBK" w:cs="Times New Roman"/>
          <w:sz w:val="32"/>
          <w:szCs w:val="22"/>
          <w14:ligatures w14:val="standardContextual"/>
        </w:rPr>
        <w:t>各级各类扑火指挥员，超过300人参与调研座谈、问卷调查（257人），其中调研座谈显示，文件整体符合各级各类</w:t>
      </w:r>
      <w:r>
        <w:rPr>
          <w:rFonts w:hint="eastAsia" w:ascii="Times New Roman" w:hAnsi="Times New Roman" w:eastAsia="方正仿宋_GBK" w:cs="Times New Roman"/>
          <w:sz w:val="32"/>
          <w:szCs w:val="22"/>
          <w14:ligatures w14:val="standardContextual"/>
        </w:rPr>
        <w:t>火灾扑救</w:t>
      </w:r>
      <w:r>
        <w:rPr>
          <w:rFonts w:ascii="Times New Roman" w:hAnsi="Times New Roman" w:eastAsia="方正仿宋_GBK" w:cs="Times New Roman"/>
          <w:sz w:val="32"/>
          <w:szCs w:val="22"/>
          <w14:ligatures w14:val="standardContextual"/>
        </w:rPr>
        <w:t>指挥员预期；问卷数据显示，各技术要素整体满意度（或接受度）均达到90%以上，分析认为，项目初步达到预期目的。</w:t>
      </w:r>
    </w:p>
    <w:p w14:paraId="24879754">
      <w:pPr>
        <w:adjustRightInd/>
        <w:spacing w:line="600" w:lineRule="exact"/>
        <w:ind w:firstLine="640" w:firstLineChars="200"/>
        <w:rPr>
          <w:rFonts w:ascii="Times New Roman" w:hAnsi="Times New Roman" w:eastAsia="方正仿宋_GBK" w:cs="Times New Roman"/>
          <w:sz w:val="32"/>
          <w:szCs w:val="22"/>
          <w14:ligatures w14:val="standardContextual"/>
        </w:rPr>
      </w:pPr>
      <w:r>
        <w:rPr>
          <w:rFonts w:ascii="Times New Roman" w:hAnsi="Times New Roman" w:eastAsia="方正仿宋_GBK" w:cs="Times New Roman"/>
          <w:sz w:val="32"/>
          <w:szCs w:val="22"/>
          <w14:ligatures w14:val="standardContextual"/>
        </w:rPr>
        <w:t>本标准主要目的是规范森林草原火灾</w:t>
      </w:r>
      <w:r>
        <w:rPr>
          <w:rFonts w:hint="eastAsia" w:ascii="Times New Roman" w:hAnsi="Times New Roman" w:eastAsia="方正仿宋_GBK" w:cs="Times New Roman"/>
          <w:sz w:val="32"/>
          <w:szCs w:val="22"/>
          <w14:ligatures w14:val="standardContextual"/>
        </w:rPr>
        <w:t>扑救</w:t>
      </w:r>
      <w:r>
        <w:rPr>
          <w:rFonts w:ascii="Times New Roman" w:hAnsi="Times New Roman" w:eastAsia="方正仿宋_GBK" w:cs="Times New Roman"/>
          <w:sz w:val="32"/>
          <w:szCs w:val="22"/>
          <w14:ligatures w14:val="standardContextual"/>
        </w:rPr>
        <w:t>指挥员培训</w:t>
      </w:r>
      <w:r>
        <w:rPr>
          <w:rFonts w:hint="eastAsia" w:ascii="Times New Roman" w:hAnsi="Times New Roman" w:eastAsia="方正仿宋_GBK" w:cs="Times New Roman"/>
          <w:sz w:val="32"/>
          <w:szCs w:val="22"/>
          <w14:ligatures w14:val="standardContextual"/>
        </w:rPr>
        <w:t>与</w:t>
      </w:r>
      <w:r>
        <w:rPr>
          <w:rFonts w:ascii="Times New Roman" w:hAnsi="Times New Roman" w:eastAsia="方正仿宋_GBK" w:cs="Times New Roman"/>
          <w:sz w:val="32"/>
          <w:szCs w:val="22"/>
          <w14:ligatures w14:val="standardContextual"/>
        </w:rPr>
        <w:t>考核，不产生直接经济效益，但通过本标准，可以整体提升指挥员能力水平，更有效地保护板森林草原资源安全，维护人民群众生命财产安全，创造间接经济效益。</w:t>
      </w:r>
    </w:p>
    <w:p w14:paraId="5BBEC31F">
      <w:pPr>
        <w:adjustRightInd/>
        <w:spacing w:line="600" w:lineRule="exact"/>
        <w:ind w:firstLine="640" w:firstLineChars="200"/>
        <w:rPr>
          <w:rFonts w:ascii="Times New Roman" w:hAnsi="Times New Roman" w:eastAsia="方正仿宋_GBK" w:cs="Times New Roman"/>
          <w:sz w:val="32"/>
          <w:szCs w:val="22"/>
          <w14:ligatures w14:val="standardContextual"/>
        </w:rPr>
      </w:pPr>
      <w:r>
        <w:rPr>
          <w:rFonts w:ascii="Times New Roman" w:hAnsi="Times New Roman" w:eastAsia="方正仿宋_GBK" w:cs="Times New Roman"/>
          <w:sz w:val="32"/>
          <w:szCs w:val="22"/>
          <w14:ligatures w14:val="standardContextual"/>
        </w:rPr>
        <w:t>社会效益和生态效益方面，随着火灾预警、监测、扑救技术发展，以及个人安全防护装备、灭火机具效能的提升，对森林草原防灭火指挥员能力素质提出了新的更高要求，需要科学的标准技术支持，推进专业指挥员队伍培训和考核，可以有效提升森林消防指挥专业化水平，确保森林草原防灭火建设的质量和效益。因此本标准面向森林草原火灾扑火指挥员岗位需求，聚焦解决教什么、练什么、考什么、怎么考的问题，切实提升防灭火指挥能力，以满足安全第一、科学扑救总要求。所以研究开发本标准有利于完善森林消防领域标准体系，有利于整体提升指挥员队伍能力水平，优化指挥员体系，为规范指挥员培训及考核，推动持证上岗提供标准依据，是提升森林草原火灾应急管理体系和治理能力现代化的重要举措，有助于更好地保护森林草原资源安全，创造较强的社会效益和生态效益。</w:t>
      </w:r>
    </w:p>
    <w:p w14:paraId="270B5E80">
      <w:pPr>
        <w:adjustRightInd/>
        <w:spacing w:line="600" w:lineRule="exact"/>
        <w:ind w:firstLine="640" w:firstLineChars="200"/>
        <w:rPr>
          <w:rFonts w:ascii="Times New Roman" w:hAnsi="Times New Roman" w:eastAsia="方正黑体_GBK" w:cs="Times New Roman"/>
          <w:sz w:val="32"/>
          <w:szCs w:val="22"/>
          <w14:ligatures w14:val="standardContextual"/>
        </w:rPr>
      </w:pPr>
      <w:r>
        <w:rPr>
          <w:rFonts w:ascii="Times New Roman" w:hAnsi="Times New Roman" w:eastAsia="方正黑体_GBK" w:cs="Times New Roman"/>
          <w:sz w:val="32"/>
          <w:szCs w:val="22"/>
          <w14:ligatures w14:val="standardContextual"/>
        </w:rPr>
        <w:t>四、与国际、国外同类标准技术内容的对比情况</w:t>
      </w:r>
    </w:p>
    <w:p w14:paraId="25B47070">
      <w:pPr>
        <w:adjustRightInd/>
        <w:spacing w:line="600" w:lineRule="exact"/>
        <w:ind w:firstLine="640" w:firstLineChars="200"/>
        <w:rPr>
          <w:rFonts w:ascii="Times New Roman" w:hAnsi="Times New Roman" w:eastAsia="方正仿宋_GBK" w:cs="Times New Roman"/>
          <w:sz w:val="32"/>
          <w:szCs w:val="22"/>
          <w14:ligatures w14:val="standardContextual"/>
        </w:rPr>
      </w:pPr>
      <w:r>
        <w:rPr>
          <w:rFonts w:ascii="Times New Roman" w:hAnsi="Times New Roman" w:eastAsia="方正仿宋_GBK" w:cs="Times New Roman"/>
          <w:sz w:val="32"/>
          <w:szCs w:val="22"/>
          <w14:ligatures w14:val="standardContextual"/>
        </w:rPr>
        <w:t>国外更多是从职业资格角度出发，对野火消防指挥人员资格条件、能力要求以及考察评估等进行规定，已经形成相对完善的机制，例如美国消防协会（NFPA）制定的《野火消防人员专业资格标准（NFPA1051）》，将从事野火扑救的消防员人员分为消防战斗人员（细分Ⅰ、Ⅱ级）、消防官员（细分Ⅰ、Ⅱ级），并通过国家野火协调组（National Wildfire Coordinating Group, NWCG） 主导森林消防指挥员的标准化工作，核心文件包括《NWCG Standards for Wildland Fire Position Qualifications》等，明确了各级指挥员（如Incident Commander Type 1-4）资质要求、培训内容和考核标准，并细分指挥员等级（Type 1为最高级，负责大型复杂火灾）；德国则对森林火灾指挥战术和层级进行分工并出台相关标准（《DIN 14011: Fire Brigade Tactics》）。对比分析认为，国际</w:t>
      </w:r>
      <w:r>
        <w:rPr>
          <w:rFonts w:hint="eastAsia" w:ascii="Times New Roman" w:hAnsi="Times New Roman" w:eastAsia="方正仿宋_GBK" w:cs="Times New Roman"/>
          <w:sz w:val="32"/>
          <w:szCs w:val="22"/>
          <w14:ligatures w14:val="standardContextual"/>
        </w:rPr>
        <w:t>上一些国家</w:t>
      </w:r>
      <w:r>
        <w:rPr>
          <w:rFonts w:ascii="Times New Roman" w:hAnsi="Times New Roman" w:eastAsia="方正仿宋_GBK" w:cs="Times New Roman"/>
          <w:sz w:val="32"/>
          <w:szCs w:val="22"/>
          <w14:ligatures w14:val="standardContextual"/>
        </w:rPr>
        <w:t>已经形成成熟的指挥员能力培训、资质认证考核机制，真正实行持证上岗，但由于在火灾扑救指挥</w:t>
      </w:r>
      <w:r>
        <w:rPr>
          <w:rFonts w:hint="eastAsia" w:ascii="Times New Roman" w:hAnsi="Times New Roman" w:eastAsia="方正仿宋_GBK" w:cs="Times New Roman"/>
          <w:sz w:val="32"/>
          <w:szCs w:val="22"/>
          <w14:ligatures w14:val="standardContextual"/>
        </w:rPr>
        <w:t>体制</w:t>
      </w:r>
      <w:r>
        <w:rPr>
          <w:rFonts w:ascii="Times New Roman" w:hAnsi="Times New Roman" w:eastAsia="方正仿宋_GBK" w:cs="Times New Roman"/>
          <w:sz w:val="32"/>
          <w:szCs w:val="22"/>
          <w14:ligatures w14:val="standardContextual"/>
        </w:rPr>
        <w:t>、机制上与我国差异较大，适用性不强，</w:t>
      </w:r>
      <w:r>
        <w:rPr>
          <w:rFonts w:hint="eastAsia" w:ascii="Times New Roman" w:hAnsi="Times New Roman" w:eastAsia="方正仿宋_GBK" w:cs="Times New Roman"/>
          <w:sz w:val="32"/>
          <w:szCs w:val="22"/>
          <w14:ligatures w14:val="standardContextual"/>
        </w:rPr>
        <w:t>因此只</w:t>
      </w:r>
      <w:r>
        <w:rPr>
          <w:rFonts w:ascii="Times New Roman" w:hAnsi="Times New Roman" w:eastAsia="方正仿宋_GBK" w:cs="Times New Roman"/>
          <w:sz w:val="32"/>
          <w:szCs w:val="22"/>
          <w14:ligatures w14:val="standardContextual"/>
        </w:rPr>
        <w:t>可作为参考借鉴，但不宜在</w:t>
      </w:r>
      <w:r>
        <w:rPr>
          <w:rFonts w:hint="eastAsia" w:ascii="Times New Roman" w:hAnsi="Times New Roman" w:eastAsia="方正仿宋_GBK" w:cs="Times New Roman"/>
          <w:sz w:val="32"/>
          <w:szCs w:val="22"/>
          <w14:ligatures w14:val="standardContextual"/>
        </w:rPr>
        <w:t>标准</w:t>
      </w:r>
      <w:r>
        <w:rPr>
          <w:rFonts w:ascii="Times New Roman" w:hAnsi="Times New Roman" w:eastAsia="方正仿宋_GBK" w:cs="Times New Roman"/>
          <w:sz w:val="32"/>
          <w:szCs w:val="22"/>
          <w14:ligatures w14:val="standardContextual"/>
        </w:rPr>
        <w:t>中直接采用。</w:t>
      </w:r>
    </w:p>
    <w:p w14:paraId="60E0D4E0">
      <w:pPr>
        <w:adjustRightInd/>
        <w:spacing w:line="600" w:lineRule="exact"/>
        <w:ind w:firstLine="640" w:firstLineChars="200"/>
        <w:rPr>
          <w:rFonts w:ascii="Times New Roman" w:hAnsi="Times New Roman" w:eastAsia="方正黑体_GBK" w:cs="Times New Roman"/>
          <w:sz w:val="32"/>
          <w:szCs w:val="22"/>
          <w14:ligatures w14:val="standardContextual"/>
        </w:rPr>
      </w:pPr>
      <w:r>
        <w:rPr>
          <w:rFonts w:ascii="Times New Roman" w:hAnsi="Times New Roman" w:eastAsia="方正黑体_GBK" w:cs="Times New Roman"/>
          <w:sz w:val="32"/>
          <w:szCs w:val="22"/>
          <w14:ligatures w14:val="standardContextual"/>
        </w:rPr>
        <w:t>五、以国际标准为基础的起草情况、是否合规引用或采用国际国外表尊以及未采用国际标准的原因</w:t>
      </w:r>
    </w:p>
    <w:p w14:paraId="0591D789">
      <w:pPr>
        <w:adjustRightInd/>
        <w:spacing w:line="600" w:lineRule="exact"/>
        <w:ind w:firstLine="640" w:firstLineChars="200"/>
        <w:rPr>
          <w:rFonts w:ascii="Times New Roman" w:hAnsi="Times New Roman" w:eastAsia="方正仿宋_GBK" w:cs="Times New Roman"/>
          <w:sz w:val="32"/>
          <w:szCs w:val="22"/>
          <w14:ligatures w14:val="standardContextual"/>
        </w:rPr>
      </w:pPr>
      <w:r>
        <w:rPr>
          <w:rFonts w:ascii="Times New Roman" w:hAnsi="Times New Roman" w:eastAsia="方正仿宋_GBK" w:cs="Times New Roman"/>
          <w:sz w:val="32"/>
          <w:szCs w:val="22"/>
          <w14:ligatures w14:val="standardContextual"/>
        </w:rPr>
        <w:t>无。</w:t>
      </w:r>
    </w:p>
    <w:p w14:paraId="2D09C6D7">
      <w:pPr>
        <w:adjustRightInd/>
        <w:spacing w:line="600" w:lineRule="exact"/>
        <w:ind w:firstLine="640" w:firstLineChars="200"/>
        <w:rPr>
          <w:rFonts w:ascii="Times New Roman" w:hAnsi="Times New Roman" w:eastAsia="方正黑体_GBK" w:cs="Times New Roman"/>
          <w:sz w:val="32"/>
          <w:szCs w:val="22"/>
          <w14:ligatures w14:val="standardContextual"/>
        </w:rPr>
      </w:pPr>
      <w:r>
        <w:rPr>
          <w:rFonts w:ascii="Times New Roman" w:hAnsi="Times New Roman" w:eastAsia="方正黑体_GBK" w:cs="Times New Roman"/>
          <w:sz w:val="32"/>
          <w:szCs w:val="22"/>
          <w14:ligatures w14:val="standardContextual"/>
        </w:rPr>
        <w:t>六、与有关法律、行政法规及相关标准水平的关系</w:t>
      </w:r>
    </w:p>
    <w:p w14:paraId="34C832FE">
      <w:pPr>
        <w:adjustRightInd/>
        <w:spacing w:line="600" w:lineRule="exact"/>
        <w:ind w:firstLine="640" w:firstLineChars="200"/>
        <w:rPr>
          <w:rFonts w:ascii="Times New Roman" w:hAnsi="Times New Roman" w:eastAsia="方正楷体_GBK" w:cs="Times New Roman"/>
          <w:sz w:val="32"/>
          <w:szCs w:val="22"/>
          <w14:ligatures w14:val="standardContextual"/>
        </w:rPr>
      </w:pPr>
      <w:r>
        <w:rPr>
          <w:rFonts w:ascii="Times New Roman" w:hAnsi="Times New Roman" w:eastAsia="方正楷体_GBK" w:cs="Times New Roman"/>
          <w:sz w:val="32"/>
          <w:szCs w:val="22"/>
          <w14:ligatures w14:val="standardContextual"/>
        </w:rPr>
        <w:t>（一）与有关法律、行政法规、标准关系</w:t>
      </w:r>
    </w:p>
    <w:p w14:paraId="7B87D245">
      <w:pPr>
        <w:adjustRightInd/>
        <w:spacing w:line="600" w:lineRule="exact"/>
        <w:ind w:firstLine="640" w:firstLineChars="200"/>
        <w:rPr>
          <w:rFonts w:ascii="Times New Roman" w:hAnsi="Times New Roman" w:eastAsia="方正仿宋_GBK" w:cs="Times New Roman"/>
          <w:sz w:val="32"/>
          <w:szCs w:val="22"/>
          <w14:ligatures w14:val="standardContextual"/>
        </w:rPr>
      </w:pPr>
      <w:r>
        <w:rPr>
          <w:rFonts w:ascii="Times New Roman" w:hAnsi="Times New Roman" w:eastAsia="方正仿宋_GBK" w:cs="Times New Roman"/>
          <w:sz w:val="32"/>
          <w:szCs w:val="22"/>
          <w14:ligatures w14:val="standardContextual"/>
        </w:rPr>
        <w:t>本标准符合</w:t>
      </w:r>
      <w:bookmarkStart w:id="379" w:name="_Hlk193178007"/>
      <w:r>
        <w:rPr>
          <w:rFonts w:ascii="Times New Roman" w:hAnsi="Times New Roman" w:eastAsia="方正仿宋_GBK" w:cs="Times New Roman"/>
          <w:sz w:val="32"/>
          <w:szCs w:val="22"/>
          <w14:ligatures w14:val="standardContextual"/>
        </w:rPr>
        <w:t>《森林法》《草原法》《突发事件应对法》《森林防火条例》《草原防火条例》《行业标准管理办法》等法律法规，为标准起草提供了充足的法理依据。</w:t>
      </w:r>
    </w:p>
    <w:p w14:paraId="7C68572A">
      <w:pPr>
        <w:adjustRightInd/>
        <w:spacing w:line="600" w:lineRule="exact"/>
        <w:ind w:firstLine="640" w:firstLineChars="200"/>
        <w:rPr>
          <w:rFonts w:ascii="Times New Roman" w:hAnsi="Times New Roman" w:eastAsia="方正仿宋_GBK" w:cs="Times New Roman"/>
          <w:sz w:val="32"/>
          <w:szCs w:val="22"/>
          <w14:ligatures w14:val="standardContextual"/>
        </w:rPr>
      </w:pPr>
      <w:r>
        <w:rPr>
          <w:rFonts w:ascii="Times New Roman" w:hAnsi="Times New Roman" w:eastAsia="方正仿宋_GBK" w:cs="Times New Roman"/>
          <w:sz w:val="32"/>
          <w:szCs w:val="22"/>
          <w14:ligatures w14:val="standardContextual"/>
        </w:rPr>
        <w:t>符合60号文、《全国森林防火中长期发展规划》《关于加强地方森林草原消防队伍建设的意见》《关于进一步提升基层应急管理能力的意见》等政策文件方向；与《国家森林草原火灾应急预案》、国家森防指《关于健全完善地方森林草原防灭火工作机制的指导意见》《扑救森林草原火灾现场指挥机制》等体制机制文件相适应。</w:t>
      </w:r>
    </w:p>
    <w:p w14:paraId="519620A2">
      <w:pPr>
        <w:adjustRightInd/>
        <w:spacing w:line="600" w:lineRule="exact"/>
        <w:ind w:firstLine="640" w:firstLineChars="200"/>
        <w:rPr>
          <w:rFonts w:ascii="Times New Roman" w:hAnsi="Times New Roman" w:eastAsia="方正仿宋_GBK" w:cs="Times New Roman"/>
          <w:sz w:val="32"/>
          <w:szCs w:val="22"/>
          <w14:ligatures w14:val="standardContextual"/>
        </w:rPr>
      </w:pPr>
      <w:r>
        <w:rPr>
          <w:rFonts w:ascii="Times New Roman" w:hAnsi="Times New Roman" w:eastAsia="方正仿宋_GBK" w:cs="Times New Roman"/>
          <w:sz w:val="32"/>
          <w:szCs w:val="22"/>
          <w14:ligatures w14:val="standardContextual"/>
        </w:rPr>
        <w:t>在国内标准方面，</w:t>
      </w:r>
      <w:r>
        <w:rPr>
          <w:rFonts w:hint="eastAsia" w:ascii="Times New Roman" w:hAnsi="Times New Roman" w:eastAsia="方正仿宋_GBK" w:cs="Times New Roman"/>
          <w:sz w:val="32"/>
          <w:szCs w:val="22"/>
          <w14:ligatures w14:val="standardContextual"/>
        </w:rPr>
        <w:t>术语与定义部分，规范性引用了《GB/T 26423-2010 森林资源术语》《GB/T 28921-2012 自然灾害分类与代码》《GB/T 40451-2021 草原与牧草术语》《LY/T 2796-2017 森林消防指挥员业务培训规范》等标准；培训要求部分关于培训服务投诉有关要求，规范性引用了《GB/T 19012-2019 质量管理 顾客满意 组织投诉处理指南》；培训与考核结果及运用部分，培训结业证书和考核合格证书设计制作规范性引用了《GB/T 22258-2008 防伪标识通用技术条件》《GB/T 22467.1-2008 防伪材料通用技术条件 第一部分：防伪纸》</w:t>
      </w:r>
      <w:r>
        <w:rPr>
          <w:rFonts w:ascii="Times New Roman" w:hAnsi="Times New Roman" w:eastAsia="方正仿宋_GBK" w:cs="Times New Roman"/>
          <w:sz w:val="32"/>
          <w:szCs w:val="22"/>
          <w14:ligatures w14:val="standardContextual"/>
        </w:rPr>
        <w:t>等</w:t>
      </w:r>
      <w:r>
        <w:rPr>
          <w:rFonts w:hint="eastAsia" w:ascii="Times New Roman" w:hAnsi="Times New Roman" w:eastAsia="方正仿宋_GBK" w:cs="Times New Roman"/>
          <w:sz w:val="32"/>
          <w:szCs w:val="22"/>
          <w14:ligatures w14:val="standardContextual"/>
        </w:rPr>
        <w:t>标准；</w:t>
      </w:r>
      <w:r>
        <w:rPr>
          <w:rFonts w:ascii="Times New Roman" w:hAnsi="Times New Roman" w:eastAsia="方正仿宋_GBK" w:cs="Times New Roman"/>
          <w:sz w:val="32"/>
          <w:szCs w:val="22"/>
          <w14:ligatures w14:val="standardContextual"/>
        </w:rPr>
        <w:t>与</w:t>
      </w:r>
      <w:r>
        <w:rPr>
          <w:rFonts w:hint="eastAsia" w:ascii="Times New Roman" w:hAnsi="Times New Roman" w:eastAsia="方正仿宋_GBK" w:cs="Times New Roman"/>
          <w:sz w:val="32"/>
          <w:szCs w:val="22"/>
          <w14:ligatures w14:val="standardContextual"/>
        </w:rPr>
        <w:t>在研</w:t>
      </w:r>
      <w:r>
        <w:rPr>
          <w:rFonts w:ascii="Times New Roman" w:hAnsi="Times New Roman" w:eastAsia="方正仿宋_GBK" w:cs="Times New Roman"/>
          <w:sz w:val="32"/>
          <w:szCs w:val="22"/>
          <w14:ligatures w14:val="standardContextual"/>
        </w:rPr>
        <w:t>的《森林草原火灾扑救安全指南》《森林草原火灾扑救训练大纲》《地方森林草原消防队伍建设规范》《地方森林草原消防队伍考核规范》《森林草原防灭火专业术语</w:t>
      </w:r>
      <w:r>
        <w:rPr>
          <w:rFonts w:hint="eastAsia" w:ascii="Times New Roman" w:hAnsi="Times New Roman" w:eastAsia="方正仿宋_GBK" w:cs="Times New Roman"/>
          <w:sz w:val="32"/>
          <w:szCs w:val="22"/>
          <w14:ligatures w14:val="standardContextual"/>
        </w:rPr>
        <w:t>（国标计划）</w:t>
      </w:r>
      <w:r>
        <w:rPr>
          <w:rFonts w:ascii="Times New Roman" w:hAnsi="Times New Roman" w:eastAsia="方正仿宋_GBK" w:cs="Times New Roman"/>
          <w:sz w:val="32"/>
          <w:szCs w:val="22"/>
          <w14:ligatures w14:val="standardContextual"/>
        </w:rPr>
        <w:t>》等标准不存在矛盾冲突，且均未进行规范性引用。</w:t>
      </w:r>
    </w:p>
    <w:bookmarkEnd w:id="379"/>
    <w:p w14:paraId="19FB8BB6">
      <w:pPr>
        <w:adjustRightInd/>
        <w:spacing w:line="600" w:lineRule="exact"/>
        <w:ind w:firstLine="640" w:firstLineChars="200"/>
        <w:rPr>
          <w:rFonts w:ascii="Times New Roman" w:hAnsi="Times New Roman" w:eastAsia="方正楷体_GBK" w:cs="Times New Roman"/>
          <w:sz w:val="32"/>
          <w:szCs w:val="22"/>
          <w14:ligatures w14:val="standardContextual"/>
        </w:rPr>
      </w:pPr>
      <w:r>
        <w:rPr>
          <w:rFonts w:ascii="Times New Roman" w:hAnsi="Times New Roman" w:eastAsia="方正楷体_GBK" w:cs="Times New Roman"/>
          <w:sz w:val="32"/>
          <w:szCs w:val="22"/>
          <w14:ligatures w14:val="standardContextual"/>
        </w:rPr>
        <w:t>（二）配套推荐性标准的制定情况（强制性标准应填写）</w:t>
      </w:r>
    </w:p>
    <w:p w14:paraId="06200AD1">
      <w:pPr>
        <w:adjustRightInd/>
        <w:spacing w:line="600" w:lineRule="exact"/>
        <w:ind w:firstLine="640" w:firstLineChars="200"/>
        <w:rPr>
          <w:rFonts w:ascii="Times New Roman" w:hAnsi="Times New Roman" w:eastAsia="方正仿宋_GBK" w:cs="Times New Roman"/>
          <w:sz w:val="32"/>
          <w:szCs w:val="22"/>
          <w14:ligatures w14:val="standardContextual"/>
        </w:rPr>
      </w:pPr>
      <w:r>
        <w:rPr>
          <w:rFonts w:ascii="Times New Roman" w:hAnsi="Times New Roman" w:eastAsia="方正仿宋_GBK" w:cs="Times New Roman"/>
          <w:sz w:val="32"/>
          <w:szCs w:val="22"/>
          <w14:ligatures w14:val="standardContextual"/>
        </w:rPr>
        <w:t>无。</w:t>
      </w:r>
    </w:p>
    <w:p w14:paraId="05F1AAA7">
      <w:pPr>
        <w:adjustRightInd/>
        <w:spacing w:line="600" w:lineRule="exact"/>
        <w:ind w:firstLine="640" w:firstLineChars="200"/>
        <w:rPr>
          <w:rFonts w:ascii="Times New Roman" w:hAnsi="Times New Roman" w:eastAsia="方正黑体_GBK" w:cs="Times New Roman"/>
          <w:sz w:val="32"/>
          <w:szCs w:val="22"/>
          <w14:ligatures w14:val="standardContextual"/>
        </w:rPr>
      </w:pPr>
      <w:r>
        <w:rPr>
          <w:rFonts w:ascii="Times New Roman" w:hAnsi="Times New Roman" w:eastAsia="方正黑体_GBK" w:cs="Times New Roman"/>
          <w:sz w:val="32"/>
          <w:szCs w:val="22"/>
          <w14:ligatures w14:val="standardContextual"/>
        </w:rPr>
        <w:t>七、重大分歧意见的处理过程及依据</w:t>
      </w:r>
    </w:p>
    <w:p w14:paraId="24115E2C">
      <w:pPr>
        <w:adjustRightInd/>
        <w:spacing w:line="600" w:lineRule="exact"/>
        <w:ind w:firstLine="640" w:firstLineChars="200"/>
        <w:rPr>
          <w:rFonts w:ascii="Times New Roman" w:hAnsi="Times New Roman" w:eastAsia="方正仿宋_GBK" w:cs="Times New Roman"/>
          <w:sz w:val="32"/>
          <w:szCs w:val="22"/>
          <w14:ligatures w14:val="standardContextual"/>
        </w:rPr>
      </w:pPr>
      <w:r>
        <w:rPr>
          <w:rFonts w:ascii="Times New Roman" w:hAnsi="Times New Roman" w:eastAsia="方正仿宋_GBK" w:cs="Times New Roman"/>
          <w:sz w:val="32"/>
          <w:szCs w:val="22"/>
          <w14:ligatures w14:val="standardContextual"/>
        </w:rPr>
        <w:t>本标准编制过程中无重大分歧意见。标准起草组与多家单位及专家经过多次研讨，积极采纳了所提出的修改建议，最终形成征求意见稿。</w:t>
      </w:r>
    </w:p>
    <w:p w14:paraId="2019F282">
      <w:pPr>
        <w:adjustRightInd/>
        <w:spacing w:line="600" w:lineRule="exact"/>
        <w:ind w:firstLine="640" w:firstLineChars="200"/>
        <w:rPr>
          <w:rFonts w:ascii="Times New Roman" w:hAnsi="Times New Roman" w:eastAsia="方正黑体_GBK" w:cs="Times New Roman"/>
          <w:sz w:val="32"/>
          <w:szCs w:val="22"/>
          <w14:ligatures w14:val="standardContextual"/>
        </w:rPr>
      </w:pPr>
      <w:r>
        <w:rPr>
          <w:rFonts w:ascii="Times New Roman" w:hAnsi="Times New Roman" w:eastAsia="方正黑体_GBK" w:cs="Times New Roman"/>
          <w:sz w:val="32"/>
          <w:szCs w:val="22"/>
          <w14:ligatures w14:val="standardContextual"/>
        </w:rPr>
        <w:t>八、作为强制性标准或推荐性标准的建议及理由</w:t>
      </w:r>
    </w:p>
    <w:p w14:paraId="42461592">
      <w:pPr>
        <w:adjustRightInd/>
        <w:spacing w:line="600" w:lineRule="exact"/>
        <w:ind w:firstLine="640" w:firstLineChars="200"/>
        <w:rPr>
          <w:rFonts w:ascii="Times New Roman" w:hAnsi="Times New Roman" w:eastAsia="方正仿宋_GBK" w:cs="Times New Roman"/>
          <w:sz w:val="32"/>
          <w:szCs w:val="22"/>
          <w14:ligatures w14:val="standardContextual"/>
        </w:rPr>
      </w:pPr>
      <w:bookmarkStart w:id="380" w:name="_Hlk193178121"/>
      <w:r>
        <w:rPr>
          <w:rFonts w:ascii="Times New Roman" w:hAnsi="Times New Roman" w:eastAsia="方正仿宋_GBK" w:cs="Times New Roman"/>
          <w:sz w:val="32"/>
          <w:szCs w:val="22"/>
          <w14:ligatures w14:val="standardContextual"/>
        </w:rPr>
        <w:t>本标准不建议作为强制性标准，建议作为推荐性标准。</w:t>
      </w:r>
    </w:p>
    <w:bookmarkEnd w:id="380"/>
    <w:p w14:paraId="4E33C6CD">
      <w:pPr>
        <w:adjustRightInd/>
        <w:spacing w:line="600" w:lineRule="exact"/>
        <w:ind w:firstLine="640" w:firstLineChars="200"/>
        <w:rPr>
          <w:rFonts w:ascii="Times New Roman" w:hAnsi="Times New Roman" w:eastAsia="方正黑体_GBK" w:cs="Times New Roman"/>
          <w:sz w:val="32"/>
          <w:szCs w:val="22"/>
          <w14:ligatures w14:val="standardContextual"/>
        </w:rPr>
      </w:pPr>
      <w:r>
        <w:rPr>
          <w:rFonts w:ascii="Times New Roman" w:hAnsi="Times New Roman" w:eastAsia="方正黑体_GBK" w:cs="Times New Roman"/>
          <w:sz w:val="32"/>
          <w:szCs w:val="22"/>
          <w14:ligatures w14:val="standardContextual"/>
        </w:rPr>
        <w:t>九、标准自发布日期至实施日期的过渡期建议及理由</w:t>
      </w:r>
    </w:p>
    <w:p w14:paraId="7F39A550">
      <w:pPr>
        <w:adjustRightInd/>
        <w:spacing w:line="600" w:lineRule="exact"/>
        <w:ind w:firstLine="640" w:firstLineChars="200"/>
        <w:rPr>
          <w:rFonts w:ascii="Times New Roman" w:hAnsi="Times New Roman" w:eastAsia="方正仿宋_GBK" w:cs="Times New Roman"/>
          <w:sz w:val="32"/>
          <w:szCs w:val="22"/>
          <w14:ligatures w14:val="standardContextual"/>
        </w:rPr>
      </w:pPr>
      <w:r>
        <w:rPr>
          <w:rFonts w:ascii="Times New Roman" w:hAnsi="Times New Roman" w:eastAsia="方正仿宋_GBK" w:cs="Times New Roman"/>
          <w:sz w:val="32"/>
          <w:szCs w:val="22"/>
          <w14:ligatures w14:val="standardContextual"/>
        </w:rPr>
        <w:t>本标准为推荐性行业标准，且当前应急管理行业无相关、相似、相近标准可执行，建议发布后尽快执行，无需设置过渡期。</w:t>
      </w:r>
    </w:p>
    <w:p w14:paraId="29F8638B">
      <w:pPr>
        <w:adjustRightInd/>
        <w:spacing w:line="600" w:lineRule="exact"/>
        <w:ind w:firstLine="640" w:firstLineChars="200"/>
        <w:rPr>
          <w:rFonts w:ascii="Times New Roman" w:hAnsi="Times New Roman" w:eastAsia="方正黑体_GBK" w:cs="Times New Roman"/>
          <w:sz w:val="32"/>
          <w:szCs w:val="22"/>
          <w14:ligatures w14:val="standardContextual"/>
        </w:rPr>
      </w:pPr>
      <w:r>
        <w:rPr>
          <w:rFonts w:ascii="Times New Roman" w:hAnsi="Times New Roman" w:eastAsia="方正黑体_GBK" w:cs="Times New Roman"/>
          <w:sz w:val="32"/>
          <w:szCs w:val="22"/>
          <w14:ligatures w14:val="standardContextual"/>
        </w:rPr>
        <w:t>十、与实施标准有关的政策措施</w:t>
      </w:r>
    </w:p>
    <w:p w14:paraId="133CBFA4">
      <w:pPr>
        <w:adjustRightInd/>
        <w:spacing w:line="600" w:lineRule="exact"/>
        <w:ind w:firstLine="640" w:firstLineChars="200"/>
        <w:rPr>
          <w:rFonts w:ascii="Times New Roman" w:hAnsi="Times New Roman" w:eastAsia="方正仿宋_GBK" w:cs="Times New Roman"/>
          <w:sz w:val="32"/>
          <w:szCs w:val="22"/>
          <w14:ligatures w14:val="standardContextual"/>
        </w:rPr>
      </w:pPr>
      <w:bookmarkStart w:id="381" w:name="_Hlk193178139"/>
      <w:r>
        <w:rPr>
          <w:rFonts w:ascii="Times New Roman" w:hAnsi="Times New Roman" w:eastAsia="方正仿宋_GBK" w:cs="Times New Roman"/>
          <w:sz w:val="32"/>
          <w:szCs w:val="22"/>
          <w14:ligatures w14:val="standardContextual"/>
        </w:rPr>
        <w:t>本标准公开发布后，由全国应急管理与减灾救灾标准化技术委员会（SAC/TC 307）开展发布后的宣贯工作，介绍标准出台的目的和宗旨，培育标准化意识，引导相关行业按照标准要求开展工作。</w:t>
      </w:r>
    </w:p>
    <w:bookmarkEnd w:id="381"/>
    <w:p w14:paraId="3ECD3A59">
      <w:pPr>
        <w:adjustRightInd/>
        <w:spacing w:line="600" w:lineRule="exact"/>
        <w:ind w:firstLine="640" w:firstLineChars="200"/>
        <w:rPr>
          <w:rFonts w:ascii="Times New Roman" w:hAnsi="Times New Roman" w:eastAsia="方正黑体_GBK" w:cs="Times New Roman"/>
          <w:sz w:val="32"/>
          <w:szCs w:val="22"/>
          <w14:ligatures w14:val="standardContextual"/>
        </w:rPr>
      </w:pPr>
      <w:r>
        <w:rPr>
          <w:rFonts w:ascii="Times New Roman" w:hAnsi="Times New Roman" w:eastAsia="方正黑体_GBK" w:cs="Times New Roman"/>
          <w:sz w:val="32"/>
          <w:szCs w:val="22"/>
          <w14:ligatures w14:val="standardContextual"/>
        </w:rPr>
        <w:t>十一、是否需要对外通报的建议及理由。</w:t>
      </w:r>
    </w:p>
    <w:p w14:paraId="0A058263">
      <w:pPr>
        <w:adjustRightInd/>
        <w:spacing w:line="600" w:lineRule="exact"/>
        <w:ind w:firstLine="640" w:firstLineChars="200"/>
        <w:rPr>
          <w:rFonts w:ascii="Times New Roman" w:hAnsi="Times New Roman" w:eastAsia="方正仿宋_GBK" w:cs="Times New Roman"/>
          <w:sz w:val="32"/>
          <w:szCs w:val="22"/>
          <w14:ligatures w14:val="standardContextual"/>
        </w:rPr>
      </w:pPr>
      <w:r>
        <w:rPr>
          <w:rFonts w:ascii="Times New Roman" w:hAnsi="Times New Roman" w:eastAsia="方正仿宋_GBK" w:cs="Times New Roman"/>
          <w:sz w:val="32"/>
          <w:szCs w:val="22"/>
          <w14:ligatures w14:val="standardContextual"/>
        </w:rPr>
        <w:t>建议将本标准按推荐性标准发布，并组织应急管理部门进行标准宣贯。</w:t>
      </w:r>
    </w:p>
    <w:p w14:paraId="0E416D3A">
      <w:pPr>
        <w:adjustRightInd/>
        <w:spacing w:line="600" w:lineRule="exact"/>
        <w:ind w:firstLine="640" w:firstLineChars="200"/>
        <w:rPr>
          <w:rFonts w:ascii="Times New Roman" w:hAnsi="Times New Roman" w:eastAsia="方正黑体_GBK" w:cs="Times New Roman"/>
          <w:sz w:val="32"/>
          <w:szCs w:val="22"/>
          <w14:ligatures w14:val="standardContextual"/>
        </w:rPr>
      </w:pPr>
      <w:r>
        <w:rPr>
          <w:rFonts w:ascii="Times New Roman" w:hAnsi="Times New Roman" w:eastAsia="方正黑体_GBK" w:cs="Times New Roman"/>
          <w:sz w:val="32"/>
          <w:szCs w:val="22"/>
          <w14:ligatures w14:val="standardContextual"/>
        </w:rPr>
        <w:t>十二、废止现行有关标准的建议</w:t>
      </w:r>
    </w:p>
    <w:p w14:paraId="73DB2E2E">
      <w:pPr>
        <w:adjustRightInd/>
        <w:spacing w:line="600" w:lineRule="exact"/>
        <w:ind w:firstLine="640" w:firstLineChars="200"/>
        <w:rPr>
          <w:rFonts w:ascii="Times New Roman" w:hAnsi="Times New Roman" w:eastAsia="方正仿宋_GBK" w:cs="Times New Roman"/>
          <w:sz w:val="32"/>
          <w:szCs w:val="22"/>
          <w14:ligatures w14:val="standardContextual"/>
        </w:rPr>
      </w:pPr>
      <w:r>
        <w:rPr>
          <w:rFonts w:ascii="Times New Roman" w:hAnsi="Times New Roman" w:eastAsia="方正仿宋_GBK" w:cs="Times New Roman"/>
          <w:sz w:val="32"/>
          <w:szCs w:val="22"/>
          <w14:ligatures w14:val="standardContextual"/>
        </w:rPr>
        <w:t>无。</w:t>
      </w:r>
    </w:p>
    <w:p w14:paraId="4F43FD7F">
      <w:pPr>
        <w:adjustRightInd/>
        <w:spacing w:line="600" w:lineRule="exact"/>
        <w:ind w:firstLine="640" w:firstLineChars="200"/>
        <w:rPr>
          <w:rFonts w:ascii="Times New Roman" w:hAnsi="Times New Roman" w:eastAsia="方正黑体_GBK" w:cs="Times New Roman"/>
          <w:sz w:val="32"/>
          <w:szCs w:val="22"/>
          <w14:ligatures w14:val="standardContextual"/>
        </w:rPr>
      </w:pPr>
      <w:r>
        <w:rPr>
          <w:rFonts w:ascii="Times New Roman" w:hAnsi="Times New Roman" w:eastAsia="方正黑体_GBK" w:cs="Times New Roman"/>
          <w:sz w:val="32"/>
          <w:szCs w:val="22"/>
          <w14:ligatures w14:val="standardContextual"/>
        </w:rPr>
        <w:t>十三、涉及专利的有关说明</w:t>
      </w:r>
    </w:p>
    <w:p w14:paraId="136892A9">
      <w:pPr>
        <w:adjustRightInd/>
        <w:spacing w:line="600" w:lineRule="exact"/>
        <w:ind w:firstLine="640" w:firstLineChars="200"/>
        <w:rPr>
          <w:rFonts w:ascii="Times New Roman" w:hAnsi="Times New Roman" w:eastAsia="方正仿宋_GBK" w:cs="Times New Roman"/>
          <w:sz w:val="32"/>
          <w:szCs w:val="22"/>
          <w14:ligatures w14:val="standardContextual"/>
        </w:rPr>
      </w:pPr>
      <w:r>
        <w:rPr>
          <w:rFonts w:ascii="Times New Roman" w:hAnsi="Times New Roman" w:eastAsia="方正仿宋_GBK" w:cs="Times New Roman"/>
          <w:sz w:val="32"/>
          <w:szCs w:val="22"/>
          <w14:ligatures w14:val="standardContextual"/>
        </w:rPr>
        <w:t xml:space="preserve"> 无。</w:t>
      </w:r>
    </w:p>
    <w:p w14:paraId="066AF2E5">
      <w:pPr>
        <w:adjustRightInd/>
        <w:spacing w:line="600" w:lineRule="exact"/>
        <w:ind w:firstLine="640" w:firstLineChars="200"/>
        <w:rPr>
          <w:rFonts w:ascii="Times New Roman" w:hAnsi="Times New Roman" w:eastAsia="方正黑体_GBK" w:cs="Times New Roman"/>
          <w:sz w:val="32"/>
          <w:szCs w:val="22"/>
          <w14:ligatures w14:val="standardContextual"/>
        </w:rPr>
      </w:pPr>
      <w:r>
        <w:rPr>
          <w:rFonts w:ascii="Times New Roman" w:hAnsi="Times New Roman" w:eastAsia="方正黑体_GBK" w:cs="Times New Roman"/>
          <w:sz w:val="32"/>
          <w:szCs w:val="22"/>
          <w14:ligatures w14:val="standardContextual"/>
        </w:rPr>
        <w:t xml:space="preserve">十四、标准所涉及的产品、过程或者服务目录 </w:t>
      </w:r>
    </w:p>
    <w:p w14:paraId="002D3636">
      <w:pPr>
        <w:adjustRightInd/>
        <w:spacing w:line="600" w:lineRule="exact"/>
        <w:ind w:firstLine="640" w:firstLineChars="200"/>
        <w:rPr>
          <w:rFonts w:ascii="Times New Roman" w:hAnsi="Times New Roman" w:eastAsia="方正仿宋_GBK" w:cs="Times New Roman"/>
          <w:sz w:val="32"/>
          <w:szCs w:val="22"/>
          <w14:ligatures w14:val="standardContextual"/>
        </w:rPr>
      </w:pPr>
      <w:r>
        <w:rPr>
          <w:rFonts w:ascii="Times New Roman" w:hAnsi="Times New Roman" w:eastAsia="方正仿宋_GBK" w:cs="Times New Roman"/>
          <w:sz w:val="32"/>
          <w:szCs w:val="22"/>
          <w14:ligatures w14:val="standardContextual"/>
        </w:rPr>
        <w:t>无。</w:t>
      </w:r>
    </w:p>
    <w:p w14:paraId="5836D1EF">
      <w:pPr>
        <w:adjustRightInd/>
        <w:spacing w:line="600" w:lineRule="exact"/>
        <w:ind w:firstLine="640" w:firstLineChars="200"/>
        <w:rPr>
          <w:rFonts w:ascii="Times New Roman" w:hAnsi="Times New Roman" w:eastAsia="方正黑体_GBK" w:cs="Times New Roman"/>
          <w:sz w:val="32"/>
          <w:szCs w:val="22"/>
          <w14:ligatures w14:val="standardContextual"/>
        </w:rPr>
      </w:pPr>
      <w:r>
        <w:rPr>
          <w:rFonts w:ascii="Times New Roman" w:hAnsi="Times New Roman" w:eastAsia="方正黑体_GBK" w:cs="Times New Roman"/>
          <w:sz w:val="32"/>
          <w:szCs w:val="22"/>
          <w14:ligatures w14:val="standardContextual"/>
        </w:rPr>
        <w:t>十五、其他应予以说明的事项</w:t>
      </w:r>
    </w:p>
    <w:p w14:paraId="715CFBD9">
      <w:pPr>
        <w:adjustRightInd/>
        <w:spacing w:line="600" w:lineRule="exact"/>
        <w:ind w:firstLine="640" w:firstLineChars="200"/>
        <w:rPr>
          <w:rFonts w:ascii="Times New Roman" w:hAnsi="Times New Roman" w:eastAsia="方正仿宋_GBK" w:cs="Times New Roman"/>
          <w:sz w:val="32"/>
          <w:szCs w:val="22"/>
          <w14:ligatures w14:val="standardContextual"/>
        </w:rPr>
      </w:pPr>
      <w:r>
        <w:rPr>
          <w:rFonts w:ascii="Times New Roman" w:hAnsi="Times New Roman" w:eastAsia="方正仿宋_GBK" w:cs="Times New Roman"/>
          <w:sz w:val="32"/>
          <w:szCs w:val="22"/>
          <w14:ligatures w14:val="standardContextual"/>
        </w:rPr>
        <w:t>根据部办公厅《34项行业标准制修订计划的通知（应急厅函﹝2024﹞262号）》，标准名称为《森林草原火灾扑火指挥员培训大纲与考核规范》（计划号：2024-YJ-04）。2025年7月1日，编写组召开征求意见专家论证会，</w:t>
      </w:r>
      <w:r>
        <w:rPr>
          <w:rFonts w:hint="eastAsia" w:ascii="Times New Roman" w:hAnsi="Times New Roman" w:eastAsia="方正仿宋_GBK" w:cs="Times New Roman"/>
          <w:sz w:val="32"/>
          <w:szCs w:val="22"/>
          <w14:ligatures w14:val="standardContextual"/>
        </w:rPr>
        <w:t>会议决定将标准名称调整为</w:t>
      </w:r>
      <w:r>
        <w:rPr>
          <w:rFonts w:ascii="Times New Roman" w:hAnsi="Times New Roman" w:eastAsia="方正仿宋_GBK" w:cs="Times New Roman"/>
          <w:sz w:val="32"/>
          <w:szCs w:val="22"/>
          <w14:ligatures w14:val="standardContextual"/>
        </w:rPr>
        <w:t>《地方森林草原火灾扑救指挥员培训与考核规范》，同时考虑与《地方森林草原消防队伍建设规范》《地方森林草原消防队伍考核规范》</w:t>
      </w:r>
      <w:r>
        <w:rPr>
          <w:rFonts w:hint="eastAsia" w:ascii="Times New Roman" w:hAnsi="Times New Roman" w:eastAsia="方正仿宋_GBK" w:cs="Times New Roman"/>
          <w:sz w:val="32"/>
          <w:szCs w:val="22"/>
          <w14:ligatures w14:val="standardContextual"/>
        </w:rPr>
        <w:t>等在</w:t>
      </w:r>
      <w:r>
        <w:rPr>
          <w:rFonts w:ascii="Times New Roman" w:hAnsi="Times New Roman" w:eastAsia="方正仿宋_GBK" w:cs="Times New Roman"/>
          <w:sz w:val="32"/>
          <w:szCs w:val="22"/>
          <w14:ligatures w14:val="standardContextual"/>
        </w:rPr>
        <w:t>研标准协调性，结合标准适用范围，将名称调整为“地方森林草原火灾扑救指挥员培训与考核规范”，特此说明。</w:t>
      </w:r>
    </w:p>
    <w:p w14:paraId="2976E648">
      <w:pPr>
        <w:pStyle w:val="56"/>
        <w:keepNext w:val="0"/>
        <w:keepLines w:val="0"/>
        <w:pageBreakBefore w:val="0"/>
        <w:widowControl w:val="0"/>
        <w:kinsoku/>
        <w:wordWrap/>
        <w:overflowPunct/>
        <w:topLinePunct w:val="0"/>
        <w:autoSpaceDE w:val="0"/>
        <w:autoSpaceDN w:val="0"/>
        <w:bidi w:val="0"/>
        <w:adjustRightInd/>
        <w:snapToGrid/>
        <w:ind w:firstLine="0" w:firstLineChars="0"/>
        <w:jc w:val="both"/>
        <w:textAlignment w:val="auto"/>
        <w:rPr>
          <w:rFonts w:hint="eastAsia"/>
        </w:rPr>
      </w:pPr>
    </w:p>
    <w:sectPr>
      <w:headerReference r:id="rId19" w:type="default"/>
      <w:footerReference r:id="rId20" w:type="default"/>
      <w:pgSz w:w="11906" w:h="16838"/>
      <w:pgMar w:top="1440" w:right="1800" w:bottom="1440" w:left="1800" w:header="851" w:footer="992" w:gutter="0"/>
      <w:pgNumType w:fmt="numberInDash" w:start="1"/>
      <w:cols w:space="425" w:num="1"/>
      <w:docGrid w:type="lines" w:linePitch="31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等线">
    <w:panose1 w:val="02010600030101010101"/>
    <w:charset w:val="86"/>
    <w:family w:val="auto"/>
    <w:pitch w:val="default"/>
    <w:sig w:usb0="A00002BF" w:usb1="38CF7CFA" w:usb2="00000016" w:usb3="00000000" w:csb0="0004000F" w:csb1="00000000"/>
  </w:font>
  <w:font w:name="等线 Light">
    <w:panose1 w:val="02010600030101010101"/>
    <w:charset w:val="86"/>
    <w:family w:val="auto"/>
    <w:pitch w:val="default"/>
    <w:sig w:usb0="A00002BF" w:usb1="38CF7CFA" w:usb2="00000016" w:usb3="00000000" w:csb0="0004000F" w:csb1="00000000"/>
  </w:font>
  <w:font w:name="Wingdings 2">
    <w:panose1 w:val="05020102010507070707"/>
    <w:charset w:val="02"/>
    <w:family w:val="roman"/>
    <w:pitch w:val="default"/>
    <w:sig w:usb0="00000000" w:usb1="00000000" w:usb2="00000000" w:usb3="00000000" w:csb0="80000000" w:csb1="00000000"/>
  </w:font>
  <w:font w:name="方正小标宋_GBK">
    <w:panose1 w:val="03000509000000000000"/>
    <w:charset w:val="86"/>
    <w:family w:val="script"/>
    <w:pitch w:val="default"/>
    <w:sig w:usb0="00000001" w:usb1="080E0000" w:usb2="00000000" w:usb3="00000000" w:csb0="00040000" w:csb1="00000000"/>
  </w:font>
  <w:font w:name="仿宋_GB2312">
    <w:panose1 w:val="02010609030101010101"/>
    <w:charset w:val="86"/>
    <w:family w:val="modern"/>
    <w:pitch w:val="default"/>
    <w:sig w:usb0="00000001" w:usb1="080E0000" w:usb2="00000000" w:usb3="00000000" w:csb0="00040000" w:csb1="00000000"/>
  </w:font>
  <w:font w:name="方正黑体_GBK">
    <w:panose1 w:val="03000509000000000000"/>
    <w:charset w:val="86"/>
    <w:family w:val="script"/>
    <w:pitch w:val="default"/>
    <w:sig w:usb0="00000001" w:usb1="080E0000" w:usb2="00000000" w:usb3="00000000" w:csb0="00040000" w:csb1="00000000"/>
  </w:font>
  <w:font w:name="方正仿宋_GBK">
    <w:panose1 w:val="03000509000000000000"/>
    <w:charset w:val="86"/>
    <w:family w:val="script"/>
    <w:pitch w:val="default"/>
    <w:sig w:usb0="00000001" w:usb1="080E0000" w:usb2="00000000" w:usb3="00000000" w:csb0="00040000" w:csb1="00000000"/>
  </w:font>
  <w:font w:name="方正楷体_GBK">
    <w:panose1 w:val="03000509000000000000"/>
    <w:charset w:val="86"/>
    <w:family w:val="script"/>
    <w:pitch w:val="default"/>
    <w:sig w:usb0="00000001" w:usb1="080E0000" w:usb2="00000000" w:usb3="00000000" w:csb0="00040000" w:csb1="00000000"/>
  </w:font>
  <w:font w:name="仿宋">
    <w:panose1 w:val="02010609060101010101"/>
    <w:charset w:val="86"/>
    <w:family w:val="modern"/>
    <w:pitch w:val="default"/>
    <w:sig w:usb0="800002BF" w:usb1="38CF7CFA" w:usb2="00000016" w:usb3="00000000" w:csb0="00040001" w:csb1="00000000"/>
  </w:font>
  <w:font w:name="方正仿宋简体">
    <w:panose1 w:val="02010601030101010101"/>
    <w:charset w:val="86"/>
    <w:family w:val="auto"/>
    <w:pitch w:val="default"/>
    <w:sig w:usb0="00000001" w:usb1="080E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0E19AF4">
    <w:pPr>
      <w:pStyle w:val="17"/>
    </w:pPr>
    <w:r>
      <w:fldChar w:fldCharType="begin"/>
    </w:r>
    <w:r>
      <w:instrText xml:space="preserve">PAGE   \* MERGEFORMAT</w:instrText>
    </w:r>
    <w:r>
      <w:fldChar w:fldCharType="separate"/>
    </w:r>
    <w:r>
      <w:rPr>
        <w:lang w:val="zh-CN"/>
      </w:rPr>
      <w:t>2</w:t>
    </w:r>
    <w: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9528638">
    <w:pPr>
      <w:pStyle w:val="17"/>
      <w:ind w:right="720"/>
      <w:jc w:val="both"/>
      <w:rPr>
        <w:sz w:val="2"/>
        <w:szCs w:val="2"/>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1CD3AD9">
    <w:pPr>
      <w:pStyle w:val="52"/>
    </w:pPr>
    <w:r>
      <w:fldChar w:fldCharType="begin"/>
    </w:r>
    <w:r>
      <w:instrText xml:space="preserve">PAGE   \* MERGEFORMAT</w:instrText>
    </w:r>
    <w:r>
      <w:fldChar w:fldCharType="separate"/>
    </w:r>
    <w:r>
      <w:rPr>
        <w:lang w:val="zh-CN"/>
      </w:rPr>
      <w:t>1</w:t>
    </w:r>
    <w:r>
      <w:fldChar w:fldCharType="end"/>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D8FC226">
    <w:pPr>
      <w:widowControl w:val="0"/>
      <w:snapToGrid w:val="0"/>
      <w:spacing w:line="240" w:lineRule="atLeast"/>
      <w:ind w:firstLine="360" w:firstLineChars="200"/>
      <w:jc w:val="center"/>
      <w:rPr>
        <w:rFonts w:hint="eastAsia" w:eastAsia="方正仿宋_GBK" w:asciiTheme="minorHAnsi" w:hAnsiTheme="minorHAnsi" w:cstheme="minorBidi"/>
        <w:kern w:val="2"/>
        <w:sz w:val="18"/>
        <w:szCs w:val="18"/>
        <w:lang w:val="en-US" w:eastAsia="zh-CN" w:bidi="ar-SA"/>
        <w14:ligatures w14:val="standardContextual"/>
      </w:rPr>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BE046C7">
    <w:pPr>
      <w:widowControl w:val="0"/>
      <w:snapToGrid w:val="0"/>
      <w:spacing w:line="240" w:lineRule="atLeast"/>
      <w:ind w:firstLine="360" w:firstLineChars="200"/>
      <w:jc w:val="left"/>
      <w:rPr>
        <w:rFonts w:hint="eastAsia" w:eastAsia="方正仿宋_GBK" w:asciiTheme="minorHAnsi" w:hAnsiTheme="minorHAnsi" w:cstheme="minorBidi"/>
        <w:kern w:val="2"/>
        <w:sz w:val="18"/>
        <w:szCs w:val="18"/>
        <w:lang w:val="en-US" w:eastAsia="zh-CN" w:bidi="ar-SA"/>
        <w14:ligatures w14:val="standardContextual"/>
      </w:rPr>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9AB0F22">
    <w:pPr>
      <w:widowControl w:val="0"/>
      <w:snapToGrid w:val="0"/>
      <w:spacing w:line="240" w:lineRule="atLeast"/>
      <w:ind w:firstLine="360" w:firstLineChars="200"/>
      <w:jc w:val="left"/>
      <w:rPr>
        <w:rFonts w:hint="eastAsia" w:eastAsia="方正仿宋_GBK" w:asciiTheme="minorHAnsi" w:hAnsiTheme="minorHAnsi" w:cstheme="minorBidi"/>
        <w:kern w:val="2"/>
        <w:sz w:val="18"/>
        <w:szCs w:val="18"/>
        <w:lang w:val="en-US" w:eastAsia="zh-CN" w:bidi="ar-SA"/>
        <w14:ligatures w14:val="standardContextual"/>
      </w:rPr>
    </w:pP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rPr>
        <w:rFonts w:eastAsia="方正仿宋_GBK" w:asciiTheme="minorHAnsi" w:hAnsiTheme="minorHAnsi" w:cstheme="minorBidi"/>
        <w:kern w:val="2"/>
        <w:sz w:val="32"/>
        <w:szCs w:val="22"/>
        <w:lang w:val="en-US" w:eastAsia="zh-CN" w:bidi="ar-SA"/>
        <w14:ligatures w14:val="standardContextual"/>
      </w:rPr>
      <w:id w:val="147468897"/>
      <w:docPartObj>
        <w:docPartGallery w:val="autotext"/>
      </w:docPartObj>
    </w:sdtPr>
    <w:sdtEndPr>
      <w:rPr>
        <w:rFonts w:ascii="Times New Roman" w:hAnsi="Times New Roman" w:eastAsia="方正仿宋_GBK" w:cs="Times New Roman"/>
        <w:kern w:val="2"/>
        <w:sz w:val="24"/>
        <w:szCs w:val="24"/>
        <w:lang w:val="en-US" w:eastAsia="zh-CN" w:bidi="ar-SA"/>
        <w14:ligatures w14:val="standardContextual"/>
      </w:rPr>
    </w:sdtEndPr>
    <w:sdtContent>
      <w:p w14:paraId="3B91A5E3">
        <w:pPr>
          <w:widowControl w:val="0"/>
          <w:snapToGrid w:val="0"/>
          <w:spacing w:line="240" w:lineRule="atLeast"/>
          <w:ind w:firstLine="640" w:firstLineChars="200"/>
          <w:jc w:val="center"/>
          <w:rPr>
            <w:rFonts w:ascii="Times New Roman" w:hAnsi="Times New Roman" w:eastAsia="方正仿宋_GBK" w:cs="Times New Roman"/>
            <w:kern w:val="2"/>
            <w:sz w:val="24"/>
            <w:szCs w:val="24"/>
            <w:lang w:val="en-US" w:eastAsia="zh-CN" w:bidi="ar-SA"/>
            <w14:ligatures w14:val="standardContextual"/>
          </w:rPr>
        </w:pPr>
        <w:r>
          <w:rPr>
            <w:rFonts w:ascii="Times New Roman" w:hAnsi="Times New Roman" w:eastAsia="方正仿宋_GBK" w:cs="Times New Roman"/>
            <w:kern w:val="2"/>
            <w:sz w:val="24"/>
            <w:szCs w:val="24"/>
            <w:lang w:val="en-US" w:eastAsia="zh-CN" w:bidi="ar-SA"/>
            <w14:ligatures w14:val="standardContextual"/>
          </w:rPr>
          <w:fldChar w:fldCharType="begin"/>
        </w:r>
        <w:r>
          <w:rPr>
            <w:rFonts w:ascii="Times New Roman" w:hAnsi="Times New Roman" w:eastAsia="方正仿宋_GBK" w:cs="Times New Roman"/>
            <w:kern w:val="2"/>
            <w:sz w:val="24"/>
            <w:szCs w:val="24"/>
            <w:lang w:val="en-US" w:eastAsia="zh-CN" w:bidi="ar-SA"/>
            <w14:ligatures w14:val="standardContextual"/>
          </w:rPr>
          <w:instrText xml:space="preserve">PAGE   \* MERGEFORMAT</w:instrText>
        </w:r>
        <w:r>
          <w:rPr>
            <w:rFonts w:ascii="Times New Roman" w:hAnsi="Times New Roman" w:eastAsia="方正仿宋_GBK" w:cs="Times New Roman"/>
            <w:kern w:val="2"/>
            <w:sz w:val="24"/>
            <w:szCs w:val="24"/>
            <w:lang w:val="en-US" w:eastAsia="zh-CN" w:bidi="ar-SA"/>
            <w14:ligatures w14:val="standardContextual"/>
          </w:rPr>
          <w:fldChar w:fldCharType="separate"/>
        </w:r>
        <w:r>
          <w:rPr>
            <w:rFonts w:ascii="Times New Roman" w:hAnsi="Times New Roman" w:eastAsia="方正仿宋_GBK" w:cs="Times New Roman"/>
            <w:kern w:val="2"/>
            <w:sz w:val="24"/>
            <w:szCs w:val="24"/>
            <w:lang w:val="zh-CN" w:eastAsia="zh-CN" w:bidi="ar-SA"/>
            <w14:ligatures w14:val="standardContextual"/>
          </w:rPr>
          <w:t>2</w:t>
        </w:r>
        <w:r>
          <w:rPr>
            <w:rFonts w:ascii="Times New Roman" w:hAnsi="Times New Roman" w:eastAsia="方正仿宋_GBK" w:cs="Times New Roman"/>
            <w:kern w:val="2"/>
            <w:sz w:val="24"/>
            <w:szCs w:val="24"/>
            <w:lang w:val="en-US" w:eastAsia="zh-CN" w:bidi="ar-SA"/>
            <w14:ligatures w14:val="standardContextual"/>
          </w:rPr>
          <w:fldChar w:fldCharType="end"/>
        </w:r>
      </w:p>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2">
    <w:p>
      <w:pPr>
        <w:spacing w:line="240" w:lineRule="auto"/>
      </w:pPr>
      <w:r>
        <w:separator/>
      </w:r>
    </w:p>
  </w:footnote>
  <w:footnote w:type="continuationSeparator" w:id="3">
    <w:p>
      <w:pPr>
        <w:spacing w:line="240" w:lineRule="auto"/>
      </w:pPr>
      <w:r>
        <w:continuationSeparator/>
      </w:r>
    </w:p>
  </w:footnote>
  <w:footnote w:id="0">
    <w:p w14:paraId="3461CB82">
      <w:pPr>
        <w:pStyle w:val="222"/>
        <w:ind w:left="720" w:hanging="300"/>
      </w:pPr>
      <w:r>
        <w:rPr>
          <w:rStyle w:val="33"/>
          <w:rFonts w:hint="eastAsia"/>
          <w:sz w:val="15"/>
          <w:vertAlign w:val="baseline"/>
        </w:rPr>
        <w:footnoteRef/>
      </w:r>
      <w:r>
        <w:rPr>
          <w:rFonts w:hint="eastAsia"/>
        </w:rPr>
        <w:t>) 不适用于国家综合性消防救援队伍指挥员培训与考核。</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9E86739">
    <w:pPr>
      <w:pStyle w:val="18"/>
      <w:wordWrap w:val="0"/>
      <w:jc w:val="right"/>
      <w:rPr>
        <w:rFonts w:hint="eastAsia" w:ascii="黑体" w:hAnsi="黑体" w:eastAsia="黑体"/>
      </w:rPr>
    </w:pPr>
    <w:r>
      <w:rPr>
        <w:rFonts w:ascii="黑体" w:hAnsi="黑体" w:eastAsia="黑体"/>
      </w:rPr>
      <w:t>Q/LB.</w:t>
    </w:r>
    <w:r>
      <w:rPr>
        <w:rFonts w:hint="eastAsia" w:ascii="黑体" w:hAnsi="黑体" w:eastAsia="黑体"/>
      </w:rPr>
      <w:t>□</w:t>
    </w:r>
    <w:r>
      <w:rPr>
        <w:rFonts w:ascii="黑体" w:hAnsi="黑体" w:eastAsia="黑体"/>
      </w:rPr>
      <w:t>XXXXX-XXXX</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7C4A5D0">
    <w:pPr>
      <w:pStyle w:val="18"/>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97421DB">
    <w:pPr>
      <w:pStyle w:val="18"/>
      <w:jc w:val="both"/>
      <w:rPr>
        <w:sz w:val="2"/>
        <w:szCs w:val="2"/>
      </w:rP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F34B4F5">
    <w:pPr>
      <w:pStyle w:val="61"/>
      <w:rPr>
        <w:rFonts w:hint="eastAsia"/>
      </w:rPr>
    </w:pPr>
    <w:r>
      <w:fldChar w:fldCharType="begin"/>
    </w:r>
    <w:r>
      <w:instrText xml:space="preserve"> STYLEREF  标准文件_文件编号  \* MERGEFORMAT </w:instrText>
    </w:r>
    <w:r>
      <w:fldChar w:fldCharType="separate"/>
    </w:r>
    <w:r>
      <w:t>YJ/T XXXXX—XXXX</w:t>
    </w:r>
    <w:r>
      <w:fldChar w:fldCharType="end"/>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114C01D">
    <w:pPr>
      <w:pStyle w:val="18"/>
      <w:jc w:val="right"/>
    </w:pPr>
    <w:r>
      <w:fldChar w:fldCharType="begin"/>
    </w:r>
    <w:r>
      <w:instrText xml:space="preserve"> STYLEREF  标准文件_文件编号  \* MERGEFORMAT </w:instrText>
    </w:r>
    <w:r>
      <w:fldChar w:fldCharType="separate"/>
    </w:r>
    <w:r>
      <w:t>YJ/T XXXXX—XXXX</w:t>
    </w:r>
    <w:r>
      <w:fldChar w:fldCharType="end"/>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D0F31F6">
    <w:pPr>
      <w:widowControl w:val="0"/>
      <w:snapToGrid w:val="0"/>
      <w:spacing w:line="240" w:lineRule="atLeast"/>
      <w:ind w:firstLine="360" w:firstLineChars="200"/>
      <w:jc w:val="center"/>
      <w:rPr>
        <w:rFonts w:hint="eastAsia" w:eastAsia="方正仿宋_GBK" w:asciiTheme="minorHAnsi" w:hAnsiTheme="minorHAnsi" w:cstheme="minorBidi"/>
        <w:kern w:val="2"/>
        <w:sz w:val="18"/>
        <w:szCs w:val="18"/>
        <w:lang w:val="en-US" w:eastAsia="zh-CN" w:bidi="ar-SA"/>
        <w14:ligatures w14:val="standardContextual"/>
      </w:rPr>
    </w:pP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79636E1">
    <w:pPr>
      <w:widowControl w:val="0"/>
      <w:snapToGrid w:val="0"/>
      <w:spacing w:line="240" w:lineRule="atLeast"/>
      <w:ind w:firstLine="360" w:firstLineChars="200"/>
      <w:jc w:val="center"/>
      <w:rPr>
        <w:rFonts w:hint="eastAsia" w:eastAsia="方正仿宋_GBK" w:asciiTheme="minorHAnsi" w:hAnsiTheme="minorHAnsi" w:cstheme="minorBidi"/>
        <w:kern w:val="2"/>
        <w:sz w:val="18"/>
        <w:szCs w:val="18"/>
        <w:lang w:val="en-US" w:eastAsia="zh-CN" w:bidi="ar-SA"/>
        <w14:ligatures w14:val="standardContextual"/>
      </w:rPr>
    </w:pP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4E0CB92">
    <w:pPr>
      <w:widowControl w:val="0"/>
      <w:snapToGrid w:val="0"/>
      <w:spacing w:line="240" w:lineRule="atLeast"/>
      <w:ind w:firstLine="360" w:firstLineChars="200"/>
      <w:jc w:val="center"/>
      <w:rPr>
        <w:rFonts w:hint="eastAsia" w:eastAsia="方正仿宋_GBK" w:asciiTheme="minorHAnsi" w:hAnsiTheme="minorHAnsi" w:cstheme="minorBidi"/>
        <w:kern w:val="2"/>
        <w:sz w:val="18"/>
        <w:szCs w:val="18"/>
        <w:lang w:val="en-US" w:eastAsia="zh-CN" w:bidi="ar-SA"/>
        <w14:ligatures w14:val="standardContextual"/>
      </w:rPr>
    </w:pPr>
  </w:p>
</w:hdr>
</file>

<file path=word/header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97203A4">
    <w:pPr>
      <w:widowControl w:val="0"/>
      <w:snapToGrid w:val="0"/>
      <w:spacing w:line="240" w:lineRule="atLeast"/>
      <w:ind w:firstLine="360" w:firstLineChars="200"/>
      <w:jc w:val="center"/>
      <w:rPr>
        <w:rFonts w:hint="eastAsia" w:eastAsia="方正仿宋_GBK" w:asciiTheme="minorHAnsi" w:hAnsiTheme="minorHAnsi" w:cstheme="minorBidi"/>
        <w:kern w:val="2"/>
        <w:sz w:val="18"/>
        <w:szCs w:val="18"/>
        <w:lang w:val="en-US" w:eastAsia="zh-CN" w:bidi="ar-SA"/>
        <w14:ligatures w14:val="standardContextua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2837933"/>
    <w:multiLevelType w:val="multilevel"/>
    <w:tmpl w:val="02837933"/>
    <w:lvl w:ilvl="0" w:tentative="0">
      <w:start w:val="1"/>
      <w:numFmt w:val="decimal"/>
      <w:pStyle w:val="64"/>
      <w:lvlText w:val="[%1]"/>
      <w:lvlJc w:val="left"/>
      <w:pPr>
        <w:tabs>
          <w:tab w:val="left" w:pos="1646"/>
        </w:tabs>
        <w:ind w:left="1646" w:hanging="648"/>
      </w:pPr>
    </w:lvl>
    <w:lvl w:ilvl="1" w:tentative="0">
      <w:start w:val="1"/>
      <w:numFmt w:val="lowerLetter"/>
      <w:lvlText w:val="%2)"/>
      <w:lvlJc w:val="left"/>
      <w:pPr>
        <w:tabs>
          <w:tab w:val="left" w:pos="1838"/>
        </w:tabs>
        <w:ind w:left="1838" w:hanging="420"/>
      </w:pPr>
    </w:lvl>
    <w:lvl w:ilvl="2" w:tentative="0">
      <w:start w:val="1"/>
      <w:numFmt w:val="lowerRoman"/>
      <w:lvlText w:val="%3."/>
      <w:lvlJc w:val="right"/>
      <w:pPr>
        <w:tabs>
          <w:tab w:val="left" w:pos="2258"/>
        </w:tabs>
        <w:ind w:left="2258" w:hanging="420"/>
      </w:pPr>
    </w:lvl>
    <w:lvl w:ilvl="3" w:tentative="0">
      <w:start w:val="1"/>
      <w:numFmt w:val="decimal"/>
      <w:lvlText w:val="%4."/>
      <w:lvlJc w:val="left"/>
      <w:pPr>
        <w:tabs>
          <w:tab w:val="left" w:pos="2678"/>
        </w:tabs>
        <w:ind w:left="2678" w:hanging="420"/>
      </w:pPr>
    </w:lvl>
    <w:lvl w:ilvl="4" w:tentative="0">
      <w:start w:val="1"/>
      <w:numFmt w:val="lowerLetter"/>
      <w:lvlText w:val="%5)"/>
      <w:lvlJc w:val="left"/>
      <w:pPr>
        <w:tabs>
          <w:tab w:val="left" w:pos="3098"/>
        </w:tabs>
        <w:ind w:left="3098" w:hanging="420"/>
      </w:pPr>
    </w:lvl>
    <w:lvl w:ilvl="5" w:tentative="0">
      <w:start w:val="1"/>
      <w:numFmt w:val="lowerRoman"/>
      <w:lvlText w:val="%6."/>
      <w:lvlJc w:val="right"/>
      <w:pPr>
        <w:tabs>
          <w:tab w:val="left" w:pos="3518"/>
        </w:tabs>
        <w:ind w:left="3518" w:hanging="420"/>
      </w:pPr>
    </w:lvl>
    <w:lvl w:ilvl="6" w:tentative="0">
      <w:start w:val="1"/>
      <w:numFmt w:val="decimal"/>
      <w:lvlText w:val="%7."/>
      <w:lvlJc w:val="left"/>
      <w:pPr>
        <w:tabs>
          <w:tab w:val="left" w:pos="3938"/>
        </w:tabs>
        <w:ind w:left="3938" w:hanging="420"/>
      </w:pPr>
    </w:lvl>
    <w:lvl w:ilvl="7" w:tentative="0">
      <w:start w:val="1"/>
      <w:numFmt w:val="lowerLetter"/>
      <w:lvlText w:val="%8)"/>
      <w:lvlJc w:val="left"/>
      <w:pPr>
        <w:tabs>
          <w:tab w:val="left" w:pos="4358"/>
        </w:tabs>
        <w:ind w:left="4358" w:hanging="420"/>
      </w:pPr>
    </w:lvl>
    <w:lvl w:ilvl="8" w:tentative="0">
      <w:start w:val="1"/>
      <w:numFmt w:val="lowerRoman"/>
      <w:lvlText w:val="%9."/>
      <w:lvlJc w:val="right"/>
      <w:pPr>
        <w:tabs>
          <w:tab w:val="left" w:pos="4778"/>
        </w:tabs>
        <w:ind w:left="4778" w:hanging="420"/>
      </w:pPr>
    </w:lvl>
  </w:abstractNum>
  <w:abstractNum w:abstractNumId="1">
    <w:nsid w:val="040A15CD"/>
    <w:multiLevelType w:val="multilevel"/>
    <w:tmpl w:val="040A15CD"/>
    <w:lvl w:ilvl="0" w:tentative="0">
      <w:start w:val="1"/>
      <w:numFmt w:val="none"/>
      <w:suff w:val="nothing"/>
      <w:lvlText w:val="　"/>
      <w:lvlJc w:val="left"/>
      <w:pPr>
        <w:ind w:left="0" w:firstLine="0"/>
      </w:pPr>
    </w:lvl>
    <w:lvl w:ilvl="1" w:tentative="0">
      <w:start w:val="1"/>
      <w:numFmt w:val="decimal"/>
      <w:isLgl/>
      <w:suff w:val="nothing"/>
      <w:lvlText w:val="%2　"/>
      <w:lvlJc w:val="left"/>
      <w:pPr>
        <w:ind w:left="0" w:firstLine="0"/>
      </w:pPr>
    </w:lvl>
    <w:lvl w:ilvl="2" w:tentative="0">
      <w:start w:val="1"/>
      <w:numFmt w:val="decimal"/>
      <w:pStyle w:val="159"/>
      <w:suff w:val="nothing"/>
      <w:lvlText w:val="%1%2.%3　"/>
      <w:lvlJc w:val="left"/>
      <w:pPr>
        <w:ind w:left="0" w:firstLine="0"/>
      </w:pPr>
    </w:lvl>
    <w:lvl w:ilvl="3" w:tentative="0">
      <w:start w:val="1"/>
      <w:numFmt w:val="decimal"/>
      <w:pStyle w:val="118"/>
      <w:suff w:val="nothing"/>
      <w:lvlText w:val="%1%2.%3.%4　"/>
      <w:lvlJc w:val="left"/>
      <w:pPr>
        <w:ind w:left="0" w:firstLine="0"/>
      </w:pPr>
    </w:lvl>
    <w:lvl w:ilvl="4" w:tentative="0">
      <w:start w:val="1"/>
      <w:numFmt w:val="decimal"/>
      <w:pStyle w:val="153"/>
      <w:suff w:val="nothing"/>
      <w:lvlText w:val="%1%2.%3.%4.%5　"/>
      <w:lvlJc w:val="left"/>
      <w:pPr>
        <w:ind w:left="0" w:firstLine="0"/>
      </w:pPr>
    </w:lvl>
    <w:lvl w:ilvl="5" w:tentative="0">
      <w:start w:val="1"/>
      <w:numFmt w:val="decimal"/>
      <w:pStyle w:val="155"/>
      <w:suff w:val="nothing"/>
      <w:lvlText w:val="%1%2.%3.%4.%5.%6　"/>
      <w:lvlJc w:val="left"/>
      <w:pPr>
        <w:ind w:left="0" w:firstLine="0"/>
      </w:pPr>
    </w:lvl>
    <w:lvl w:ilvl="6" w:tentative="0">
      <w:start w:val="1"/>
      <w:numFmt w:val="decimal"/>
      <w:pStyle w:val="158"/>
      <w:suff w:val="nothing"/>
      <w:lvlText w:val="%1%2.%3.%4.%5.%6.%7　"/>
      <w:lvlJc w:val="left"/>
      <w:pPr>
        <w:ind w:left="0" w:firstLine="0"/>
      </w:pPr>
    </w:lvl>
    <w:lvl w:ilvl="7" w:tentative="0">
      <w:start w:val="1"/>
      <w:numFmt w:val="decimal"/>
      <w:lvlText w:val="%1.%2.%3.%4.%5.%6.%7.%8"/>
      <w:lvlJc w:val="left"/>
      <w:pPr>
        <w:tabs>
          <w:tab w:val="left" w:pos="4394"/>
        </w:tabs>
        <w:ind w:left="4394" w:hanging="1418"/>
      </w:pPr>
    </w:lvl>
    <w:lvl w:ilvl="8" w:tentative="0">
      <w:start w:val="1"/>
      <w:numFmt w:val="decimal"/>
      <w:lvlText w:val="%1.%2.%3.%4.%5.%6.%7.%8.%9"/>
      <w:lvlJc w:val="left"/>
      <w:pPr>
        <w:tabs>
          <w:tab w:val="left" w:pos="5102"/>
        </w:tabs>
        <w:ind w:left="5102" w:hanging="1700"/>
      </w:pPr>
    </w:lvl>
  </w:abstractNum>
  <w:abstractNum w:abstractNumId="2">
    <w:nsid w:val="079102AD"/>
    <w:multiLevelType w:val="multilevel"/>
    <w:tmpl w:val="079102AD"/>
    <w:lvl w:ilvl="0" w:tentative="0">
      <w:start w:val="1"/>
      <w:numFmt w:val="decimal"/>
      <w:pStyle w:val="180"/>
      <w:suff w:val="nothing"/>
      <w:lvlText w:val="注%1："/>
      <w:lvlJc w:val="left"/>
      <w:pPr>
        <w:ind w:left="811" w:hanging="448"/>
      </w:pPr>
      <w:rPr>
        <w:rFonts w:hint="eastAsia" w:ascii="黑体" w:eastAsia="黑体"/>
        <w:b w:val="0"/>
        <w:i w:val="0"/>
        <w:sz w:val="18"/>
      </w:rPr>
    </w:lvl>
    <w:lvl w:ilvl="1" w:tentative="0">
      <w:start w:val="1"/>
      <w:numFmt w:val="lowerLetter"/>
      <w:lvlText w:val="%2)"/>
      <w:lvlJc w:val="left"/>
      <w:pPr>
        <w:tabs>
          <w:tab w:val="left" w:pos="0"/>
        </w:tabs>
        <w:ind w:left="992" w:hanging="629"/>
      </w:pPr>
      <w:rPr>
        <w:rFonts w:hint="eastAsia"/>
      </w:rPr>
    </w:lvl>
    <w:lvl w:ilvl="2" w:tentative="0">
      <w:start w:val="1"/>
      <w:numFmt w:val="lowerRoman"/>
      <w:lvlText w:val="%3."/>
      <w:lvlJc w:val="right"/>
      <w:pPr>
        <w:tabs>
          <w:tab w:val="left" w:pos="0"/>
        </w:tabs>
        <w:ind w:left="992" w:hanging="629"/>
      </w:pPr>
      <w:rPr>
        <w:rFonts w:hint="eastAsia"/>
      </w:rPr>
    </w:lvl>
    <w:lvl w:ilvl="3" w:tentative="0">
      <w:start w:val="1"/>
      <w:numFmt w:val="decimal"/>
      <w:lvlText w:val="%4."/>
      <w:lvlJc w:val="left"/>
      <w:pPr>
        <w:tabs>
          <w:tab w:val="left" w:pos="0"/>
        </w:tabs>
        <w:ind w:left="992" w:hanging="629"/>
      </w:pPr>
      <w:rPr>
        <w:rFonts w:hint="eastAsia"/>
      </w:rPr>
    </w:lvl>
    <w:lvl w:ilvl="4" w:tentative="0">
      <w:start w:val="1"/>
      <w:numFmt w:val="lowerLetter"/>
      <w:lvlText w:val="%5)"/>
      <w:lvlJc w:val="left"/>
      <w:pPr>
        <w:tabs>
          <w:tab w:val="left" w:pos="0"/>
        </w:tabs>
        <w:ind w:left="992" w:hanging="629"/>
      </w:pPr>
      <w:rPr>
        <w:rFonts w:hint="eastAsia"/>
      </w:rPr>
    </w:lvl>
    <w:lvl w:ilvl="5" w:tentative="0">
      <w:start w:val="1"/>
      <w:numFmt w:val="lowerRoman"/>
      <w:lvlText w:val="%6."/>
      <w:lvlJc w:val="right"/>
      <w:pPr>
        <w:tabs>
          <w:tab w:val="left" w:pos="0"/>
        </w:tabs>
        <w:ind w:left="992" w:hanging="629"/>
      </w:pPr>
      <w:rPr>
        <w:rFonts w:hint="eastAsia"/>
      </w:rPr>
    </w:lvl>
    <w:lvl w:ilvl="6" w:tentative="0">
      <w:start w:val="1"/>
      <w:numFmt w:val="decimal"/>
      <w:lvlText w:val="%7."/>
      <w:lvlJc w:val="left"/>
      <w:pPr>
        <w:tabs>
          <w:tab w:val="left" w:pos="0"/>
        </w:tabs>
        <w:ind w:left="992" w:hanging="629"/>
      </w:pPr>
      <w:rPr>
        <w:rFonts w:hint="eastAsia"/>
      </w:rPr>
    </w:lvl>
    <w:lvl w:ilvl="7" w:tentative="0">
      <w:start w:val="1"/>
      <w:numFmt w:val="lowerLetter"/>
      <w:lvlText w:val="%8)"/>
      <w:lvlJc w:val="left"/>
      <w:pPr>
        <w:tabs>
          <w:tab w:val="left" w:pos="0"/>
        </w:tabs>
        <w:ind w:left="992" w:hanging="629"/>
      </w:pPr>
      <w:rPr>
        <w:rFonts w:hint="eastAsia"/>
      </w:rPr>
    </w:lvl>
    <w:lvl w:ilvl="8" w:tentative="0">
      <w:start w:val="1"/>
      <w:numFmt w:val="lowerRoman"/>
      <w:lvlText w:val="%9."/>
      <w:lvlJc w:val="right"/>
      <w:pPr>
        <w:tabs>
          <w:tab w:val="left" w:pos="0"/>
        </w:tabs>
        <w:ind w:left="992" w:hanging="629"/>
      </w:pPr>
      <w:rPr>
        <w:rFonts w:hint="eastAsia"/>
      </w:rPr>
    </w:lvl>
  </w:abstractNum>
  <w:abstractNum w:abstractNumId="3">
    <w:nsid w:val="07ED3FEA"/>
    <w:multiLevelType w:val="multilevel"/>
    <w:tmpl w:val="07ED3FEA"/>
    <w:lvl w:ilvl="0" w:tentative="0">
      <w:start w:val="1"/>
      <w:numFmt w:val="none"/>
      <w:pStyle w:val="89"/>
      <w:lvlText w:val="%1"/>
      <w:lvlJc w:val="left"/>
      <w:pPr>
        <w:ind w:left="425" w:hanging="425"/>
      </w:pPr>
      <w:rPr>
        <w:rFonts w:hint="eastAsia"/>
      </w:rPr>
    </w:lvl>
    <w:lvl w:ilvl="1" w:tentative="0">
      <w:start w:val="1"/>
      <w:numFmt w:val="decimal"/>
      <w:pStyle w:val="200"/>
      <w:suff w:val="nothing"/>
      <w:lvlText w:val="%10.%2 "/>
      <w:lvlJc w:val="left"/>
      <w:pPr>
        <w:ind w:left="0" w:firstLine="0"/>
      </w:pPr>
      <w:rPr>
        <w:rFonts w:hint="eastAsia" w:ascii="黑体" w:eastAsia="黑体" w:hAnsiTheme="minorHAnsi"/>
        <w:b w:val="0"/>
        <w:i w:val="0"/>
        <w:sz w:val="21"/>
      </w:rPr>
    </w:lvl>
    <w:lvl w:ilvl="2" w:tentative="0">
      <w:start w:val="1"/>
      <w:numFmt w:val="decimal"/>
      <w:pStyle w:val="201"/>
      <w:suff w:val="nothing"/>
      <w:lvlText w:val="%10.%2.%3 "/>
      <w:lvlJc w:val="left"/>
      <w:pPr>
        <w:ind w:left="0" w:firstLine="0"/>
      </w:pPr>
      <w:rPr>
        <w:rFonts w:hint="eastAsia" w:ascii="黑体" w:eastAsia="黑体" w:hAnsiTheme="minorHAnsi"/>
        <w:b w:val="0"/>
        <w:i w:val="0"/>
        <w:sz w:val="21"/>
      </w:rPr>
    </w:lvl>
    <w:lvl w:ilvl="3" w:tentative="0">
      <w:start w:val="1"/>
      <w:numFmt w:val="decimal"/>
      <w:pStyle w:val="202"/>
      <w:suff w:val="nothing"/>
      <w:lvlText w:val="%10.%2.%3.%4 "/>
      <w:lvlJc w:val="left"/>
      <w:pPr>
        <w:ind w:left="0" w:firstLine="0"/>
      </w:pPr>
      <w:rPr>
        <w:rFonts w:hint="eastAsia" w:ascii="黑体" w:eastAsia="黑体" w:hAnsiTheme="minorHAnsi"/>
        <w:b w:val="0"/>
        <w:i w:val="0"/>
        <w:sz w:val="21"/>
      </w:rPr>
    </w:lvl>
    <w:lvl w:ilvl="4" w:tentative="0">
      <w:start w:val="1"/>
      <w:numFmt w:val="decimal"/>
      <w:pStyle w:val="203"/>
      <w:suff w:val="nothing"/>
      <w:lvlText w:val="%10.%2.%3.%4.%5 "/>
      <w:lvlJc w:val="left"/>
      <w:pPr>
        <w:ind w:left="0" w:firstLine="0"/>
      </w:pPr>
      <w:rPr>
        <w:rFonts w:hint="eastAsia" w:ascii="黑体" w:eastAsia="黑体" w:hAnsiTheme="minorHAnsi"/>
        <w:b w:val="0"/>
        <w:i w:val="0"/>
        <w:sz w:val="21"/>
      </w:rPr>
    </w:lvl>
    <w:lvl w:ilvl="5" w:tentative="0">
      <w:start w:val="1"/>
      <w:numFmt w:val="decimal"/>
      <w:pStyle w:val="204"/>
      <w:suff w:val="nothing"/>
      <w:lvlText w:val="%10.%2.%3.%4.%5.%6 "/>
      <w:lvlJc w:val="left"/>
      <w:pPr>
        <w:ind w:left="0" w:firstLine="0"/>
      </w:pPr>
      <w:rPr>
        <w:rFonts w:hint="eastAsia" w:ascii="黑体" w:eastAsia="黑体" w:hAnsiTheme="minorHAnsi"/>
        <w:b w:val="0"/>
        <w:i w:val="0"/>
        <w:sz w:val="21"/>
      </w:rPr>
    </w:lvl>
    <w:lvl w:ilvl="6" w:tentative="0">
      <w:start w:val="1"/>
      <w:numFmt w:val="decimal"/>
      <w:lvlText w:val="%1.%2.%3.%4.%5.%6.%7"/>
      <w:lvlJc w:val="left"/>
      <w:pPr>
        <w:ind w:left="3827" w:hanging="1276"/>
      </w:pPr>
      <w:rPr>
        <w:rFonts w:hint="eastAsia"/>
      </w:rPr>
    </w:lvl>
    <w:lvl w:ilvl="7" w:tentative="0">
      <w:start w:val="1"/>
      <w:numFmt w:val="decimal"/>
      <w:lvlText w:val="%1.%2.%3.%4.%5.%6.%7.%8"/>
      <w:lvlJc w:val="left"/>
      <w:pPr>
        <w:ind w:left="4394" w:hanging="1418"/>
      </w:pPr>
      <w:rPr>
        <w:rFonts w:hint="eastAsia"/>
      </w:rPr>
    </w:lvl>
    <w:lvl w:ilvl="8" w:tentative="0">
      <w:start w:val="1"/>
      <w:numFmt w:val="decimal"/>
      <w:lvlText w:val="%1.%2.%3.%4.%5.%6.%7.%8.%9"/>
      <w:lvlJc w:val="left"/>
      <w:pPr>
        <w:ind w:left="5102" w:hanging="1700"/>
      </w:pPr>
      <w:rPr>
        <w:rFonts w:hint="eastAsia"/>
      </w:rPr>
    </w:lvl>
  </w:abstractNum>
  <w:abstractNum w:abstractNumId="4">
    <w:nsid w:val="0AE367E9"/>
    <w:multiLevelType w:val="multilevel"/>
    <w:tmpl w:val="0AE367E9"/>
    <w:lvl w:ilvl="0" w:tentative="0">
      <w:start w:val="1"/>
      <w:numFmt w:val="none"/>
      <w:pStyle w:val="181"/>
      <w:suff w:val="nothing"/>
      <w:lvlText w:val="%1示例："/>
      <w:lvlJc w:val="left"/>
      <w:pPr>
        <w:ind w:left="0" w:firstLine="363"/>
      </w:pPr>
      <w:rPr>
        <w:rFonts w:hint="eastAsia" w:ascii="黑体" w:eastAsia="黑体"/>
        <w:b w:val="0"/>
        <w:i w:val="0"/>
        <w:sz w:val="18"/>
      </w:rPr>
    </w:lvl>
    <w:lvl w:ilvl="1" w:tentative="0">
      <w:start w:val="1"/>
      <w:numFmt w:val="lowerLetter"/>
      <w:lvlText w:val="%2)"/>
      <w:lvlJc w:val="left"/>
      <w:pPr>
        <w:tabs>
          <w:tab w:val="left" w:pos="363"/>
        </w:tabs>
        <w:ind w:left="0" w:firstLine="363"/>
      </w:pPr>
      <w:rPr>
        <w:rFonts w:hint="eastAsia"/>
      </w:rPr>
    </w:lvl>
    <w:lvl w:ilvl="2" w:tentative="0">
      <w:start w:val="1"/>
      <w:numFmt w:val="lowerRoman"/>
      <w:lvlText w:val="%3."/>
      <w:lvlJc w:val="right"/>
      <w:pPr>
        <w:tabs>
          <w:tab w:val="left" w:pos="363"/>
        </w:tabs>
        <w:ind w:left="0" w:firstLine="363"/>
      </w:pPr>
      <w:rPr>
        <w:rFonts w:hint="eastAsia"/>
      </w:rPr>
    </w:lvl>
    <w:lvl w:ilvl="3" w:tentative="0">
      <w:start w:val="1"/>
      <w:numFmt w:val="decimal"/>
      <w:lvlText w:val="%4."/>
      <w:lvlJc w:val="left"/>
      <w:pPr>
        <w:tabs>
          <w:tab w:val="left" w:pos="363"/>
        </w:tabs>
        <w:ind w:left="0" w:firstLine="363"/>
      </w:pPr>
      <w:rPr>
        <w:rFonts w:hint="eastAsia"/>
      </w:rPr>
    </w:lvl>
    <w:lvl w:ilvl="4" w:tentative="0">
      <w:start w:val="1"/>
      <w:numFmt w:val="lowerLetter"/>
      <w:lvlText w:val="%5)"/>
      <w:lvlJc w:val="left"/>
      <w:pPr>
        <w:tabs>
          <w:tab w:val="left" w:pos="363"/>
        </w:tabs>
        <w:ind w:left="0" w:firstLine="363"/>
      </w:pPr>
      <w:rPr>
        <w:rFonts w:hint="eastAsia"/>
      </w:rPr>
    </w:lvl>
    <w:lvl w:ilvl="5" w:tentative="0">
      <w:start w:val="1"/>
      <w:numFmt w:val="lowerRoman"/>
      <w:lvlText w:val="%6."/>
      <w:lvlJc w:val="right"/>
      <w:pPr>
        <w:tabs>
          <w:tab w:val="left" w:pos="363"/>
        </w:tabs>
        <w:ind w:left="0" w:firstLine="363"/>
      </w:pPr>
      <w:rPr>
        <w:rFonts w:hint="eastAsia"/>
      </w:rPr>
    </w:lvl>
    <w:lvl w:ilvl="6" w:tentative="0">
      <w:start w:val="1"/>
      <w:numFmt w:val="decimal"/>
      <w:lvlText w:val="%7."/>
      <w:lvlJc w:val="left"/>
      <w:pPr>
        <w:tabs>
          <w:tab w:val="left" w:pos="363"/>
        </w:tabs>
        <w:ind w:left="0" w:firstLine="363"/>
      </w:pPr>
      <w:rPr>
        <w:rFonts w:hint="eastAsia"/>
      </w:rPr>
    </w:lvl>
    <w:lvl w:ilvl="7" w:tentative="0">
      <w:start w:val="1"/>
      <w:numFmt w:val="lowerLetter"/>
      <w:lvlText w:val="%8)"/>
      <w:lvlJc w:val="left"/>
      <w:pPr>
        <w:tabs>
          <w:tab w:val="left" w:pos="363"/>
        </w:tabs>
        <w:ind w:left="0" w:firstLine="363"/>
      </w:pPr>
      <w:rPr>
        <w:rFonts w:hint="eastAsia"/>
      </w:rPr>
    </w:lvl>
    <w:lvl w:ilvl="8" w:tentative="0">
      <w:start w:val="1"/>
      <w:numFmt w:val="lowerRoman"/>
      <w:lvlText w:val="%9."/>
      <w:lvlJc w:val="right"/>
      <w:pPr>
        <w:tabs>
          <w:tab w:val="left" w:pos="363"/>
        </w:tabs>
        <w:ind w:left="0" w:firstLine="363"/>
      </w:pPr>
      <w:rPr>
        <w:rFonts w:hint="eastAsia"/>
      </w:rPr>
    </w:lvl>
  </w:abstractNum>
  <w:abstractNum w:abstractNumId="5">
    <w:nsid w:val="0BDC1670"/>
    <w:multiLevelType w:val="multilevel"/>
    <w:tmpl w:val="0BDC1670"/>
    <w:lvl w:ilvl="0" w:tentative="0">
      <w:start w:val="1"/>
      <w:numFmt w:val="decimal"/>
      <w:pStyle w:val="67"/>
      <w:lvlText w:val="[%1]"/>
      <w:lvlJc w:val="left"/>
      <w:pPr>
        <w:ind w:left="823" w:hanging="420"/>
      </w:p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6">
    <w:nsid w:val="0D051F45"/>
    <w:multiLevelType w:val="multilevel"/>
    <w:tmpl w:val="0D051F45"/>
    <w:lvl w:ilvl="0" w:tentative="0">
      <w:start w:val="1"/>
      <w:numFmt w:val="lowerRoman"/>
      <w:pStyle w:val="169"/>
      <w:lvlText w:val="%1)"/>
      <w:lvlJc w:val="left"/>
      <w:pPr>
        <w:tabs>
          <w:tab w:val="left" w:pos="851"/>
        </w:tabs>
        <w:ind w:left="851" w:hanging="426"/>
      </w:pPr>
      <w:rPr>
        <w:rFonts w:hint="eastAsia" w:ascii="宋体" w:hAnsi="Times New Roman" w:eastAsia="宋体"/>
        <w:sz w:val="21"/>
      </w:rPr>
    </w:lvl>
    <w:lvl w:ilvl="1" w:tentative="0">
      <w:start w:val="1"/>
      <w:numFmt w:val="lowerLetter"/>
      <w:lvlText w:val="%2)"/>
      <w:lvlJc w:val="left"/>
      <w:pPr>
        <w:tabs>
          <w:tab w:val="left" w:pos="1543"/>
        </w:tabs>
        <w:ind w:left="1543" w:hanging="420"/>
      </w:pPr>
      <w:rPr>
        <w:rFonts w:hint="eastAsia"/>
      </w:rPr>
    </w:lvl>
    <w:lvl w:ilvl="2" w:tentative="0">
      <w:start w:val="1"/>
      <w:numFmt w:val="lowerRoman"/>
      <w:lvlText w:val="%3."/>
      <w:lvlJc w:val="right"/>
      <w:pPr>
        <w:tabs>
          <w:tab w:val="left" w:pos="1963"/>
        </w:tabs>
        <w:ind w:left="1963" w:hanging="420"/>
      </w:pPr>
      <w:rPr>
        <w:rFonts w:hint="eastAsia"/>
      </w:rPr>
    </w:lvl>
    <w:lvl w:ilvl="3" w:tentative="0">
      <w:start w:val="1"/>
      <w:numFmt w:val="decimal"/>
      <w:lvlText w:val="%4."/>
      <w:lvlJc w:val="left"/>
      <w:pPr>
        <w:tabs>
          <w:tab w:val="left" w:pos="2383"/>
        </w:tabs>
        <w:ind w:left="2383" w:hanging="420"/>
      </w:pPr>
      <w:rPr>
        <w:rFonts w:hint="eastAsia"/>
      </w:rPr>
    </w:lvl>
    <w:lvl w:ilvl="4" w:tentative="0">
      <w:start w:val="1"/>
      <w:numFmt w:val="lowerLetter"/>
      <w:lvlText w:val="%5)"/>
      <w:lvlJc w:val="left"/>
      <w:pPr>
        <w:tabs>
          <w:tab w:val="left" w:pos="2803"/>
        </w:tabs>
        <w:ind w:left="2803" w:hanging="420"/>
      </w:pPr>
      <w:rPr>
        <w:rFonts w:hint="eastAsia"/>
      </w:rPr>
    </w:lvl>
    <w:lvl w:ilvl="5" w:tentative="0">
      <w:start w:val="1"/>
      <w:numFmt w:val="lowerRoman"/>
      <w:lvlText w:val="%6."/>
      <w:lvlJc w:val="right"/>
      <w:pPr>
        <w:tabs>
          <w:tab w:val="left" w:pos="3223"/>
        </w:tabs>
        <w:ind w:left="3223" w:hanging="420"/>
      </w:pPr>
      <w:rPr>
        <w:rFonts w:hint="eastAsia"/>
      </w:rPr>
    </w:lvl>
    <w:lvl w:ilvl="6" w:tentative="0">
      <w:start w:val="1"/>
      <w:numFmt w:val="decimal"/>
      <w:lvlText w:val="%7."/>
      <w:lvlJc w:val="left"/>
      <w:pPr>
        <w:tabs>
          <w:tab w:val="left" w:pos="3643"/>
        </w:tabs>
        <w:ind w:left="3643" w:hanging="420"/>
      </w:pPr>
      <w:rPr>
        <w:rFonts w:hint="eastAsia"/>
      </w:rPr>
    </w:lvl>
    <w:lvl w:ilvl="7" w:tentative="0">
      <w:start w:val="1"/>
      <w:numFmt w:val="lowerLetter"/>
      <w:lvlText w:val="%8)"/>
      <w:lvlJc w:val="left"/>
      <w:pPr>
        <w:tabs>
          <w:tab w:val="left" w:pos="4063"/>
        </w:tabs>
        <w:ind w:left="4063" w:hanging="420"/>
      </w:pPr>
      <w:rPr>
        <w:rFonts w:hint="eastAsia"/>
      </w:rPr>
    </w:lvl>
    <w:lvl w:ilvl="8" w:tentative="0">
      <w:start w:val="1"/>
      <w:numFmt w:val="lowerRoman"/>
      <w:lvlText w:val="%9."/>
      <w:lvlJc w:val="right"/>
      <w:pPr>
        <w:tabs>
          <w:tab w:val="left" w:pos="4483"/>
        </w:tabs>
        <w:ind w:left="4483" w:hanging="420"/>
      </w:pPr>
      <w:rPr>
        <w:rFonts w:hint="eastAsia"/>
      </w:rPr>
    </w:lvl>
  </w:abstractNum>
  <w:abstractNum w:abstractNumId="7">
    <w:nsid w:val="1AD20F90"/>
    <w:multiLevelType w:val="multilevel"/>
    <w:tmpl w:val="1AD20F90"/>
    <w:lvl w:ilvl="0" w:tentative="0">
      <w:start w:val="1"/>
      <w:numFmt w:val="none"/>
      <w:pStyle w:val="110"/>
      <w:lvlText w:val="%1注："/>
      <w:lvlJc w:val="left"/>
      <w:pPr>
        <w:tabs>
          <w:tab w:val="left" w:pos="845"/>
        </w:tabs>
        <w:ind w:left="-102" w:firstLine="419"/>
      </w:p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8">
    <w:nsid w:val="1AF15012"/>
    <w:multiLevelType w:val="multilevel"/>
    <w:tmpl w:val="1AF15012"/>
    <w:lvl w:ilvl="0" w:tentative="0">
      <w:start w:val="1"/>
      <w:numFmt w:val="upperLetter"/>
      <w:pStyle w:val="85"/>
      <w:suff w:val="nothing"/>
      <w:lvlText w:val="附 录(Annex) %1"/>
      <w:lvlJc w:val="left"/>
      <w:pPr>
        <w:ind w:left="0" w:firstLine="0"/>
      </w:pPr>
    </w:lvl>
    <w:lvl w:ilvl="1" w:tentative="0">
      <w:start w:val="1"/>
      <w:numFmt w:val="decimal"/>
      <w:suff w:val="nothing"/>
      <w:lvlText w:val="%1.%2　"/>
      <w:lvlJc w:val="left"/>
      <w:pPr>
        <w:ind w:left="0" w:firstLine="0"/>
      </w:pPr>
    </w:lvl>
    <w:lvl w:ilvl="2" w:tentative="0">
      <w:start w:val="1"/>
      <w:numFmt w:val="decimal"/>
      <w:suff w:val="nothing"/>
      <w:lvlText w:val="%1.%2.%3　"/>
      <w:lvlJc w:val="left"/>
      <w:pPr>
        <w:ind w:left="0" w:firstLine="0"/>
      </w:pPr>
    </w:lvl>
    <w:lvl w:ilvl="3" w:tentative="0">
      <w:start w:val="1"/>
      <w:numFmt w:val="decimal"/>
      <w:suff w:val="nothing"/>
      <w:lvlText w:val="%1.%2.%3.%4　"/>
      <w:lvlJc w:val="left"/>
      <w:pPr>
        <w:ind w:left="0" w:firstLine="0"/>
      </w:pPr>
    </w:lvl>
    <w:lvl w:ilvl="4" w:tentative="0">
      <w:start w:val="1"/>
      <w:numFmt w:val="decimal"/>
      <w:suff w:val="nothing"/>
      <w:lvlText w:val="%1.%2.%3.%4.%5　"/>
      <w:lvlJc w:val="left"/>
      <w:pPr>
        <w:ind w:left="0" w:firstLine="0"/>
      </w:pPr>
    </w:lvl>
    <w:lvl w:ilvl="5" w:tentative="0">
      <w:start w:val="1"/>
      <w:numFmt w:val="decimal"/>
      <w:suff w:val="nothing"/>
      <w:lvlText w:val="%1.%2.%3.%4.%5.%6　"/>
      <w:lvlJc w:val="left"/>
      <w:pPr>
        <w:ind w:left="0" w:firstLine="0"/>
      </w:pPr>
    </w:lvl>
    <w:lvl w:ilvl="6" w:tentative="0">
      <w:start w:val="1"/>
      <w:numFmt w:val="decimal"/>
      <w:suff w:val="nothing"/>
      <w:lvlText w:val="%1.%2.%3.%4.%5.%6.%7　"/>
      <w:lvlJc w:val="left"/>
      <w:pPr>
        <w:ind w:left="0" w:firstLine="0"/>
      </w:pPr>
    </w:lvl>
    <w:lvl w:ilvl="7" w:tentative="0">
      <w:start w:val="1"/>
      <w:numFmt w:val="decimal"/>
      <w:lvlText w:val="%1.%2.%3.%4.%5.%6.%7.%8"/>
      <w:lvlJc w:val="left"/>
      <w:pPr>
        <w:tabs>
          <w:tab w:val="left" w:pos="4394"/>
        </w:tabs>
        <w:ind w:left="4394" w:hanging="1418"/>
      </w:pPr>
    </w:lvl>
    <w:lvl w:ilvl="8" w:tentative="0">
      <w:start w:val="1"/>
      <w:numFmt w:val="decimal"/>
      <w:lvlText w:val="%1.%2.%3.%4.%5.%6.%7.%8.%9"/>
      <w:lvlJc w:val="left"/>
      <w:pPr>
        <w:tabs>
          <w:tab w:val="left" w:pos="5102"/>
        </w:tabs>
        <w:ind w:left="5102" w:hanging="1700"/>
      </w:pPr>
    </w:lvl>
  </w:abstractNum>
  <w:abstractNum w:abstractNumId="9">
    <w:nsid w:val="1EAA1992"/>
    <w:multiLevelType w:val="multilevel"/>
    <w:tmpl w:val="1EAA1992"/>
    <w:lvl w:ilvl="0" w:tentative="0">
      <w:start w:val="1"/>
      <w:numFmt w:val="none"/>
      <w:pStyle w:val="92"/>
      <w:suff w:val="nothing"/>
      <w:lvlText w:val="——"/>
      <w:lvlJc w:val="left"/>
      <w:pPr>
        <w:ind w:left="794" w:hanging="397"/>
      </w:pPr>
    </w:lvl>
    <w:lvl w:ilvl="1" w:tentative="0">
      <w:start w:val="1"/>
      <w:numFmt w:val="decimal"/>
      <w:suff w:val="nothing"/>
      <w:lvlText w:val="%1.%2　"/>
      <w:lvlJc w:val="left"/>
      <w:pPr>
        <w:ind w:left="397" w:firstLine="0"/>
      </w:pPr>
    </w:lvl>
    <w:lvl w:ilvl="2" w:tentative="0">
      <w:start w:val="1"/>
      <w:numFmt w:val="decimal"/>
      <w:suff w:val="nothing"/>
      <w:lvlText w:val="%1.%2.%3　"/>
      <w:lvlJc w:val="left"/>
      <w:pPr>
        <w:ind w:left="397" w:firstLine="0"/>
      </w:pPr>
    </w:lvl>
    <w:lvl w:ilvl="3" w:tentative="0">
      <w:start w:val="1"/>
      <w:numFmt w:val="decimal"/>
      <w:suff w:val="nothing"/>
      <w:lvlText w:val="%1.%2.%3.%4　"/>
      <w:lvlJc w:val="left"/>
      <w:pPr>
        <w:ind w:left="397" w:firstLine="0"/>
      </w:pPr>
    </w:lvl>
    <w:lvl w:ilvl="4" w:tentative="0">
      <w:start w:val="1"/>
      <w:numFmt w:val="decimal"/>
      <w:suff w:val="nothing"/>
      <w:lvlText w:val="%1.%2.%3.%4.%5　"/>
      <w:lvlJc w:val="left"/>
      <w:pPr>
        <w:ind w:left="397" w:firstLine="0"/>
      </w:pPr>
    </w:lvl>
    <w:lvl w:ilvl="5" w:tentative="0">
      <w:start w:val="1"/>
      <w:numFmt w:val="decimal"/>
      <w:suff w:val="nothing"/>
      <w:lvlText w:val="%1.%2.%3.%4.%5.%6　"/>
      <w:lvlJc w:val="left"/>
      <w:pPr>
        <w:ind w:left="397" w:firstLine="0"/>
      </w:pPr>
    </w:lvl>
    <w:lvl w:ilvl="6" w:tentative="0">
      <w:start w:val="1"/>
      <w:numFmt w:val="decimal"/>
      <w:suff w:val="nothing"/>
      <w:lvlText w:val="%1.%2.%3.%4.%5.%6.%7　"/>
      <w:lvlJc w:val="left"/>
      <w:pPr>
        <w:ind w:left="397" w:firstLine="0"/>
      </w:pPr>
    </w:lvl>
    <w:lvl w:ilvl="7" w:tentative="0">
      <w:start w:val="1"/>
      <w:numFmt w:val="decimal"/>
      <w:lvlText w:val="%1.%2.%3.%4.%5.%6.%7.%8"/>
      <w:lvlJc w:val="left"/>
      <w:pPr>
        <w:tabs>
          <w:tab w:val="left" w:pos="4791"/>
        </w:tabs>
        <w:ind w:left="4791" w:hanging="1418"/>
      </w:pPr>
    </w:lvl>
    <w:lvl w:ilvl="8" w:tentative="0">
      <w:start w:val="1"/>
      <w:numFmt w:val="decimal"/>
      <w:lvlText w:val="%1.%2.%3.%4.%5.%6.%7.%8.%9"/>
      <w:lvlJc w:val="left"/>
      <w:pPr>
        <w:tabs>
          <w:tab w:val="left" w:pos="5499"/>
        </w:tabs>
        <w:ind w:left="5499" w:hanging="1700"/>
      </w:pPr>
    </w:lvl>
  </w:abstractNum>
  <w:abstractNum w:abstractNumId="10">
    <w:nsid w:val="2C5917C3"/>
    <w:multiLevelType w:val="multilevel"/>
    <w:tmpl w:val="2C5917C3"/>
    <w:lvl w:ilvl="0" w:tentative="0">
      <w:start w:val="1"/>
      <w:numFmt w:val="none"/>
      <w:pStyle w:val="132"/>
      <w:lvlText w:val="%1——"/>
      <w:lvlJc w:val="left"/>
      <w:pPr>
        <w:tabs>
          <w:tab w:val="left" w:pos="851"/>
        </w:tabs>
        <w:ind w:left="851" w:hanging="426"/>
      </w:pPr>
      <w:rPr>
        <w:rFonts w:hint="eastAsia" w:ascii="宋体" w:hAnsi="Times New Roman" w:eastAsia="宋体"/>
        <w:b w:val="0"/>
        <w:i w:val="0"/>
        <w:sz w:val="21"/>
      </w:rPr>
    </w:lvl>
    <w:lvl w:ilvl="1" w:tentative="0">
      <w:start w:val="1"/>
      <w:numFmt w:val="none"/>
      <w:pStyle w:val="187"/>
      <w:lvlText w:val=""/>
      <w:lvlJc w:val="left"/>
      <w:pPr>
        <w:ind w:left="851" w:hanging="431"/>
      </w:pPr>
      <w:rPr>
        <w:rFonts w:hint="default" w:ascii="Symbol" w:hAnsi="Symbol"/>
        <w:sz w:val="21"/>
      </w:rPr>
    </w:lvl>
    <w:lvl w:ilvl="2" w:tentative="0">
      <w:start w:val="1"/>
      <w:numFmt w:val="bullet"/>
      <w:pStyle w:val="172"/>
      <w:lvlText w:val=""/>
      <w:lvlJc w:val="left"/>
      <w:pPr>
        <w:ind w:left="851" w:hanging="426"/>
      </w:pPr>
      <w:rPr>
        <w:rFonts w:hint="default" w:ascii="Wingdings" w:hAnsi="Wingdings"/>
        <w:sz w:val="21"/>
      </w:rPr>
    </w:lvl>
    <w:lvl w:ilvl="3" w:tentative="0">
      <w:start w:val="1"/>
      <w:numFmt w:val="decimal"/>
      <w:lvlText w:val="%4."/>
      <w:lvlJc w:val="left"/>
      <w:pPr>
        <w:tabs>
          <w:tab w:val="left" w:pos="2071"/>
        </w:tabs>
        <w:ind w:left="1884" w:hanging="528"/>
      </w:pPr>
      <w:rPr>
        <w:rFonts w:hint="eastAsia"/>
      </w:rPr>
    </w:lvl>
    <w:lvl w:ilvl="4" w:tentative="0">
      <w:start w:val="1"/>
      <w:numFmt w:val="lowerLetter"/>
      <w:lvlText w:val="%5)"/>
      <w:lvlJc w:val="left"/>
      <w:pPr>
        <w:tabs>
          <w:tab w:val="left" w:pos="2383"/>
        </w:tabs>
        <w:ind w:left="2196" w:hanging="528"/>
      </w:pPr>
      <w:rPr>
        <w:rFonts w:hint="eastAsia"/>
      </w:rPr>
    </w:lvl>
    <w:lvl w:ilvl="5" w:tentative="0">
      <w:start w:val="1"/>
      <w:numFmt w:val="lowerRoman"/>
      <w:lvlText w:val="%6."/>
      <w:lvlJc w:val="right"/>
      <w:pPr>
        <w:tabs>
          <w:tab w:val="left" w:pos="2695"/>
        </w:tabs>
        <w:ind w:left="2508" w:hanging="528"/>
      </w:pPr>
      <w:rPr>
        <w:rFonts w:hint="eastAsia"/>
      </w:rPr>
    </w:lvl>
    <w:lvl w:ilvl="6" w:tentative="0">
      <w:start w:val="1"/>
      <w:numFmt w:val="decimal"/>
      <w:lvlText w:val="%7."/>
      <w:lvlJc w:val="left"/>
      <w:pPr>
        <w:tabs>
          <w:tab w:val="left" w:pos="3007"/>
        </w:tabs>
        <w:ind w:left="2820" w:hanging="528"/>
      </w:pPr>
      <w:rPr>
        <w:rFonts w:hint="eastAsia"/>
      </w:rPr>
    </w:lvl>
    <w:lvl w:ilvl="7" w:tentative="0">
      <w:start w:val="1"/>
      <w:numFmt w:val="lowerLetter"/>
      <w:lvlText w:val="%8)"/>
      <w:lvlJc w:val="left"/>
      <w:pPr>
        <w:tabs>
          <w:tab w:val="left" w:pos="3319"/>
        </w:tabs>
        <w:ind w:left="3132" w:hanging="528"/>
      </w:pPr>
      <w:rPr>
        <w:rFonts w:hint="eastAsia"/>
      </w:rPr>
    </w:lvl>
    <w:lvl w:ilvl="8" w:tentative="0">
      <w:start w:val="1"/>
      <w:numFmt w:val="lowerRoman"/>
      <w:lvlText w:val="%9."/>
      <w:lvlJc w:val="right"/>
      <w:pPr>
        <w:tabs>
          <w:tab w:val="left" w:pos="3631"/>
        </w:tabs>
        <w:ind w:left="3444" w:hanging="528"/>
      </w:pPr>
      <w:rPr>
        <w:rFonts w:hint="eastAsia"/>
      </w:rPr>
    </w:lvl>
  </w:abstractNum>
  <w:abstractNum w:abstractNumId="11">
    <w:nsid w:val="32F04FB2"/>
    <w:multiLevelType w:val="multilevel"/>
    <w:tmpl w:val="32F04FB2"/>
    <w:lvl w:ilvl="0" w:tentative="0">
      <w:start w:val="1"/>
      <w:numFmt w:val="lowerLetter"/>
      <w:pStyle w:val="101"/>
      <w:lvlText w:val="%1"/>
      <w:lvlJc w:val="left"/>
      <w:pPr>
        <w:tabs>
          <w:tab w:val="left" w:pos="539"/>
        </w:tabs>
        <w:ind w:left="539" w:hanging="119"/>
      </w:pPr>
      <w:rPr>
        <w:rFonts w:hint="eastAsia"/>
        <w:caps w:val="0"/>
        <w:strike w:val="0"/>
        <w:dstrike w:val="0"/>
        <w:vanish w:val="0"/>
        <w:vertAlign w:val="superscript"/>
      </w:rPr>
    </w:lvl>
    <w:lvl w:ilvl="1" w:tentative="0">
      <w:start w:val="1"/>
      <w:numFmt w:val="lowerLetter"/>
      <w:lvlText w:val="%2)"/>
      <w:lvlJc w:val="left"/>
      <w:pPr>
        <w:ind w:left="1040" w:hanging="420"/>
      </w:pPr>
      <w:rPr>
        <w:rFonts w:hint="eastAsia"/>
      </w:rPr>
    </w:lvl>
    <w:lvl w:ilvl="2" w:tentative="0">
      <w:start w:val="1"/>
      <w:numFmt w:val="lowerRoman"/>
      <w:lvlText w:val="%3."/>
      <w:lvlJc w:val="right"/>
      <w:pPr>
        <w:ind w:left="1460" w:hanging="420"/>
      </w:pPr>
      <w:rPr>
        <w:rFonts w:hint="eastAsia"/>
      </w:rPr>
    </w:lvl>
    <w:lvl w:ilvl="3" w:tentative="0">
      <w:start w:val="1"/>
      <w:numFmt w:val="decimal"/>
      <w:lvlText w:val="%4."/>
      <w:lvlJc w:val="left"/>
      <w:pPr>
        <w:ind w:left="1880" w:hanging="420"/>
      </w:pPr>
      <w:rPr>
        <w:rFonts w:hint="eastAsia"/>
      </w:rPr>
    </w:lvl>
    <w:lvl w:ilvl="4" w:tentative="0">
      <w:start w:val="1"/>
      <w:numFmt w:val="lowerLetter"/>
      <w:lvlText w:val="%5)"/>
      <w:lvlJc w:val="left"/>
      <w:pPr>
        <w:ind w:left="2300" w:hanging="420"/>
      </w:pPr>
      <w:rPr>
        <w:rFonts w:hint="eastAsia"/>
      </w:rPr>
    </w:lvl>
    <w:lvl w:ilvl="5" w:tentative="0">
      <w:start w:val="1"/>
      <w:numFmt w:val="lowerRoman"/>
      <w:lvlText w:val="%6."/>
      <w:lvlJc w:val="right"/>
      <w:pPr>
        <w:ind w:left="2720" w:hanging="420"/>
      </w:pPr>
      <w:rPr>
        <w:rFonts w:hint="eastAsia"/>
      </w:rPr>
    </w:lvl>
    <w:lvl w:ilvl="6" w:tentative="0">
      <w:start w:val="1"/>
      <w:numFmt w:val="decimal"/>
      <w:lvlText w:val="%7."/>
      <w:lvlJc w:val="left"/>
      <w:pPr>
        <w:ind w:left="3140" w:hanging="420"/>
      </w:pPr>
      <w:rPr>
        <w:rFonts w:hint="eastAsia"/>
      </w:rPr>
    </w:lvl>
    <w:lvl w:ilvl="7" w:tentative="0">
      <w:start w:val="1"/>
      <w:numFmt w:val="lowerLetter"/>
      <w:lvlText w:val="%8)"/>
      <w:lvlJc w:val="left"/>
      <w:pPr>
        <w:ind w:left="3560" w:hanging="420"/>
      </w:pPr>
      <w:rPr>
        <w:rFonts w:hint="eastAsia"/>
      </w:rPr>
    </w:lvl>
    <w:lvl w:ilvl="8" w:tentative="0">
      <w:start w:val="1"/>
      <w:numFmt w:val="lowerRoman"/>
      <w:lvlText w:val="%9."/>
      <w:lvlJc w:val="right"/>
      <w:pPr>
        <w:ind w:left="3980" w:hanging="420"/>
      </w:pPr>
      <w:rPr>
        <w:rFonts w:hint="eastAsia"/>
      </w:rPr>
    </w:lvl>
  </w:abstractNum>
  <w:abstractNum w:abstractNumId="12">
    <w:nsid w:val="44C50F90"/>
    <w:multiLevelType w:val="multilevel"/>
    <w:tmpl w:val="44C50F90"/>
    <w:lvl w:ilvl="0" w:tentative="0">
      <w:start w:val="1"/>
      <w:numFmt w:val="lowerLetter"/>
      <w:pStyle w:val="174"/>
      <w:lvlText w:val="%1)"/>
      <w:lvlJc w:val="left"/>
      <w:pPr>
        <w:tabs>
          <w:tab w:val="left" w:pos="851"/>
        </w:tabs>
        <w:ind w:left="851" w:hanging="426"/>
      </w:pPr>
      <w:rPr>
        <w:rFonts w:hint="eastAsia" w:ascii="宋体" w:hAnsi="Times New Roman" w:eastAsia="宋体"/>
        <w:sz w:val="21"/>
      </w:rPr>
    </w:lvl>
    <w:lvl w:ilvl="1" w:tentative="0">
      <w:start w:val="1"/>
      <w:numFmt w:val="decimal"/>
      <w:pStyle w:val="109"/>
      <w:lvlText w:val="%2)"/>
      <w:lvlJc w:val="left"/>
      <w:pPr>
        <w:tabs>
          <w:tab w:val="left" w:pos="1276"/>
        </w:tabs>
        <w:ind w:left="1276" w:hanging="425"/>
      </w:pPr>
      <w:rPr>
        <w:rFonts w:hint="eastAsia" w:ascii="宋体" w:hAnsi="Times New Roman" w:eastAsia="宋体"/>
        <w:sz w:val="21"/>
      </w:rPr>
    </w:lvl>
    <w:lvl w:ilvl="2" w:tentative="0">
      <w:start w:val="1"/>
      <w:numFmt w:val="decimal"/>
      <w:pStyle w:val="117"/>
      <w:lvlText w:val="(%3)"/>
      <w:lvlJc w:val="left"/>
      <w:pPr>
        <w:ind w:left="1701" w:hanging="425"/>
      </w:pPr>
      <w:rPr>
        <w:rFonts w:hint="eastAsia" w:ascii="宋体" w:hAnsi="Times New Roman" w:eastAsia="宋体"/>
        <w:sz w:val="21"/>
      </w:rPr>
    </w:lvl>
    <w:lvl w:ilvl="3" w:tentative="0">
      <w:start w:val="1"/>
      <w:numFmt w:val="decimal"/>
      <w:lvlText w:val="%4."/>
      <w:lvlJc w:val="left"/>
      <w:pPr>
        <w:tabs>
          <w:tab w:val="left" w:pos="2100"/>
        </w:tabs>
        <w:ind w:left="2099" w:hanging="419"/>
      </w:pPr>
      <w:rPr>
        <w:rFonts w:hint="eastAsia"/>
      </w:rPr>
    </w:lvl>
    <w:lvl w:ilvl="4" w:tentative="0">
      <w:start w:val="1"/>
      <w:numFmt w:val="lowerLetter"/>
      <w:lvlText w:val="%5)"/>
      <w:lvlJc w:val="left"/>
      <w:pPr>
        <w:tabs>
          <w:tab w:val="left" w:pos="2520"/>
        </w:tabs>
        <w:ind w:left="2519" w:hanging="419"/>
      </w:pPr>
      <w:rPr>
        <w:rFonts w:hint="eastAsia"/>
      </w:rPr>
    </w:lvl>
    <w:lvl w:ilvl="5" w:tentative="0">
      <w:start w:val="1"/>
      <w:numFmt w:val="lowerRoman"/>
      <w:lvlText w:val="%6."/>
      <w:lvlJc w:val="right"/>
      <w:pPr>
        <w:tabs>
          <w:tab w:val="left" w:pos="2940"/>
        </w:tabs>
        <w:ind w:left="2939" w:hanging="419"/>
      </w:pPr>
      <w:rPr>
        <w:rFonts w:hint="eastAsia"/>
      </w:rPr>
    </w:lvl>
    <w:lvl w:ilvl="6" w:tentative="0">
      <w:start w:val="1"/>
      <w:numFmt w:val="decimal"/>
      <w:lvlText w:val="%7."/>
      <w:lvlJc w:val="left"/>
      <w:pPr>
        <w:tabs>
          <w:tab w:val="left" w:pos="3360"/>
        </w:tabs>
        <w:ind w:left="3359" w:hanging="419"/>
      </w:pPr>
      <w:rPr>
        <w:rFonts w:hint="eastAsia"/>
      </w:rPr>
    </w:lvl>
    <w:lvl w:ilvl="7" w:tentative="0">
      <w:start w:val="1"/>
      <w:numFmt w:val="lowerLetter"/>
      <w:lvlText w:val="%8)"/>
      <w:lvlJc w:val="left"/>
      <w:pPr>
        <w:tabs>
          <w:tab w:val="left" w:pos="3780"/>
        </w:tabs>
        <w:ind w:left="3779" w:hanging="419"/>
      </w:pPr>
      <w:rPr>
        <w:rFonts w:hint="eastAsia"/>
      </w:rPr>
    </w:lvl>
    <w:lvl w:ilvl="8" w:tentative="0">
      <w:start w:val="1"/>
      <w:numFmt w:val="lowerRoman"/>
      <w:lvlText w:val="%9."/>
      <w:lvlJc w:val="right"/>
      <w:pPr>
        <w:tabs>
          <w:tab w:val="left" w:pos="4200"/>
        </w:tabs>
        <w:ind w:left="4199" w:hanging="419"/>
      </w:pPr>
      <w:rPr>
        <w:rFonts w:hint="eastAsia"/>
      </w:rPr>
    </w:lvl>
  </w:abstractNum>
  <w:abstractNum w:abstractNumId="13">
    <w:nsid w:val="48802D1C"/>
    <w:multiLevelType w:val="multilevel"/>
    <w:tmpl w:val="48802D1C"/>
    <w:lvl w:ilvl="0" w:tentative="0">
      <w:start w:val="1"/>
      <w:numFmt w:val="upperLetter"/>
      <w:pStyle w:val="198"/>
      <w:lvlText w:val="%1"/>
      <w:lvlJc w:val="left"/>
      <w:pPr>
        <w:ind w:left="420" w:hanging="420"/>
      </w:pPr>
      <w:rPr>
        <w:rFonts w:hint="eastAsia"/>
      </w:rPr>
    </w:lvl>
    <w:lvl w:ilvl="1" w:tentative="0">
      <w:start w:val="1"/>
      <w:numFmt w:val="decimal"/>
      <w:pStyle w:val="83"/>
      <w:suff w:val="space"/>
      <w:lvlText w:val="图%1.%2 "/>
      <w:lvlJc w:val="center"/>
      <w:pPr>
        <w:ind w:left="0" w:firstLine="0"/>
      </w:pPr>
      <w:rPr>
        <w:rFonts w:hint="eastAsia"/>
      </w:rPr>
    </w:lvl>
    <w:lvl w:ilvl="2" w:tentative="0">
      <w:start w:val="1"/>
      <w:numFmt w:val="lowerRoman"/>
      <w:lvlText w:val="%3."/>
      <w:lvlJc w:val="right"/>
      <w:pPr>
        <w:ind w:left="1260" w:hanging="420"/>
      </w:pPr>
      <w:rPr>
        <w:rFonts w:hint="eastAsia"/>
      </w:rPr>
    </w:lvl>
    <w:lvl w:ilvl="3" w:tentative="0">
      <w:start w:val="1"/>
      <w:numFmt w:val="decimal"/>
      <w:lvlText w:val="%4."/>
      <w:lvlJc w:val="left"/>
      <w:pPr>
        <w:ind w:left="1680" w:hanging="420"/>
      </w:pPr>
      <w:rPr>
        <w:rFonts w:hint="eastAsia"/>
      </w:rPr>
    </w:lvl>
    <w:lvl w:ilvl="4" w:tentative="0">
      <w:start w:val="1"/>
      <w:numFmt w:val="lowerLetter"/>
      <w:lvlText w:val="%5)"/>
      <w:lvlJc w:val="left"/>
      <w:pPr>
        <w:ind w:left="2100" w:hanging="420"/>
      </w:pPr>
      <w:rPr>
        <w:rFonts w:hint="eastAsia"/>
      </w:rPr>
    </w:lvl>
    <w:lvl w:ilvl="5" w:tentative="0">
      <w:start w:val="1"/>
      <w:numFmt w:val="lowerRoman"/>
      <w:lvlText w:val="%6."/>
      <w:lvlJc w:val="right"/>
      <w:pPr>
        <w:ind w:left="2520" w:hanging="420"/>
      </w:pPr>
      <w:rPr>
        <w:rFonts w:hint="eastAsia"/>
      </w:rPr>
    </w:lvl>
    <w:lvl w:ilvl="6" w:tentative="0">
      <w:start w:val="1"/>
      <w:numFmt w:val="decimal"/>
      <w:lvlText w:val="%7."/>
      <w:lvlJc w:val="left"/>
      <w:pPr>
        <w:ind w:left="2940" w:hanging="420"/>
      </w:pPr>
      <w:rPr>
        <w:rFonts w:hint="eastAsia"/>
      </w:rPr>
    </w:lvl>
    <w:lvl w:ilvl="7" w:tentative="0">
      <w:start w:val="1"/>
      <w:numFmt w:val="lowerLetter"/>
      <w:lvlText w:val="%8)"/>
      <w:lvlJc w:val="left"/>
      <w:pPr>
        <w:ind w:left="3360" w:hanging="420"/>
      </w:pPr>
      <w:rPr>
        <w:rFonts w:hint="eastAsia"/>
      </w:rPr>
    </w:lvl>
    <w:lvl w:ilvl="8" w:tentative="0">
      <w:start w:val="1"/>
      <w:numFmt w:val="lowerRoman"/>
      <w:lvlText w:val="%9."/>
      <w:lvlJc w:val="right"/>
      <w:pPr>
        <w:ind w:left="3780" w:hanging="420"/>
      </w:pPr>
      <w:rPr>
        <w:rFonts w:hint="eastAsia"/>
      </w:rPr>
    </w:lvl>
  </w:abstractNum>
  <w:abstractNum w:abstractNumId="14">
    <w:nsid w:val="4B733A5F"/>
    <w:multiLevelType w:val="multilevel"/>
    <w:tmpl w:val="4B733A5F"/>
    <w:lvl w:ilvl="0" w:tentative="0">
      <w:start w:val="1"/>
      <w:numFmt w:val="decimal"/>
      <w:pStyle w:val="183"/>
      <w:suff w:val="nothing"/>
      <w:lvlText w:val="示例%1："/>
      <w:lvlJc w:val="left"/>
      <w:pPr>
        <w:ind w:left="0" w:firstLine="363"/>
      </w:pPr>
      <w:rPr>
        <w:rFonts w:hint="eastAsia" w:ascii="黑体" w:eastAsia="黑体"/>
        <w:b w:val="0"/>
        <w:i w:val="0"/>
        <w:sz w:val="18"/>
      </w:rPr>
    </w:lvl>
    <w:lvl w:ilvl="1" w:tentative="0">
      <w:start w:val="1"/>
      <w:numFmt w:val="none"/>
      <w:suff w:val="space"/>
      <w:lvlText w:val=""/>
      <w:lvlJc w:val="left"/>
      <w:pPr>
        <w:ind w:left="0" w:firstLine="0"/>
      </w:pPr>
      <w:rPr>
        <w:rFonts w:hint="eastAsia"/>
      </w:rPr>
    </w:lvl>
    <w:lvl w:ilvl="2" w:tentative="0">
      <w:start w:val="1"/>
      <w:numFmt w:val="decimal"/>
      <w:suff w:val="space"/>
      <w:lvlText w:val="2.2.%3"/>
      <w:lvlJc w:val="left"/>
      <w:pPr>
        <w:ind w:left="0" w:firstLine="0"/>
      </w:pPr>
      <w:rPr>
        <w:rFonts w:hint="eastAsia"/>
      </w:rPr>
    </w:lvl>
    <w:lvl w:ilvl="3" w:tentative="0">
      <w:start w:val="1"/>
      <w:numFmt w:val="decimal"/>
      <w:lvlText w:val="%4."/>
      <w:lvlJc w:val="left"/>
      <w:pPr>
        <w:tabs>
          <w:tab w:val="left" w:pos="0"/>
        </w:tabs>
        <w:ind w:left="992" w:hanging="629"/>
      </w:pPr>
      <w:rPr>
        <w:rFonts w:hint="eastAsia"/>
      </w:rPr>
    </w:lvl>
    <w:lvl w:ilvl="4" w:tentative="0">
      <w:start w:val="1"/>
      <w:numFmt w:val="lowerLetter"/>
      <w:lvlText w:val="%5)"/>
      <w:lvlJc w:val="left"/>
      <w:pPr>
        <w:tabs>
          <w:tab w:val="left" w:pos="0"/>
        </w:tabs>
        <w:ind w:left="992" w:hanging="629"/>
      </w:pPr>
      <w:rPr>
        <w:rFonts w:hint="eastAsia"/>
      </w:rPr>
    </w:lvl>
    <w:lvl w:ilvl="5" w:tentative="0">
      <w:start w:val="1"/>
      <w:numFmt w:val="lowerRoman"/>
      <w:lvlText w:val="%6."/>
      <w:lvlJc w:val="right"/>
      <w:pPr>
        <w:tabs>
          <w:tab w:val="left" w:pos="0"/>
        </w:tabs>
        <w:ind w:left="992" w:hanging="629"/>
      </w:pPr>
      <w:rPr>
        <w:rFonts w:hint="eastAsia"/>
      </w:rPr>
    </w:lvl>
    <w:lvl w:ilvl="6" w:tentative="0">
      <w:start w:val="1"/>
      <w:numFmt w:val="decimal"/>
      <w:lvlText w:val="%7."/>
      <w:lvlJc w:val="left"/>
      <w:pPr>
        <w:tabs>
          <w:tab w:val="left" w:pos="0"/>
        </w:tabs>
        <w:ind w:left="992" w:hanging="629"/>
      </w:pPr>
      <w:rPr>
        <w:rFonts w:hint="eastAsia"/>
      </w:rPr>
    </w:lvl>
    <w:lvl w:ilvl="7" w:tentative="0">
      <w:start w:val="1"/>
      <w:numFmt w:val="lowerLetter"/>
      <w:lvlText w:val="%8)"/>
      <w:lvlJc w:val="left"/>
      <w:pPr>
        <w:tabs>
          <w:tab w:val="left" w:pos="0"/>
        </w:tabs>
        <w:ind w:left="992" w:hanging="629"/>
      </w:pPr>
      <w:rPr>
        <w:rFonts w:hint="eastAsia"/>
      </w:rPr>
    </w:lvl>
    <w:lvl w:ilvl="8" w:tentative="0">
      <w:start w:val="1"/>
      <w:numFmt w:val="lowerRoman"/>
      <w:lvlText w:val="%9."/>
      <w:lvlJc w:val="right"/>
      <w:pPr>
        <w:tabs>
          <w:tab w:val="left" w:pos="0"/>
        </w:tabs>
        <w:ind w:left="992" w:hanging="629"/>
      </w:pPr>
      <w:rPr>
        <w:rFonts w:hint="eastAsia"/>
      </w:rPr>
    </w:lvl>
  </w:abstractNum>
  <w:abstractNum w:abstractNumId="15">
    <w:nsid w:val="4E5D0534"/>
    <w:multiLevelType w:val="multilevel"/>
    <w:tmpl w:val="4E5D0534"/>
    <w:lvl w:ilvl="0" w:tentative="0">
      <w:start w:val="1"/>
      <w:numFmt w:val="decimal"/>
      <w:pStyle w:val="116"/>
      <w:suff w:val="nothing"/>
      <w:lvlText w:val="Figure %1　"/>
      <w:lvlJc w:val="left"/>
      <w:pPr>
        <w:ind w:left="0" w:firstLine="0"/>
      </w:pPr>
    </w:lvl>
    <w:lvl w:ilvl="1" w:tentative="0">
      <w:start w:val="1"/>
      <w:numFmt w:val="decimal"/>
      <w:suff w:val="nothing"/>
      <w:lvlText w:val="%1%2　"/>
      <w:lvlJc w:val="left"/>
      <w:pPr>
        <w:ind w:left="0" w:firstLine="0"/>
      </w:pPr>
    </w:lvl>
    <w:lvl w:ilvl="2" w:tentative="0">
      <w:start w:val="1"/>
      <w:numFmt w:val="decimal"/>
      <w:suff w:val="nothing"/>
      <w:lvlText w:val="%1%2.%3　"/>
      <w:lvlJc w:val="left"/>
      <w:pPr>
        <w:ind w:left="0" w:firstLine="0"/>
      </w:pPr>
    </w:lvl>
    <w:lvl w:ilvl="3" w:tentative="0">
      <w:start w:val="1"/>
      <w:numFmt w:val="decimal"/>
      <w:suff w:val="nothing"/>
      <w:lvlText w:val="%1%2.%3.%4　"/>
      <w:lvlJc w:val="left"/>
      <w:pPr>
        <w:ind w:left="0" w:firstLine="0"/>
      </w:pPr>
    </w:lvl>
    <w:lvl w:ilvl="4" w:tentative="0">
      <w:start w:val="1"/>
      <w:numFmt w:val="decimal"/>
      <w:suff w:val="nothing"/>
      <w:lvlText w:val="%1%2.%3.%4.%5　"/>
      <w:lvlJc w:val="left"/>
      <w:pPr>
        <w:ind w:left="0" w:firstLine="0"/>
      </w:pPr>
    </w:lvl>
    <w:lvl w:ilvl="5" w:tentative="0">
      <w:start w:val="1"/>
      <w:numFmt w:val="decimal"/>
      <w:suff w:val="nothing"/>
      <w:lvlText w:val="%1%2.%3.%4.%5.%6　"/>
      <w:lvlJc w:val="left"/>
      <w:pPr>
        <w:ind w:left="0" w:firstLine="0"/>
      </w:pPr>
    </w:lvl>
    <w:lvl w:ilvl="6" w:tentative="0">
      <w:start w:val="1"/>
      <w:numFmt w:val="decimal"/>
      <w:suff w:val="nothing"/>
      <w:lvlText w:val="%1%2.%3.%4.%5.%6.%7　"/>
      <w:lvlJc w:val="left"/>
      <w:pPr>
        <w:ind w:left="0" w:firstLine="0"/>
      </w:pPr>
    </w:lvl>
    <w:lvl w:ilvl="7" w:tentative="0">
      <w:start w:val="1"/>
      <w:numFmt w:val="decimal"/>
      <w:lvlText w:val="%1.%2.%3.%4.%5.%6.%7.%8"/>
      <w:lvlJc w:val="left"/>
      <w:pPr>
        <w:tabs>
          <w:tab w:val="left" w:pos="4348"/>
        </w:tabs>
        <w:ind w:left="3969" w:hanging="1418"/>
      </w:pPr>
    </w:lvl>
    <w:lvl w:ilvl="8" w:tentative="0">
      <w:start w:val="1"/>
      <w:numFmt w:val="decimal"/>
      <w:lvlText w:val="%1.%2.%3.%4.%5.%6.%7.%8.%9"/>
      <w:lvlJc w:val="left"/>
      <w:pPr>
        <w:tabs>
          <w:tab w:val="left" w:pos="4774"/>
        </w:tabs>
        <w:ind w:left="4677" w:hanging="1701"/>
      </w:pPr>
    </w:lvl>
  </w:abstractNum>
  <w:abstractNum w:abstractNumId="16">
    <w:nsid w:val="54632751"/>
    <w:multiLevelType w:val="multilevel"/>
    <w:tmpl w:val="54632751"/>
    <w:lvl w:ilvl="0" w:tentative="0">
      <w:start w:val="1"/>
      <w:numFmt w:val="none"/>
      <w:pStyle w:val="93"/>
      <w:suff w:val="nothing"/>
      <w:lvlText w:val="——"/>
      <w:lvlJc w:val="left"/>
      <w:pPr>
        <w:ind w:left="1588" w:firstLine="0"/>
      </w:pPr>
    </w:lvl>
    <w:lvl w:ilvl="1" w:tentative="0">
      <w:start w:val="1"/>
      <w:numFmt w:val="decimal"/>
      <w:suff w:val="nothing"/>
      <w:lvlText w:val="%1.%2　"/>
      <w:lvlJc w:val="left"/>
      <w:pPr>
        <w:ind w:left="1588" w:firstLine="0"/>
      </w:pPr>
    </w:lvl>
    <w:lvl w:ilvl="2" w:tentative="0">
      <w:start w:val="1"/>
      <w:numFmt w:val="decimal"/>
      <w:suff w:val="nothing"/>
      <w:lvlText w:val="%1.%2.%3　"/>
      <w:lvlJc w:val="left"/>
      <w:pPr>
        <w:ind w:left="1588" w:firstLine="0"/>
      </w:pPr>
    </w:lvl>
    <w:lvl w:ilvl="3" w:tentative="0">
      <w:start w:val="1"/>
      <w:numFmt w:val="decimal"/>
      <w:suff w:val="nothing"/>
      <w:lvlText w:val="%1.%2.%3.%4　"/>
      <w:lvlJc w:val="left"/>
      <w:pPr>
        <w:ind w:left="1588" w:firstLine="0"/>
      </w:pPr>
    </w:lvl>
    <w:lvl w:ilvl="4" w:tentative="0">
      <w:start w:val="1"/>
      <w:numFmt w:val="decimal"/>
      <w:suff w:val="nothing"/>
      <w:lvlText w:val="%1.%2.%3.%4.%5　"/>
      <w:lvlJc w:val="left"/>
      <w:pPr>
        <w:ind w:left="1588" w:firstLine="0"/>
      </w:pPr>
    </w:lvl>
    <w:lvl w:ilvl="5" w:tentative="0">
      <w:start w:val="1"/>
      <w:numFmt w:val="decimal"/>
      <w:suff w:val="nothing"/>
      <w:lvlText w:val="%1.%2.%3.%4.%5.%6　"/>
      <w:lvlJc w:val="left"/>
      <w:pPr>
        <w:ind w:left="1588" w:firstLine="0"/>
      </w:pPr>
    </w:lvl>
    <w:lvl w:ilvl="6" w:tentative="0">
      <w:start w:val="1"/>
      <w:numFmt w:val="decimal"/>
      <w:suff w:val="nothing"/>
      <w:lvlText w:val="%1.%2.%3.%4.%5.%6.%7　"/>
      <w:lvlJc w:val="left"/>
      <w:pPr>
        <w:ind w:left="1588" w:firstLine="0"/>
      </w:pPr>
    </w:lvl>
    <w:lvl w:ilvl="7" w:tentative="0">
      <w:start w:val="1"/>
      <w:numFmt w:val="decimal"/>
      <w:lvlText w:val="%1.%2.%3.%4.%5.%6.%7.%8"/>
      <w:lvlJc w:val="left"/>
      <w:pPr>
        <w:tabs>
          <w:tab w:val="left" w:pos="5982"/>
        </w:tabs>
        <w:ind w:left="5982" w:hanging="1418"/>
      </w:pPr>
    </w:lvl>
    <w:lvl w:ilvl="8" w:tentative="0">
      <w:start w:val="1"/>
      <w:numFmt w:val="decimal"/>
      <w:lvlText w:val="%1.%2.%3.%4.%5.%6.%7.%8.%9"/>
      <w:lvlJc w:val="left"/>
      <w:pPr>
        <w:tabs>
          <w:tab w:val="left" w:pos="6690"/>
        </w:tabs>
        <w:ind w:left="6690" w:hanging="1700"/>
      </w:pPr>
    </w:lvl>
  </w:abstractNum>
  <w:abstractNum w:abstractNumId="17">
    <w:nsid w:val="557C2AF5"/>
    <w:multiLevelType w:val="multilevel"/>
    <w:tmpl w:val="557C2AF5"/>
    <w:lvl w:ilvl="0" w:tentative="0">
      <w:start w:val="1"/>
      <w:numFmt w:val="decimal"/>
      <w:pStyle w:val="114"/>
      <w:suff w:val="nothing"/>
      <w:lvlText w:val="图%1　"/>
      <w:lvlJc w:val="left"/>
      <w:pPr>
        <w:ind w:left="0" w:firstLine="0"/>
      </w:pPr>
    </w:lvl>
    <w:lvl w:ilvl="1" w:tentative="0">
      <w:start w:val="1"/>
      <w:numFmt w:val="decimal"/>
      <w:suff w:val="nothing"/>
      <w:lvlText w:val="%1%2　"/>
      <w:lvlJc w:val="left"/>
      <w:pPr>
        <w:ind w:left="0" w:firstLine="0"/>
      </w:pPr>
    </w:lvl>
    <w:lvl w:ilvl="2" w:tentative="0">
      <w:start w:val="1"/>
      <w:numFmt w:val="decimal"/>
      <w:suff w:val="nothing"/>
      <w:lvlText w:val="%1%2.%3　"/>
      <w:lvlJc w:val="left"/>
      <w:pPr>
        <w:ind w:left="0" w:firstLine="0"/>
      </w:pPr>
    </w:lvl>
    <w:lvl w:ilvl="3" w:tentative="0">
      <w:start w:val="1"/>
      <w:numFmt w:val="decimal"/>
      <w:suff w:val="nothing"/>
      <w:lvlText w:val="%1%2.%3.%4　"/>
      <w:lvlJc w:val="left"/>
      <w:pPr>
        <w:ind w:left="0" w:firstLine="0"/>
      </w:pPr>
    </w:lvl>
    <w:lvl w:ilvl="4" w:tentative="0">
      <w:start w:val="1"/>
      <w:numFmt w:val="decimal"/>
      <w:suff w:val="nothing"/>
      <w:lvlText w:val="%1%2.%3.%4.%5　"/>
      <w:lvlJc w:val="left"/>
      <w:pPr>
        <w:ind w:left="0" w:firstLine="0"/>
      </w:pPr>
    </w:lvl>
    <w:lvl w:ilvl="5" w:tentative="0">
      <w:start w:val="1"/>
      <w:numFmt w:val="decimal"/>
      <w:suff w:val="nothing"/>
      <w:lvlText w:val="%1%2.%3.%4.%5.%6　"/>
      <w:lvlJc w:val="left"/>
      <w:pPr>
        <w:ind w:left="0" w:firstLine="0"/>
      </w:pPr>
    </w:lvl>
    <w:lvl w:ilvl="6" w:tentative="0">
      <w:start w:val="1"/>
      <w:numFmt w:val="decimal"/>
      <w:suff w:val="nothing"/>
      <w:lvlText w:val="%1%2.%3.%4.%5.%6.%7　"/>
      <w:lvlJc w:val="left"/>
      <w:pPr>
        <w:ind w:left="0" w:firstLine="0"/>
      </w:pPr>
    </w:lvl>
    <w:lvl w:ilvl="7" w:tentative="0">
      <w:start w:val="1"/>
      <w:numFmt w:val="decimal"/>
      <w:lvlText w:val="%1.%2.%3.%4.%5.%6.%7.%8"/>
      <w:lvlJc w:val="left"/>
      <w:pPr>
        <w:tabs>
          <w:tab w:val="left" w:pos="4348"/>
        </w:tabs>
        <w:ind w:left="3969" w:hanging="1418"/>
      </w:pPr>
    </w:lvl>
    <w:lvl w:ilvl="8" w:tentative="0">
      <w:start w:val="1"/>
      <w:numFmt w:val="decimal"/>
      <w:lvlText w:val="%1.%2.%3.%4.%5.%6.%7.%8.%9"/>
      <w:lvlJc w:val="left"/>
      <w:pPr>
        <w:tabs>
          <w:tab w:val="left" w:pos="4774"/>
        </w:tabs>
        <w:ind w:left="4677" w:hanging="1701"/>
      </w:pPr>
    </w:lvl>
  </w:abstractNum>
  <w:abstractNum w:abstractNumId="18">
    <w:nsid w:val="5603797C"/>
    <w:multiLevelType w:val="multilevel"/>
    <w:tmpl w:val="5603797C"/>
    <w:lvl w:ilvl="0" w:tentative="0">
      <w:start w:val="1"/>
      <w:numFmt w:val="upperLetter"/>
      <w:pStyle w:val="199"/>
      <w:suff w:val="space"/>
      <w:lvlText w:val="%1"/>
      <w:lvlJc w:val="left"/>
      <w:pPr>
        <w:ind w:left="425" w:hanging="425"/>
      </w:pPr>
      <w:rPr>
        <w:rFonts w:hint="eastAsia"/>
      </w:rPr>
    </w:lvl>
    <w:lvl w:ilvl="1" w:tentative="0">
      <w:start w:val="1"/>
      <w:numFmt w:val="decimal"/>
      <w:pStyle w:val="77"/>
      <w:suff w:val="space"/>
      <w:lvlText w:val="表%1.%2 "/>
      <w:lvlJc w:val="center"/>
      <w:pPr>
        <w:ind w:left="0" w:firstLine="0"/>
      </w:pPr>
      <w:rPr>
        <w:rFonts w:hint="eastAsia" w:ascii="黑体" w:eastAsia="黑体"/>
        <w:sz w:val="21"/>
      </w:rPr>
    </w:lvl>
    <w:lvl w:ilvl="2" w:tentative="0">
      <w:start w:val="1"/>
      <w:numFmt w:val="decimal"/>
      <w:lvlText w:val="%1.%2.%3"/>
      <w:lvlJc w:val="left"/>
      <w:pPr>
        <w:ind w:left="1418" w:hanging="567"/>
      </w:pPr>
      <w:rPr>
        <w:rFonts w:hint="eastAsia"/>
      </w:rPr>
    </w:lvl>
    <w:lvl w:ilvl="3" w:tentative="0">
      <w:start w:val="1"/>
      <w:numFmt w:val="decimal"/>
      <w:lvlText w:val="%1.%2.%3.%4"/>
      <w:lvlJc w:val="left"/>
      <w:pPr>
        <w:ind w:left="1984" w:hanging="708"/>
      </w:pPr>
      <w:rPr>
        <w:rFonts w:hint="eastAsia"/>
      </w:rPr>
    </w:lvl>
    <w:lvl w:ilvl="4" w:tentative="0">
      <w:start w:val="1"/>
      <w:numFmt w:val="decimal"/>
      <w:lvlText w:val="%1.%2.%3.%4.%5"/>
      <w:lvlJc w:val="left"/>
      <w:pPr>
        <w:ind w:left="2551" w:hanging="850"/>
      </w:pPr>
      <w:rPr>
        <w:rFonts w:hint="eastAsia"/>
      </w:rPr>
    </w:lvl>
    <w:lvl w:ilvl="5" w:tentative="0">
      <w:start w:val="1"/>
      <w:numFmt w:val="decimal"/>
      <w:lvlText w:val="%1.%2.%3.%4.%5.%6"/>
      <w:lvlJc w:val="left"/>
      <w:pPr>
        <w:ind w:left="3260" w:hanging="1134"/>
      </w:pPr>
      <w:rPr>
        <w:rFonts w:hint="eastAsia"/>
      </w:rPr>
    </w:lvl>
    <w:lvl w:ilvl="6" w:tentative="0">
      <w:start w:val="1"/>
      <w:numFmt w:val="decimal"/>
      <w:lvlText w:val="%1.%2.%3.%4.%5.%6.%7"/>
      <w:lvlJc w:val="left"/>
      <w:pPr>
        <w:ind w:left="3827" w:hanging="1276"/>
      </w:pPr>
      <w:rPr>
        <w:rFonts w:hint="eastAsia"/>
      </w:rPr>
    </w:lvl>
    <w:lvl w:ilvl="7" w:tentative="0">
      <w:start w:val="1"/>
      <w:numFmt w:val="decimal"/>
      <w:lvlText w:val="%1.%2.%3.%4.%5.%6.%7.%8"/>
      <w:lvlJc w:val="left"/>
      <w:pPr>
        <w:ind w:left="4394" w:hanging="1418"/>
      </w:pPr>
      <w:rPr>
        <w:rFonts w:hint="eastAsia"/>
      </w:rPr>
    </w:lvl>
    <w:lvl w:ilvl="8" w:tentative="0">
      <w:start w:val="1"/>
      <w:numFmt w:val="decimal"/>
      <w:lvlText w:val="%1.%2.%3.%4.%5.%6.%7.%8.%9"/>
      <w:lvlJc w:val="left"/>
      <w:pPr>
        <w:ind w:left="5102" w:hanging="1700"/>
      </w:pPr>
      <w:rPr>
        <w:rFonts w:hint="eastAsia"/>
      </w:rPr>
    </w:lvl>
  </w:abstractNum>
  <w:abstractNum w:abstractNumId="19">
    <w:nsid w:val="564D2089"/>
    <w:multiLevelType w:val="multilevel"/>
    <w:tmpl w:val="564D2089"/>
    <w:lvl w:ilvl="0" w:tentative="0">
      <w:start w:val="1"/>
      <w:numFmt w:val="none"/>
      <w:pStyle w:val="111"/>
      <w:lvlText w:val="%1注"/>
      <w:lvlJc w:val="left"/>
      <w:pPr>
        <w:tabs>
          <w:tab w:val="left" w:pos="760"/>
        </w:tabs>
        <w:ind w:left="760" w:hanging="284"/>
      </w:p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20">
    <w:nsid w:val="644622F9"/>
    <w:multiLevelType w:val="multilevel"/>
    <w:tmpl w:val="644622F9"/>
    <w:lvl w:ilvl="0" w:tentative="0">
      <w:start w:val="1"/>
      <w:numFmt w:val="upperRoman"/>
      <w:pStyle w:val="168"/>
      <w:lvlText w:val="%1)"/>
      <w:lvlJc w:val="left"/>
      <w:pPr>
        <w:tabs>
          <w:tab w:val="left" w:pos="851"/>
        </w:tabs>
        <w:ind w:left="851" w:hanging="426"/>
      </w:pPr>
      <w:rPr>
        <w:rFonts w:hint="eastAsia" w:ascii="宋体" w:hAnsi="Times New Roman" w:eastAsia="宋体"/>
        <w:sz w:val="21"/>
      </w:rPr>
    </w:lvl>
    <w:lvl w:ilvl="1" w:tentative="0">
      <w:start w:val="1"/>
      <w:numFmt w:val="lowerLetter"/>
      <w:lvlText w:val="%2)"/>
      <w:lvlJc w:val="left"/>
      <w:pPr>
        <w:tabs>
          <w:tab w:val="left" w:pos="1310"/>
        </w:tabs>
        <w:ind w:left="1310" w:hanging="420"/>
      </w:pPr>
      <w:rPr>
        <w:rFonts w:hint="eastAsia"/>
      </w:rPr>
    </w:lvl>
    <w:lvl w:ilvl="2" w:tentative="0">
      <w:start w:val="1"/>
      <w:numFmt w:val="lowerRoman"/>
      <w:lvlText w:val="%3."/>
      <w:lvlJc w:val="right"/>
      <w:pPr>
        <w:tabs>
          <w:tab w:val="left" w:pos="1730"/>
        </w:tabs>
        <w:ind w:left="1730" w:hanging="420"/>
      </w:pPr>
      <w:rPr>
        <w:rFonts w:hint="eastAsia"/>
      </w:rPr>
    </w:lvl>
    <w:lvl w:ilvl="3" w:tentative="0">
      <w:start w:val="1"/>
      <w:numFmt w:val="decimal"/>
      <w:lvlText w:val="%4."/>
      <w:lvlJc w:val="left"/>
      <w:pPr>
        <w:tabs>
          <w:tab w:val="left" w:pos="2150"/>
        </w:tabs>
        <w:ind w:left="2150" w:hanging="420"/>
      </w:pPr>
      <w:rPr>
        <w:rFonts w:hint="eastAsia"/>
      </w:rPr>
    </w:lvl>
    <w:lvl w:ilvl="4" w:tentative="0">
      <w:start w:val="1"/>
      <w:numFmt w:val="lowerLetter"/>
      <w:lvlText w:val="%5)"/>
      <w:lvlJc w:val="left"/>
      <w:pPr>
        <w:tabs>
          <w:tab w:val="left" w:pos="2570"/>
        </w:tabs>
        <w:ind w:left="2570" w:hanging="420"/>
      </w:pPr>
      <w:rPr>
        <w:rFonts w:hint="eastAsia"/>
      </w:rPr>
    </w:lvl>
    <w:lvl w:ilvl="5" w:tentative="0">
      <w:start w:val="1"/>
      <w:numFmt w:val="lowerRoman"/>
      <w:lvlText w:val="%6."/>
      <w:lvlJc w:val="right"/>
      <w:pPr>
        <w:tabs>
          <w:tab w:val="left" w:pos="2990"/>
        </w:tabs>
        <w:ind w:left="2990" w:hanging="420"/>
      </w:pPr>
      <w:rPr>
        <w:rFonts w:hint="eastAsia"/>
      </w:rPr>
    </w:lvl>
    <w:lvl w:ilvl="6" w:tentative="0">
      <w:start w:val="1"/>
      <w:numFmt w:val="decimal"/>
      <w:lvlText w:val="%7."/>
      <w:lvlJc w:val="left"/>
      <w:pPr>
        <w:tabs>
          <w:tab w:val="left" w:pos="3410"/>
        </w:tabs>
        <w:ind w:left="3410" w:hanging="420"/>
      </w:pPr>
      <w:rPr>
        <w:rFonts w:hint="eastAsia"/>
      </w:rPr>
    </w:lvl>
    <w:lvl w:ilvl="7" w:tentative="0">
      <w:start w:val="1"/>
      <w:numFmt w:val="lowerLetter"/>
      <w:lvlText w:val="%8)"/>
      <w:lvlJc w:val="left"/>
      <w:pPr>
        <w:tabs>
          <w:tab w:val="left" w:pos="3830"/>
        </w:tabs>
        <w:ind w:left="3830" w:hanging="420"/>
      </w:pPr>
      <w:rPr>
        <w:rFonts w:hint="eastAsia"/>
      </w:rPr>
    </w:lvl>
    <w:lvl w:ilvl="8" w:tentative="0">
      <w:start w:val="1"/>
      <w:numFmt w:val="lowerRoman"/>
      <w:lvlText w:val="%9."/>
      <w:lvlJc w:val="right"/>
      <w:pPr>
        <w:tabs>
          <w:tab w:val="left" w:pos="4250"/>
        </w:tabs>
        <w:ind w:left="4250" w:hanging="420"/>
      </w:pPr>
      <w:rPr>
        <w:rFonts w:hint="eastAsia"/>
      </w:rPr>
    </w:lvl>
  </w:abstractNum>
  <w:abstractNum w:abstractNumId="21">
    <w:nsid w:val="646260FA"/>
    <w:multiLevelType w:val="multilevel"/>
    <w:tmpl w:val="646260FA"/>
    <w:lvl w:ilvl="0" w:tentative="0">
      <w:start w:val="1"/>
      <w:numFmt w:val="decimal"/>
      <w:pStyle w:val="112"/>
      <w:suff w:val="nothing"/>
      <w:lvlText w:val="表%1　"/>
      <w:lvlJc w:val="left"/>
      <w:pPr>
        <w:ind w:left="0" w:firstLine="0"/>
      </w:pPr>
    </w:lvl>
    <w:lvl w:ilvl="1" w:tentative="0">
      <w:start w:val="1"/>
      <w:numFmt w:val="decimal"/>
      <w:lvlText w:val="%1.%2"/>
      <w:lvlJc w:val="left"/>
      <w:pPr>
        <w:tabs>
          <w:tab w:val="left" w:pos="992"/>
        </w:tabs>
        <w:ind w:left="992" w:hanging="567"/>
      </w:pPr>
    </w:lvl>
    <w:lvl w:ilvl="2" w:tentative="0">
      <w:start w:val="1"/>
      <w:numFmt w:val="decimal"/>
      <w:lvlText w:val="%1.%2.%3"/>
      <w:lvlJc w:val="left"/>
      <w:pPr>
        <w:tabs>
          <w:tab w:val="left" w:pos="1417"/>
        </w:tabs>
        <w:ind w:left="1417" w:hanging="567"/>
      </w:pPr>
    </w:lvl>
    <w:lvl w:ilvl="3" w:tentative="0">
      <w:start w:val="1"/>
      <w:numFmt w:val="decimal"/>
      <w:lvlText w:val="%1.%2.%3.%4"/>
      <w:lvlJc w:val="left"/>
      <w:pPr>
        <w:tabs>
          <w:tab w:val="left" w:pos="1984"/>
        </w:tabs>
        <w:ind w:left="1984" w:hanging="708"/>
      </w:pPr>
    </w:lvl>
    <w:lvl w:ilvl="4" w:tentative="0">
      <w:start w:val="1"/>
      <w:numFmt w:val="decimal"/>
      <w:lvlText w:val="%1.%2.%3.%4.%5"/>
      <w:lvlJc w:val="left"/>
      <w:pPr>
        <w:tabs>
          <w:tab w:val="left" w:pos="2551"/>
        </w:tabs>
        <w:ind w:left="2551" w:hanging="850"/>
      </w:pPr>
    </w:lvl>
    <w:lvl w:ilvl="5" w:tentative="0">
      <w:start w:val="1"/>
      <w:numFmt w:val="decimal"/>
      <w:lvlText w:val="%1.%2.%3.%4.%5.%6"/>
      <w:lvlJc w:val="left"/>
      <w:pPr>
        <w:tabs>
          <w:tab w:val="left" w:pos="3260"/>
        </w:tabs>
        <w:ind w:left="3260" w:hanging="1134"/>
      </w:pPr>
    </w:lvl>
    <w:lvl w:ilvl="6" w:tentative="0">
      <w:start w:val="1"/>
      <w:numFmt w:val="decimal"/>
      <w:lvlText w:val="%1.%2.%3.%4.%5.%6.%7"/>
      <w:lvlJc w:val="left"/>
      <w:pPr>
        <w:tabs>
          <w:tab w:val="left" w:pos="3827"/>
        </w:tabs>
        <w:ind w:left="3827" w:hanging="1276"/>
      </w:pPr>
    </w:lvl>
    <w:lvl w:ilvl="7" w:tentative="0">
      <w:start w:val="1"/>
      <w:numFmt w:val="decimal"/>
      <w:lvlText w:val="%1.%2.%3.%4.%5.%6.%7.%8"/>
      <w:lvlJc w:val="left"/>
      <w:pPr>
        <w:tabs>
          <w:tab w:val="left" w:pos="4394"/>
        </w:tabs>
        <w:ind w:left="4394" w:hanging="1418"/>
      </w:pPr>
    </w:lvl>
    <w:lvl w:ilvl="8" w:tentative="0">
      <w:start w:val="1"/>
      <w:numFmt w:val="decimal"/>
      <w:lvlText w:val="%1.%2.%3.%4.%5.%6.%7.%8.%9"/>
      <w:lvlJc w:val="left"/>
      <w:pPr>
        <w:tabs>
          <w:tab w:val="left" w:pos="5102"/>
        </w:tabs>
        <w:ind w:left="5102" w:hanging="1700"/>
      </w:pPr>
    </w:lvl>
  </w:abstractNum>
  <w:abstractNum w:abstractNumId="22">
    <w:nsid w:val="654A26C9"/>
    <w:multiLevelType w:val="multilevel"/>
    <w:tmpl w:val="654A26C9"/>
    <w:lvl w:ilvl="0" w:tentative="0">
      <w:start w:val="1"/>
      <w:numFmt w:val="none"/>
      <w:pStyle w:val="189"/>
      <w:lvlText w:val="──"/>
      <w:lvlJc w:val="left"/>
      <w:pPr>
        <w:ind w:left="851" w:firstLine="0"/>
      </w:pPr>
      <w:rPr>
        <w:rFonts w:hint="eastAsia" w:ascii="宋体" w:eastAsia="宋体" w:hAnsiTheme="majorHAnsi"/>
        <w:b w:val="0"/>
        <w:i w:val="0"/>
        <w:sz w:val="21"/>
      </w:rPr>
    </w:lvl>
    <w:lvl w:ilvl="1" w:tentative="0">
      <w:start w:val="1"/>
      <w:numFmt w:val="bullet"/>
      <w:lvlText w:val=""/>
      <w:lvlJc w:val="left"/>
      <w:pPr>
        <w:ind w:left="1276" w:hanging="425"/>
      </w:pPr>
      <w:rPr>
        <w:rFonts w:hint="default" w:ascii="Wingdings" w:hAnsi="Wingdings"/>
      </w:rPr>
    </w:lvl>
    <w:lvl w:ilvl="2" w:tentative="0">
      <w:start w:val="1"/>
      <w:numFmt w:val="bullet"/>
      <w:lvlText w:val=""/>
      <w:lvlJc w:val="left"/>
      <w:pPr>
        <w:ind w:left="1276" w:hanging="236"/>
      </w:pPr>
      <w:rPr>
        <w:rFonts w:hint="default" w:ascii="Wingdings" w:hAnsi="Wingdings"/>
      </w:rPr>
    </w:lvl>
    <w:lvl w:ilvl="3" w:tentative="0">
      <w:start w:val="1"/>
      <w:numFmt w:val="bullet"/>
      <w:lvlText w:val=""/>
      <w:lvlJc w:val="left"/>
      <w:pPr>
        <w:ind w:left="1880" w:hanging="420"/>
      </w:pPr>
      <w:rPr>
        <w:rFonts w:hint="default" w:ascii="Wingdings" w:hAnsi="Wingdings"/>
      </w:rPr>
    </w:lvl>
    <w:lvl w:ilvl="4" w:tentative="0">
      <w:start w:val="1"/>
      <w:numFmt w:val="bullet"/>
      <w:lvlText w:val=""/>
      <w:lvlJc w:val="left"/>
      <w:pPr>
        <w:ind w:left="2300" w:hanging="420"/>
      </w:pPr>
      <w:rPr>
        <w:rFonts w:hint="default" w:ascii="Wingdings" w:hAnsi="Wingdings"/>
      </w:rPr>
    </w:lvl>
    <w:lvl w:ilvl="5" w:tentative="0">
      <w:start w:val="1"/>
      <w:numFmt w:val="bullet"/>
      <w:lvlText w:val=""/>
      <w:lvlJc w:val="left"/>
      <w:pPr>
        <w:ind w:left="2720" w:hanging="420"/>
      </w:pPr>
      <w:rPr>
        <w:rFonts w:hint="default" w:ascii="Wingdings" w:hAnsi="Wingdings"/>
      </w:rPr>
    </w:lvl>
    <w:lvl w:ilvl="6" w:tentative="0">
      <w:start w:val="1"/>
      <w:numFmt w:val="bullet"/>
      <w:lvlText w:val=""/>
      <w:lvlJc w:val="left"/>
      <w:pPr>
        <w:ind w:left="3140" w:hanging="420"/>
      </w:pPr>
      <w:rPr>
        <w:rFonts w:hint="default" w:ascii="Wingdings" w:hAnsi="Wingdings"/>
      </w:rPr>
    </w:lvl>
    <w:lvl w:ilvl="7" w:tentative="0">
      <w:start w:val="1"/>
      <w:numFmt w:val="bullet"/>
      <w:lvlText w:val=""/>
      <w:lvlJc w:val="left"/>
      <w:pPr>
        <w:ind w:left="3560" w:hanging="420"/>
      </w:pPr>
      <w:rPr>
        <w:rFonts w:hint="default" w:ascii="Wingdings" w:hAnsi="Wingdings"/>
      </w:rPr>
    </w:lvl>
    <w:lvl w:ilvl="8" w:tentative="0">
      <w:start w:val="1"/>
      <w:numFmt w:val="bullet"/>
      <w:lvlText w:val=""/>
      <w:lvlJc w:val="left"/>
      <w:pPr>
        <w:ind w:left="3980" w:hanging="420"/>
      </w:pPr>
      <w:rPr>
        <w:rFonts w:hint="default" w:ascii="Wingdings" w:hAnsi="Wingdings"/>
      </w:rPr>
    </w:lvl>
  </w:abstractNum>
  <w:abstractNum w:abstractNumId="23">
    <w:nsid w:val="657D3FBC"/>
    <w:multiLevelType w:val="multilevel"/>
    <w:tmpl w:val="657D3FBC"/>
    <w:lvl w:ilvl="0" w:tentative="0">
      <w:start w:val="1"/>
      <w:numFmt w:val="upperLetter"/>
      <w:pStyle w:val="76"/>
      <w:suff w:val="nothing"/>
      <w:lvlText w:val="附录%1"/>
      <w:lvlJc w:val="left"/>
      <w:pPr>
        <w:ind w:left="0" w:firstLine="0"/>
      </w:pPr>
      <w:rPr>
        <w:rFonts w:hint="eastAsia"/>
        <w:spacing w:val="100"/>
      </w:rPr>
    </w:lvl>
    <w:lvl w:ilvl="1" w:tentative="0">
      <w:start w:val="1"/>
      <w:numFmt w:val="decimal"/>
      <w:pStyle w:val="78"/>
      <w:suff w:val="nothing"/>
      <w:lvlText w:val="%1.%2　"/>
      <w:lvlJc w:val="left"/>
      <w:pPr>
        <w:ind w:left="0" w:firstLine="0"/>
      </w:pPr>
      <w:rPr>
        <w:rFonts w:hint="eastAsia" w:ascii="黑体" w:eastAsia="黑体"/>
        <w:b w:val="0"/>
        <w:i w:val="0"/>
        <w:sz w:val="21"/>
      </w:rPr>
    </w:lvl>
    <w:lvl w:ilvl="2" w:tentative="0">
      <w:start w:val="1"/>
      <w:numFmt w:val="decimal"/>
      <w:pStyle w:val="79"/>
      <w:suff w:val="nothing"/>
      <w:lvlText w:val="%1.%2.%3　"/>
      <w:lvlJc w:val="left"/>
      <w:pPr>
        <w:ind w:left="0" w:firstLine="0"/>
      </w:pPr>
      <w:rPr>
        <w:rFonts w:hint="eastAsia" w:ascii="黑体" w:eastAsia="黑体"/>
        <w:b w:val="0"/>
        <w:i w:val="0"/>
        <w:sz w:val="21"/>
      </w:rPr>
    </w:lvl>
    <w:lvl w:ilvl="3" w:tentative="0">
      <w:start w:val="1"/>
      <w:numFmt w:val="decimal"/>
      <w:pStyle w:val="81"/>
      <w:suff w:val="nothing"/>
      <w:lvlText w:val="%1.%2.%3.%4　"/>
      <w:lvlJc w:val="left"/>
      <w:pPr>
        <w:ind w:left="0" w:firstLine="0"/>
      </w:pPr>
      <w:rPr>
        <w:rFonts w:hint="eastAsia" w:ascii="黑体" w:eastAsia="黑体"/>
        <w:b w:val="0"/>
        <w:i w:val="0"/>
        <w:sz w:val="21"/>
      </w:rPr>
    </w:lvl>
    <w:lvl w:ilvl="4" w:tentative="0">
      <w:start w:val="1"/>
      <w:numFmt w:val="decimal"/>
      <w:pStyle w:val="82"/>
      <w:suff w:val="nothing"/>
      <w:lvlText w:val="%1.%2.%3.%4.%5　"/>
      <w:lvlJc w:val="left"/>
      <w:pPr>
        <w:ind w:left="0" w:firstLine="0"/>
      </w:pPr>
      <w:rPr>
        <w:rFonts w:hint="eastAsia" w:ascii="黑体" w:eastAsia="黑体"/>
        <w:b w:val="0"/>
        <w:i w:val="0"/>
        <w:sz w:val="21"/>
      </w:rPr>
    </w:lvl>
    <w:lvl w:ilvl="5" w:tentative="0">
      <w:start w:val="1"/>
      <w:numFmt w:val="decimal"/>
      <w:pStyle w:val="84"/>
      <w:suff w:val="nothing"/>
      <w:lvlText w:val="%1.%2.%3.%4.%5.%6　"/>
      <w:lvlJc w:val="left"/>
      <w:pPr>
        <w:ind w:left="0" w:firstLine="0"/>
      </w:pPr>
      <w:rPr>
        <w:rFonts w:hint="eastAsia" w:ascii="黑体" w:eastAsia="黑体"/>
        <w:b w:val="0"/>
        <w:i w:val="0"/>
        <w:sz w:val="21"/>
      </w:rPr>
    </w:lvl>
    <w:lvl w:ilvl="6" w:tentative="0">
      <w:start w:val="1"/>
      <w:numFmt w:val="decimal"/>
      <w:suff w:val="nothing"/>
      <w:lvlText w:val="%1.%2.%3.%4.%5.%6.%7　"/>
      <w:lvlJc w:val="left"/>
      <w:pPr>
        <w:ind w:left="0" w:firstLine="0"/>
      </w:pPr>
      <w:rPr>
        <w:rFonts w:hint="eastAsia"/>
      </w:rPr>
    </w:lvl>
    <w:lvl w:ilvl="7" w:tentative="0">
      <w:start w:val="1"/>
      <w:numFmt w:val="decimal"/>
      <w:lvlText w:val="%1.%2.%3.%4.%5.%6.%7.%8"/>
      <w:lvlJc w:val="left"/>
      <w:pPr>
        <w:tabs>
          <w:tab w:val="left" w:pos="4394"/>
        </w:tabs>
        <w:ind w:left="4394" w:hanging="1418"/>
      </w:pPr>
      <w:rPr>
        <w:rFonts w:hint="eastAsia"/>
      </w:rPr>
    </w:lvl>
    <w:lvl w:ilvl="8" w:tentative="0">
      <w:start w:val="1"/>
      <w:numFmt w:val="decimal"/>
      <w:lvlText w:val="%1.%2.%3.%4.%5.%6.%7.%8.%9"/>
      <w:lvlJc w:val="left"/>
      <w:pPr>
        <w:tabs>
          <w:tab w:val="left" w:pos="5102"/>
        </w:tabs>
        <w:ind w:left="5102" w:hanging="1700"/>
      </w:pPr>
      <w:rPr>
        <w:rFonts w:hint="eastAsia"/>
      </w:rPr>
    </w:lvl>
  </w:abstractNum>
  <w:abstractNum w:abstractNumId="24">
    <w:nsid w:val="69506ABF"/>
    <w:multiLevelType w:val="multilevel"/>
    <w:tmpl w:val="69506ABF"/>
    <w:lvl w:ilvl="0" w:tentative="0">
      <w:start w:val="1"/>
      <w:numFmt w:val="bullet"/>
      <w:pStyle w:val="188"/>
      <w:lvlText w:val=""/>
      <w:lvlJc w:val="left"/>
      <w:pPr>
        <w:ind w:left="851" w:firstLine="0"/>
      </w:pPr>
      <w:rPr>
        <w:rFonts w:hint="default" w:ascii="Wingdings" w:hAnsi="Wingdings"/>
        <w:color w:val="auto"/>
      </w:rPr>
    </w:lvl>
    <w:lvl w:ilvl="1" w:tentative="0">
      <w:start w:val="1"/>
      <w:numFmt w:val="lowerLetter"/>
      <w:lvlText w:val="%2)"/>
      <w:lvlJc w:val="left"/>
      <w:pPr>
        <w:ind w:left="1040" w:hanging="420"/>
      </w:pPr>
      <w:rPr>
        <w:rFonts w:hint="eastAsia"/>
      </w:rPr>
    </w:lvl>
    <w:lvl w:ilvl="2" w:tentative="0">
      <w:start w:val="1"/>
      <w:numFmt w:val="lowerRoman"/>
      <w:lvlText w:val="%3."/>
      <w:lvlJc w:val="right"/>
      <w:pPr>
        <w:ind w:left="1460" w:hanging="420"/>
      </w:pPr>
      <w:rPr>
        <w:rFonts w:hint="eastAsia"/>
      </w:rPr>
    </w:lvl>
    <w:lvl w:ilvl="3" w:tentative="0">
      <w:start w:val="1"/>
      <w:numFmt w:val="decimal"/>
      <w:lvlText w:val="%4."/>
      <w:lvlJc w:val="left"/>
      <w:pPr>
        <w:ind w:left="1880" w:hanging="420"/>
      </w:pPr>
      <w:rPr>
        <w:rFonts w:hint="eastAsia"/>
      </w:rPr>
    </w:lvl>
    <w:lvl w:ilvl="4" w:tentative="0">
      <w:start w:val="1"/>
      <w:numFmt w:val="lowerLetter"/>
      <w:lvlText w:val="%5)"/>
      <w:lvlJc w:val="left"/>
      <w:pPr>
        <w:ind w:left="2300" w:hanging="420"/>
      </w:pPr>
      <w:rPr>
        <w:rFonts w:hint="eastAsia"/>
      </w:rPr>
    </w:lvl>
    <w:lvl w:ilvl="5" w:tentative="0">
      <w:start w:val="1"/>
      <w:numFmt w:val="lowerRoman"/>
      <w:lvlText w:val="%6."/>
      <w:lvlJc w:val="right"/>
      <w:pPr>
        <w:ind w:left="2720" w:hanging="420"/>
      </w:pPr>
      <w:rPr>
        <w:rFonts w:hint="eastAsia"/>
      </w:rPr>
    </w:lvl>
    <w:lvl w:ilvl="6" w:tentative="0">
      <w:start w:val="1"/>
      <w:numFmt w:val="decimal"/>
      <w:lvlText w:val="%7."/>
      <w:lvlJc w:val="left"/>
      <w:pPr>
        <w:ind w:left="3140" w:hanging="420"/>
      </w:pPr>
      <w:rPr>
        <w:rFonts w:hint="eastAsia"/>
      </w:rPr>
    </w:lvl>
    <w:lvl w:ilvl="7" w:tentative="0">
      <w:start w:val="1"/>
      <w:numFmt w:val="lowerLetter"/>
      <w:lvlText w:val="%8)"/>
      <w:lvlJc w:val="left"/>
      <w:pPr>
        <w:ind w:left="3560" w:hanging="420"/>
      </w:pPr>
      <w:rPr>
        <w:rFonts w:hint="eastAsia"/>
      </w:rPr>
    </w:lvl>
    <w:lvl w:ilvl="8" w:tentative="0">
      <w:start w:val="1"/>
      <w:numFmt w:val="lowerRoman"/>
      <w:lvlText w:val="%9."/>
      <w:lvlJc w:val="right"/>
      <w:pPr>
        <w:ind w:left="3980" w:hanging="420"/>
      </w:pPr>
      <w:rPr>
        <w:rFonts w:hint="eastAsia"/>
      </w:rPr>
    </w:lvl>
  </w:abstractNum>
  <w:abstractNum w:abstractNumId="25">
    <w:nsid w:val="6CA41985"/>
    <w:multiLevelType w:val="multilevel"/>
    <w:tmpl w:val="6CA41985"/>
    <w:lvl w:ilvl="0" w:tentative="0">
      <w:start w:val="1"/>
      <w:numFmt w:val="decimal"/>
      <w:pStyle w:val="97"/>
      <w:lvlText w:val="%1)"/>
      <w:lvlJc w:val="left"/>
      <w:pPr>
        <w:tabs>
          <w:tab w:val="left" w:pos="823"/>
        </w:tabs>
        <w:ind w:left="823" w:hanging="420"/>
      </w:p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26">
    <w:nsid w:val="6CE42AC1"/>
    <w:multiLevelType w:val="multilevel"/>
    <w:tmpl w:val="6CE42AC1"/>
    <w:lvl w:ilvl="0" w:tentative="0">
      <w:start w:val="1"/>
      <w:numFmt w:val="lowerLetter"/>
      <w:pStyle w:val="173"/>
      <w:lvlText w:val="%1"/>
      <w:lvlJc w:val="left"/>
      <w:pPr>
        <w:ind w:left="420" w:hanging="420"/>
      </w:p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27">
    <w:nsid w:val="6CEA2025"/>
    <w:multiLevelType w:val="multilevel"/>
    <w:tmpl w:val="6CEA2025"/>
    <w:lvl w:ilvl="0" w:tentative="0">
      <w:start w:val="1"/>
      <w:numFmt w:val="none"/>
      <w:pStyle w:val="152"/>
      <w:suff w:val="nothing"/>
      <w:lvlText w:val="%1"/>
      <w:lvlJc w:val="left"/>
      <w:pPr>
        <w:ind w:left="0" w:firstLine="0"/>
      </w:pPr>
      <w:rPr>
        <w:rFonts w:hint="eastAsia"/>
      </w:rPr>
    </w:lvl>
    <w:lvl w:ilvl="1" w:tentative="0">
      <w:start w:val="1"/>
      <w:numFmt w:val="decimal"/>
      <w:pStyle w:val="104"/>
      <w:suff w:val="nothing"/>
      <w:lvlText w:val="%1%2　"/>
      <w:lvlJc w:val="left"/>
      <w:pPr>
        <w:ind w:left="0" w:firstLine="0"/>
      </w:pPr>
      <w:rPr>
        <w:rFonts w:hint="eastAsia" w:ascii="黑体" w:eastAsia="黑体"/>
        <w:b w:val="0"/>
        <w:i w:val="0"/>
        <w:sz w:val="21"/>
      </w:rPr>
    </w:lvl>
    <w:lvl w:ilvl="2" w:tentative="0">
      <w:start w:val="1"/>
      <w:numFmt w:val="decimal"/>
      <w:pStyle w:val="105"/>
      <w:suff w:val="nothing"/>
      <w:lvlText w:val="%1%2.%3　"/>
      <w:lvlJc w:val="left"/>
      <w:pPr>
        <w:ind w:left="0" w:firstLine="0"/>
      </w:pPr>
      <w:rPr>
        <w:rFonts w:hint="eastAsia" w:ascii="黑体" w:hAnsi="Times New Roman" w:eastAsia="黑体" w:cs="Times New Roman"/>
        <w:b w:val="0"/>
        <w:bCs w:val="0"/>
        <w:i w:val="0"/>
        <w:iCs w:val="0"/>
        <w:caps w:val="0"/>
        <w:smallCaps w:val="0"/>
        <w:strike w:val="0"/>
        <w:dstrike w:val="0"/>
        <w:vanish w:val="0"/>
        <w:color w:val="000000"/>
        <w:spacing w:val="0"/>
        <w:kern w:val="0"/>
        <w:position w:val="0"/>
        <w:sz w:val="21"/>
        <w:u w:val="none"/>
        <w:vertAlign w:val="baseline"/>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props3d w14:extrusionH="0" w14:contourW="0" w14:prstMaterial="none"/>
        <w14:scene3d>
          <w14:lightRig w14:rig="threePt" w14:dir="t">
            <w14:rot w14:lat="0" w14:lon="0" w14:rev="0"/>
          </w14:lightRig>
        </w14:scene3d>
        <w14:ligatures w14:val="none"/>
        <w14:numForm w14:val="default"/>
        <w14:numSpacing w14:val="default"/>
      </w:rPr>
    </w:lvl>
    <w:lvl w:ilvl="3" w:tentative="0">
      <w:start w:val="1"/>
      <w:numFmt w:val="decimal"/>
      <w:pStyle w:val="65"/>
      <w:suff w:val="nothing"/>
      <w:lvlText w:val="%1%2.%3.%4　"/>
      <w:lvlJc w:val="left"/>
      <w:pPr>
        <w:ind w:left="851" w:firstLine="0"/>
      </w:pPr>
      <w:rPr>
        <w:rFonts w:hint="eastAsia" w:ascii="黑体" w:eastAsia="黑体"/>
        <w:b w:val="0"/>
        <w:i w:val="0"/>
        <w:strike w:val="0"/>
        <w:sz w:val="21"/>
      </w:rPr>
    </w:lvl>
    <w:lvl w:ilvl="4" w:tentative="0">
      <w:start w:val="1"/>
      <w:numFmt w:val="decimal"/>
      <w:pStyle w:val="94"/>
      <w:suff w:val="nothing"/>
      <w:lvlText w:val="%1%2.%3.%4.%5　"/>
      <w:lvlJc w:val="left"/>
      <w:pPr>
        <w:ind w:left="0" w:firstLine="0"/>
      </w:pPr>
      <w:rPr>
        <w:rFonts w:hint="eastAsia" w:ascii="黑体" w:eastAsia="黑体"/>
        <w:b w:val="0"/>
        <w:i w:val="0"/>
        <w:sz w:val="21"/>
      </w:rPr>
    </w:lvl>
    <w:lvl w:ilvl="5" w:tentative="0">
      <w:start w:val="1"/>
      <w:numFmt w:val="decimal"/>
      <w:pStyle w:val="98"/>
      <w:suff w:val="nothing"/>
      <w:lvlText w:val="%1%2.%3.%4.%5.%6　"/>
      <w:lvlJc w:val="left"/>
      <w:pPr>
        <w:ind w:left="0" w:firstLine="0"/>
      </w:pPr>
      <w:rPr>
        <w:rFonts w:hint="eastAsia" w:ascii="黑体" w:eastAsia="黑体"/>
        <w:b w:val="0"/>
        <w:i w:val="0"/>
        <w:sz w:val="21"/>
      </w:rPr>
    </w:lvl>
    <w:lvl w:ilvl="6" w:tentative="0">
      <w:start w:val="1"/>
      <w:numFmt w:val="decimal"/>
      <w:pStyle w:val="103"/>
      <w:suff w:val="nothing"/>
      <w:lvlText w:val="%1%2.%3.%4.%5.%6.%7　"/>
      <w:lvlJc w:val="left"/>
      <w:pPr>
        <w:ind w:left="0" w:firstLine="0"/>
      </w:pPr>
      <w:rPr>
        <w:rFonts w:hint="eastAsia" w:ascii="黑体" w:eastAsia="黑体"/>
        <w:b w:val="0"/>
        <w:i w:val="0"/>
        <w:sz w:val="21"/>
      </w:rPr>
    </w:lvl>
    <w:lvl w:ilvl="7" w:tentative="0">
      <w:start w:val="1"/>
      <w:numFmt w:val="decimal"/>
      <w:lvlText w:val="%1.%2.%3.%4.%5.%6.%7.%8"/>
      <w:lvlJc w:val="left"/>
      <w:pPr>
        <w:tabs>
          <w:tab w:val="left" w:pos="4351"/>
        </w:tabs>
        <w:ind w:left="3969" w:hanging="1418"/>
      </w:pPr>
      <w:rPr>
        <w:rFonts w:hint="eastAsia"/>
      </w:rPr>
    </w:lvl>
    <w:lvl w:ilvl="8" w:tentative="0">
      <w:start w:val="1"/>
      <w:numFmt w:val="decimal"/>
      <w:lvlText w:val="%1.%2.%3.%4.%5.%6.%7.%8.%9"/>
      <w:lvlJc w:val="left"/>
      <w:pPr>
        <w:tabs>
          <w:tab w:val="left" w:pos="4777"/>
        </w:tabs>
        <w:ind w:left="4677" w:hanging="1700"/>
      </w:pPr>
      <w:rPr>
        <w:rFonts w:hint="eastAsia"/>
      </w:rPr>
    </w:lvl>
  </w:abstractNum>
  <w:abstractNum w:abstractNumId="28">
    <w:nsid w:val="6DBF04F4"/>
    <w:multiLevelType w:val="multilevel"/>
    <w:tmpl w:val="6DBF04F4"/>
    <w:lvl w:ilvl="0" w:tentative="0">
      <w:start w:val="1"/>
      <w:numFmt w:val="none"/>
      <w:pStyle w:val="179"/>
      <w:lvlText w:val="%1注："/>
      <w:lvlJc w:val="left"/>
      <w:pPr>
        <w:ind w:left="737" w:hanging="374"/>
      </w:pPr>
      <w:rPr>
        <w:rFonts w:hint="eastAsia" w:ascii="黑体" w:eastAsia="黑体"/>
        <w:b w:val="0"/>
        <w:i w:val="0"/>
        <w:sz w:val="18"/>
      </w:rPr>
    </w:lvl>
    <w:lvl w:ilvl="1" w:tentative="0">
      <w:start w:val="1"/>
      <w:numFmt w:val="lowerLetter"/>
      <w:lvlText w:val="%2)"/>
      <w:lvlJc w:val="left"/>
      <w:pPr>
        <w:tabs>
          <w:tab w:val="left" w:pos="1140"/>
        </w:tabs>
        <w:ind w:left="726" w:hanging="363"/>
      </w:pPr>
      <w:rPr>
        <w:rFonts w:hint="eastAsia"/>
      </w:rPr>
    </w:lvl>
    <w:lvl w:ilvl="2" w:tentative="0">
      <w:start w:val="1"/>
      <w:numFmt w:val="lowerRoman"/>
      <w:lvlText w:val="%3."/>
      <w:lvlJc w:val="right"/>
      <w:pPr>
        <w:tabs>
          <w:tab w:val="left" w:pos="1140"/>
        </w:tabs>
        <w:ind w:left="726" w:hanging="363"/>
      </w:pPr>
      <w:rPr>
        <w:rFonts w:hint="eastAsia"/>
      </w:rPr>
    </w:lvl>
    <w:lvl w:ilvl="3" w:tentative="0">
      <w:start w:val="1"/>
      <w:numFmt w:val="decimal"/>
      <w:lvlText w:val="%4."/>
      <w:lvlJc w:val="left"/>
      <w:pPr>
        <w:tabs>
          <w:tab w:val="left" w:pos="1140"/>
        </w:tabs>
        <w:ind w:left="726" w:hanging="363"/>
      </w:pPr>
      <w:rPr>
        <w:rFonts w:hint="eastAsia"/>
      </w:rPr>
    </w:lvl>
    <w:lvl w:ilvl="4" w:tentative="0">
      <w:start w:val="1"/>
      <w:numFmt w:val="lowerLetter"/>
      <w:lvlText w:val="%5)"/>
      <w:lvlJc w:val="left"/>
      <w:pPr>
        <w:tabs>
          <w:tab w:val="left" w:pos="1140"/>
        </w:tabs>
        <w:ind w:left="726" w:hanging="363"/>
      </w:pPr>
      <w:rPr>
        <w:rFonts w:hint="eastAsia"/>
      </w:rPr>
    </w:lvl>
    <w:lvl w:ilvl="5" w:tentative="0">
      <w:start w:val="1"/>
      <w:numFmt w:val="lowerRoman"/>
      <w:lvlText w:val="%6."/>
      <w:lvlJc w:val="right"/>
      <w:pPr>
        <w:tabs>
          <w:tab w:val="left" w:pos="1140"/>
        </w:tabs>
        <w:ind w:left="726" w:hanging="363"/>
      </w:pPr>
      <w:rPr>
        <w:rFonts w:hint="eastAsia"/>
      </w:rPr>
    </w:lvl>
    <w:lvl w:ilvl="6" w:tentative="0">
      <w:start w:val="1"/>
      <w:numFmt w:val="decimal"/>
      <w:lvlText w:val="%7."/>
      <w:lvlJc w:val="left"/>
      <w:pPr>
        <w:tabs>
          <w:tab w:val="left" w:pos="1140"/>
        </w:tabs>
        <w:ind w:left="726" w:hanging="363"/>
      </w:pPr>
      <w:rPr>
        <w:rFonts w:hint="eastAsia"/>
      </w:rPr>
    </w:lvl>
    <w:lvl w:ilvl="7" w:tentative="0">
      <w:start w:val="1"/>
      <w:numFmt w:val="lowerLetter"/>
      <w:lvlText w:val="%8)"/>
      <w:lvlJc w:val="left"/>
      <w:pPr>
        <w:tabs>
          <w:tab w:val="left" w:pos="1140"/>
        </w:tabs>
        <w:ind w:left="726" w:hanging="363"/>
      </w:pPr>
      <w:rPr>
        <w:rFonts w:hint="eastAsia"/>
      </w:rPr>
    </w:lvl>
    <w:lvl w:ilvl="8" w:tentative="0">
      <w:start w:val="1"/>
      <w:numFmt w:val="lowerRoman"/>
      <w:lvlText w:val="%9."/>
      <w:lvlJc w:val="right"/>
      <w:pPr>
        <w:tabs>
          <w:tab w:val="left" w:pos="1140"/>
        </w:tabs>
        <w:ind w:left="726" w:hanging="363"/>
      </w:pPr>
      <w:rPr>
        <w:rFonts w:hint="eastAsia"/>
      </w:rPr>
    </w:lvl>
  </w:abstractNum>
  <w:abstractNum w:abstractNumId="29">
    <w:nsid w:val="6DF35F19"/>
    <w:multiLevelType w:val="multilevel"/>
    <w:tmpl w:val="6DF35F19"/>
    <w:lvl w:ilvl="0" w:tentative="0">
      <w:start w:val="1"/>
      <w:numFmt w:val="decimal"/>
      <w:pStyle w:val="115"/>
      <w:suff w:val="nothing"/>
      <w:lvlText w:val="Table %1　"/>
      <w:lvlJc w:val="left"/>
      <w:pPr>
        <w:ind w:left="0" w:firstLine="0"/>
      </w:pPr>
    </w:lvl>
    <w:lvl w:ilvl="1" w:tentative="0">
      <w:start w:val="1"/>
      <w:numFmt w:val="decimal"/>
      <w:suff w:val="nothing"/>
      <w:lvlText w:val="%1%2　"/>
      <w:lvlJc w:val="left"/>
      <w:pPr>
        <w:ind w:left="0" w:firstLine="0"/>
      </w:pPr>
    </w:lvl>
    <w:lvl w:ilvl="2" w:tentative="0">
      <w:start w:val="1"/>
      <w:numFmt w:val="decimal"/>
      <w:suff w:val="nothing"/>
      <w:lvlText w:val="%1%2.%3　"/>
      <w:lvlJc w:val="left"/>
      <w:pPr>
        <w:ind w:left="0" w:firstLine="0"/>
      </w:pPr>
    </w:lvl>
    <w:lvl w:ilvl="3" w:tentative="0">
      <w:start w:val="1"/>
      <w:numFmt w:val="decimal"/>
      <w:suff w:val="nothing"/>
      <w:lvlText w:val="%1%2.%3.%4　"/>
      <w:lvlJc w:val="left"/>
      <w:pPr>
        <w:ind w:left="0" w:firstLine="0"/>
      </w:pPr>
    </w:lvl>
    <w:lvl w:ilvl="4" w:tentative="0">
      <w:start w:val="1"/>
      <w:numFmt w:val="decimal"/>
      <w:suff w:val="nothing"/>
      <w:lvlText w:val="%1%2.%3.%4.%5　"/>
      <w:lvlJc w:val="left"/>
      <w:pPr>
        <w:ind w:left="0" w:firstLine="0"/>
      </w:pPr>
    </w:lvl>
    <w:lvl w:ilvl="5" w:tentative="0">
      <w:start w:val="1"/>
      <w:numFmt w:val="decimal"/>
      <w:suff w:val="nothing"/>
      <w:lvlText w:val="%1%2.%3.%4.%5.%6　"/>
      <w:lvlJc w:val="left"/>
      <w:pPr>
        <w:ind w:left="0" w:firstLine="0"/>
      </w:pPr>
    </w:lvl>
    <w:lvl w:ilvl="6" w:tentative="0">
      <w:start w:val="1"/>
      <w:numFmt w:val="decimal"/>
      <w:suff w:val="nothing"/>
      <w:lvlText w:val="%1%2.%3.%4.%5.%6.%7　"/>
      <w:lvlJc w:val="left"/>
      <w:pPr>
        <w:ind w:left="0" w:firstLine="0"/>
      </w:pPr>
    </w:lvl>
    <w:lvl w:ilvl="7" w:tentative="0">
      <w:start w:val="1"/>
      <w:numFmt w:val="decimal"/>
      <w:lvlText w:val="%1.%2.%3.%4.%5.%6.%7.%8"/>
      <w:lvlJc w:val="left"/>
      <w:pPr>
        <w:tabs>
          <w:tab w:val="left" w:pos="4348"/>
        </w:tabs>
        <w:ind w:left="3969" w:hanging="1418"/>
      </w:pPr>
    </w:lvl>
    <w:lvl w:ilvl="8" w:tentative="0">
      <w:start w:val="1"/>
      <w:numFmt w:val="decimal"/>
      <w:lvlText w:val="%1.%2.%3.%4.%5.%6.%7.%8.%9"/>
      <w:lvlJc w:val="left"/>
      <w:pPr>
        <w:tabs>
          <w:tab w:val="left" w:pos="4774"/>
        </w:tabs>
        <w:ind w:left="4677" w:hanging="1701"/>
      </w:pPr>
    </w:lvl>
  </w:abstractNum>
  <w:abstractNum w:abstractNumId="30">
    <w:nsid w:val="76933334"/>
    <w:multiLevelType w:val="multilevel"/>
    <w:tmpl w:val="76933334"/>
    <w:lvl w:ilvl="0" w:tentative="0">
      <w:start w:val="1"/>
      <w:numFmt w:val="none"/>
      <w:pStyle w:val="139"/>
      <w:lvlText w:val="%1——"/>
      <w:lvlJc w:val="left"/>
      <w:pPr>
        <w:tabs>
          <w:tab w:val="left" w:pos="330"/>
        </w:tabs>
        <w:ind w:left="948" w:hanging="420"/>
      </w:p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num w:numId="1">
    <w:abstractNumId w:val="0"/>
  </w:num>
  <w:num w:numId="2">
    <w:abstractNumId w:val="27"/>
  </w:num>
  <w:num w:numId="3">
    <w:abstractNumId w:val="5"/>
  </w:num>
  <w:num w:numId="4">
    <w:abstractNumId w:val="23"/>
  </w:num>
  <w:num w:numId="5">
    <w:abstractNumId w:val="18"/>
  </w:num>
  <w:num w:numId="6">
    <w:abstractNumId w:val="13"/>
  </w:num>
  <w:num w:numId="7">
    <w:abstractNumId w:val="8"/>
  </w:num>
  <w:num w:numId="8">
    <w:abstractNumId w:val="3"/>
  </w:num>
  <w:num w:numId="9">
    <w:abstractNumId w:val="9"/>
  </w:num>
  <w:num w:numId="10">
    <w:abstractNumId w:val="16"/>
  </w:num>
  <w:num w:numId="11">
    <w:abstractNumId w:val="25"/>
  </w:num>
  <w:num w:numId="12">
    <w:abstractNumId w:val="11"/>
  </w:num>
  <w:num w:numId="13">
    <w:abstractNumId w:val="12"/>
  </w:num>
  <w:num w:numId="14">
    <w:abstractNumId w:val="7"/>
  </w:num>
  <w:num w:numId="15">
    <w:abstractNumId w:val="19"/>
  </w:num>
  <w:num w:numId="16">
    <w:abstractNumId w:val="21"/>
  </w:num>
  <w:num w:numId="17">
    <w:abstractNumId w:val="17"/>
  </w:num>
  <w:num w:numId="18">
    <w:abstractNumId w:val="29"/>
  </w:num>
  <w:num w:numId="19">
    <w:abstractNumId w:val="15"/>
  </w:num>
  <w:num w:numId="20">
    <w:abstractNumId w:val="1"/>
  </w:num>
  <w:num w:numId="21">
    <w:abstractNumId w:val="10"/>
  </w:num>
  <w:num w:numId="22">
    <w:abstractNumId w:val="30"/>
  </w:num>
  <w:num w:numId="23">
    <w:abstractNumId w:val="20"/>
  </w:num>
  <w:num w:numId="24">
    <w:abstractNumId w:val="6"/>
  </w:num>
  <w:num w:numId="25">
    <w:abstractNumId w:val="26"/>
  </w:num>
  <w:num w:numId="26">
    <w:abstractNumId w:val="28"/>
  </w:num>
  <w:num w:numId="27">
    <w:abstractNumId w:val="2"/>
  </w:num>
  <w:num w:numId="28">
    <w:abstractNumId w:val="4"/>
  </w:num>
  <w:num w:numId="29">
    <w:abstractNumId w:val="14"/>
  </w:num>
  <w:num w:numId="30">
    <w:abstractNumId w:val="24"/>
  </w:num>
  <w:num w:numId="31">
    <w:abstractNumId w:val="22"/>
  </w:num>
  <w:num w:numId="3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1">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2">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3">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4">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5">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58"/>
  <w:bordersDoNotSurroundHeader w:val="1"/>
  <w:bordersDoNotSurroundFooter w:val="1"/>
  <w:attachedTemplate r:id="rId1"/>
  <w:documentProtection w:edit="forms" w:enforcement="0"/>
  <w:defaultTabStop w:val="420"/>
  <w:drawingGridHorizontalSpacing w:val="105"/>
  <w:drawingGridVerticalSpacing w:val="156"/>
  <w:displayHorizontalDrawingGridEvery w:val="0"/>
  <w:displayVerticalDrawingGridEvery w:val="2"/>
  <w:characterSpacingControl w:val="compressPunctuation"/>
  <w:footnotePr>
    <w:footnote w:id="2"/>
    <w:footnote w:id="3"/>
  </w:footnotePr>
  <w:endnotePr>
    <w:endnote w:id="0"/>
    <w:endnote w:id="1"/>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64542"/>
    <w:rsid w:val="0000040A"/>
    <w:rsid w:val="00000A94"/>
    <w:rsid w:val="00001972"/>
    <w:rsid w:val="00001D9A"/>
    <w:rsid w:val="00002997"/>
    <w:rsid w:val="00003A88"/>
    <w:rsid w:val="0000793A"/>
    <w:rsid w:val="00007B3A"/>
    <w:rsid w:val="000107E0"/>
    <w:rsid w:val="00011637"/>
    <w:rsid w:val="00011CEC"/>
    <w:rsid w:val="00011FDE"/>
    <w:rsid w:val="00012FFD"/>
    <w:rsid w:val="000139B6"/>
    <w:rsid w:val="00014162"/>
    <w:rsid w:val="00014340"/>
    <w:rsid w:val="00014929"/>
    <w:rsid w:val="00016A9C"/>
    <w:rsid w:val="00022184"/>
    <w:rsid w:val="00022762"/>
    <w:rsid w:val="00023839"/>
    <w:rsid w:val="000238E0"/>
    <w:rsid w:val="000249DB"/>
    <w:rsid w:val="00025372"/>
    <w:rsid w:val="0002595E"/>
    <w:rsid w:val="00030036"/>
    <w:rsid w:val="000303C3"/>
    <w:rsid w:val="00030DD0"/>
    <w:rsid w:val="00031DC8"/>
    <w:rsid w:val="000331D3"/>
    <w:rsid w:val="0003366F"/>
    <w:rsid w:val="000346A5"/>
    <w:rsid w:val="0003473F"/>
    <w:rsid w:val="000359C3"/>
    <w:rsid w:val="00035A7D"/>
    <w:rsid w:val="00035F69"/>
    <w:rsid w:val="00037DE6"/>
    <w:rsid w:val="000410E8"/>
    <w:rsid w:val="0004249A"/>
    <w:rsid w:val="00043282"/>
    <w:rsid w:val="00043809"/>
    <w:rsid w:val="00044286"/>
    <w:rsid w:val="00047F28"/>
    <w:rsid w:val="00047F8C"/>
    <w:rsid w:val="000503AA"/>
    <w:rsid w:val="000506A1"/>
    <w:rsid w:val="000515DD"/>
    <w:rsid w:val="0005265A"/>
    <w:rsid w:val="00053967"/>
    <w:rsid w:val="000539DD"/>
    <w:rsid w:val="00053BD3"/>
    <w:rsid w:val="00054EC8"/>
    <w:rsid w:val="000556ED"/>
    <w:rsid w:val="00055FE2"/>
    <w:rsid w:val="0005616F"/>
    <w:rsid w:val="00060C2E"/>
    <w:rsid w:val="00061033"/>
    <w:rsid w:val="000619E9"/>
    <w:rsid w:val="000622D4"/>
    <w:rsid w:val="0006357D"/>
    <w:rsid w:val="00067300"/>
    <w:rsid w:val="00067F1E"/>
    <w:rsid w:val="00071CC0"/>
    <w:rsid w:val="0007212C"/>
    <w:rsid w:val="00073282"/>
    <w:rsid w:val="00073C8C"/>
    <w:rsid w:val="00077B64"/>
    <w:rsid w:val="00080A1C"/>
    <w:rsid w:val="00082317"/>
    <w:rsid w:val="00083D2C"/>
    <w:rsid w:val="00084C27"/>
    <w:rsid w:val="00086AA1"/>
    <w:rsid w:val="00087A77"/>
    <w:rsid w:val="00090CA6"/>
    <w:rsid w:val="00091D13"/>
    <w:rsid w:val="00092B8A"/>
    <w:rsid w:val="00092FB0"/>
    <w:rsid w:val="000934C5"/>
    <w:rsid w:val="00093D25"/>
    <w:rsid w:val="00093DAB"/>
    <w:rsid w:val="00094D73"/>
    <w:rsid w:val="000956B4"/>
    <w:rsid w:val="000956B5"/>
    <w:rsid w:val="00096D63"/>
    <w:rsid w:val="00097420"/>
    <w:rsid w:val="000A0B60"/>
    <w:rsid w:val="000A0EB8"/>
    <w:rsid w:val="000A19FC"/>
    <w:rsid w:val="000A296B"/>
    <w:rsid w:val="000A4584"/>
    <w:rsid w:val="000A7311"/>
    <w:rsid w:val="000B0452"/>
    <w:rsid w:val="000B060F"/>
    <w:rsid w:val="000B0EDF"/>
    <w:rsid w:val="000B1592"/>
    <w:rsid w:val="000B1FF2"/>
    <w:rsid w:val="000B3CDA"/>
    <w:rsid w:val="000B53C8"/>
    <w:rsid w:val="000B59BC"/>
    <w:rsid w:val="000B6A0B"/>
    <w:rsid w:val="000C0F6C"/>
    <w:rsid w:val="000C11DB"/>
    <w:rsid w:val="000C1492"/>
    <w:rsid w:val="000C181D"/>
    <w:rsid w:val="000C2FBD"/>
    <w:rsid w:val="000C3191"/>
    <w:rsid w:val="000C4B41"/>
    <w:rsid w:val="000C57D6"/>
    <w:rsid w:val="000C641A"/>
    <w:rsid w:val="000C69C3"/>
    <w:rsid w:val="000C6AA0"/>
    <w:rsid w:val="000C7666"/>
    <w:rsid w:val="000D09A4"/>
    <w:rsid w:val="000D0A9C"/>
    <w:rsid w:val="000D1795"/>
    <w:rsid w:val="000D2F41"/>
    <w:rsid w:val="000D329A"/>
    <w:rsid w:val="000D370C"/>
    <w:rsid w:val="000D4B9C"/>
    <w:rsid w:val="000D4EB6"/>
    <w:rsid w:val="000D5A3D"/>
    <w:rsid w:val="000D6555"/>
    <w:rsid w:val="000D753B"/>
    <w:rsid w:val="000E0A01"/>
    <w:rsid w:val="000E10C3"/>
    <w:rsid w:val="000E4C9E"/>
    <w:rsid w:val="000E5B35"/>
    <w:rsid w:val="000E5F82"/>
    <w:rsid w:val="000E6FD7"/>
    <w:rsid w:val="000F06E1"/>
    <w:rsid w:val="000F0E3C"/>
    <w:rsid w:val="000F19D5"/>
    <w:rsid w:val="000F1CB2"/>
    <w:rsid w:val="000F38CD"/>
    <w:rsid w:val="000F4AEA"/>
    <w:rsid w:val="000F65C7"/>
    <w:rsid w:val="000F67E9"/>
    <w:rsid w:val="000F7377"/>
    <w:rsid w:val="001002FA"/>
    <w:rsid w:val="00103FCB"/>
    <w:rsid w:val="00104926"/>
    <w:rsid w:val="0010625B"/>
    <w:rsid w:val="00107445"/>
    <w:rsid w:val="00107C9E"/>
    <w:rsid w:val="0011136B"/>
    <w:rsid w:val="00113B1E"/>
    <w:rsid w:val="001142AA"/>
    <w:rsid w:val="001152C6"/>
    <w:rsid w:val="0011711C"/>
    <w:rsid w:val="001214F3"/>
    <w:rsid w:val="00121D80"/>
    <w:rsid w:val="00123D16"/>
    <w:rsid w:val="00124208"/>
    <w:rsid w:val="00124737"/>
    <w:rsid w:val="00124E4F"/>
    <w:rsid w:val="001260B7"/>
    <w:rsid w:val="001265CB"/>
    <w:rsid w:val="00126AC3"/>
    <w:rsid w:val="00127D85"/>
    <w:rsid w:val="001307C6"/>
    <w:rsid w:val="00130F91"/>
    <w:rsid w:val="001321C6"/>
    <w:rsid w:val="001325C4"/>
    <w:rsid w:val="00133010"/>
    <w:rsid w:val="001338EE"/>
    <w:rsid w:val="00133AAE"/>
    <w:rsid w:val="001348CE"/>
    <w:rsid w:val="001350F3"/>
    <w:rsid w:val="00135323"/>
    <w:rsid w:val="001356C4"/>
    <w:rsid w:val="0013775D"/>
    <w:rsid w:val="00137B0D"/>
    <w:rsid w:val="00140C0E"/>
    <w:rsid w:val="00141114"/>
    <w:rsid w:val="00141D74"/>
    <w:rsid w:val="00142969"/>
    <w:rsid w:val="001457E7"/>
    <w:rsid w:val="00145D9D"/>
    <w:rsid w:val="00146388"/>
    <w:rsid w:val="001471BC"/>
    <w:rsid w:val="001529E5"/>
    <w:rsid w:val="00153C7E"/>
    <w:rsid w:val="00156B25"/>
    <w:rsid w:val="00156E1A"/>
    <w:rsid w:val="00157729"/>
    <w:rsid w:val="001579FD"/>
    <w:rsid w:val="00157B55"/>
    <w:rsid w:val="0016048F"/>
    <w:rsid w:val="00162C2C"/>
    <w:rsid w:val="00162D8A"/>
    <w:rsid w:val="001642FA"/>
    <w:rsid w:val="001649EB"/>
    <w:rsid w:val="00164BAF"/>
    <w:rsid w:val="00164FA8"/>
    <w:rsid w:val="00165065"/>
    <w:rsid w:val="00165434"/>
    <w:rsid w:val="0016580B"/>
    <w:rsid w:val="00165A6A"/>
    <w:rsid w:val="00165F49"/>
    <w:rsid w:val="00166B88"/>
    <w:rsid w:val="0016770A"/>
    <w:rsid w:val="00170804"/>
    <w:rsid w:val="001708E9"/>
    <w:rsid w:val="0017340B"/>
    <w:rsid w:val="00173FB1"/>
    <w:rsid w:val="001753D7"/>
    <w:rsid w:val="0017634D"/>
    <w:rsid w:val="00176DFD"/>
    <w:rsid w:val="001852C9"/>
    <w:rsid w:val="00190087"/>
    <w:rsid w:val="001913C4"/>
    <w:rsid w:val="00192296"/>
    <w:rsid w:val="00192320"/>
    <w:rsid w:val="0019348F"/>
    <w:rsid w:val="00193A07"/>
    <w:rsid w:val="00193D4F"/>
    <w:rsid w:val="00194C95"/>
    <w:rsid w:val="00195C34"/>
    <w:rsid w:val="001A1A53"/>
    <w:rsid w:val="001A234A"/>
    <w:rsid w:val="001A6141"/>
    <w:rsid w:val="001A71CB"/>
    <w:rsid w:val="001B06E8"/>
    <w:rsid w:val="001B193E"/>
    <w:rsid w:val="001B22BA"/>
    <w:rsid w:val="001B27C8"/>
    <w:rsid w:val="001B3939"/>
    <w:rsid w:val="001B71D0"/>
    <w:rsid w:val="001B71EE"/>
    <w:rsid w:val="001B7601"/>
    <w:rsid w:val="001C04A8"/>
    <w:rsid w:val="001C2C03"/>
    <w:rsid w:val="001C3FBF"/>
    <w:rsid w:val="001C3FFF"/>
    <w:rsid w:val="001C42F7"/>
    <w:rsid w:val="001C49E5"/>
    <w:rsid w:val="001C680C"/>
    <w:rsid w:val="001C7FEA"/>
    <w:rsid w:val="001D0499"/>
    <w:rsid w:val="001D064F"/>
    <w:rsid w:val="001D0BBE"/>
    <w:rsid w:val="001D0ED4"/>
    <w:rsid w:val="001D1811"/>
    <w:rsid w:val="001D212F"/>
    <w:rsid w:val="001D29D7"/>
    <w:rsid w:val="001D2DE7"/>
    <w:rsid w:val="001D411C"/>
    <w:rsid w:val="001D6A90"/>
    <w:rsid w:val="001E0E8B"/>
    <w:rsid w:val="001E1B6A"/>
    <w:rsid w:val="001E2484"/>
    <w:rsid w:val="001E3CC4"/>
    <w:rsid w:val="001E40CF"/>
    <w:rsid w:val="001E4882"/>
    <w:rsid w:val="001E4A78"/>
    <w:rsid w:val="001E7095"/>
    <w:rsid w:val="001E73AB"/>
    <w:rsid w:val="001F092D"/>
    <w:rsid w:val="001F143A"/>
    <w:rsid w:val="001F1605"/>
    <w:rsid w:val="001F2508"/>
    <w:rsid w:val="001F2E23"/>
    <w:rsid w:val="001F3DB4"/>
    <w:rsid w:val="001F47A3"/>
    <w:rsid w:val="001F47E0"/>
    <w:rsid w:val="001F4816"/>
    <w:rsid w:val="001F69B4"/>
    <w:rsid w:val="001F77C7"/>
    <w:rsid w:val="00200183"/>
    <w:rsid w:val="00200A06"/>
    <w:rsid w:val="0020107D"/>
    <w:rsid w:val="00202AA4"/>
    <w:rsid w:val="002031F7"/>
    <w:rsid w:val="002040E6"/>
    <w:rsid w:val="0020527B"/>
    <w:rsid w:val="002059A4"/>
    <w:rsid w:val="00205F2C"/>
    <w:rsid w:val="00206E56"/>
    <w:rsid w:val="002077E7"/>
    <w:rsid w:val="00210B15"/>
    <w:rsid w:val="00211C3B"/>
    <w:rsid w:val="002142EA"/>
    <w:rsid w:val="00220016"/>
    <w:rsid w:val="002204BB"/>
    <w:rsid w:val="00221908"/>
    <w:rsid w:val="00221B79"/>
    <w:rsid w:val="00221C6B"/>
    <w:rsid w:val="0022443A"/>
    <w:rsid w:val="00224596"/>
    <w:rsid w:val="002253A1"/>
    <w:rsid w:val="00225CF8"/>
    <w:rsid w:val="0022718D"/>
    <w:rsid w:val="0022794E"/>
    <w:rsid w:val="00231A7D"/>
    <w:rsid w:val="00231BB2"/>
    <w:rsid w:val="002330AC"/>
    <w:rsid w:val="00233D64"/>
    <w:rsid w:val="00234784"/>
    <w:rsid w:val="0023482A"/>
    <w:rsid w:val="002359CB"/>
    <w:rsid w:val="002407A8"/>
    <w:rsid w:val="00241F41"/>
    <w:rsid w:val="00243540"/>
    <w:rsid w:val="0024497B"/>
    <w:rsid w:val="0024515B"/>
    <w:rsid w:val="00246021"/>
    <w:rsid w:val="0024666E"/>
    <w:rsid w:val="00247032"/>
    <w:rsid w:val="00247F52"/>
    <w:rsid w:val="00250571"/>
    <w:rsid w:val="00250B25"/>
    <w:rsid w:val="00250BBE"/>
    <w:rsid w:val="002515C2"/>
    <w:rsid w:val="0025194F"/>
    <w:rsid w:val="002520A6"/>
    <w:rsid w:val="00253AC3"/>
    <w:rsid w:val="002550D2"/>
    <w:rsid w:val="002571BE"/>
    <w:rsid w:val="00257AC3"/>
    <w:rsid w:val="0026148A"/>
    <w:rsid w:val="00262696"/>
    <w:rsid w:val="002634BC"/>
    <w:rsid w:val="002643C3"/>
    <w:rsid w:val="00264A0C"/>
    <w:rsid w:val="00265F0B"/>
    <w:rsid w:val="002662B9"/>
    <w:rsid w:val="00267EF4"/>
    <w:rsid w:val="00270CB8"/>
    <w:rsid w:val="00272487"/>
    <w:rsid w:val="00272B08"/>
    <w:rsid w:val="0027606D"/>
    <w:rsid w:val="00276A26"/>
    <w:rsid w:val="00281414"/>
    <w:rsid w:val="00281BB8"/>
    <w:rsid w:val="00281E9E"/>
    <w:rsid w:val="00285170"/>
    <w:rsid w:val="00285361"/>
    <w:rsid w:val="00285460"/>
    <w:rsid w:val="002871B9"/>
    <w:rsid w:val="002918AF"/>
    <w:rsid w:val="002920ED"/>
    <w:rsid w:val="00292D60"/>
    <w:rsid w:val="00292E92"/>
    <w:rsid w:val="00293C9A"/>
    <w:rsid w:val="0029416D"/>
    <w:rsid w:val="00294C8B"/>
    <w:rsid w:val="00294D34"/>
    <w:rsid w:val="00294E3B"/>
    <w:rsid w:val="00296193"/>
    <w:rsid w:val="00296C66"/>
    <w:rsid w:val="00296EBE"/>
    <w:rsid w:val="002974E3"/>
    <w:rsid w:val="002A0034"/>
    <w:rsid w:val="002A084B"/>
    <w:rsid w:val="002A0FE8"/>
    <w:rsid w:val="002A1260"/>
    <w:rsid w:val="002A1589"/>
    <w:rsid w:val="002A1608"/>
    <w:rsid w:val="002A25DC"/>
    <w:rsid w:val="002A3AAB"/>
    <w:rsid w:val="002A45E2"/>
    <w:rsid w:val="002A4CEA"/>
    <w:rsid w:val="002A5977"/>
    <w:rsid w:val="002A5A13"/>
    <w:rsid w:val="002A757F"/>
    <w:rsid w:val="002A7F44"/>
    <w:rsid w:val="002B0C40"/>
    <w:rsid w:val="002B1966"/>
    <w:rsid w:val="002B23E3"/>
    <w:rsid w:val="002B2603"/>
    <w:rsid w:val="002B35DB"/>
    <w:rsid w:val="002B4508"/>
    <w:rsid w:val="002B5779"/>
    <w:rsid w:val="002B7332"/>
    <w:rsid w:val="002B7F51"/>
    <w:rsid w:val="002C0661"/>
    <w:rsid w:val="002C09E7"/>
    <w:rsid w:val="002C20C7"/>
    <w:rsid w:val="002C3F07"/>
    <w:rsid w:val="002C42F5"/>
    <w:rsid w:val="002C5278"/>
    <w:rsid w:val="002C7EBB"/>
    <w:rsid w:val="002D0118"/>
    <w:rsid w:val="002D06C1"/>
    <w:rsid w:val="002D1289"/>
    <w:rsid w:val="002D2798"/>
    <w:rsid w:val="002D42B5"/>
    <w:rsid w:val="002D4F1A"/>
    <w:rsid w:val="002D6DA6"/>
    <w:rsid w:val="002D6EC6"/>
    <w:rsid w:val="002D729E"/>
    <w:rsid w:val="002D771B"/>
    <w:rsid w:val="002D79AC"/>
    <w:rsid w:val="002E039D"/>
    <w:rsid w:val="002E0B4F"/>
    <w:rsid w:val="002E17C3"/>
    <w:rsid w:val="002E4D5A"/>
    <w:rsid w:val="002E6326"/>
    <w:rsid w:val="002E6A08"/>
    <w:rsid w:val="002F30E0"/>
    <w:rsid w:val="002F35E4"/>
    <w:rsid w:val="002F3730"/>
    <w:rsid w:val="002F38E1"/>
    <w:rsid w:val="002F569B"/>
    <w:rsid w:val="002F74F3"/>
    <w:rsid w:val="002F77B3"/>
    <w:rsid w:val="002F7AF6"/>
    <w:rsid w:val="00300BFC"/>
    <w:rsid w:val="00300E63"/>
    <w:rsid w:val="00301DD6"/>
    <w:rsid w:val="0030248D"/>
    <w:rsid w:val="00302A81"/>
    <w:rsid w:val="00302F5F"/>
    <w:rsid w:val="00303B03"/>
    <w:rsid w:val="0030441D"/>
    <w:rsid w:val="003054BB"/>
    <w:rsid w:val="00306063"/>
    <w:rsid w:val="00306D63"/>
    <w:rsid w:val="003074BB"/>
    <w:rsid w:val="003118BE"/>
    <w:rsid w:val="0031264D"/>
    <w:rsid w:val="00312755"/>
    <w:rsid w:val="00312FBD"/>
    <w:rsid w:val="00313B85"/>
    <w:rsid w:val="00314B21"/>
    <w:rsid w:val="00317988"/>
    <w:rsid w:val="0032186F"/>
    <w:rsid w:val="003221B4"/>
    <w:rsid w:val="00322E62"/>
    <w:rsid w:val="003243E4"/>
    <w:rsid w:val="00324EDD"/>
    <w:rsid w:val="003277C2"/>
    <w:rsid w:val="003310DD"/>
    <w:rsid w:val="003331E4"/>
    <w:rsid w:val="003341E1"/>
    <w:rsid w:val="0033428B"/>
    <w:rsid w:val="00335213"/>
    <w:rsid w:val="003358F7"/>
    <w:rsid w:val="00335E4E"/>
    <w:rsid w:val="0033604A"/>
    <w:rsid w:val="00336C64"/>
    <w:rsid w:val="00337162"/>
    <w:rsid w:val="0034194F"/>
    <w:rsid w:val="00342DB8"/>
    <w:rsid w:val="00344605"/>
    <w:rsid w:val="003474AA"/>
    <w:rsid w:val="0034762B"/>
    <w:rsid w:val="00350D1D"/>
    <w:rsid w:val="00351901"/>
    <w:rsid w:val="00352C83"/>
    <w:rsid w:val="00352E76"/>
    <w:rsid w:val="0035327A"/>
    <w:rsid w:val="00357AD5"/>
    <w:rsid w:val="003615D2"/>
    <w:rsid w:val="00363D7A"/>
    <w:rsid w:val="0036429C"/>
    <w:rsid w:val="00364754"/>
    <w:rsid w:val="00364A53"/>
    <w:rsid w:val="003654CB"/>
    <w:rsid w:val="003659A2"/>
    <w:rsid w:val="00365F86"/>
    <w:rsid w:val="00365F87"/>
    <w:rsid w:val="003705F4"/>
    <w:rsid w:val="00370D58"/>
    <w:rsid w:val="00371316"/>
    <w:rsid w:val="00372050"/>
    <w:rsid w:val="0037364D"/>
    <w:rsid w:val="00373800"/>
    <w:rsid w:val="00374317"/>
    <w:rsid w:val="00376713"/>
    <w:rsid w:val="003816D0"/>
    <w:rsid w:val="00381815"/>
    <w:rsid w:val="003819AF"/>
    <w:rsid w:val="003820E9"/>
    <w:rsid w:val="00382DE7"/>
    <w:rsid w:val="00384FFC"/>
    <w:rsid w:val="00385F2D"/>
    <w:rsid w:val="00386A12"/>
    <w:rsid w:val="003872FC"/>
    <w:rsid w:val="00387ADC"/>
    <w:rsid w:val="00387B32"/>
    <w:rsid w:val="00387E84"/>
    <w:rsid w:val="00390020"/>
    <w:rsid w:val="003903D6"/>
    <w:rsid w:val="003908C4"/>
    <w:rsid w:val="00390E62"/>
    <w:rsid w:val="00390EE6"/>
    <w:rsid w:val="0039118F"/>
    <w:rsid w:val="00392AD7"/>
    <w:rsid w:val="003938D9"/>
    <w:rsid w:val="00394376"/>
    <w:rsid w:val="003943FF"/>
    <w:rsid w:val="003951A8"/>
    <w:rsid w:val="003974EB"/>
    <w:rsid w:val="00397CC5"/>
    <w:rsid w:val="003A0526"/>
    <w:rsid w:val="003A1582"/>
    <w:rsid w:val="003A4077"/>
    <w:rsid w:val="003A4966"/>
    <w:rsid w:val="003B09AD"/>
    <w:rsid w:val="003B0BD9"/>
    <w:rsid w:val="003B1F18"/>
    <w:rsid w:val="003B1F9B"/>
    <w:rsid w:val="003B5BF0"/>
    <w:rsid w:val="003B60BF"/>
    <w:rsid w:val="003B6BE3"/>
    <w:rsid w:val="003C010C"/>
    <w:rsid w:val="003C0A6C"/>
    <w:rsid w:val="003C0BF1"/>
    <w:rsid w:val="003C15C0"/>
    <w:rsid w:val="003C2057"/>
    <w:rsid w:val="003C2859"/>
    <w:rsid w:val="003C5A43"/>
    <w:rsid w:val="003C7556"/>
    <w:rsid w:val="003C7906"/>
    <w:rsid w:val="003D0519"/>
    <w:rsid w:val="003D0FF6"/>
    <w:rsid w:val="003D262C"/>
    <w:rsid w:val="003D6D61"/>
    <w:rsid w:val="003E091D"/>
    <w:rsid w:val="003E1AAB"/>
    <w:rsid w:val="003E1C53"/>
    <w:rsid w:val="003E2A69"/>
    <w:rsid w:val="003E2D49"/>
    <w:rsid w:val="003E2FD4"/>
    <w:rsid w:val="003E3656"/>
    <w:rsid w:val="003E49F6"/>
    <w:rsid w:val="003E60CE"/>
    <w:rsid w:val="003F0841"/>
    <w:rsid w:val="003F18A9"/>
    <w:rsid w:val="003F23D3"/>
    <w:rsid w:val="003F36A2"/>
    <w:rsid w:val="003F3F08"/>
    <w:rsid w:val="003F497A"/>
    <w:rsid w:val="003F49F1"/>
    <w:rsid w:val="003F6272"/>
    <w:rsid w:val="003F72A3"/>
    <w:rsid w:val="00400E72"/>
    <w:rsid w:val="00401400"/>
    <w:rsid w:val="00403EDF"/>
    <w:rsid w:val="00404869"/>
    <w:rsid w:val="00405884"/>
    <w:rsid w:val="0040623A"/>
    <w:rsid w:val="00407D39"/>
    <w:rsid w:val="00410739"/>
    <w:rsid w:val="004109C3"/>
    <w:rsid w:val="00410D36"/>
    <w:rsid w:val="0041477A"/>
    <w:rsid w:val="00415156"/>
    <w:rsid w:val="00416587"/>
    <w:rsid w:val="004167A3"/>
    <w:rsid w:val="004215F4"/>
    <w:rsid w:val="00424E49"/>
    <w:rsid w:val="0042522A"/>
    <w:rsid w:val="004276B3"/>
    <w:rsid w:val="00430E47"/>
    <w:rsid w:val="00432DAA"/>
    <w:rsid w:val="00434305"/>
    <w:rsid w:val="004349E2"/>
    <w:rsid w:val="00434E0B"/>
    <w:rsid w:val="00435D26"/>
    <w:rsid w:val="00435DF7"/>
    <w:rsid w:val="0044083F"/>
    <w:rsid w:val="00441AE7"/>
    <w:rsid w:val="00443242"/>
    <w:rsid w:val="00443C00"/>
    <w:rsid w:val="0044422E"/>
    <w:rsid w:val="00445574"/>
    <w:rsid w:val="004456D3"/>
    <w:rsid w:val="004467FB"/>
    <w:rsid w:val="004523C5"/>
    <w:rsid w:val="00452D6B"/>
    <w:rsid w:val="00454484"/>
    <w:rsid w:val="0045517B"/>
    <w:rsid w:val="00455A24"/>
    <w:rsid w:val="00455CD7"/>
    <w:rsid w:val="004563CD"/>
    <w:rsid w:val="0045671A"/>
    <w:rsid w:val="00461561"/>
    <w:rsid w:val="00463A16"/>
    <w:rsid w:val="00463B77"/>
    <w:rsid w:val="00463C7B"/>
    <w:rsid w:val="00463F02"/>
    <w:rsid w:val="004644A6"/>
    <w:rsid w:val="004659BD"/>
    <w:rsid w:val="00470775"/>
    <w:rsid w:val="004715BD"/>
    <w:rsid w:val="00471DD9"/>
    <w:rsid w:val="0047217A"/>
    <w:rsid w:val="004746B1"/>
    <w:rsid w:val="0047583F"/>
    <w:rsid w:val="0047680E"/>
    <w:rsid w:val="00476CD1"/>
    <w:rsid w:val="004812B1"/>
    <w:rsid w:val="004821B7"/>
    <w:rsid w:val="00482A49"/>
    <w:rsid w:val="00483485"/>
    <w:rsid w:val="00484936"/>
    <w:rsid w:val="00485C89"/>
    <w:rsid w:val="004861B6"/>
    <w:rsid w:val="00486BE3"/>
    <w:rsid w:val="004905E4"/>
    <w:rsid w:val="00490A89"/>
    <w:rsid w:val="00490AB4"/>
    <w:rsid w:val="004920D8"/>
    <w:rsid w:val="00492F02"/>
    <w:rsid w:val="00493994"/>
    <w:rsid w:val="004939AE"/>
    <w:rsid w:val="00496929"/>
    <w:rsid w:val="004A0355"/>
    <w:rsid w:val="004A12DF"/>
    <w:rsid w:val="004A1BA8"/>
    <w:rsid w:val="004A4A9E"/>
    <w:rsid w:val="004A4B57"/>
    <w:rsid w:val="004A62EF"/>
    <w:rsid w:val="004A63FA"/>
    <w:rsid w:val="004A6A6F"/>
    <w:rsid w:val="004B0272"/>
    <w:rsid w:val="004B2701"/>
    <w:rsid w:val="004B2E1B"/>
    <w:rsid w:val="004B3502"/>
    <w:rsid w:val="004B3E93"/>
    <w:rsid w:val="004B6087"/>
    <w:rsid w:val="004C1FBC"/>
    <w:rsid w:val="004C2D63"/>
    <w:rsid w:val="004C3F1D"/>
    <w:rsid w:val="004C436C"/>
    <w:rsid w:val="004C458D"/>
    <w:rsid w:val="004C4870"/>
    <w:rsid w:val="004C5889"/>
    <w:rsid w:val="004C636D"/>
    <w:rsid w:val="004C7556"/>
    <w:rsid w:val="004C7E9D"/>
    <w:rsid w:val="004C7F67"/>
    <w:rsid w:val="004D076D"/>
    <w:rsid w:val="004D0EF1"/>
    <w:rsid w:val="004D189E"/>
    <w:rsid w:val="004D2253"/>
    <w:rsid w:val="004D251B"/>
    <w:rsid w:val="004D3381"/>
    <w:rsid w:val="004D4406"/>
    <w:rsid w:val="004D4E7E"/>
    <w:rsid w:val="004D767E"/>
    <w:rsid w:val="004D7C42"/>
    <w:rsid w:val="004E0465"/>
    <w:rsid w:val="004E127B"/>
    <w:rsid w:val="004E1C0A"/>
    <w:rsid w:val="004E3014"/>
    <w:rsid w:val="004E30C5"/>
    <w:rsid w:val="004E373C"/>
    <w:rsid w:val="004E415E"/>
    <w:rsid w:val="004E49BD"/>
    <w:rsid w:val="004E4AA5"/>
    <w:rsid w:val="004E4AEE"/>
    <w:rsid w:val="004E59E3"/>
    <w:rsid w:val="004E67C0"/>
    <w:rsid w:val="004F23BC"/>
    <w:rsid w:val="004F3663"/>
    <w:rsid w:val="004F391A"/>
    <w:rsid w:val="004F3CFB"/>
    <w:rsid w:val="004F6456"/>
    <w:rsid w:val="004F696E"/>
    <w:rsid w:val="004F6C71"/>
    <w:rsid w:val="004F7B84"/>
    <w:rsid w:val="00501139"/>
    <w:rsid w:val="0050184E"/>
    <w:rsid w:val="0050222B"/>
    <w:rsid w:val="00502991"/>
    <w:rsid w:val="0050363E"/>
    <w:rsid w:val="005039BC"/>
    <w:rsid w:val="005043BB"/>
    <w:rsid w:val="005049A9"/>
    <w:rsid w:val="00504A3D"/>
    <w:rsid w:val="00505005"/>
    <w:rsid w:val="00505767"/>
    <w:rsid w:val="005073F0"/>
    <w:rsid w:val="00510A7B"/>
    <w:rsid w:val="00512F6E"/>
    <w:rsid w:val="00513038"/>
    <w:rsid w:val="00514174"/>
    <w:rsid w:val="00516088"/>
    <w:rsid w:val="00516B0B"/>
    <w:rsid w:val="005207F4"/>
    <w:rsid w:val="005220EC"/>
    <w:rsid w:val="00522E8B"/>
    <w:rsid w:val="00523F95"/>
    <w:rsid w:val="00524D65"/>
    <w:rsid w:val="00525B16"/>
    <w:rsid w:val="0052737B"/>
    <w:rsid w:val="00531657"/>
    <w:rsid w:val="00533D04"/>
    <w:rsid w:val="00534804"/>
    <w:rsid w:val="00534BDF"/>
    <w:rsid w:val="005354EA"/>
    <w:rsid w:val="00535EC4"/>
    <w:rsid w:val="00535ED9"/>
    <w:rsid w:val="005360D6"/>
    <w:rsid w:val="0053692B"/>
    <w:rsid w:val="0054108A"/>
    <w:rsid w:val="00541853"/>
    <w:rsid w:val="00543BDA"/>
    <w:rsid w:val="005441CC"/>
    <w:rsid w:val="00544722"/>
    <w:rsid w:val="005470DB"/>
    <w:rsid w:val="0054744A"/>
    <w:rsid w:val="005479DA"/>
    <w:rsid w:val="00547BCC"/>
    <w:rsid w:val="0055013B"/>
    <w:rsid w:val="00551C2A"/>
    <w:rsid w:val="00551F6F"/>
    <w:rsid w:val="00555044"/>
    <w:rsid w:val="00557C8C"/>
    <w:rsid w:val="00561475"/>
    <w:rsid w:val="00562F6B"/>
    <w:rsid w:val="00563164"/>
    <w:rsid w:val="0056487B"/>
    <w:rsid w:val="005648F2"/>
    <w:rsid w:val="00564FB9"/>
    <w:rsid w:val="00573D9E"/>
    <w:rsid w:val="005777A6"/>
    <w:rsid w:val="00577F66"/>
    <w:rsid w:val="005801E3"/>
    <w:rsid w:val="00580ADB"/>
    <w:rsid w:val="00581802"/>
    <w:rsid w:val="00582EAE"/>
    <w:rsid w:val="005836A8"/>
    <w:rsid w:val="0058409C"/>
    <w:rsid w:val="00584262"/>
    <w:rsid w:val="00584417"/>
    <w:rsid w:val="00585D43"/>
    <w:rsid w:val="00586630"/>
    <w:rsid w:val="00587ADD"/>
    <w:rsid w:val="00591C99"/>
    <w:rsid w:val="00593544"/>
    <w:rsid w:val="00595ECF"/>
    <w:rsid w:val="00596160"/>
    <w:rsid w:val="005966E2"/>
    <w:rsid w:val="00597007"/>
    <w:rsid w:val="005A00C7"/>
    <w:rsid w:val="005A0966"/>
    <w:rsid w:val="005A10B7"/>
    <w:rsid w:val="005A11B7"/>
    <w:rsid w:val="005A1751"/>
    <w:rsid w:val="005A260B"/>
    <w:rsid w:val="005A2767"/>
    <w:rsid w:val="005A3C0C"/>
    <w:rsid w:val="005A47C4"/>
    <w:rsid w:val="005A4A1B"/>
    <w:rsid w:val="005A7830"/>
    <w:rsid w:val="005A7FCE"/>
    <w:rsid w:val="005B0F3F"/>
    <w:rsid w:val="005B2F38"/>
    <w:rsid w:val="005B4903"/>
    <w:rsid w:val="005B51CE"/>
    <w:rsid w:val="005B5885"/>
    <w:rsid w:val="005B5CD7"/>
    <w:rsid w:val="005B6CF6"/>
    <w:rsid w:val="005B7422"/>
    <w:rsid w:val="005C05A6"/>
    <w:rsid w:val="005C29B8"/>
    <w:rsid w:val="005C5F21"/>
    <w:rsid w:val="005C7156"/>
    <w:rsid w:val="005D086C"/>
    <w:rsid w:val="005D0C75"/>
    <w:rsid w:val="005D1E63"/>
    <w:rsid w:val="005D4171"/>
    <w:rsid w:val="005D6A95"/>
    <w:rsid w:val="005D6B2C"/>
    <w:rsid w:val="005D6D9C"/>
    <w:rsid w:val="005D7E41"/>
    <w:rsid w:val="005E1F0E"/>
    <w:rsid w:val="005E2335"/>
    <w:rsid w:val="005E2398"/>
    <w:rsid w:val="005E2435"/>
    <w:rsid w:val="005E34CA"/>
    <w:rsid w:val="005E3C18"/>
    <w:rsid w:val="005E5EAB"/>
    <w:rsid w:val="005E6318"/>
    <w:rsid w:val="005E6812"/>
    <w:rsid w:val="005E68D2"/>
    <w:rsid w:val="005E7829"/>
    <w:rsid w:val="005E7881"/>
    <w:rsid w:val="005E78E0"/>
    <w:rsid w:val="005F0D9C"/>
    <w:rsid w:val="005F284E"/>
    <w:rsid w:val="005F5A89"/>
    <w:rsid w:val="005F6191"/>
    <w:rsid w:val="006015CE"/>
    <w:rsid w:val="00602E0A"/>
    <w:rsid w:val="0060377F"/>
    <w:rsid w:val="00604784"/>
    <w:rsid w:val="00604D70"/>
    <w:rsid w:val="00604F31"/>
    <w:rsid w:val="00606419"/>
    <w:rsid w:val="00607D29"/>
    <w:rsid w:val="006104D1"/>
    <w:rsid w:val="00611ECB"/>
    <w:rsid w:val="00612952"/>
    <w:rsid w:val="0061320F"/>
    <w:rsid w:val="00614CC1"/>
    <w:rsid w:val="00615A9D"/>
    <w:rsid w:val="00616807"/>
    <w:rsid w:val="00617387"/>
    <w:rsid w:val="00621747"/>
    <w:rsid w:val="006244FB"/>
    <w:rsid w:val="00624E3F"/>
    <w:rsid w:val="006252D8"/>
    <w:rsid w:val="006259BC"/>
    <w:rsid w:val="0062636B"/>
    <w:rsid w:val="0063032E"/>
    <w:rsid w:val="00631208"/>
    <w:rsid w:val="00632182"/>
    <w:rsid w:val="00632AE0"/>
    <w:rsid w:val="00632C96"/>
    <w:rsid w:val="00633C17"/>
    <w:rsid w:val="00636E3E"/>
    <w:rsid w:val="006379F7"/>
    <w:rsid w:val="00637E4D"/>
    <w:rsid w:val="00640620"/>
    <w:rsid w:val="006417E8"/>
    <w:rsid w:val="00641A1F"/>
    <w:rsid w:val="00643FCE"/>
    <w:rsid w:val="00644EC0"/>
    <w:rsid w:val="00645038"/>
    <w:rsid w:val="0064528D"/>
    <w:rsid w:val="00645904"/>
    <w:rsid w:val="006461D1"/>
    <w:rsid w:val="00647548"/>
    <w:rsid w:val="00651ACB"/>
    <w:rsid w:val="00651C47"/>
    <w:rsid w:val="00652280"/>
    <w:rsid w:val="00652AB2"/>
    <w:rsid w:val="00652D29"/>
    <w:rsid w:val="0065356B"/>
    <w:rsid w:val="00653C33"/>
    <w:rsid w:val="00654EC0"/>
    <w:rsid w:val="0065525B"/>
    <w:rsid w:val="00655D4F"/>
    <w:rsid w:val="0066144E"/>
    <w:rsid w:val="00663565"/>
    <w:rsid w:val="006640E5"/>
    <w:rsid w:val="0066422B"/>
    <w:rsid w:val="00664542"/>
    <w:rsid w:val="006646F1"/>
    <w:rsid w:val="00664929"/>
    <w:rsid w:val="00664F62"/>
    <w:rsid w:val="006655E1"/>
    <w:rsid w:val="006658FA"/>
    <w:rsid w:val="006673AF"/>
    <w:rsid w:val="00672060"/>
    <w:rsid w:val="00672BFD"/>
    <w:rsid w:val="0067317B"/>
    <w:rsid w:val="00676499"/>
    <w:rsid w:val="00676903"/>
    <w:rsid w:val="006770F4"/>
    <w:rsid w:val="00677A84"/>
    <w:rsid w:val="0068026D"/>
    <w:rsid w:val="00680A27"/>
    <w:rsid w:val="006816A4"/>
    <w:rsid w:val="006819B8"/>
    <w:rsid w:val="006824D7"/>
    <w:rsid w:val="00682BB4"/>
    <w:rsid w:val="006836C0"/>
    <w:rsid w:val="006840A6"/>
    <w:rsid w:val="0068495F"/>
    <w:rsid w:val="006850CD"/>
    <w:rsid w:val="00685AAB"/>
    <w:rsid w:val="00695A12"/>
    <w:rsid w:val="006965EF"/>
    <w:rsid w:val="006A07AA"/>
    <w:rsid w:val="006A25E5"/>
    <w:rsid w:val="006A2B46"/>
    <w:rsid w:val="006A2D5D"/>
    <w:rsid w:val="006A336D"/>
    <w:rsid w:val="006A37B9"/>
    <w:rsid w:val="006A3986"/>
    <w:rsid w:val="006A4017"/>
    <w:rsid w:val="006A4972"/>
    <w:rsid w:val="006B2672"/>
    <w:rsid w:val="006B54BF"/>
    <w:rsid w:val="006B5F44"/>
    <w:rsid w:val="006B5F90"/>
    <w:rsid w:val="006B62E4"/>
    <w:rsid w:val="006B66CC"/>
    <w:rsid w:val="006B7256"/>
    <w:rsid w:val="006B7562"/>
    <w:rsid w:val="006C1BBA"/>
    <w:rsid w:val="006C2079"/>
    <w:rsid w:val="006C317D"/>
    <w:rsid w:val="006C4A9F"/>
    <w:rsid w:val="006C5A62"/>
    <w:rsid w:val="006C5D68"/>
    <w:rsid w:val="006C6976"/>
    <w:rsid w:val="006C6DD0"/>
    <w:rsid w:val="006D04EA"/>
    <w:rsid w:val="006D16C4"/>
    <w:rsid w:val="006D3E96"/>
    <w:rsid w:val="006D4515"/>
    <w:rsid w:val="006D4BB1"/>
    <w:rsid w:val="006D518D"/>
    <w:rsid w:val="006D6593"/>
    <w:rsid w:val="006D686E"/>
    <w:rsid w:val="006D6E75"/>
    <w:rsid w:val="006E1EB8"/>
    <w:rsid w:val="006E61A8"/>
    <w:rsid w:val="006F03A8"/>
    <w:rsid w:val="006F126C"/>
    <w:rsid w:val="006F2ACA"/>
    <w:rsid w:val="006F2ADC"/>
    <w:rsid w:val="006F2BFE"/>
    <w:rsid w:val="006F31E9"/>
    <w:rsid w:val="006F56E5"/>
    <w:rsid w:val="006F5AA3"/>
    <w:rsid w:val="006F61B6"/>
    <w:rsid w:val="006F6284"/>
    <w:rsid w:val="007002C5"/>
    <w:rsid w:val="00702A7E"/>
    <w:rsid w:val="00702ECE"/>
    <w:rsid w:val="007030D9"/>
    <w:rsid w:val="0070348B"/>
    <w:rsid w:val="007035FE"/>
    <w:rsid w:val="00704387"/>
    <w:rsid w:val="00707669"/>
    <w:rsid w:val="00711CBA"/>
    <w:rsid w:val="00711FB5"/>
    <w:rsid w:val="00712A01"/>
    <w:rsid w:val="00713B36"/>
    <w:rsid w:val="00713F91"/>
    <w:rsid w:val="00714F58"/>
    <w:rsid w:val="00715014"/>
    <w:rsid w:val="00721517"/>
    <w:rsid w:val="00722FBF"/>
    <w:rsid w:val="00722FC2"/>
    <w:rsid w:val="00724629"/>
    <w:rsid w:val="00725949"/>
    <w:rsid w:val="00727FA2"/>
    <w:rsid w:val="00730303"/>
    <w:rsid w:val="007322D9"/>
    <w:rsid w:val="00732BC0"/>
    <w:rsid w:val="00732F4E"/>
    <w:rsid w:val="00733511"/>
    <w:rsid w:val="00733A09"/>
    <w:rsid w:val="0073720F"/>
    <w:rsid w:val="00737796"/>
    <w:rsid w:val="0074071C"/>
    <w:rsid w:val="0074165C"/>
    <w:rsid w:val="00742C35"/>
    <w:rsid w:val="007432CA"/>
    <w:rsid w:val="007439EB"/>
    <w:rsid w:val="00743CB4"/>
    <w:rsid w:val="00743F0A"/>
    <w:rsid w:val="007444E8"/>
    <w:rsid w:val="0074548E"/>
    <w:rsid w:val="007456E3"/>
    <w:rsid w:val="00745773"/>
    <w:rsid w:val="00746800"/>
    <w:rsid w:val="007479B7"/>
    <w:rsid w:val="00747CF0"/>
    <w:rsid w:val="007501A8"/>
    <w:rsid w:val="00750EE1"/>
    <w:rsid w:val="0075219D"/>
    <w:rsid w:val="00752B10"/>
    <w:rsid w:val="00752B4D"/>
    <w:rsid w:val="007537D0"/>
    <w:rsid w:val="00755402"/>
    <w:rsid w:val="00755BBD"/>
    <w:rsid w:val="00756B26"/>
    <w:rsid w:val="00756EDF"/>
    <w:rsid w:val="007606C3"/>
    <w:rsid w:val="00765C43"/>
    <w:rsid w:val="00765EFB"/>
    <w:rsid w:val="007671CA"/>
    <w:rsid w:val="0076744F"/>
    <w:rsid w:val="00767C61"/>
    <w:rsid w:val="0077008A"/>
    <w:rsid w:val="007720F5"/>
    <w:rsid w:val="00773C1F"/>
    <w:rsid w:val="00774222"/>
    <w:rsid w:val="00774DA4"/>
    <w:rsid w:val="00776599"/>
    <w:rsid w:val="00781097"/>
    <w:rsid w:val="0078114B"/>
    <w:rsid w:val="0078142B"/>
    <w:rsid w:val="00781DD2"/>
    <w:rsid w:val="00783ECF"/>
    <w:rsid w:val="0078413A"/>
    <w:rsid w:val="007959E8"/>
    <w:rsid w:val="00795E9C"/>
    <w:rsid w:val="00796162"/>
    <w:rsid w:val="00797E6D"/>
    <w:rsid w:val="007A0521"/>
    <w:rsid w:val="007A07C4"/>
    <w:rsid w:val="007A0DF7"/>
    <w:rsid w:val="007A2E12"/>
    <w:rsid w:val="007A3475"/>
    <w:rsid w:val="007A41C8"/>
    <w:rsid w:val="007A54CE"/>
    <w:rsid w:val="007A6FD9"/>
    <w:rsid w:val="007A7FFA"/>
    <w:rsid w:val="007B04EB"/>
    <w:rsid w:val="007B0D4F"/>
    <w:rsid w:val="007B212D"/>
    <w:rsid w:val="007B2CD3"/>
    <w:rsid w:val="007B2CD6"/>
    <w:rsid w:val="007B3779"/>
    <w:rsid w:val="007B5A3D"/>
    <w:rsid w:val="007B5B95"/>
    <w:rsid w:val="007B68EA"/>
    <w:rsid w:val="007B7453"/>
    <w:rsid w:val="007C202F"/>
    <w:rsid w:val="007C2D89"/>
    <w:rsid w:val="007C2E59"/>
    <w:rsid w:val="007C2F04"/>
    <w:rsid w:val="007C4593"/>
    <w:rsid w:val="007C5309"/>
    <w:rsid w:val="007C6069"/>
    <w:rsid w:val="007C71E0"/>
    <w:rsid w:val="007D06C4"/>
    <w:rsid w:val="007D1352"/>
    <w:rsid w:val="007D1D17"/>
    <w:rsid w:val="007D2508"/>
    <w:rsid w:val="007D30BA"/>
    <w:rsid w:val="007D346A"/>
    <w:rsid w:val="007D6518"/>
    <w:rsid w:val="007D76BD"/>
    <w:rsid w:val="007E0BF1"/>
    <w:rsid w:val="007E0D02"/>
    <w:rsid w:val="007E258B"/>
    <w:rsid w:val="007E35CE"/>
    <w:rsid w:val="007F0ED8"/>
    <w:rsid w:val="007F0F63"/>
    <w:rsid w:val="007F21B0"/>
    <w:rsid w:val="007F28AB"/>
    <w:rsid w:val="007F3748"/>
    <w:rsid w:val="007F4DD3"/>
    <w:rsid w:val="007F60AB"/>
    <w:rsid w:val="007F75CE"/>
    <w:rsid w:val="008013A4"/>
    <w:rsid w:val="008018B2"/>
    <w:rsid w:val="00801E9F"/>
    <w:rsid w:val="008027CE"/>
    <w:rsid w:val="00802F42"/>
    <w:rsid w:val="00804383"/>
    <w:rsid w:val="00804B9C"/>
    <w:rsid w:val="00804BB7"/>
    <w:rsid w:val="00810257"/>
    <w:rsid w:val="008104F5"/>
    <w:rsid w:val="00811072"/>
    <w:rsid w:val="00811369"/>
    <w:rsid w:val="00813985"/>
    <w:rsid w:val="00813E32"/>
    <w:rsid w:val="00815419"/>
    <w:rsid w:val="008163C8"/>
    <w:rsid w:val="008164A1"/>
    <w:rsid w:val="008165BB"/>
    <w:rsid w:val="008172E9"/>
    <w:rsid w:val="00817325"/>
    <w:rsid w:val="008209E6"/>
    <w:rsid w:val="00822E0D"/>
    <w:rsid w:val="00823303"/>
    <w:rsid w:val="008233B2"/>
    <w:rsid w:val="00823A9F"/>
    <w:rsid w:val="00823C85"/>
    <w:rsid w:val="00825138"/>
    <w:rsid w:val="008269DD"/>
    <w:rsid w:val="00830621"/>
    <w:rsid w:val="00831985"/>
    <w:rsid w:val="008327FE"/>
    <w:rsid w:val="0083348C"/>
    <w:rsid w:val="008373D3"/>
    <w:rsid w:val="00840617"/>
    <w:rsid w:val="00842A47"/>
    <w:rsid w:val="00843C13"/>
    <w:rsid w:val="008454F8"/>
    <w:rsid w:val="00847DD2"/>
    <w:rsid w:val="0085173A"/>
    <w:rsid w:val="00854343"/>
    <w:rsid w:val="00860297"/>
    <w:rsid w:val="008603CE"/>
    <w:rsid w:val="008620FC"/>
    <w:rsid w:val="008627A5"/>
    <w:rsid w:val="00862E57"/>
    <w:rsid w:val="00863E05"/>
    <w:rsid w:val="00864239"/>
    <w:rsid w:val="0086431E"/>
    <w:rsid w:val="00864C08"/>
    <w:rsid w:val="00865ACA"/>
    <w:rsid w:val="00865D28"/>
    <w:rsid w:val="00865F85"/>
    <w:rsid w:val="00866C49"/>
    <w:rsid w:val="00866ED0"/>
    <w:rsid w:val="00867C10"/>
    <w:rsid w:val="00867C64"/>
    <w:rsid w:val="0087018E"/>
    <w:rsid w:val="00870439"/>
    <w:rsid w:val="00870DA1"/>
    <w:rsid w:val="008733DE"/>
    <w:rsid w:val="00873DBA"/>
    <w:rsid w:val="00877C27"/>
    <w:rsid w:val="00882189"/>
    <w:rsid w:val="00883F93"/>
    <w:rsid w:val="00884DB3"/>
    <w:rsid w:val="00884FA9"/>
    <w:rsid w:val="00885A9D"/>
    <w:rsid w:val="00885C27"/>
    <w:rsid w:val="008864F6"/>
    <w:rsid w:val="0088767C"/>
    <w:rsid w:val="0089049D"/>
    <w:rsid w:val="0089214C"/>
    <w:rsid w:val="008923F4"/>
    <w:rsid w:val="008928C9"/>
    <w:rsid w:val="008938DC"/>
    <w:rsid w:val="00893FD1"/>
    <w:rsid w:val="008946A9"/>
    <w:rsid w:val="00894836"/>
    <w:rsid w:val="00895172"/>
    <w:rsid w:val="00895680"/>
    <w:rsid w:val="008960B9"/>
    <w:rsid w:val="00896B9B"/>
    <w:rsid w:val="00896DFF"/>
    <w:rsid w:val="0089762C"/>
    <w:rsid w:val="008A1893"/>
    <w:rsid w:val="008A5584"/>
    <w:rsid w:val="008A67D0"/>
    <w:rsid w:val="008A769A"/>
    <w:rsid w:val="008B0C9C"/>
    <w:rsid w:val="008B166D"/>
    <w:rsid w:val="008B17F4"/>
    <w:rsid w:val="008B2FD1"/>
    <w:rsid w:val="008B3615"/>
    <w:rsid w:val="008B3F62"/>
    <w:rsid w:val="008B4056"/>
    <w:rsid w:val="008B4AC4"/>
    <w:rsid w:val="008B50C8"/>
    <w:rsid w:val="008B5281"/>
    <w:rsid w:val="008B561A"/>
    <w:rsid w:val="008B7E05"/>
    <w:rsid w:val="008C03EA"/>
    <w:rsid w:val="008C1797"/>
    <w:rsid w:val="008C219C"/>
    <w:rsid w:val="008C401E"/>
    <w:rsid w:val="008C475E"/>
    <w:rsid w:val="008C4767"/>
    <w:rsid w:val="008C4D34"/>
    <w:rsid w:val="008C619A"/>
    <w:rsid w:val="008D0CE8"/>
    <w:rsid w:val="008D16C2"/>
    <w:rsid w:val="008D2D1D"/>
    <w:rsid w:val="008D453D"/>
    <w:rsid w:val="008D53AD"/>
    <w:rsid w:val="008D562B"/>
    <w:rsid w:val="008D5733"/>
    <w:rsid w:val="008D622B"/>
    <w:rsid w:val="008D666C"/>
    <w:rsid w:val="008D7B54"/>
    <w:rsid w:val="008E0C9D"/>
    <w:rsid w:val="008E1648"/>
    <w:rsid w:val="008E1B3E"/>
    <w:rsid w:val="008E1F23"/>
    <w:rsid w:val="008E2319"/>
    <w:rsid w:val="008E4BB6"/>
    <w:rsid w:val="008E5518"/>
    <w:rsid w:val="008E653F"/>
    <w:rsid w:val="008E6A84"/>
    <w:rsid w:val="008F0CDC"/>
    <w:rsid w:val="008F17A3"/>
    <w:rsid w:val="008F1ED3"/>
    <w:rsid w:val="008F29C4"/>
    <w:rsid w:val="008F4C29"/>
    <w:rsid w:val="008F58DC"/>
    <w:rsid w:val="008F70BD"/>
    <w:rsid w:val="008F788F"/>
    <w:rsid w:val="008F7EA2"/>
    <w:rsid w:val="00902722"/>
    <w:rsid w:val="009027BC"/>
    <w:rsid w:val="00903E43"/>
    <w:rsid w:val="009062E6"/>
    <w:rsid w:val="00911AF6"/>
    <w:rsid w:val="00911BE5"/>
    <w:rsid w:val="00913CA9"/>
    <w:rsid w:val="009145AE"/>
    <w:rsid w:val="009146CE"/>
    <w:rsid w:val="00914CA7"/>
    <w:rsid w:val="00915144"/>
    <w:rsid w:val="00915778"/>
    <w:rsid w:val="00915C3E"/>
    <w:rsid w:val="00915D2E"/>
    <w:rsid w:val="009161A8"/>
    <w:rsid w:val="009200CD"/>
    <w:rsid w:val="00920D6D"/>
    <w:rsid w:val="0092458A"/>
    <w:rsid w:val="009245F5"/>
    <w:rsid w:val="009249EC"/>
    <w:rsid w:val="009273B3"/>
    <w:rsid w:val="00927468"/>
    <w:rsid w:val="009305B5"/>
    <w:rsid w:val="00941FA3"/>
    <w:rsid w:val="009429D5"/>
    <w:rsid w:val="00942BF1"/>
    <w:rsid w:val="00944B46"/>
    <w:rsid w:val="00945180"/>
    <w:rsid w:val="00945428"/>
    <w:rsid w:val="0094607B"/>
    <w:rsid w:val="0094672B"/>
    <w:rsid w:val="00953604"/>
    <w:rsid w:val="0095496B"/>
    <w:rsid w:val="00954AA4"/>
    <w:rsid w:val="0095566A"/>
    <w:rsid w:val="00957720"/>
    <w:rsid w:val="009610DC"/>
    <w:rsid w:val="00961490"/>
    <w:rsid w:val="009623FA"/>
    <w:rsid w:val="0096381A"/>
    <w:rsid w:val="0096389E"/>
    <w:rsid w:val="009642D3"/>
    <w:rsid w:val="00965E04"/>
    <w:rsid w:val="00966719"/>
    <w:rsid w:val="00966A4C"/>
    <w:rsid w:val="009674AD"/>
    <w:rsid w:val="00967B68"/>
    <w:rsid w:val="00970CDC"/>
    <w:rsid w:val="00975D1E"/>
    <w:rsid w:val="00977010"/>
    <w:rsid w:val="00977D02"/>
    <w:rsid w:val="009809BB"/>
    <w:rsid w:val="0098364B"/>
    <w:rsid w:val="00984F7B"/>
    <w:rsid w:val="00987A23"/>
    <w:rsid w:val="00987AF7"/>
    <w:rsid w:val="00990537"/>
    <w:rsid w:val="009911AF"/>
    <w:rsid w:val="00991875"/>
    <w:rsid w:val="009919DB"/>
    <w:rsid w:val="00991F92"/>
    <w:rsid w:val="00992985"/>
    <w:rsid w:val="00993889"/>
    <w:rsid w:val="00994782"/>
    <w:rsid w:val="0099551B"/>
    <w:rsid w:val="00997BF1"/>
    <w:rsid w:val="009A089C"/>
    <w:rsid w:val="009A118E"/>
    <w:rsid w:val="009A21CD"/>
    <w:rsid w:val="009A278C"/>
    <w:rsid w:val="009A2BC2"/>
    <w:rsid w:val="009A42C1"/>
    <w:rsid w:val="009A5429"/>
    <w:rsid w:val="009A72AD"/>
    <w:rsid w:val="009A7DD6"/>
    <w:rsid w:val="009B09E0"/>
    <w:rsid w:val="009B0BC5"/>
    <w:rsid w:val="009B1247"/>
    <w:rsid w:val="009B1D84"/>
    <w:rsid w:val="009B2AC6"/>
    <w:rsid w:val="009B6029"/>
    <w:rsid w:val="009B6464"/>
    <w:rsid w:val="009B6971"/>
    <w:rsid w:val="009B7256"/>
    <w:rsid w:val="009C27F1"/>
    <w:rsid w:val="009C3152"/>
    <w:rsid w:val="009C4CFA"/>
    <w:rsid w:val="009C5070"/>
    <w:rsid w:val="009C6835"/>
    <w:rsid w:val="009D05D6"/>
    <w:rsid w:val="009D112C"/>
    <w:rsid w:val="009D47FA"/>
    <w:rsid w:val="009D4DE2"/>
    <w:rsid w:val="009D50D2"/>
    <w:rsid w:val="009D6BCA"/>
    <w:rsid w:val="009D72B9"/>
    <w:rsid w:val="009E0F62"/>
    <w:rsid w:val="009E1172"/>
    <w:rsid w:val="009E1848"/>
    <w:rsid w:val="009E4A58"/>
    <w:rsid w:val="009E5A2D"/>
    <w:rsid w:val="009E5AB2"/>
    <w:rsid w:val="009E6219"/>
    <w:rsid w:val="009F03B3"/>
    <w:rsid w:val="009F0E3E"/>
    <w:rsid w:val="009F1C2B"/>
    <w:rsid w:val="009F7A6C"/>
    <w:rsid w:val="00A00B3D"/>
    <w:rsid w:val="00A01757"/>
    <w:rsid w:val="00A028C0"/>
    <w:rsid w:val="00A02BAE"/>
    <w:rsid w:val="00A05AA6"/>
    <w:rsid w:val="00A06A6B"/>
    <w:rsid w:val="00A06C27"/>
    <w:rsid w:val="00A07E47"/>
    <w:rsid w:val="00A10D8A"/>
    <w:rsid w:val="00A1151E"/>
    <w:rsid w:val="00A129D0"/>
    <w:rsid w:val="00A12B99"/>
    <w:rsid w:val="00A12C33"/>
    <w:rsid w:val="00A138BA"/>
    <w:rsid w:val="00A14C8E"/>
    <w:rsid w:val="00A153D9"/>
    <w:rsid w:val="00A15F09"/>
    <w:rsid w:val="00A169B6"/>
    <w:rsid w:val="00A2271D"/>
    <w:rsid w:val="00A237D5"/>
    <w:rsid w:val="00A256FE"/>
    <w:rsid w:val="00A26269"/>
    <w:rsid w:val="00A27297"/>
    <w:rsid w:val="00A30EFC"/>
    <w:rsid w:val="00A31984"/>
    <w:rsid w:val="00A32694"/>
    <w:rsid w:val="00A32D73"/>
    <w:rsid w:val="00A3367B"/>
    <w:rsid w:val="00A3597D"/>
    <w:rsid w:val="00A35B59"/>
    <w:rsid w:val="00A3694D"/>
    <w:rsid w:val="00A4006C"/>
    <w:rsid w:val="00A40091"/>
    <w:rsid w:val="00A4030F"/>
    <w:rsid w:val="00A413CB"/>
    <w:rsid w:val="00A41B66"/>
    <w:rsid w:val="00A41C79"/>
    <w:rsid w:val="00A41CB5"/>
    <w:rsid w:val="00A42A70"/>
    <w:rsid w:val="00A42CDF"/>
    <w:rsid w:val="00A4307B"/>
    <w:rsid w:val="00A4452E"/>
    <w:rsid w:val="00A4472C"/>
    <w:rsid w:val="00A44E69"/>
    <w:rsid w:val="00A4661E"/>
    <w:rsid w:val="00A505D3"/>
    <w:rsid w:val="00A53207"/>
    <w:rsid w:val="00A54D1C"/>
    <w:rsid w:val="00A555B5"/>
    <w:rsid w:val="00A55BD6"/>
    <w:rsid w:val="00A55D50"/>
    <w:rsid w:val="00A567D0"/>
    <w:rsid w:val="00A57142"/>
    <w:rsid w:val="00A61D48"/>
    <w:rsid w:val="00A648CD"/>
    <w:rsid w:val="00A6537A"/>
    <w:rsid w:val="00A67866"/>
    <w:rsid w:val="00A70B07"/>
    <w:rsid w:val="00A71855"/>
    <w:rsid w:val="00A71B62"/>
    <w:rsid w:val="00A71CA2"/>
    <w:rsid w:val="00A723F8"/>
    <w:rsid w:val="00A77CCB"/>
    <w:rsid w:val="00A82E11"/>
    <w:rsid w:val="00A83D8D"/>
    <w:rsid w:val="00A83E19"/>
    <w:rsid w:val="00A8446B"/>
    <w:rsid w:val="00A8473F"/>
    <w:rsid w:val="00A862D6"/>
    <w:rsid w:val="00A86A90"/>
    <w:rsid w:val="00A8715E"/>
    <w:rsid w:val="00A87647"/>
    <w:rsid w:val="00A9295B"/>
    <w:rsid w:val="00A93B09"/>
    <w:rsid w:val="00A952D7"/>
    <w:rsid w:val="00A963F7"/>
    <w:rsid w:val="00A96AD8"/>
    <w:rsid w:val="00AA052C"/>
    <w:rsid w:val="00AA1E45"/>
    <w:rsid w:val="00AA30E6"/>
    <w:rsid w:val="00AA4286"/>
    <w:rsid w:val="00AA456B"/>
    <w:rsid w:val="00AA57F5"/>
    <w:rsid w:val="00AA672E"/>
    <w:rsid w:val="00AA6EC9"/>
    <w:rsid w:val="00AB180A"/>
    <w:rsid w:val="00AB2888"/>
    <w:rsid w:val="00AB3593"/>
    <w:rsid w:val="00AB6309"/>
    <w:rsid w:val="00AB6C5F"/>
    <w:rsid w:val="00AB7129"/>
    <w:rsid w:val="00AC27A6"/>
    <w:rsid w:val="00AC30F7"/>
    <w:rsid w:val="00AC3A5A"/>
    <w:rsid w:val="00AC4710"/>
    <w:rsid w:val="00AC4D95"/>
    <w:rsid w:val="00AC5DF4"/>
    <w:rsid w:val="00AD0AEF"/>
    <w:rsid w:val="00AD11B7"/>
    <w:rsid w:val="00AD1A94"/>
    <w:rsid w:val="00AD1C05"/>
    <w:rsid w:val="00AD4126"/>
    <w:rsid w:val="00AD421C"/>
    <w:rsid w:val="00AD44FA"/>
    <w:rsid w:val="00AD5D89"/>
    <w:rsid w:val="00AD6B62"/>
    <w:rsid w:val="00AD6EF3"/>
    <w:rsid w:val="00AE070A"/>
    <w:rsid w:val="00AE101C"/>
    <w:rsid w:val="00AE1191"/>
    <w:rsid w:val="00AE1EF1"/>
    <w:rsid w:val="00AE232F"/>
    <w:rsid w:val="00AE5EB4"/>
    <w:rsid w:val="00AE71A7"/>
    <w:rsid w:val="00AF0C18"/>
    <w:rsid w:val="00AF47C5"/>
    <w:rsid w:val="00AF5398"/>
    <w:rsid w:val="00B025D9"/>
    <w:rsid w:val="00B026D7"/>
    <w:rsid w:val="00B049AF"/>
    <w:rsid w:val="00B06BC0"/>
    <w:rsid w:val="00B07242"/>
    <w:rsid w:val="00B07913"/>
    <w:rsid w:val="00B10534"/>
    <w:rsid w:val="00B10FD8"/>
    <w:rsid w:val="00B113DB"/>
    <w:rsid w:val="00B11D8A"/>
    <w:rsid w:val="00B12981"/>
    <w:rsid w:val="00B140A8"/>
    <w:rsid w:val="00B147DD"/>
    <w:rsid w:val="00B156FD"/>
    <w:rsid w:val="00B16EEF"/>
    <w:rsid w:val="00B17D5D"/>
    <w:rsid w:val="00B21F61"/>
    <w:rsid w:val="00B23613"/>
    <w:rsid w:val="00B249DE"/>
    <w:rsid w:val="00B261F1"/>
    <w:rsid w:val="00B265BC"/>
    <w:rsid w:val="00B26F8F"/>
    <w:rsid w:val="00B31D5E"/>
    <w:rsid w:val="00B31FB1"/>
    <w:rsid w:val="00B33952"/>
    <w:rsid w:val="00B33C5E"/>
    <w:rsid w:val="00B342F4"/>
    <w:rsid w:val="00B34369"/>
    <w:rsid w:val="00B34DC2"/>
    <w:rsid w:val="00B378E5"/>
    <w:rsid w:val="00B40FB8"/>
    <w:rsid w:val="00B42527"/>
    <w:rsid w:val="00B4346D"/>
    <w:rsid w:val="00B440F4"/>
    <w:rsid w:val="00B44432"/>
    <w:rsid w:val="00B447A5"/>
    <w:rsid w:val="00B44FFB"/>
    <w:rsid w:val="00B4654C"/>
    <w:rsid w:val="00B47293"/>
    <w:rsid w:val="00B47AC0"/>
    <w:rsid w:val="00B47F1E"/>
    <w:rsid w:val="00B5018F"/>
    <w:rsid w:val="00B50E50"/>
    <w:rsid w:val="00B52120"/>
    <w:rsid w:val="00B52188"/>
    <w:rsid w:val="00B52AA8"/>
    <w:rsid w:val="00B53D12"/>
    <w:rsid w:val="00B54808"/>
    <w:rsid w:val="00B54941"/>
    <w:rsid w:val="00B54ABC"/>
    <w:rsid w:val="00B56FBE"/>
    <w:rsid w:val="00B57ACE"/>
    <w:rsid w:val="00B60BBA"/>
    <w:rsid w:val="00B62B58"/>
    <w:rsid w:val="00B64719"/>
    <w:rsid w:val="00B65149"/>
    <w:rsid w:val="00B66567"/>
    <w:rsid w:val="00B66F52"/>
    <w:rsid w:val="00B66FE5"/>
    <w:rsid w:val="00B6789A"/>
    <w:rsid w:val="00B67995"/>
    <w:rsid w:val="00B723AF"/>
    <w:rsid w:val="00B72880"/>
    <w:rsid w:val="00B731CB"/>
    <w:rsid w:val="00B758BF"/>
    <w:rsid w:val="00B76476"/>
    <w:rsid w:val="00B76724"/>
    <w:rsid w:val="00B81F82"/>
    <w:rsid w:val="00B827A6"/>
    <w:rsid w:val="00B831CE"/>
    <w:rsid w:val="00B832AF"/>
    <w:rsid w:val="00B836B1"/>
    <w:rsid w:val="00B84AB8"/>
    <w:rsid w:val="00B86677"/>
    <w:rsid w:val="00B87131"/>
    <w:rsid w:val="00B87602"/>
    <w:rsid w:val="00B92535"/>
    <w:rsid w:val="00B937C7"/>
    <w:rsid w:val="00B939B1"/>
    <w:rsid w:val="00B959E7"/>
    <w:rsid w:val="00B96D40"/>
    <w:rsid w:val="00B97386"/>
    <w:rsid w:val="00B978DB"/>
    <w:rsid w:val="00BA263B"/>
    <w:rsid w:val="00BA2E93"/>
    <w:rsid w:val="00BA42B2"/>
    <w:rsid w:val="00BA58D4"/>
    <w:rsid w:val="00BA5B9E"/>
    <w:rsid w:val="00BA62B3"/>
    <w:rsid w:val="00BA6A73"/>
    <w:rsid w:val="00BA6A94"/>
    <w:rsid w:val="00BA7C9A"/>
    <w:rsid w:val="00BB0DEB"/>
    <w:rsid w:val="00BB1AF2"/>
    <w:rsid w:val="00BB2CEC"/>
    <w:rsid w:val="00BB5F8F"/>
    <w:rsid w:val="00BB657A"/>
    <w:rsid w:val="00BC1A4E"/>
    <w:rsid w:val="00BC5DC7"/>
    <w:rsid w:val="00BC6B41"/>
    <w:rsid w:val="00BC6B8B"/>
    <w:rsid w:val="00BC73D8"/>
    <w:rsid w:val="00BD3017"/>
    <w:rsid w:val="00BD52D7"/>
    <w:rsid w:val="00BD5AD2"/>
    <w:rsid w:val="00BE16B4"/>
    <w:rsid w:val="00BE22F3"/>
    <w:rsid w:val="00BE5B52"/>
    <w:rsid w:val="00BE6F71"/>
    <w:rsid w:val="00BE7B8D"/>
    <w:rsid w:val="00BF015F"/>
    <w:rsid w:val="00BF0993"/>
    <w:rsid w:val="00BF10A9"/>
    <w:rsid w:val="00BF1703"/>
    <w:rsid w:val="00BF1D9B"/>
    <w:rsid w:val="00BF231C"/>
    <w:rsid w:val="00BF41E7"/>
    <w:rsid w:val="00BF50B0"/>
    <w:rsid w:val="00BF51E5"/>
    <w:rsid w:val="00BF66A1"/>
    <w:rsid w:val="00BF6CE3"/>
    <w:rsid w:val="00BF74A6"/>
    <w:rsid w:val="00BF7718"/>
    <w:rsid w:val="00C00FCF"/>
    <w:rsid w:val="00C013AD"/>
    <w:rsid w:val="00C020FB"/>
    <w:rsid w:val="00C04904"/>
    <w:rsid w:val="00C053EC"/>
    <w:rsid w:val="00C056B3"/>
    <w:rsid w:val="00C0797D"/>
    <w:rsid w:val="00C10053"/>
    <w:rsid w:val="00C103E5"/>
    <w:rsid w:val="00C13319"/>
    <w:rsid w:val="00C13AB9"/>
    <w:rsid w:val="00C13EE9"/>
    <w:rsid w:val="00C14102"/>
    <w:rsid w:val="00C1726C"/>
    <w:rsid w:val="00C2105A"/>
    <w:rsid w:val="00C21540"/>
    <w:rsid w:val="00C21906"/>
    <w:rsid w:val="00C21BFA"/>
    <w:rsid w:val="00C24C8D"/>
    <w:rsid w:val="00C25FE2"/>
    <w:rsid w:val="00C260F4"/>
    <w:rsid w:val="00C26B53"/>
    <w:rsid w:val="00C27217"/>
    <w:rsid w:val="00C279B2"/>
    <w:rsid w:val="00C27A8A"/>
    <w:rsid w:val="00C31749"/>
    <w:rsid w:val="00C33E50"/>
    <w:rsid w:val="00C34C20"/>
    <w:rsid w:val="00C35A3E"/>
    <w:rsid w:val="00C419EE"/>
    <w:rsid w:val="00C42130"/>
    <w:rsid w:val="00C423A4"/>
    <w:rsid w:val="00C44335"/>
    <w:rsid w:val="00C44BF5"/>
    <w:rsid w:val="00C517A5"/>
    <w:rsid w:val="00C5185F"/>
    <w:rsid w:val="00C521D6"/>
    <w:rsid w:val="00C55232"/>
    <w:rsid w:val="00C553A4"/>
    <w:rsid w:val="00C55A06"/>
    <w:rsid w:val="00C55A7C"/>
    <w:rsid w:val="00C55D03"/>
    <w:rsid w:val="00C601BC"/>
    <w:rsid w:val="00C6055D"/>
    <w:rsid w:val="00C6329F"/>
    <w:rsid w:val="00C63340"/>
    <w:rsid w:val="00C64306"/>
    <w:rsid w:val="00C643F9"/>
    <w:rsid w:val="00C649F8"/>
    <w:rsid w:val="00C64E95"/>
    <w:rsid w:val="00C71372"/>
    <w:rsid w:val="00C71674"/>
    <w:rsid w:val="00C71EEE"/>
    <w:rsid w:val="00C72410"/>
    <w:rsid w:val="00C7287F"/>
    <w:rsid w:val="00C75844"/>
    <w:rsid w:val="00C76833"/>
    <w:rsid w:val="00C80CB8"/>
    <w:rsid w:val="00C819F8"/>
    <w:rsid w:val="00C8248C"/>
    <w:rsid w:val="00C82E82"/>
    <w:rsid w:val="00C84E33"/>
    <w:rsid w:val="00C869E3"/>
    <w:rsid w:val="00C86D6F"/>
    <w:rsid w:val="00C905FC"/>
    <w:rsid w:val="00C922A0"/>
    <w:rsid w:val="00C92D03"/>
    <w:rsid w:val="00C9319C"/>
    <w:rsid w:val="00C94015"/>
    <w:rsid w:val="00C9435D"/>
    <w:rsid w:val="00C955B0"/>
    <w:rsid w:val="00C96741"/>
    <w:rsid w:val="00CA2D1B"/>
    <w:rsid w:val="00CA662A"/>
    <w:rsid w:val="00CA75AD"/>
    <w:rsid w:val="00CA7996"/>
    <w:rsid w:val="00CA7AFD"/>
    <w:rsid w:val="00CA7C3C"/>
    <w:rsid w:val="00CA7DA3"/>
    <w:rsid w:val="00CB0189"/>
    <w:rsid w:val="00CB0BA2"/>
    <w:rsid w:val="00CB0C90"/>
    <w:rsid w:val="00CB1A42"/>
    <w:rsid w:val="00CB1A72"/>
    <w:rsid w:val="00CB1B0C"/>
    <w:rsid w:val="00CB2C0B"/>
    <w:rsid w:val="00CB2F8D"/>
    <w:rsid w:val="00CB34EC"/>
    <w:rsid w:val="00CB517D"/>
    <w:rsid w:val="00CB6BD2"/>
    <w:rsid w:val="00CB783F"/>
    <w:rsid w:val="00CB798C"/>
    <w:rsid w:val="00CC038D"/>
    <w:rsid w:val="00CC1833"/>
    <w:rsid w:val="00CC39FF"/>
    <w:rsid w:val="00CC3C2F"/>
    <w:rsid w:val="00CC4AC8"/>
    <w:rsid w:val="00CC4B58"/>
    <w:rsid w:val="00CC5233"/>
    <w:rsid w:val="00CC5DE6"/>
    <w:rsid w:val="00CC6AEE"/>
    <w:rsid w:val="00CC6E4E"/>
    <w:rsid w:val="00CC6FE8"/>
    <w:rsid w:val="00CC7202"/>
    <w:rsid w:val="00CD0A40"/>
    <w:rsid w:val="00CD0E44"/>
    <w:rsid w:val="00CD2808"/>
    <w:rsid w:val="00CD28BF"/>
    <w:rsid w:val="00CD4092"/>
    <w:rsid w:val="00CD4A20"/>
    <w:rsid w:val="00CD50A1"/>
    <w:rsid w:val="00CD519E"/>
    <w:rsid w:val="00CD5EEF"/>
    <w:rsid w:val="00CD61EE"/>
    <w:rsid w:val="00CD6D79"/>
    <w:rsid w:val="00CD7ECC"/>
    <w:rsid w:val="00CE0C4F"/>
    <w:rsid w:val="00CE30EA"/>
    <w:rsid w:val="00CE3156"/>
    <w:rsid w:val="00CE774E"/>
    <w:rsid w:val="00CF048A"/>
    <w:rsid w:val="00CF04DD"/>
    <w:rsid w:val="00CF155A"/>
    <w:rsid w:val="00CF2947"/>
    <w:rsid w:val="00CF4E76"/>
    <w:rsid w:val="00CF5495"/>
    <w:rsid w:val="00CF686F"/>
    <w:rsid w:val="00CF6E60"/>
    <w:rsid w:val="00CF7342"/>
    <w:rsid w:val="00CF7BCA"/>
    <w:rsid w:val="00D008FD"/>
    <w:rsid w:val="00D0321C"/>
    <w:rsid w:val="00D035EC"/>
    <w:rsid w:val="00D054DA"/>
    <w:rsid w:val="00D06AB1"/>
    <w:rsid w:val="00D06CF8"/>
    <w:rsid w:val="00D072ED"/>
    <w:rsid w:val="00D07A16"/>
    <w:rsid w:val="00D1067E"/>
    <w:rsid w:val="00D10F50"/>
    <w:rsid w:val="00D11272"/>
    <w:rsid w:val="00D11D90"/>
    <w:rsid w:val="00D12044"/>
    <w:rsid w:val="00D12675"/>
    <w:rsid w:val="00D126F5"/>
    <w:rsid w:val="00D12771"/>
    <w:rsid w:val="00D1489E"/>
    <w:rsid w:val="00D20737"/>
    <w:rsid w:val="00D20943"/>
    <w:rsid w:val="00D21E81"/>
    <w:rsid w:val="00D223DE"/>
    <w:rsid w:val="00D22B66"/>
    <w:rsid w:val="00D241F4"/>
    <w:rsid w:val="00D25E37"/>
    <w:rsid w:val="00D25E73"/>
    <w:rsid w:val="00D2661A"/>
    <w:rsid w:val="00D27582"/>
    <w:rsid w:val="00D32719"/>
    <w:rsid w:val="00D33333"/>
    <w:rsid w:val="00D347F7"/>
    <w:rsid w:val="00D34CB7"/>
    <w:rsid w:val="00D352A2"/>
    <w:rsid w:val="00D356B5"/>
    <w:rsid w:val="00D37F99"/>
    <w:rsid w:val="00D4162B"/>
    <w:rsid w:val="00D42174"/>
    <w:rsid w:val="00D426B2"/>
    <w:rsid w:val="00D438F4"/>
    <w:rsid w:val="00D4514F"/>
    <w:rsid w:val="00D451E2"/>
    <w:rsid w:val="00D45E89"/>
    <w:rsid w:val="00D45E8D"/>
    <w:rsid w:val="00D460C0"/>
    <w:rsid w:val="00D466AE"/>
    <w:rsid w:val="00D4734F"/>
    <w:rsid w:val="00D47B9F"/>
    <w:rsid w:val="00D51BF3"/>
    <w:rsid w:val="00D52CF0"/>
    <w:rsid w:val="00D54B98"/>
    <w:rsid w:val="00D54DF6"/>
    <w:rsid w:val="00D54F45"/>
    <w:rsid w:val="00D56D85"/>
    <w:rsid w:val="00D62760"/>
    <w:rsid w:val="00D659D5"/>
    <w:rsid w:val="00D663DC"/>
    <w:rsid w:val="00D66846"/>
    <w:rsid w:val="00D675FB"/>
    <w:rsid w:val="00D70B63"/>
    <w:rsid w:val="00D71F25"/>
    <w:rsid w:val="00D74100"/>
    <w:rsid w:val="00D76178"/>
    <w:rsid w:val="00D77031"/>
    <w:rsid w:val="00D81136"/>
    <w:rsid w:val="00D81720"/>
    <w:rsid w:val="00D84941"/>
    <w:rsid w:val="00D84FA1"/>
    <w:rsid w:val="00D851F0"/>
    <w:rsid w:val="00D86AED"/>
    <w:rsid w:val="00D86DB7"/>
    <w:rsid w:val="00D87BFD"/>
    <w:rsid w:val="00D9060C"/>
    <w:rsid w:val="00D90C58"/>
    <w:rsid w:val="00D926D0"/>
    <w:rsid w:val="00D92F08"/>
    <w:rsid w:val="00D93030"/>
    <w:rsid w:val="00D950E1"/>
    <w:rsid w:val="00D952A6"/>
    <w:rsid w:val="00D956EE"/>
    <w:rsid w:val="00D97E76"/>
    <w:rsid w:val="00D97F99"/>
    <w:rsid w:val="00DA18F2"/>
    <w:rsid w:val="00DA1E08"/>
    <w:rsid w:val="00DA24F8"/>
    <w:rsid w:val="00DA28E8"/>
    <w:rsid w:val="00DA3122"/>
    <w:rsid w:val="00DA38D3"/>
    <w:rsid w:val="00DA3932"/>
    <w:rsid w:val="00DA3AFC"/>
    <w:rsid w:val="00DA4B0F"/>
    <w:rsid w:val="00DA64F8"/>
    <w:rsid w:val="00DA66E3"/>
    <w:rsid w:val="00DA6C15"/>
    <w:rsid w:val="00DA7335"/>
    <w:rsid w:val="00DB38EE"/>
    <w:rsid w:val="00DB498B"/>
    <w:rsid w:val="00DB66CA"/>
    <w:rsid w:val="00DB6BCA"/>
    <w:rsid w:val="00DB7113"/>
    <w:rsid w:val="00DC017D"/>
    <w:rsid w:val="00DC0321"/>
    <w:rsid w:val="00DC3067"/>
    <w:rsid w:val="00DC370B"/>
    <w:rsid w:val="00DC5B90"/>
    <w:rsid w:val="00DC5FF7"/>
    <w:rsid w:val="00DD00FF"/>
    <w:rsid w:val="00DD0619"/>
    <w:rsid w:val="00DD07FB"/>
    <w:rsid w:val="00DD25C6"/>
    <w:rsid w:val="00DD4FE5"/>
    <w:rsid w:val="00DD54B0"/>
    <w:rsid w:val="00DD57EE"/>
    <w:rsid w:val="00DD6BCC"/>
    <w:rsid w:val="00DE0A4B"/>
    <w:rsid w:val="00DE2410"/>
    <w:rsid w:val="00DE2939"/>
    <w:rsid w:val="00DE6E81"/>
    <w:rsid w:val="00DE703F"/>
    <w:rsid w:val="00DE7595"/>
    <w:rsid w:val="00DF1961"/>
    <w:rsid w:val="00DF44DE"/>
    <w:rsid w:val="00DF4A10"/>
    <w:rsid w:val="00DF4A29"/>
    <w:rsid w:val="00DF4CB9"/>
    <w:rsid w:val="00E01138"/>
    <w:rsid w:val="00E01B76"/>
    <w:rsid w:val="00E02DFB"/>
    <w:rsid w:val="00E030F9"/>
    <w:rsid w:val="00E0311A"/>
    <w:rsid w:val="00E03138"/>
    <w:rsid w:val="00E06404"/>
    <w:rsid w:val="00E0706E"/>
    <w:rsid w:val="00E07BCA"/>
    <w:rsid w:val="00E11A85"/>
    <w:rsid w:val="00E12495"/>
    <w:rsid w:val="00E150BD"/>
    <w:rsid w:val="00E15CCD"/>
    <w:rsid w:val="00E15D9E"/>
    <w:rsid w:val="00E176C3"/>
    <w:rsid w:val="00E202EF"/>
    <w:rsid w:val="00E210B5"/>
    <w:rsid w:val="00E22D1F"/>
    <w:rsid w:val="00E24404"/>
    <w:rsid w:val="00E2552F"/>
    <w:rsid w:val="00E3137A"/>
    <w:rsid w:val="00E32213"/>
    <w:rsid w:val="00E32CCF"/>
    <w:rsid w:val="00E33542"/>
    <w:rsid w:val="00E34A98"/>
    <w:rsid w:val="00E3589E"/>
    <w:rsid w:val="00E35D1E"/>
    <w:rsid w:val="00E364F9"/>
    <w:rsid w:val="00E365FA"/>
    <w:rsid w:val="00E36789"/>
    <w:rsid w:val="00E37FA3"/>
    <w:rsid w:val="00E44A83"/>
    <w:rsid w:val="00E502C1"/>
    <w:rsid w:val="00E502DD"/>
    <w:rsid w:val="00E50D3A"/>
    <w:rsid w:val="00E51387"/>
    <w:rsid w:val="00E51E68"/>
    <w:rsid w:val="00E52EFD"/>
    <w:rsid w:val="00E5408A"/>
    <w:rsid w:val="00E5523A"/>
    <w:rsid w:val="00E56800"/>
    <w:rsid w:val="00E5696D"/>
    <w:rsid w:val="00E57658"/>
    <w:rsid w:val="00E613AF"/>
    <w:rsid w:val="00E62FF9"/>
    <w:rsid w:val="00E635D6"/>
    <w:rsid w:val="00E639BC"/>
    <w:rsid w:val="00E65726"/>
    <w:rsid w:val="00E664CC"/>
    <w:rsid w:val="00E70388"/>
    <w:rsid w:val="00E70B15"/>
    <w:rsid w:val="00E70F92"/>
    <w:rsid w:val="00E72662"/>
    <w:rsid w:val="00E72B14"/>
    <w:rsid w:val="00E74C54"/>
    <w:rsid w:val="00E7748F"/>
    <w:rsid w:val="00E77A03"/>
    <w:rsid w:val="00E77E7A"/>
    <w:rsid w:val="00E822E8"/>
    <w:rsid w:val="00E82554"/>
    <w:rsid w:val="00E82606"/>
    <w:rsid w:val="00E84368"/>
    <w:rsid w:val="00E846C8"/>
    <w:rsid w:val="00E84957"/>
    <w:rsid w:val="00E84A55"/>
    <w:rsid w:val="00E85BFF"/>
    <w:rsid w:val="00E8715C"/>
    <w:rsid w:val="00E90391"/>
    <w:rsid w:val="00E906C2"/>
    <w:rsid w:val="00E9070B"/>
    <w:rsid w:val="00E9311F"/>
    <w:rsid w:val="00E934D1"/>
    <w:rsid w:val="00E94AF0"/>
    <w:rsid w:val="00E95D13"/>
    <w:rsid w:val="00E95DD3"/>
    <w:rsid w:val="00E969D5"/>
    <w:rsid w:val="00E97702"/>
    <w:rsid w:val="00E9771F"/>
    <w:rsid w:val="00EA0F32"/>
    <w:rsid w:val="00EA109B"/>
    <w:rsid w:val="00EA2AB9"/>
    <w:rsid w:val="00EA58D1"/>
    <w:rsid w:val="00EA61BC"/>
    <w:rsid w:val="00EA681A"/>
    <w:rsid w:val="00EA735B"/>
    <w:rsid w:val="00EA7374"/>
    <w:rsid w:val="00EA7E84"/>
    <w:rsid w:val="00EB0203"/>
    <w:rsid w:val="00EB1E69"/>
    <w:rsid w:val="00EB2086"/>
    <w:rsid w:val="00EB3268"/>
    <w:rsid w:val="00EB3371"/>
    <w:rsid w:val="00EB513B"/>
    <w:rsid w:val="00EB546F"/>
    <w:rsid w:val="00EB5EDF"/>
    <w:rsid w:val="00EB60FE"/>
    <w:rsid w:val="00EB74DB"/>
    <w:rsid w:val="00EC17BD"/>
    <w:rsid w:val="00EC2860"/>
    <w:rsid w:val="00EC5359"/>
    <w:rsid w:val="00EC562A"/>
    <w:rsid w:val="00EC5C7C"/>
    <w:rsid w:val="00EC6C3F"/>
    <w:rsid w:val="00EC7023"/>
    <w:rsid w:val="00ED067A"/>
    <w:rsid w:val="00ED2B50"/>
    <w:rsid w:val="00ED57FA"/>
    <w:rsid w:val="00ED5944"/>
    <w:rsid w:val="00ED5DA1"/>
    <w:rsid w:val="00ED6D08"/>
    <w:rsid w:val="00ED7CAF"/>
    <w:rsid w:val="00EE0350"/>
    <w:rsid w:val="00EE0719"/>
    <w:rsid w:val="00EE0E80"/>
    <w:rsid w:val="00EE4815"/>
    <w:rsid w:val="00EE613F"/>
    <w:rsid w:val="00EE7295"/>
    <w:rsid w:val="00EE72A0"/>
    <w:rsid w:val="00EE7869"/>
    <w:rsid w:val="00EF054A"/>
    <w:rsid w:val="00EF3235"/>
    <w:rsid w:val="00EF7E72"/>
    <w:rsid w:val="00F014EE"/>
    <w:rsid w:val="00F01542"/>
    <w:rsid w:val="00F02535"/>
    <w:rsid w:val="00F034CD"/>
    <w:rsid w:val="00F061C7"/>
    <w:rsid w:val="00F06D37"/>
    <w:rsid w:val="00F07B9D"/>
    <w:rsid w:val="00F10926"/>
    <w:rsid w:val="00F11586"/>
    <w:rsid w:val="00F1183B"/>
    <w:rsid w:val="00F11C9F"/>
    <w:rsid w:val="00F12263"/>
    <w:rsid w:val="00F1409D"/>
    <w:rsid w:val="00F14214"/>
    <w:rsid w:val="00F157A9"/>
    <w:rsid w:val="00F16821"/>
    <w:rsid w:val="00F24616"/>
    <w:rsid w:val="00F259A9"/>
    <w:rsid w:val="00F25BB6"/>
    <w:rsid w:val="00F26B7E"/>
    <w:rsid w:val="00F27A3B"/>
    <w:rsid w:val="00F33817"/>
    <w:rsid w:val="00F3447F"/>
    <w:rsid w:val="00F34BDA"/>
    <w:rsid w:val="00F40A26"/>
    <w:rsid w:val="00F420D5"/>
    <w:rsid w:val="00F42FC3"/>
    <w:rsid w:val="00F451BC"/>
    <w:rsid w:val="00F451EA"/>
    <w:rsid w:val="00F45447"/>
    <w:rsid w:val="00F456C6"/>
    <w:rsid w:val="00F4577B"/>
    <w:rsid w:val="00F46496"/>
    <w:rsid w:val="00F474D0"/>
    <w:rsid w:val="00F50179"/>
    <w:rsid w:val="00F5206A"/>
    <w:rsid w:val="00F5349B"/>
    <w:rsid w:val="00F53CCE"/>
    <w:rsid w:val="00F56511"/>
    <w:rsid w:val="00F60050"/>
    <w:rsid w:val="00F6194E"/>
    <w:rsid w:val="00F61D02"/>
    <w:rsid w:val="00F623AC"/>
    <w:rsid w:val="00F62B37"/>
    <w:rsid w:val="00F6412A"/>
    <w:rsid w:val="00F65893"/>
    <w:rsid w:val="00F66A4A"/>
    <w:rsid w:val="00F673F0"/>
    <w:rsid w:val="00F6778F"/>
    <w:rsid w:val="00F701BE"/>
    <w:rsid w:val="00F71E22"/>
    <w:rsid w:val="00F72142"/>
    <w:rsid w:val="00F72AE7"/>
    <w:rsid w:val="00F739D0"/>
    <w:rsid w:val="00F77D98"/>
    <w:rsid w:val="00F833BA"/>
    <w:rsid w:val="00F83F4F"/>
    <w:rsid w:val="00F849D8"/>
    <w:rsid w:val="00F84FD0"/>
    <w:rsid w:val="00F859A8"/>
    <w:rsid w:val="00F9108B"/>
    <w:rsid w:val="00F91349"/>
    <w:rsid w:val="00F93A8A"/>
    <w:rsid w:val="00F94472"/>
    <w:rsid w:val="00F95248"/>
    <w:rsid w:val="00F956A9"/>
    <w:rsid w:val="00F963ED"/>
    <w:rsid w:val="00F966CF"/>
    <w:rsid w:val="00F96CAE"/>
    <w:rsid w:val="00F97C99"/>
    <w:rsid w:val="00FA471F"/>
    <w:rsid w:val="00FA662D"/>
    <w:rsid w:val="00FA6730"/>
    <w:rsid w:val="00FA73B1"/>
    <w:rsid w:val="00FA76AD"/>
    <w:rsid w:val="00FB0CB9"/>
    <w:rsid w:val="00FB3D14"/>
    <w:rsid w:val="00FB45F1"/>
    <w:rsid w:val="00FB4A72"/>
    <w:rsid w:val="00FB5438"/>
    <w:rsid w:val="00FB54E8"/>
    <w:rsid w:val="00FB7054"/>
    <w:rsid w:val="00FB75B0"/>
    <w:rsid w:val="00FB7FC0"/>
    <w:rsid w:val="00FC01F0"/>
    <w:rsid w:val="00FC17B7"/>
    <w:rsid w:val="00FC29A3"/>
    <w:rsid w:val="00FC2CB7"/>
    <w:rsid w:val="00FC2FA2"/>
    <w:rsid w:val="00FC4090"/>
    <w:rsid w:val="00FC55B4"/>
    <w:rsid w:val="00FD00E6"/>
    <w:rsid w:val="00FD09A1"/>
    <w:rsid w:val="00FD1330"/>
    <w:rsid w:val="00FD2A7C"/>
    <w:rsid w:val="00FD5613"/>
    <w:rsid w:val="00FD56AC"/>
    <w:rsid w:val="00FD59EB"/>
    <w:rsid w:val="00FD6724"/>
    <w:rsid w:val="00FD7299"/>
    <w:rsid w:val="00FE1FBE"/>
    <w:rsid w:val="00FE2E36"/>
    <w:rsid w:val="00FE361A"/>
    <w:rsid w:val="00FE3901"/>
    <w:rsid w:val="00FE39D3"/>
    <w:rsid w:val="00FE4BCE"/>
    <w:rsid w:val="00FE54AE"/>
    <w:rsid w:val="00FE576A"/>
    <w:rsid w:val="00FE7E79"/>
    <w:rsid w:val="00FF36C4"/>
    <w:rsid w:val="00FF3E7D"/>
    <w:rsid w:val="00FF5B99"/>
    <w:rsid w:val="00FF730C"/>
    <w:rsid w:val="00FF73F4"/>
    <w:rsid w:val="00FF7CE4"/>
    <w:rsid w:val="00FF7E39"/>
    <w:rsid w:val="16057358"/>
    <w:rsid w:val="2F905E5D"/>
    <w:rsid w:val="3D2939A7"/>
    <w:rsid w:val="43597A2A"/>
    <w:rsid w:val="6518026A"/>
    <w:rsid w:val="65B12CD8"/>
    <w:rsid w:val="73806C2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Calibri" w:hAnsi="Calibri"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qFormat="1" w:uiPriority="39" w:semiHidden="0" w:name="toc 3"/>
    <w:lsdException w:qFormat="1" w:uiPriority="39" w:semiHidden="0" w:name="toc 4"/>
    <w:lsdException w:qFormat="1" w:uiPriority="39" w:semiHidden="0" w:name="toc 5"/>
    <w:lsdException w:qFormat="1" w:uiPriority="39" w:semiHidden="0" w:name="toc 6"/>
    <w:lsdException w:qFormat="1" w:uiPriority="39" w:semiHidden="0" w:name="toc 7"/>
    <w:lsdException w:uiPriority="0" w:name="toc 8"/>
    <w:lsdException w:uiPriority="0" w:name="toc 9"/>
    <w:lsdException w:qFormat="1" w:unhideWhenUsed="0" w:uiPriority="0" w:semiHidden="0" w:name="Normal Indent"/>
    <w:lsdException w:qFormat="1" w:unhideWhenUsed="0" w:uiPriority="0" w:name="footnote text"/>
    <w:lsdException w:uiPriority="99" w:name="annotation text"/>
    <w:lsdException w:qFormat="1" w:unhideWhenUsed="0" w:uiPriority="99" w:semiHidden="0" w:name="header"/>
    <w:lsdException w:qFormat="1" w:unhideWhenUsed="0" w:uiPriority="99" w:semiHidden="0" w:name="footer"/>
    <w:lsdException w:uiPriority="99" w:name="index heading"/>
    <w:lsdException w:qFormat="1" w:uiPriority="35" w:name="caption"/>
    <w:lsdException w:qFormat="1" w:unhideWhenUsed="0" w:uiPriority="0" w:name="table of figures"/>
    <w:lsdException w:uiPriority="99" w:name="envelope address"/>
    <w:lsdException w:uiPriority="99" w:name="envelope return"/>
    <w:lsdException w:qFormat="1" w:unhideWhenUsed="0" w:uiPriority="0" w:name="footnote reference"/>
    <w:lsdException w:uiPriority="99" w:name="annotation reference"/>
    <w:lsdException w:uiPriority="99" w:name="line number"/>
    <w:lsdException w:qFormat="1" w:unhideWhenUsed="0" w:uiPriority="0" w:semiHidden="0"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0" w:semiHidden="0" w:name="Title"/>
    <w:lsdException w:uiPriority="99" w:name="Closing"/>
    <w:lsdException w:uiPriority="99" w:name="Signature"/>
    <w:lsdException w:qFormat="1" w:uiPriority="1" w:name="Default Paragraph Font"/>
    <w:lsdException w:qFormat="1" w:unhideWhenUsed="0" w:uiPriority="0" w:semiHidden="0"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nhideWhenUsed="0"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qFormat="1" w:unhideWhenUsed="0" w:uiPriority="39" w:semiHidden="0" w:name="Table Grid"/>
    <w:lsdException w:uiPriority="99" w:name="Table Theme"/>
    <w:lsdException w:qFormat="1" w:unhideWhenUsed="0" w:uiPriority="99" w:name="Placeholder Text"/>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29" w:semiHidden="0" w:name="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adjustRightInd w:val="0"/>
      <w:spacing w:line="400" w:lineRule="exact"/>
      <w:jc w:val="both"/>
    </w:pPr>
    <w:rPr>
      <w:rFonts w:ascii="Calibri" w:hAnsi="Calibri" w:eastAsia="宋体" w:cs="Times New Roman"/>
      <w:kern w:val="2"/>
      <w:sz w:val="21"/>
      <w:szCs w:val="21"/>
      <w:lang w:val="en-US" w:eastAsia="zh-CN" w:bidi="ar-SA"/>
    </w:rPr>
  </w:style>
  <w:style w:type="paragraph" w:styleId="2">
    <w:name w:val="heading 1"/>
    <w:basedOn w:val="1"/>
    <w:next w:val="1"/>
    <w:link w:val="34"/>
    <w:qFormat/>
    <w:uiPriority w:val="0"/>
    <w:pPr>
      <w:keepNext/>
      <w:keepLines/>
      <w:spacing w:before="340" w:after="330" w:line="578" w:lineRule="auto"/>
      <w:outlineLvl w:val="0"/>
    </w:pPr>
    <w:rPr>
      <w:b/>
      <w:bCs/>
      <w:kern w:val="44"/>
      <w:sz w:val="44"/>
      <w:szCs w:val="44"/>
    </w:rPr>
  </w:style>
  <w:style w:type="paragraph" w:styleId="3">
    <w:name w:val="heading 2"/>
    <w:basedOn w:val="1"/>
    <w:next w:val="1"/>
    <w:link w:val="35"/>
    <w:qFormat/>
    <w:uiPriority w:val="0"/>
    <w:pPr>
      <w:keepNext/>
      <w:keepLines/>
      <w:spacing w:before="260" w:after="260" w:line="416" w:lineRule="auto"/>
      <w:outlineLvl w:val="1"/>
    </w:pPr>
    <w:rPr>
      <w:rFonts w:ascii="Arial" w:hAnsi="Arial" w:eastAsia="黑体"/>
      <w:b/>
      <w:bCs/>
      <w:sz w:val="32"/>
      <w:szCs w:val="32"/>
    </w:rPr>
  </w:style>
  <w:style w:type="paragraph" w:styleId="4">
    <w:name w:val="heading 3"/>
    <w:basedOn w:val="1"/>
    <w:next w:val="1"/>
    <w:link w:val="36"/>
    <w:qFormat/>
    <w:uiPriority w:val="0"/>
    <w:pPr>
      <w:keepNext/>
      <w:keepLines/>
      <w:spacing w:before="260" w:after="260" w:line="416" w:lineRule="auto"/>
      <w:outlineLvl w:val="2"/>
    </w:pPr>
    <w:rPr>
      <w:b/>
      <w:bCs/>
      <w:sz w:val="32"/>
      <w:szCs w:val="32"/>
    </w:rPr>
  </w:style>
  <w:style w:type="paragraph" w:styleId="5">
    <w:name w:val="heading 4"/>
    <w:basedOn w:val="1"/>
    <w:next w:val="1"/>
    <w:link w:val="37"/>
    <w:qFormat/>
    <w:uiPriority w:val="0"/>
    <w:pPr>
      <w:keepNext/>
      <w:keepLines/>
      <w:spacing w:before="280" w:after="290" w:line="376" w:lineRule="auto"/>
      <w:outlineLvl w:val="3"/>
    </w:pPr>
    <w:rPr>
      <w:rFonts w:ascii="Arial" w:hAnsi="Arial" w:eastAsia="黑体"/>
      <w:b/>
      <w:bCs/>
      <w:sz w:val="28"/>
      <w:szCs w:val="28"/>
    </w:rPr>
  </w:style>
  <w:style w:type="paragraph" w:styleId="6">
    <w:name w:val="heading 5"/>
    <w:basedOn w:val="1"/>
    <w:next w:val="1"/>
    <w:link w:val="38"/>
    <w:qFormat/>
    <w:uiPriority w:val="0"/>
    <w:pPr>
      <w:keepNext/>
      <w:keepLines/>
      <w:adjustRightInd/>
      <w:spacing w:before="280" w:after="290" w:line="376" w:lineRule="auto"/>
      <w:outlineLvl w:val="4"/>
    </w:pPr>
    <w:rPr>
      <w:b/>
      <w:bCs/>
      <w:sz w:val="28"/>
      <w:szCs w:val="28"/>
    </w:rPr>
  </w:style>
  <w:style w:type="paragraph" w:styleId="7">
    <w:name w:val="heading 6"/>
    <w:basedOn w:val="1"/>
    <w:next w:val="1"/>
    <w:link w:val="39"/>
    <w:qFormat/>
    <w:uiPriority w:val="0"/>
    <w:pPr>
      <w:keepNext/>
      <w:keepLines/>
      <w:adjustRightInd/>
      <w:spacing w:before="240" w:after="64" w:line="320" w:lineRule="auto"/>
      <w:outlineLvl w:val="5"/>
    </w:pPr>
    <w:rPr>
      <w:rFonts w:ascii="Arial" w:hAnsi="Arial" w:eastAsia="黑体"/>
      <w:b/>
      <w:bCs/>
      <w:sz w:val="24"/>
      <w:szCs w:val="24"/>
    </w:rPr>
  </w:style>
  <w:style w:type="paragraph" w:styleId="8">
    <w:name w:val="heading 7"/>
    <w:basedOn w:val="1"/>
    <w:next w:val="1"/>
    <w:link w:val="40"/>
    <w:qFormat/>
    <w:uiPriority w:val="0"/>
    <w:pPr>
      <w:keepNext/>
      <w:keepLines/>
      <w:adjustRightInd/>
      <w:spacing w:before="240" w:after="64" w:line="320" w:lineRule="auto"/>
      <w:outlineLvl w:val="6"/>
    </w:pPr>
    <w:rPr>
      <w:b/>
      <w:bCs/>
      <w:sz w:val="24"/>
      <w:szCs w:val="24"/>
    </w:rPr>
  </w:style>
  <w:style w:type="paragraph" w:styleId="9">
    <w:name w:val="heading 8"/>
    <w:basedOn w:val="1"/>
    <w:next w:val="1"/>
    <w:link w:val="41"/>
    <w:qFormat/>
    <w:uiPriority w:val="0"/>
    <w:pPr>
      <w:keepNext/>
      <w:keepLines/>
      <w:adjustRightInd/>
      <w:spacing w:before="240" w:after="64" w:line="320" w:lineRule="auto"/>
      <w:outlineLvl w:val="7"/>
    </w:pPr>
    <w:rPr>
      <w:rFonts w:ascii="Arial" w:hAnsi="Arial" w:eastAsia="黑体"/>
      <w:sz w:val="24"/>
      <w:szCs w:val="24"/>
    </w:rPr>
  </w:style>
  <w:style w:type="paragraph" w:styleId="10">
    <w:name w:val="heading 9"/>
    <w:basedOn w:val="1"/>
    <w:next w:val="1"/>
    <w:link w:val="42"/>
    <w:qFormat/>
    <w:uiPriority w:val="0"/>
    <w:pPr>
      <w:keepNext/>
      <w:keepLines/>
      <w:adjustRightInd/>
      <w:spacing w:before="240" w:after="64" w:line="320" w:lineRule="auto"/>
      <w:outlineLvl w:val="8"/>
    </w:pPr>
    <w:rPr>
      <w:rFonts w:ascii="Arial" w:hAnsi="Arial" w:eastAsia="黑体"/>
    </w:rPr>
  </w:style>
  <w:style w:type="character" w:default="1" w:styleId="28">
    <w:name w:val="Default Paragraph Font"/>
    <w:semiHidden/>
    <w:unhideWhenUsed/>
    <w:qFormat/>
    <w:uiPriority w:val="1"/>
  </w:style>
  <w:style w:type="table" w:default="1" w:styleId="26">
    <w:name w:val="Normal Table"/>
    <w:semiHidden/>
    <w:unhideWhenUsed/>
    <w:uiPriority w:val="99"/>
    <w:tblPr>
      <w:tblCellMar>
        <w:top w:w="0" w:type="dxa"/>
        <w:left w:w="108" w:type="dxa"/>
        <w:bottom w:w="0" w:type="dxa"/>
        <w:right w:w="108" w:type="dxa"/>
      </w:tblCellMar>
    </w:tblPr>
  </w:style>
  <w:style w:type="paragraph" w:styleId="11">
    <w:name w:val="toc 7"/>
    <w:basedOn w:val="1"/>
    <w:next w:val="1"/>
    <w:autoRedefine/>
    <w:unhideWhenUsed/>
    <w:qFormat/>
    <w:uiPriority w:val="39"/>
    <w:pPr>
      <w:tabs>
        <w:tab w:val="right" w:leader="dot" w:pos="9344"/>
      </w:tabs>
      <w:spacing w:line="300" w:lineRule="exact"/>
      <w:ind w:left="1259"/>
    </w:pPr>
    <w:rPr>
      <w:rFonts w:ascii="宋体"/>
    </w:rPr>
  </w:style>
  <w:style w:type="paragraph" w:styleId="12">
    <w:name w:val="Normal Indent"/>
    <w:basedOn w:val="1"/>
    <w:qFormat/>
    <w:uiPriority w:val="0"/>
    <w:pPr>
      <w:ind w:firstLine="420"/>
    </w:pPr>
  </w:style>
  <w:style w:type="paragraph" w:styleId="13">
    <w:name w:val="Body Text"/>
    <w:basedOn w:val="1"/>
    <w:link w:val="86"/>
    <w:qFormat/>
    <w:uiPriority w:val="0"/>
    <w:pPr>
      <w:spacing w:after="120"/>
    </w:pPr>
  </w:style>
  <w:style w:type="paragraph" w:styleId="14">
    <w:name w:val="toc 5"/>
    <w:basedOn w:val="1"/>
    <w:next w:val="1"/>
    <w:autoRedefine/>
    <w:unhideWhenUsed/>
    <w:qFormat/>
    <w:uiPriority w:val="39"/>
    <w:pPr>
      <w:ind w:left="839"/>
    </w:pPr>
    <w:rPr>
      <w:rFonts w:ascii="宋体"/>
    </w:rPr>
  </w:style>
  <w:style w:type="paragraph" w:styleId="15">
    <w:name w:val="toc 3"/>
    <w:basedOn w:val="1"/>
    <w:next w:val="1"/>
    <w:autoRedefine/>
    <w:unhideWhenUsed/>
    <w:qFormat/>
    <w:uiPriority w:val="39"/>
    <w:pPr>
      <w:spacing w:line="300" w:lineRule="exact"/>
      <w:ind w:left="420"/>
    </w:pPr>
    <w:rPr>
      <w:rFonts w:ascii="宋体"/>
    </w:rPr>
  </w:style>
  <w:style w:type="paragraph" w:styleId="16">
    <w:name w:val="Balloon Text"/>
    <w:basedOn w:val="1"/>
    <w:link w:val="45"/>
    <w:semiHidden/>
    <w:unhideWhenUsed/>
    <w:qFormat/>
    <w:uiPriority w:val="99"/>
    <w:rPr>
      <w:sz w:val="18"/>
      <w:szCs w:val="18"/>
    </w:rPr>
  </w:style>
  <w:style w:type="paragraph" w:styleId="17">
    <w:name w:val="footer"/>
    <w:basedOn w:val="1"/>
    <w:link w:val="44"/>
    <w:qFormat/>
    <w:uiPriority w:val="99"/>
    <w:pPr>
      <w:tabs>
        <w:tab w:val="center" w:pos="4153"/>
        <w:tab w:val="right" w:pos="8306"/>
      </w:tabs>
      <w:adjustRightInd/>
      <w:snapToGrid w:val="0"/>
      <w:spacing w:line="240" w:lineRule="auto"/>
      <w:jc w:val="right"/>
    </w:pPr>
    <w:rPr>
      <w:rFonts w:ascii="宋体"/>
      <w:sz w:val="18"/>
      <w:szCs w:val="18"/>
    </w:rPr>
  </w:style>
  <w:style w:type="paragraph" w:styleId="18">
    <w:name w:val="header"/>
    <w:basedOn w:val="1"/>
    <w:link w:val="43"/>
    <w:qFormat/>
    <w:uiPriority w:val="99"/>
    <w:pPr>
      <w:tabs>
        <w:tab w:val="center" w:pos="4153"/>
        <w:tab w:val="right" w:pos="8306"/>
      </w:tabs>
      <w:adjustRightInd/>
      <w:snapToGrid w:val="0"/>
      <w:jc w:val="center"/>
    </w:pPr>
    <w:rPr>
      <w:sz w:val="18"/>
      <w:szCs w:val="18"/>
    </w:rPr>
  </w:style>
  <w:style w:type="paragraph" w:styleId="19">
    <w:name w:val="toc 1"/>
    <w:basedOn w:val="1"/>
    <w:next w:val="1"/>
    <w:autoRedefine/>
    <w:unhideWhenUsed/>
    <w:qFormat/>
    <w:uiPriority w:val="39"/>
    <w:rPr>
      <w:rFonts w:ascii="宋体"/>
    </w:rPr>
  </w:style>
  <w:style w:type="paragraph" w:styleId="20">
    <w:name w:val="toc 4"/>
    <w:basedOn w:val="1"/>
    <w:next w:val="1"/>
    <w:autoRedefine/>
    <w:unhideWhenUsed/>
    <w:qFormat/>
    <w:uiPriority w:val="39"/>
    <w:pPr>
      <w:tabs>
        <w:tab w:val="right" w:leader="dot" w:pos="9344"/>
      </w:tabs>
      <w:spacing w:line="300" w:lineRule="exact"/>
      <w:ind w:left="629"/>
    </w:pPr>
    <w:rPr>
      <w:rFonts w:ascii="宋体"/>
    </w:rPr>
  </w:style>
  <w:style w:type="paragraph" w:styleId="21">
    <w:name w:val="footnote text"/>
    <w:basedOn w:val="1"/>
    <w:next w:val="1"/>
    <w:link w:val="99"/>
    <w:semiHidden/>
    <w:qFormat/>
    <w:uiPriority w:val="0"/>
    <w:pPr>
      <w:adjustRightInd/>
      <w:snapToGrid w:val="0"/>
      <w:spacing w:line="300" w:lineRule="exact"/>
      <w:ind w:left="400" w:leftChars="200" w:hanging="200" w:hangingChars="200"/>
      <w:jc w:val="left"/>
    </w:pPr>
    <w:rPr>
      <w:rFonts w:ascii="宋体"/>
      <w:sz w:val="18"/>
      <w:szCs w:val="18"/>
    </w:rPr>
  </w:style>
  <w:style w:type="paragraph" w:styleId="22">
    <w:name w:val="toc 6"/>
    <w:basedOn w:val="1"/>
    <w:next w:val="1"/>
    <w:autoRedefine/>
    <w:unhideWhenUsed/>
    <w:qFormat/>
    <w:uiPriority w:val="39"/>
    <w:pPr>
      <w:spacing w:line="300" w:lineRule="exact"/>
      <w:ind w:left="1049"/>
    </w:pPr>
    <w:rPr>
      <w:rFonts w:ascii="宋体"/>
    </w:rPr>
  </w:style>
  <w:style w:type="paragraph" w:styleId="23">
    <w:name w:val="table of figures"/>
    <w:basedOn w:val="1"/>
    <w:next w:val="1"/>
    <w:semiHidden/>
    <w:qFormat/>
    <w:uiPriority w:val="0"/>
    <w:pPr>
      <w:adjustRightInd/>
      <w:spacing w:line="240" w:lineRule="auto"/>
      <w:jc w:val="left"/>
    </w:pPr>
    <w:rPr>
      <w:szCs w:val="24"/>
    </w:rPr>
  </w:style>
  <w:style w:type="paragraph" w:styleId="24">
    <w:name w:val="toc 2"/>
    <w:basedOn w:val="1"/>
    <w:next w:val="1"/>
    <w:autoRedefine/>
    <w:unhideWhenUsed/>
    <w:qFormat/>
    <w:uiPriority w:val="39"/>
    <w:pPr>
      <w:tabs>
        <w:tab w:val="right" w:leader="dot" w:pos="9344"/>
      </w:tabs>
      <w:spacing w:line="300" w:lineRule="exact"/>
      <w:ind w:left="210"/>
    </w:pPr>
    <w:rPr>
      <w:rFonts w:ascii="宋体"/>
    </w:rPr>
  </w:style>
  <w:style w:type="paragraph" w:styleId="25">
    <w:name w:val="Title"/>
    <w:basedOn w:val="1"/>
    <w:link w:val="48"/>
    <w:qFormat/>
    <w:uiPriority w:val="0"/>
    <w:pPr>
      <w:spacing w:before="240" w:after="60"/>
      <w:jc w:val="center"/>
      <w:outlineLvl w:val="0"/>
    </w:pPr>
    <w:rPr>
      <w:rFonts w:ascii="Arial" w:hAnsi="Arial" w:cs="Arial"/>
      <w:b/>
      <w:bCs/>
      <w:sz w:val="32"/>
      <w:szCs w:val="32"/>
    </w:rPr>
  </w:style>
  <w:style w:type="table" w:styleId="27">
    <w:name w:val="Table Grid"/>
    <w:basedOn w:val="26"/>
    <w:qFormat/>
    <w:uiPriority w:val="3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29">
    <w:name w:val="Strong"/>
    <w:qFormat/>
    <w:uiPriority w:val="22"/>
    <w:rPr>
      <w:b/>
      <w:bCs/>
    </w:rPr>
  </w:style>
  <w:style w:type="character" w:styleId="30">
    <w:name w:val="page number"/>
    <w:qFormat/>
    <w:uiPriority w:val="0"/>
    <w:rPr>
      <w:rFonts w:ascii="宋体" w:hAnsi="Times New Roman" w:eastAsia="宋体"/>
      <w:sz w:val="18"/>
    </w:rPr>
  </w:style>
  <w:style w:type="character" w:styleId="31">
    <w:name w:val="Emphasis"/>
    <w:qFormat/>
    <w:uiPriority w:val="20"/>
    <w:rPr>
      <w:i/>
      <w:iCs/>
    </w:rPr>
  </w:style>
  <w:style w:type="character" w:styleId="32">
    <w:name w:val="Hyperlink"/>
    <w:qFormat/>
    <w:uiPriority w:val="99"/>
    <w:rPr>
      <w:rFonts w:ascii="宋体" w:hAnsi="Times New Roman" w:eastAsia="宋体"/>
      <w:color w:val="auto"/>
      <w:spacing w:val="0"/>
      <w:w w:val="100"/>
      <w:position w:val="0"/>
      <w:sz w:val="21"/>
      <w:u w:val="none"/>
      <w:vertAlign w:val="baseline"/>
    </w:rPr>
  </w:style>
  <w:style w:type="character" w:styleId="33">
    <w:name w:val="footnote reference"/>
    <w:semiHidden/>
    <w:qFormat/>
    <w:uiPriority w:val="0"/>
    <w:rPr>
      <w:rFonts w:ascii="宋体" w:hAnsi="宋体" w:eastAsia="宋体" w:cs="Times New Roman"/>
      <w:spacing w:val="0"/>
      <w:sz w:val="18"/>
      <w:vertAlign w:val="superscript"/>
    </w:rPr>
  </w:style>
  <w:style w:type="character" w:customStyle="1" w:styleId="34">
    <w:name w:val="标题 1 字符"/>
    <w:link w:val="2"/>
    <w:qFormat/>
    <w:uiPriority w:val="0"/>
    <w:rPr>
      <w:b/>
      <w:bCs/>
      <w:kern w:val="44"/>
      <w:sz w:val="44"/>
      <w:szCs w:val="44"/>
    </w:rPr>
  </w:style>
  <w:style w:type="character" w:customStyle="1" w:styleId="35">
    <w:name w:val="标题 2 字符"/>
    <w:link w:val="3"/>
    <w:qFormat/>
    <w:uiPriority w:val="0"/>
    <w:rPr>
      <w:rFonts w:ascii="Arial" w:hAnsi="Arial" w:eastAsia="黑体"/>
      <w:b/>
      <w:bCs/>
      <w:kern w:val="2"/>
      <w:sz w:val="32"/>
      <w:szCs w:val="32"/>
    </w:rPr>
  </w:style>
  <w:style w:type="character" w:customStyle="1" w:styleId="36">
    <w:name w:val="标题 3 字符"/>
    <w:link w:val="4"/>
    <w:qFormat/>
    <w:uiPriority w:val="0"/>
    <w:rPr>
      <w:b/>
      <w:bCs/>
      <w:kern w:val="2"/>
      <w:sz w:val="32"/>
      <w:szCs w:val="32"/>
    </w:rPr>
  </w:style>
  <w:style w:type="character" w:customStyle="1" w:styleId="37">
    <w:name w:val="标题 4 字符"/>
    <w:link w:val="5"/>
    <w:qFormat/>
    <w:uiPriority w:val="0"/>
    <w:rPr>
      <w:rFonts w:ascii="Arial" w:hAnsi="Arial" w:eastAsia="黑体"/>
      <w:b/>
      <w:bCs/>
      <w:kern w:val="2"/>
      <w:sz w:val="28"/>
      <w:szCs w:val="28"/>
    </w:rPr>
  </w:style>
  <w:style w:type="character" w:customStyle="1" w:styleId="38">
    <w:name w:val="标题 5 字符"/>
    <w:link w:val="6"/>
    <w:qFormat/>
    <w:uiPriority w:val="0"/>
    <w:rPr>
      <w:b/>
      <w:bCs/>
      <w:kern w:val="2"/>
      <w:sz w:val="28"/>
      <w:szCs w:val="28"/>
    </w:rPr>
  </w:style>
  <w:style w:type="character" w:customStyle="1" w:styleId="39">
    <w:name w:val="标题 6 字符"/>
    <w:link w:val="7"/>
    <w:qFormat/>
    <w:uiPriority w:val="0"/>
    <w:rPr>
      <w:rFonts w:ascii="Arial" w:hAnsi="Arial" w:eastAsia="黑体"/>
      <w:b/>
      <w:bCs/>
      <w:kern w:val="2"/>
      <w:sz w:val="24"/>
      <w:szCs w:val="24"/>
    </w:rPr>
  </w:style>
  <w:style w:type="character" w:customStyle="1" w:styleId="40">
    <w:name w:val="标题 7 字符"/>
    <w:link w:val="8"/>
    <w:qFormat/>
    <w:uiPriority w:val="0"/>
    <w:rPr>
      <w:b/>
      <w:bCs/>
      <w:kern w:val="2"/>
      <w:sz w:val="24"/>
      <w:szCs w:val="24"/>
    </w:rPr>
  </w:style>
  <w:style w:type="character" w:customStyle="1" w:styleId="41">
    <w:name w:val="标题 8 字符"/>
    <w:link w:val="9"/>
    <w:qFormat/>
    <w:uiPriority w:val="0"/>
    <w:rPr>
      <w:rFonts w:ascii="Arial" w:hAnsi="Arial" w:eastAsia="黑体"/>
      <w:kern w:val="2"/>
      <w:sz w:val="24"/>
      <w:szCs w:val="24"/>
    </w:rPr>
  </w:style>
  <w:style w:type="character" w:customStyle="1" w:styleId="42">
    <w:name w:val="标题 9 字符"/>
    <w:link w:val="10"/>
    <w:qFormat/>
    <w:uiPriority w:val="0"/>
    <w:rPr>
      <w:rFonts w:ascii="Arial" w:hAnsi="Arial" w:eastAsia="黑体"/>
      <w:kern w:val="2"/>
      <w:sz w:val="21"/>
      <w:szCs w:val="21"/>
    </w:rPr>
  </w:style>
  <w:style w:type="character" w:customStyle="1" w:styleId="43">
    <w:name w:val="页眉 字符"/>
    <w:link w:val="18"/>
    <w:qFormat/>
    <w:uiPriority w:val="99"/>
    <w:rPr>
      <w:kern w:val="2"/>
      <w:sz w:val="18"/>
      <w:szCs w:val="18"/>
    </w:rPr>
  </w:style>
  <w:style w:type="character" w:customStyle="1" w:styleId="44">
    <w:name w:val="页脚 字符"/>
    <w:link w:val="17"/>
    <w:qFormat/>
    <w:uiPriority w:val="99"/>
    <w:rPr>
      <w:rFonts w:ascii="宋体"/>
      <w:kern w:val="2"/>
      <w:sz w:val="18"/>
      <w:szCs w:val="18"/>
    </w:rPr>
  </w:style>
  <w:style w:type="character" w:customStyle="1" w:styleId="45">
    <w:name w:val="批注框文本 字符"/>
    <w:link w:val="16"/>
    <w:semiHidden/>
    <w:qFormat/>
    <w:uiPriority w:val="99"/>
    <w:rPr>
      <w:kern w:val="2"/>
      <w:sz w:val="18"/>
      <w:szCs w:val="18"/>
    </w:rPr>
  </w:style>
  <w:style w:type="paragraph" w:styleId="46">
    <w:name w:val="Quote"/>
    <w:basedOn w:val="1"/>
    <w:next w:val="1"/>
    <w:link w:val="47"/>
    <w:qFormat/>
    <w:uiPriority w:val="29"/>
    <w:rPr>
      <w:i/>
      <w:iCs/>
      <w:color w:val="000000"/>
    </w:rPr>
  </w:style>
  <w:style w:type="character" w:customStyle="1" w:styleId="47">
    <w:name w:val="引用 字符"/>
    <w:link w:val="46"/>
    <w:qFormat/>
    <w:uiPriority w:val="29"/>
    <w:rPr>
      <w:i/>
      <w:iCs/>
      <w:color w:val="000000"/>
      <w:kern w:val="2"/>
      <w:sz w:val="21"/>
      <w:szCs w:val="21"/>
    </w:rPr>
  </w:style>
  <w:style w:type="character" w:customStyle="1" w:styleId="48">
    <w:name w:val="标题 字符"/>
    <w:link w:val="25"/>
    <w:qFormat/>
    <w:uiPriority w:val="0"/>
    <w:rPr>
      <w:rFonts w:ascii="Arial" w:hAnsi="Arial" w:cs="Arial"/>
      <w:b/>
      <w:bCs/>
      <w:kern w:val="2"/>
      <w:sz w:val="32"/>
      <w:szCs w:val="32"/>
    </w:rPr>
  </w:style>
  <w:style w:type="paragraph" w:customStyle="1" w:styleId="49">
    <w:name w:val="标准标志"/>
    <w:next w:val="1"/>
    <w:qFormat/>
    <w:uiPriority w:val="0"/>
    <w:pPr>
      <w:framePr w:w="2268" w:h="1392" w:hRule="exact" w:wrap="around" w:vAnchor="margin" w:hAnchor="margin" w:x="6748" w:y="171" w:anchorLock="1"/>
      <w:shd w:val="solid" w:color="FFFFFF" w:fill="FFFFFF"/>
      <w:spacing w:line="0" w:lineRule="atLeast"/>
      <w:jc w:val="right"/>
    </w:pPr>
    <w:rPr>
      <w:rFonts w:ascii="Times New Roman" w:hAnsi="Times New Roman" w:eastAsia="宋体" w:cs="Times New Roman"/>
      <w:b/>
      <w:w w:val="130"/>
      <w:sz w:val="96"/>
      <w:lang w:val="en-US" w:eastAsia="zh-CN" w:bidi="ar-SA"/>
    </w:rPr>
  </w:style>
  <w:style w:type="paragraph" w:customStyle="1" w:styleId="50">
    <w:name w:val="标准称谓"/>
    <w:next w:val="1"/>
    <w:qFormat/>
    <w:uiPriority w:val="0"/>
    <w:pPr>
      <w:framePr w:w="9638" w:h="754" w:hRule="exact" w:hSpace="180" w:vSpace="180" w:wrap="around" w:vAnchor="page" w:hAnchor="margin" w:xAlign="center" w:y="2128" w:anchorLock="1"/>
      <w:widowControl w:val="0"/>
      <w:kinsoku w:val="0"/>
      <w:overflowPunct w:val="0"/>
      <w:autoSpaceDE w:val="0"/>
      <w:autoSpaceDN w:val="0"/>
      <w:spacing w:line="0" w:lineRule="atLeast"/>
      <w:jc w:val="distribute"/>
    </w:pPr>
    <w:rPr>
      <w:rFonts w:ascii="宋体" w:hAnsi="Times New Roman" w:eastAsia="宋体" w:cs="Times New Roman"/>
      <w:b/>
      <w:bCs/>
      <w:w w:val="148"/>
      <w:sz w:val="52"/>
      <w:lang w:val="en-US" w:eastAsia="zh-CN" w:bidi="ar-SA"/>
    </w:rPr>
  </w:style>
  <w:style w:type="paragraph" w:customStyle="1" w:styleId="51">
    <w:name w:val="标准文件_页脚偶数页"/>
    <w:qFormat/>
    <w:uiPriority w:val="0"/>
    <w:pPr>
      <w:ind w:left="198"/>
    </w:pPr>
    <w:rPr>
      <w:rFonts w:ascii="宋体" w:hAnsi="Times New Roman" w:eastAsia="宋体" w:cs="Times New Roman"/>
      <w:sz w:val="18"/>
      <w:lang w:val="en-US" w:eastAsia="zh-CN" w:bidi="ar-SA"/>
    </w:rPr>
  </w:style>
  <w:style w:type="paragraph" w:customStyle="1" w:styleId="52">
    <w:name w:val="标准文件_页脚奇数页"/>
    <w:qFormat/>
    <w:uiPriority w:val="0"/>
    <w:pPr>
      <w:ind w:right="227"/>
      <w:jc w:val="right"/>
    </w:pPr>
    <w:rPr>
      <w:rFonts w:ascii="宋体" w:hAnsi="Times New Roman" w:eastAsia="宋体" w:cs="Times New Roman"/>
      <w:sz w:val="18"/>
      <w:lang w:val="en-US" w:eastAsia="zh-CN" w:bidi="ar-SA"/>
    </w:rPr>
  </w:style>
  <w:style w:type="paragraph" w:customStyle="1" w:styleId="53">
    <w:name w:val="标准书眉一"/>
    <w:qFormat/>
    <w:uiPriority w:val="0"/>
    <w:pPr>
      <w:jc w:val="both"/>
    </w:pPr>
    <w:rPr>
      <w:rFonts w:ascii="Times New Roman" w:hAnsi="Times New Roman" w:eastAsia="宋体" w:cs="Times New Roman"/>
      <w:lang w:val="en-US" w:eastAsia="zh-CN" w:bidi="ar-SA"/>
    </w:rPr>
  </w:style>
  <w:style w:type="paragraph" w:customStyle="1" w:styleId="54">
    <w:name w:val="标准文件_ICS"/>
    <w:basedOn w:val="1"/>
    <w:qFormat/>
    <w:uiPriority w:val="0"/>
    <w:pPr>
      <w:spacing w:line="0" w:lineRule="atLeast"/>
    </w:pPr>
    <w:rPr>
      <w:rFonts w:ascii="黑体" w:hAnsi="宋体" w:eastAsia="黑体"/>
    </w:rPr>
  </w:style>
  <w:style w:type="paragraph" w:customStyle="1" w:styleId="55">
    <w:name w:val="标准文件_标准正文"/>
    <w:basedOn w:val="1"/>
    <w:next w:val="56"/>
    <w:qFormat/>
    <w:uiPriority w:val="0"/>
    <w:pPr>
      <w:snapToGrid w:val="0"/>
      <w:ind w:firstLine="200" w:firstLineChars="200"/>
    </w:pPr>
    <w:rPr>
      <w:kern w:val="0"/>
    </w:rPr>
  </w:style>
  <w:style w:type="paragraph" w:customStyle="1" w:styleId="56">
    <w:name w:val="标准文件_段"/>
    <w:link w:val="184"/>
    <w:qFormat/>
    <w:uiPriority w:val="0"/>
    <w:pPr>
      <w:autoSpaceDE w:val="0"/>
      <w:autoSpaceDN w:val="0"/>
      <w:ind w:firstLine="200" w:firstLineChars="200"/>
      <w:jc w:val="both"/>
    </w:pPr>
    <w:rPr>
      <w:rFonts w:ascii="Times New Roman" w:hAnsi="Times New Roman" w:eastAsia="宋体" w:cs="Times New Roman"/>
      <w:sz w:val="21"/>
      <w:lang w:val="en-US" w:eastAsia="zh-CN" w:bidi="ar-SA"/>
    </w:rPr>
  </w:style>
  <w:style w:type="paragraph" w:customStyle="1" w:styleId="57">
    <w:name w:val="标准文件_版本"/>
    <w:basedOn w:val="55"/>
    <w:qFormat/>
    <w:uiPriority w:val="0"/>
    <w:pPr>
      <w:adjustRightInd/>
      <w:snapToGrid/>
      <w:ind w:firstLine="0" w:firstLineChars="0"/>
    </w:pPr>
    <w:rPr>
      <w:rFonts w:ascii="宋体" w:hAnsi="宋体"/>
      <w:kern w:val="2"/>
    </w:rPr>
  </w:style>
  <w:style w:type="paragraph" w:customStyle="1" w:styleId="58">
    <w:name w:val="标准文件_标准部门"/>
    <w:basedOn w:val="1"/>
    <w:qFormat/>
    <w:uiPriority w:val="0"/>
    <w:pPr>
      <w:jc w:val="center"/>
    </w:pPr>
    <w:rPr>
      <w:rFonts w:ascii="黑体" w:eastAsia="黑体"/>
      <w:kern w:val="0"/>
      <w:sz w:val="44"/>
    </w:rPr>
  </w:style>
  <w:style w:type="paragraph" w:customStyle="1" w:styleId="59">
    <w:name w:val="标准文件_标准代替"/>
    <w:basedOn w:val="1"/>
    <w:next w:val="1"/>
    <w:qFormat/>
    <w:uiPriority w:val="0"/>
    <w:pPr>
      <w:spacing w:line="310" w:lineRule="exact"/>
      <w:jc w:val="right"/>
    </w:pPr>
    <w:rPr>
      <w:rFonts w:ascii="宋体" w:hAnsi="宋体"/>
      <w:kern w:val="0"/>
    </w:rPr>
  </w:style>
  <w:style w:type="paragraph" w:customStyle="1" w:styleId="60">
    <w:name w:val="标准文件_标准名称标题"/>
    <w:basedOn w:val="1"/>
    <w:next w:val="1"/>
    <w:qFormat/>
    <w:uiPriority w:val="0"/>
    <w:pPr>
      <w:widowControl/>
      <w:shd w:val="clear" w:color="FFFFFF" w:fill="FFFFFF"/>
      <w:adjustRightInd/>
      <w:spacing w:before="640" w:after="100"/>
      <w:jc w:val="center"/>
    </w:pPr>
    <w:rPr>
      <w:rFonts w:ascii="黑体" w:eastAsia="黑体"/>
      <w:kern w:val="0"/>
      <w:sz w:val="32"/>
    </w:rPr>
  </w:style>
  <w:style w:type="paragraph" w:customStyle="1" w:styleId="61">
    <w:name w:val="标准文件_页眉奇数页"/>
    <w:next w:val="1"/>
    <w:qFormat/>
    <w:uiPriority w:val="0"/>
    <w:pPr>
      <w:tabs>
        <w:tab w:val="center" w:pos="4154"/>
        <w:tab w:val="right" w:pos="8306"/>
      </w:tabs>
      <w:spacing w:after="120"/>
      <w:jc w:val="right"/>
    </w:pPr>
    <w:rPr>
      <w:rFonts w:ascii="黑体" w:hAnsi="宋体" w:eastAsia="黑体" w:cs="Times New Roman"/>
      <w:sz w:val="21"/>
      <w:lang w:val="en-US" w:eastAsia="zh-CN" w:bidi="ar-SA"/>
    </w:rPr>
  </w:style>
  <w:style w:type="paragraph" w:customStyle="1" w:styleId="62">
    <w:name w:val="标准文件_页眉偶数页"/>
    <w:basedOn w:val="61"/>
    <w:next w:val="1"/>
    <w:qFormat/>
    <w:uiPriority w:val="0"/>
    <w:pPr>
      <w:jc w:val="left"/>
    </w:pPr>
  </w:style>
  <w:style w:type="paragraph" w:customStyle="1" w:styleId="63">
    <w:name w:val="标准文件_参考文献标题"/>
    <w:basedOn w:val="1"/>
    <w:next w:val="1"/>
    <w:qFormat/>
    <w:uiPriority w:val="0"/>
    <w:pPr>
      <w:widowControl/>
      <w:shd w:val="clear" w:color="FFFFFF" w:fill="FFFFFF"/>
      <w:adjustRightInd/>
      <w:spacing w:before="560" w:after="50" w:afterLines="50" w:line="240" w:lineRule="auto"/>
      <w:jc w:val="center"/>
      <w:outlineLvl w:val="0"/>
    </w:pPr>
    <w:rPr>
      <w:rFonts w:ascii="黑体" w:eastAsia="黑体"/>
      <w:kern w:val="0"/>
    </w:rPr>
  </w:style>
  <w:style w:type="paragraph" w:customStyle="1" w:styleId="64">
    <w:name w:val="标准文件_参考文献条目"/>
    <w:qFormat/>
    <w:uiPriority w:val="0"/>
    <w:pPr>
      <w:numPr>
        <w:ilvl w:val="0"/>
        <w:numId w:val="1"/>
      </w:numPr>
    </w:pPr>
    <w:rPr>
      <w:rFonts w:ascii="宋体" w:hAnsi="Times New Roman" w:eastAsia="宋体" w:cs="Times New Roman"/>
      <w:lang w:val="en-US" w:eastAsia="zh-CN" w:bidi="ar-SA"/>
    </w:rPr>
  </w:style>
  <w:style w:type="paragraph" w:customStyle="1" w:styleId="65">
    <w:name w:val="标准文件_二级条标题"/>
    <w:next w:val="56"/>
    <w:qFormat/>
    <w:uiPriority w:val="0"/>
    <w:pPr>
      <w:widowControl w:val="0"/>
      <w:numPr>
        <w:ilvl w:val="3"/>
        <w:numId w:val="2"/>
      </w:numPr>
      <w:spacing w:before="50" w:beforeLines="50" w:after="50" w:afterLines="50"/>
      <w:ind w:left="0"/>
      <w:jc w:val="both"/>
      <w:outlineLvl w:val="2"/>
    </w:pPr>
    <w:rPr>
      <w:rFonts w:ascii="黑体" w:hAnsi="Times New Roman" w:eastAsia="黑体" w:cs="Times New Roman"/>
      <w:sz w:val="21"/>
      <w:lang w:val="en-US" w:eastAsia="zh-CN" w:bidi="ar-SA"/>
    </w:rPr>
  </w:style>
  <w:style w:type="character" w:customStyle="1" w:styleId="66">
    <w:name w:val="标准文件_发布"/>
    <w:qFormat/>
    <w:uiPriority w:val="0"/>
    <w:rPr>
      <w:rFonts w:ascii="黑体" w:eastAsia="黑体"/>
      <w:spacing w:val="0"/>
      <w:w w:val="100"/>
      <w:position w:val="3"/>
      <w:sz w:val="28"/>
    </w:rPr>
  </w:style>
  <w:style w:type="paragraph" w:customStyle="1" w:styleId="67">
    <w:name w:val="标准文件_方框数字列项"/>
    <w:basedOn w:val="56"/>
    <w:qFormat/>
    <w:uiPriority w:val="0"/>
    <w:pPr>
      <w:numPr>
        <w:ilvl w:val="0"/>
        <w:numId w:val="3"/>
      </w:numPr>
      <w:ind w:firstLine="0" w:firstLineChars="0"/>
    </w:pPr>
  </w:style>
  <w:style w:type="paragraph" w:customStyle="1" w:styleId="68">
    <w:name w:val="标准文件_封面标准编号"/>
    <w:basedOn w:val="1"/>
    <w:next w:val="59"/>
    <w:qFormat/>
    <w:uiPriority w:val="0"/>
    <w:pPr>
      <w:spacing w:line="310" w:lineRule="exact"/>
      <w:jc w:val="right"/>
    </w:pPr>
    <w:rPr>
      <w:rFonts w:ascii="黑体" w:eastAsia="黑体"/>
      <w:kern w:val="0"/>
      <w:sz w:val="28"/>
    </w:rPr>
  </w:style>
  <w:style w:type="paragraph" w:customStyle="1" w:styleId="69">
    <w:name w:val="标准文件_封面标准分类号"/>
    <w:basedOn w:val="1"/>
    <w:qFormat/>
    <w:uiPriority w:val="0"/>
    <w:rPr>
      <w:rFonts w:ascii="黑体" w:eastAsia="黑体"/>
      <w:b/>
      <w:kern w:val="0"/>
      <w:sz w:val="28"/>
    </w:rPr>
  </w:style>
  <w:style w:type="paragraph" w:customStyle="1" w:styleId="70">
    <w:name w:val="标准文件_封面标准名称"/>
    <w:basedOn w:val="1"/>
    <w:qFormat/>
    <w:uiPriority w:val="0"/>
    <w:pPr>
      <w:spacing w:line="240" w:lineRule="auto"/>
      <w:jc w:val="center"/>
    </w:pPr>
    <w:rPr>
      <w:rFonts w:ascii="黑体" w:eastAsia="黑体"/>
      <w:kern w:val="0"/>
      <w:sz w:val="52"/>
    </w:rPr>
  </w:style>
  <w:style w:type="paragraph" w:customStyle="1" w:styleId="71">
    <w:name w:val="标准文件_封面标准英文名称"/>
    <w:basedOn w:val="1"/>
    <w:qFormat/>
    <w:uiPriority w:val="0"/>
    <w:pPr>
      <w:spacing w:line="240" w:lineRule="auto"/>
      <w:jc w:val="center"/>
    </w:pPr>
    <w:rPr>
      <w:rFonts w:ascii="黑体" w:eastAsia="黑体"/>
      <w:b/>
      <w:sz w:val="28"/>
    </w:rPr>
  </w:style>
  <w:style w:type="paragraph" w:customStyle="1" w:styleId="72">
    <w:name w:val="标准文件_封面发布日期"/>
    <w:basedOn w:val="1"/>
    <w:qFormat/>
    <w:uiPriority w:val="0"/>
    <w:pPr>
      <w:spacing w:line="310" w:lineRule="exact"/>
    </w:pPr>
    <w:rPr>
      <w:rFonts w:ascii="黑体" w:eastAsia="黑体"/>
      <w:kern w:val="0"/>
      <w:sz w:val="28"/>
    </w:rPr>
  </w:style>
  <w:style w:type="paragraph" w:customStyle="1" w:styleId="73">
    <w:name w:val="标准文件_封面密级"/>
    <w:basedOn w:val="1"/>
    <w:qFormat/>
    <w:uiPriority w:val="0"/>
    <w:rPr>
      <w:rFonts w:eastAsia="黑体"/>
      <w:sz w:val="32"/>
    </w:rPr>
  </w:style>
  <w:style w:type="paragraph" w:customStyle="1" w:styleId="74">
    <w:name w:val="标准文件_封面实施日期"/>
    <w:basedOn w:val="1"/>
    <w:qFormat/>
    <w:uiPriority w:val="0"/>
    <w:pPr>
      <w:spacing w:line="310" w:lineRule="exact"/>
      <w:jc w:val="right"/>
    </w:pPr>
    <w:rPr>
      <w:rFonts w:ascii="黑体" w:eastAsia="黑体"/>
      <w:sz w:val="28"/>
    </w:rPr>
  </w:style>
  <w:style w:type="paragraph" w:customStyle="1" w:styleId="75">
    <w:name w:val="标准文件_封面抬头"/>
    <w:basedOn w:val="56"/>
    <w:qFormat/>
    <w:uiPriority w:val="0"/>
    <w:pPr>
      <w:adjustRightInd w:val="0"/>
      <w:spacing w:line="800" w:lineRule="exact"/>
      <w:ind w:firstLine="0" w:firstLineChars="0"/>
      <w:jc w:val="distribute"/>
    </w:pPr>
    <w:rPr>
      <w:rFonts w:ascii="黑体" w:eastAsia="黑体"/>
      <w:b/>
      <w:sz w:val="64"/>
    </w:rPr>
  </w:style>
  <w:style w:type="paragraph" w:customStyle="1" w:styleId="76">
    <w:name w:val="标准文件_附录标识"/>
    <w:next w:val="56"/>
    <w:qFormat/>
    <w:uiPriority w:val="0"/>
    <w:pPr>
      <w:numPr>
        <w:ilvl w:val="0"/>
        <w:numId w:val="4"/>
      </w:numPr>
      <w:shd w:val="clear" w:color="FFFFFF" w:fill="FFFFFF"/>
      <w:tabs>
        <w:tab w:val="left" w:pos="6406"/>
      </w:tabs>
      <w:spacing w:before="560" w:after="50" w:afterLines="50"/>
      <w:jc w:val="center"/>
      <w:outlineLvl w:val="0"/>
    </w:pPr>
    <w:rPr>
      <w:rFonts w:ascii="黑体" w:hAnsi="Times New Roman" w:eastAsia="黑体" w:cs="Times New Roman"/>
      <w:sz w:val="21"/>
      <w:lang w:val="en-US" w:eastAsia="zh-CN" w:bidi="ar-SA"/>
    </w:rPr>
  </w:style>
  <w:style w:type="paragraph" w:customStyle="1" w:styleId="77">
    <w:name w:val="标准文件_附录表标题"/>
    <w:next w:val="56"/>
    <w:qFormat/>
    <w:uiPriority w:val="0"/>
    <w:pPr>
      <w:numPr>
        <w:ilvl w:val="1"/>
        <w:numId w:val="5"/>
      </w:numPr>
      <w:adjustRightInd w:val="0"/>
      <w:snapToGrid w:val="0"/>
      <w:spacing w:before="50" w:beforeLines="50" w:after="50" w:afterLines="50"/>
      <w:jc w:val="center"/>
      <w:textAlignment w:val="baseline"/>
    </w:pPr>
    <w:rPr>
      <w:rFonts w:ascii="黑体" w:hAnsi="Times New Roman" w:eastAsia="黑体" w:cs="Times New Roman"/>
      <w:kern w:val="21"/>
      <w:sz w:val="21"/>
      <w:lang w:val="en-US" w:eastAsia="zh-CN" w:bidi="ar-SA"/>
    </w:rPr>
  </w:style>
  <w:style w:type="paragraph" w:customStyle="1" w:styleId="78">
    <w:name w:val="标准文件_附录一级条标题"/>
    <w:next w:val="56"/>
    <w:qFormat/>
    <w:uiPriority w:val="0"/>
    <w:pPr>
      <w:widowControl w:val="0"/>
      <w:numPr>
        <w:ilvl w:val="1"/>
        <w:numId w:val="4"/>
      </w:numPr>
      <w:spacing w:before="50" w:beforeLines="50" w:after="50" w:afterLines="50"/>
      <w:jc w:val="both"/>
      <w:outlineLvl w:val="2"/>
    </w:pPr>
    <w:rPr>
      <w:rFonts w:ascii="黑体" w:hAnsi="Times New Roman" w:eastAsia="黑体" w:cs="Times New Roman"/>
      <w:kern w:val="21"/>
      <w:sz w:val="21"/>
      <w:lang w:val="en-US" w:eastAsia="zh-CN" w:bidi="ar-SA"/>
    </w:rPr>
  </w:style>
  <w:style w:type="paragraph" w:customStyle="1" w:styleId="79">
    <w:name w:val="标准文件_附录二级条标题"/>
    <w:basedOn w:val="78"/>
    <w:next w:val="56"/>
    <w:qFormat/>
    <w:uiPriority w:val="0"/>
    <w:pPr>
      <w:widowControl/>
      <w:numPr>
        <w:ilvl w:val="2"/>
      </w:numPr>
      <w:wordWrap w:val="0"/>
      <w:overflowPunct w:val="0"/>
      <w:autoSpaceDE w:val="0"/>
      <w:autoSpaceDN w:val="0"/>
      <w:textAlignment w:val="baseline"/>
      <w:outlineLvl w:val="3"/>
    </w:pPr>
  </w:style>
  <w:style w:type="paragraph" w:customStyle="1" w:styleId="80">
    <w:name w:val="标准文件_附录公式"/>
    <w:basedOn w:val="55"/>
    <w:next w:val="55"/>
    <w:qFormat/>
    <w:uiPriority w:val="0"/>
    <w:pPr>
      <w:tabs>
        <w:tab w:val="center" w:pos="4678"/>
        <w:tab w:val="right" w:leader="middleDot" w:pos="9356"/>
      </w:tabs>
      <w:spacing w:line="240" w:lineRule="auto"/>
      <w:ind w:right="-51" w:firstLine="0" w:firstLineChars="0"/>
    </w:pPr>
    <w:rPr>
      <w:rFonts w:ascii="宋体" w:hAnsi="宋体"/>
    </w:rPr>
  </w:style>
  <w:style w:type="paragraph" w:customStyle="1" w:styleId="81">
    <w:name w:val="标准文件_附录三级条标题"/>
    <w:next w:val="56"/>
    <w:qFormat/>
    <w:uiPriority w:val="0"/>
    <w:pPr>
      <w:widowControl w:val="0"/>
      <w:numPr>
        <w:ilvl w:val="3"/>
        <w:numId w:val="4"/>
      </w:numPr>
      <w:spacing w:before="50" w:beforeLines="50" w:after="50" w:afterLines="50"/>
      <w:jc w:val="both"/>
      <w:outlineLvl w:val="4"/>
    </w:pPr>
    <w:rPr>
      <w:rFonts w:ascii="黑体" w:hAnsi="Times New Roman" w:eastAsia="黑体" w:cs="Times New Roman"/>
      <w:kern w:val="21"/>
      <w:sz w:val="21"/>
      <w:lang w:val="en-US" w:eastAsia="zh-CN" w:bidi="ar-SA"/>
    </w:rPr>
  </w:style>
  <w:style w:type="paragraph" w:customStyle="1" w:styleId="82">
    <w:name w:val="标准文件_附录四级条标题"/>
    <w:next w:val="56"/>
    <w:qFormat/>
    <w:uiPriority w:val="0"/>
    <w:pPr>
      <w:widowControl w:val="0"/>
      <w:numPr>
        <w:ilvl w:val="4"/>
        <w:numId w:val="4"/>
      </w:numPr>
      <w:spacing w:before="50" w:beforeLines="50" w:after="50" w:afterLines="50"/>
      <w:jc w:val="both"/>
      <w:outlineLvl w:val="5"/>
    </w:pPr>
    <w:rPr>
      <w:rFonts w:ascii="黑体" w:hAnsi="Times New Roman" w:eastAsia="黑体" w:cs="Times New Roman"/>
      <w:kern w:val="21"/>
      <w:sz w:val="21"/>
      <w:lang w:val="en-US" w:eastAsia="zh-CN" w:bidi="ar-SA"/>
    </w:rPr>
  </w:style>
  <w:style w:type="paragraph" w:customStyle="1" w:styleId="83">
    <w:name w:val="标准文件_附录图标题"/>
    <w:next w:val="56"/>
    <w:qFormat/>
    <w:uiPriority w:val="0"/>
    <w:pPr>
      <w:numPr>
        <w:ilvl w:val="1"/>
        <w:numId w:val="6"/>
      </w:numPr>
      <w:adjustRightInd w:val="0"/>
      <w:snapToGrid w:val="0"/>
      <w:spacing w:before="50" w:beforeLines="50" w:after="50" w:afterLines="50"/>
      <w:jc w:val="center"/>
    </w:pPr>
    <w:rPr>
      <w:rFonts w:ascii="黑体" w:hAnsi="Times New Roman" w:eastAsia="黑体" w:cs="Times New Roman"/>
      <w:sz w:val="21"/>
      <w:lang w:val="en-US" w:eastAsia="zh-CN" w:bidi="ar-SA"/>
    </w:rPr>
  </w:style>
  <w:style w:type="paragraph" w:customStyle="1" w:styleId="84">
    <w:name w:val="标准文件_附录五级条标题"/>
    <w:next w:val="56"/>
    <w:qFormat/>
    <w:uiPriority w:val="0"/>
    <w:pPr>
      <w:widowControl w:val="0"/>
      <w:numPr>
        <w:ilvl w:val="5"/>
        <w:numId w:val="4"/>
      </w:numPr>
      <w:spacing w:before="50" w:beforeLines="50" w:after="50" w:afterLines="50"/>
      <w:jc w:val="both"/>
      <w:outlineLvl w:val="6"/>
    </w:pPr>
    <w:rPr>
      <w:rFonts w:ascii="黑体" w:hAnsi="Times New Roman" w:eastAsia="黑体" w:cs="Times New Roman"/>
      <w:kern w:val="21"/>
      <w:sz w:val="21"/>
      <w:lang w:val="en-US" w:eastAsia="zh-CN" w:bidi="ar-SA"/>
    </w:rPr>
  </w:style>
  <w:style w:type="paragraph" w:customStyle="1" w:styleId="85">
    <w:name w:val="标准文件_附录英文标识"/>
    <w:next w:val="13"/>
    <w:qFormat/>
    <w:uiPriority w:val="0"/>
    <w:pPr>
      <w:numPr>
        <w:ilvl w:val="0"/>
        <w:numId w:val="7"/>
      </w:numPr>
      <w:tabs>
        <w:tab w:val="left" w:pos="6406"/>
      </w:tabs>
      <w:spacing w:before="220" w:after="320"/>
      <w:jc w:val="center"/>
      <w:outlineLvl w:val="0"/>
    </w:pPr>
    <w:rPr>
      <w:rFonts w:ascii="黑体" w:hAnsi="Times New Roman" w:eastAsia="黑体" w:cs="Times New Roman"/>
      <w:sz w:val="21"/>
      <w:lang w:val="en-US" w:eastAsia="zh-CN" w:bidi="ar-SA"/>
    </w:rPr>
  </w:style>
  <w:style w:type="character" w:customStyle="1" w:styleId="86">
    <w:name w:val="正文文本 字符"/>
    <w:link w:val="13"/>
    <w:qFormat/>
    <w:uiPriority w:val="0"/>
    <w:rPr>
      <w:kern w:val="2"/>
      <w:sz w:val="21"/>
      <w:szCs w:val="21"/>
    </w:rPr>
  </w:style>
  <w:style w:type="paragraph" w:customStyle="1" w:styleId="87">
    <w:name w:val="标准文件_附录章标题"/>
    <w:next w:val="56"/>
    <w:qFormat/>
    <w:uiPriority w:val="0"/>
    <w:pPr>
      <w:wordWrap w:val="0"/>
      <w:overflowPunct w:val="0"/>
      <w:autoSpaceDE w:val="0"/>
      <w:spacing w:beforeLines="50" w:afterLines="50"/>
      <w:jc w:val="both"/>
      <w:textAlignment w:val="baseline"/>
      <w:outlineLvl w:val="1"/>
    </w:pPr>
    <w:rPr>
      <w:rFonts w:ascii="黑体" w:hAnsi="Times New Roman" w:eastAsia="黑体" w:cs="Times New Roman"/>
      <w:kern w:val="21"/>
      <w:sz w:val="21"/>
      <w:lang w:val="en-US" w:eastAsia="zh-CN" w:bidi="ar-SA"/>
    </w:rPr>
  </w:style>
  <w:style w:type="paragraph" w:customStyle="1" w:styleId="88">
    <w:name w:val="标准文件_公式后的破折号"/>
    <w:basedOn w:val="56"/>
    <w:next w:val="56"/>
    <w:qFormat/>
    <w:uiPriority w:val="0"/>
    <w:pPr>
      <w:ind w:left="488" w:leftChars="200" w:hanging="289" w:hangingChars="290"/>
    </w:pPr>
  </w:style>
  <w:style w:type="paragraph" w:customStyle="1" w:styleId="89">
    <w:name w:val="标准文件_前言、引言标题"/>
    <w:next w:val="1"/>
    <w:qFormat/>
    <w:uiPriority w:val="0"/>
    <w:pPr>
      <w:numPr>
        <w:ilvl w:val="0"/>
        <w:numId w:val="8"/>
      </w:numPr>
      <w:shd w:val="clear" w:color="FFFFFF" w:fill="FFFFFF"/>
      <w:spacing w:before="480" w:after="150" w:afterLines="150"/>
      <w:jc w:val="center"/>
      <w:outlineLvl w:val="0"/>
    </w:pPr>
    <w:rPr>
      <w:rFonts w:ascii="黑体" w:hAnsi="Times New Roman" w:eastAsia="黑体" w:cs="Times New Roman"/>
      <w:sz w:val="32"/>
      <w:lang w:val="en-US" w:eastAsia="zh-CN" w:bidi="ar-SA"/>
    </w:rPr>
  </w:style>
  <w:style w:type="paragraph" w:customStyle="1" w:styleId="90">
    <w:name w:val="标准文件_目次、标准名称标题"/>
    <w:basedOn w:val="89"/>
    <w:next w:val="56"/>
    <w:qFormat/>
    <w:uiPriority w:val="0"/>
    <w:pPr>
      <w:spacing w:line="460" w:lineRule="exact"/>
      <w:ind w:left="0" w:firstLine="0"/>
    </w:pPr>
  </w:style>
  <w:style w:type="paragraph" w:customStyle="1" w:styleId="91">
    <w:name w:val="标准文件_目录标题"/>
    <w:basedOn w:val="1"/>
    <w:qFormat/>
    <w:uiPriority w:val="0"/>
    <w:pPr>
      <w:spacing w:before="480" w:after="150" w:afterLines="150" w:line="240" w:lineRule="auto"/>
      <w:jc w:val="center"/>
    </w:pPr>
    <w:rPr>
      <w:rFonts w:ascii="黑体" w:eastAsia="黑体"/>
      <w:sz w:val="32"/>
    </w:rPr>
  </w:style>
  <w:style w:type="paragraph" w:customStyle="1" w:styleId="92">
    <w:name w:val="标准文件_破折号列项"/>
    <w:qFormat/>
    <w:uiPriority w:val="0"/>
    <w:pPr>
      <w:numPr>
        <w:ilvl w:val="0"/>
        <w:numId w:val="9"/>
      </w:numPr>
      <w:adjustRightInd w:val="0"/>
      <w:snapToGrid w:val="0"/>
      <w:ind w:firstLine="200" w:firstLineChars="200"/>
    </w:pPr>
    <w:rPr>
      <w:rFonts w:ascii="Times New Roman" w:hAnsi="Times New Roman" w:eastAsia="宋体" w:cs="Times New Roman"/>
      <w:sz w:val="21"/>
      <w:lang w:val="en-US" w:eastAsia="zh-CN" w:bidi="ar-SA"/>
    </w:rPr>
  </w:style>
  <w:style w:type="paragraph" w:customStyle="1" w:styleId="93">
    <w:name w:val="标准文件_破折号列项（二级）"/>
    <w:basedOn w:val="92"/>
    <w:qFormat/>
    <w:uiPriority w:val="0"/>
    <w:pPr>
      <w:numPr>
        <w:numId w:val="10"/>
      </w:numPr>
    </w:pPr>
  </w:style>
  <w:style w:type="paragraph" w:customStyle="1" w:styleId="94">
    <w:name w:val="标准文件_三级条标题"/>
    <w:basedOn w:val="65"/>
    <w:next w:val="56"/>
    <w:qFormat/>
    <w:uiPriority w:val="0"/>
    <w:pPr>
      <w:widowControl/>
      <w:numPr>
        <w:ilvl w:val="4"/>
      </w:numPr>
      <w:outlineLvl w:val="3"/>
    </w:pPr>
  </w:style>
  <w:style w:type="character" w:customStyle="1" w:styleId="95">
    <w:name w:val="不明显参考1"/>
    <w:qFormat/>
    <w:uiPriority w:val="31"/>
    <w:rPr>
      <w:smallCaps/>
      <w:color w:val="C0504D"/>
      <w:u w:val="single"/>
    </w:rPr>
  </w:style>
  <w:style w:type="paragraph" w:customStyle="1" w:styleId="96">
    <w:name w:val="标准文件_示例后续"/>
    <w:basedOn w:val="1"/>
    <w:qFormat/>
    <w:uiPriority w:val="0"/>
    <w:pPr>
      <w:adjustRightInd/>
      <w:spacing w:line="240" w:lineRule="auto"/>
      <w:ind w:firstLine="200" w:firstLineChars="200"/>
    </w:pPr>
    <w:rPr>
      <w:sz w:val="18"/>
      <w:szCs w:val="24"/>
    </w:rPr>
  </w:style>
  <w:style w:type="paragraph" w:customStyle="1" w:styleId="97">
    <w:name w:val="标准文件_数字编号列项"/>
    <w:qFormat/>
    <w:uiPriority w:val="0"/>
    <w:pPr>
      <w:numPr>
        <w:ilvl w:val="0"/>
        <w:numId w:val="11"/>
      </w:numPr>
      <w:jc w:val="both"/>
    </w:pPr>
    <w:rPr>
      <w:rFonts w:ascii="宋体" w:hAnsi="宋体" w:eastAsia="宋体" w:cs="Times New Roman"/>
      <w:sz w:val="21"/>
      <w:lang w:val="en-US" w:eastAsia="zh-CN" w:bidi="ar-SA"/>
    </w:rPr>
  </w:style>
  <w:style w:type="paragraph" w:customStyle="1" w:styleId="98">
    <w:name w:val="标准文件_四级条标题"/>
    <w:next w:val="56"/>
    <w:qFormat/>
    <w:uiPriority w:val="0"/>
    <w:pPr>
      <w:widowControl w:val="0"/>
      <w:numPr>
        <w:ilvl w:val="5"/>
        <w:numId w:val="2"/>
      </w:numPr>
      <w:spacing w:before="50" w:beforeLines="50" w:after="50" w:afterLines="50"/>
      <w:jc w:val="both"/>
      <w:outlineLvl w:val="4"/>
    </w:pPr>
    <w:rPr>
      <w:rFonts w:ascii="黑体" w:hAnsi="Times New Roman" w:eastAsia="黑体" w:cs="Times New Roman"/>
      <w:sz w:val="21"/>
      <w:lang w:val="en-US" w:eastAsia="zh-CN" w:bidi="ar-SA"/>
    </w:rPr>
  </w:style>
  <w:style w:type="character" w:customStyle="1" w:styleId="99">
    <w:name w:val="脚注文本 字符"/>
    <w:link w:val="21"/>
    <w:semiHidden/>
    <w:qFormat/>
    <w:uiPriority w:val="0"/>
    <w:rPr>
      <w:rFonts w:ascii="宋体"/>
      <w:kern w:val="2"/>
      <w:sz w:val="18"/>
      <w:szCs w:val="18"/>
    </w:rPr>
  </w:style>
  <w:style w:type="paragraph" w:customStyle="1" w:styleId="100">
    <w:name w:val="标准文件_条文脚注"/>
    <w:basedOn w:val="21"/>
    <w:qFormat/>
    <w:uiPriority w:val="0"/>
    <w:pPr>
      <w:adjustRightInd w:val="0"/>
      <w:spacing w:line="240" w:lineRule="auto"/>
      <w:ind w:left="0" w:leftChars="0" w:firstLine="200" w:firstLineChars="200"/>
      <w:jc w:val="both"/>
    </w:pPr>
    <w:rPr>
      <w:rFonts w:hAnsi="宋体"/>
    </w:rPr>
  </w:style>
  <w:style w:type="paragraph" w:customStyle="1" w:styleId="101">
    <w:name w:val="标准文件_图表脚注"/>
    <w:basedOn w:val="1"/>
    <w:next w:val="56"/>
    <w:qFormat/>
    <w:uiPriority w:val="0"/>
    <w:pPr>
      <w:numPr>
        <w:ilvl w:val="0"/>
        <w:numId w:val="12"/>
      </w:numPr>
      <w:spacing w:line="240" w:lineRule="auto"/>
      <w:jc w:val="left"/>
    </w:pPr>
    <w:rPr>
      <w:rFonts w:ascii="宋体" w:hAnsi="宋体"/>
      <w:sz w:val="18"/>
    </w:rPr>
  </w:style>
  <w:style w:type="character" w:customStyle="1" w:styleId="102">
    <w:name w:val="标准文件_图表脚注内容"/>
    <w:qFormat/>
    <w:uiPriority w:val="0"/>
    <w:rPr>
      <w:rFonts w:ascii="宋体" w:hAnsi="宋体" w:eastAsia="宋体" w:cs="Times New Roman"/>
      <w:spacing w:val="0"/>
      <w:sz w:val="18"/>
      <w:vertAlign w:val="superscript"/>
    </w:rPr>
  </w:style>
  <w:style w:type="paragraph" w:customStyle="1" w:styleId="103">
    <w:name w:val="标准文件_五级条标题"/>
    <w:next w:val="56"/>
    <w:qFormat/>
    <w:uiPriority w:val="0"/>
    <w:pPr>
      <w:widowControl w:val="0"/>
      <w:numPr>
        <w:ilvl w:val="6"/>
        <w:numId w:val="2"/>
      </w:numPr>
      <w:spacing w:before="50" w:beforeLines="50" w:after="50" w:afterLines="50"/>
      <w:jc w:val="both"/>
      <w:outlineLvl w:val="5"/>
    </w:pPr>
    <w:rPr>
      <w:rFonts w:ascii="黑体" w:hAnsi="Times New Roman" w:eastAsia="黑体" w:cs="Times New Roman"/>
      <w:sz w:val="21"/>
      <w:lang w:val="en-US" w:eastAsia="zh-CN" w:bidi="ar-SA"/>
    </w:rPr>
  </w:style>
  <w:style w:type="paragraph" w:customStyle="1" w:styleId="104">
    <w:name w:val="标准文件_章标题"/>
    <w:next w:val="56"/>
    <w:qFormat/>
    <w:uiPriority w:val="0"/>
    <w:pPr>
      <w:numPr>
        <w:ilvl w:val="1"/>
        <w:numId w:val="2"/>
      </w:numPr>
      <w:spacing w:before="100" w:beforeLines="100" w:after="100" w:afterLines="100"/>
      <w:jc w:val="both"/>
      <w:outlineLvl w:val="0"/>
    </w:pPr>
    <w:rPr>
      <w:rFonts w:ascii="黑体" w:hAnsi="Times New Roman" w:eastAsia="黑体" w:cs="Times New Roman"/>
      <w:sz w:val="21"/>
      <w:lang w:val="en-US" w:eastAsia="zh-CN" w:bidi="ar-SA"/>
    </w:rPr>
  </w:style>
  <w:style w:type="paragraph" w:customStyle="1" w:styleId="105">
    <w:name w:val="标准文件_一级条标题"/>
    <w:basedOn w:val="104"/>
    <w:next w:val="56"/>
    <w:qFormat/>
    <w:uiPriority w:val="0"/>
    <w:pPr>
      <w:numPr>
        <w:ilvl w:val="2"/>
      </w:numPr>
      <w:spacing w:before="50" w:beforeLines="50" w:after="50" w:afterLines="50"/>
      <w:outlineLvl w:val="1"/>
    </w:pPr>
  </w:style>
  <w:style w:type="paragraph" w:customStyle="1" w:styleId="106">
    <w:name w:val="标准文件_一致程度"/>
    <w:basedOn w:val="1"/>
    <w:qFormat/>
    <w:uiPriority w:val="0"/>
    <w:pPr>
      <w:spacing w:line="440" w:lineRule="exact"/>
      <w:jc w:val="center"/>
    </w:pPr>
    <w:rPr>
      <w:sz w:val="28"/>
    </w:rPr>
  </w:style>
  <w:style w:type="paragraph" w:customStyle="1" w:styleId="107">
    <w:name w:val="标准文件_引言标题"/>
    <w:next w:val="1"/>
    <w:qFormat/>
    <w:uiPriority w:val="0"/>
    <w:pPr>
      <w:shd w:val="clear" w:color="FFFFFF" w:fill="FFFFFF"/>
      <w:spacing w:before="540" w:after="600"/>
      <w:jc w:val="center"/>
      <w:outlineLvl w:val="0"/>
    </w:pPr>
    <w:rPr>
      <w:rFonts w:ascii="黑体" w:hAnsi="Times New Roman" w:eastAsia="黑体" w:cs="Times New Roman"/>
      <w:sz w:val="32"/>
      <w:lang w:val="en-US" w:eastAsia="zh-CN" w:bidi="ar-SA"/>
    </w:rPr>
  </w:style>
  <w:style w:type="paragraph" w:customStyle="1" w:styleId="108">
    <w:name w:val="标准文件_英文图表脚注"/>
    <w:basedOn w:val="55"/>
    <w:qFormat/>
    <w:uiPriority w:val="0"/>
    <w:pPr>
      <w:widowControl/>
      <w:adjustRightInd/>
      <w:snapToGrid/>
      <w:spacing w:line="240" w:lineRule="auto"/>
      <w:ind w:left="79" w:hanging="79" w:hangingChars="80"/>
    </w:pPr>
    <w:rPr>
      <w:rFonts w:ascii="宋体" w:hAnsi="宋体"/>
    </w:rPr>
  </w:style>
  <w:style w:type="paragraph" w:customStyle="1" w:styleId="109">
    <w:name w:val="标准文件_数字编号列项（二级）"/>
    <w:qFormat/>
    <w:uiPriority w:val="0"/>
    <w:pPr>
      <w:numPr>
        <w:ilvl w:val="1"/>
        <w:numId w:val="13"/>
      </w:numPr>
      <w:jc w:val="both"/>
    </w:pPr>
    <w:rPr>
      <w:rFonts w:ascii="宋体" w:hAnsi="Times New Roman" w:eastAsia="宋体" w:cs="Times New Roman"/>
      <w:sz w:val="21"/>
      <w:lang w:val="en-US" w:eastAsia="zh-CN" w:bidi="ar-SA"/>
    </w:rPr>
  </w:style>
  <w:style w:type="paragraph" w:customStyle="1" w:styleId="110">
    <w:name w:val="标准文件_英文注："/>
    <w:basedOn w:val="1"/>
    <w:next w:val="56"/>
    <w:qFormat/>
    <w:uiPriority w:val="0"/>
    <w:pPr>
      <w:numPr>
        <w:ilvl w:val="0"/>
        <w:numId w:val="14"/>
      </w:numPr>
      <w:tabs>
        <w:tab w:val="left" w:pos="420"/>
      </w:tabs>
      <w:autoSpaceDE w:val="0"/>
      <w:autoSpaceDN w:val="0"/>
      <w:spacing w:line="240" w:lineRule="auto"/>
    </w:pPr>
    <w:rPr>
      <w:rFonts w:ascii="宋体" w:hAnsi="宋体"/>
      <w:kern w:val="0"/>
      <w:sz w:val="18"/>
      <w:szCs w:val="20"/>
    </w:rPr>
  </w:style>
  <w:style w:type="paragraph" w:customStyle="1" w:styleId="111">
    <w:name w:val="标准文件_英文注×："/>
    <w:basedOn w:val="1"/>
    <w:qFormat/>
    <w:uiPriority w:val="0"/>
    <w:pPr>
      <w:numPr>
        <w:ilvl w:val="0"/>
        <w:numId w:val="15"/>
      </w:numPr>
      <w:tabs>
        <w:tab w:val="left" w:pos="210"/>
      </w:tabs>
      <w:autoSpaceDE w:val="0"/>
      <w:autoSpaceDN w:val="0"/>
      <w:spacing w:line="240" w:lineRule="auto"/>
    </w:pPr>
    <w:rPr>
      <w:rFonts w:ascii="宋体" w:hAnsi="宋体"/>
      <w:kern w:val="0"/>
      <w:szCs w:val="20"/>
    </w:rPr>
  </w:style>
  <w:style w:type="paragraph" w:customStyle="1" w:styleId="112">
    <w:name w:val="标准文件_正文表标题"/>
    <w:next w:val="56"/>
    <w:qFormat/>
    <w:uiPriority w:val="0"/>
    <w:pPr>
      <w:numPr>
        <w:ilvl w:val="0"/>
        <w:numId w:val="16"/>
      </w:numPr>
      <w:tabs>
        <w:tab w:val="left" w:pos="0"/>
      </w:tabs>
      <w:spacing w:before="50" w:beforeLines="50" w:after="50" w:afterLines="50"/>
      <w:jc w:val="center"/>
    </w:pPr>
    <w:rPr>
      <w:rFonts w:ascii="黑体" w:hAnsi="Times New Roman" w:eastAsia="黑体" w:cs="Times New Roman"/>
      <w:sz w:val="21"/>
      <w:lang w:val="en-US" w:eastAsia="zh-CN" w:bidi="ar-SA"/>
    </w:rPr>
  </w:style>
  <w:style w:type="paragraph" w:customStyle="1" w:styleId="113">
    <w:name w:val="标准文件_正文公式"/>
    <w:basedOn w:val="1"/>
    <w:next w:val="55"/>
    <w:qFormat/>
    <w:uiPriority w:val="0"/>
    <w:pPr>
      <w:tabs>
        <w:tab w:val="center" w:pos="4678"/>
        <w:tab w:val="right" w:leader="middleDot" w:pos="9356"/>
      </w:tabs>
      <w:spacing w:line="240" w:lineRule="auto"/>
    </w:pPr>
    <w:rPr>
      <w:rFonts w:ascii="宋体" w:hAnsi="宋体"/>
    </w:rPr>
  </w:style>
  <w:style w:type="paragraph" w:customStyle="1" w:styleId="114">
    <w:name w:val="标准文件_正文图标题"/>
    <w:next w:val="56"/>
    <w:qFormat/>
    <w:uiPriority w:val="0"/>
    <w:pPr>
      <w:numPr>
        <w:ilvl w:val="0"/>
        <w:numId w:val="17"/>
      </w:numPr>
      <w:spacing w:before="50" w:beforeLines="50" w:after="50" w:afterLines="50"/>
      <w:jc w:val="center"/>
    </w:pPr>
    <w:rPr>
      <w:rFonts w:ascii="黑体" w:hAnsi="Times New Roman" w:eastAsia="黑体" w:cs="Times New Roman"/>
      <w:sz w:val="21"/>
      <w:lang w:val="en-US" w:eastAsia="zh-CN" w:bidi="ar-SA"/>
    </w:rPr>
  </w:style>
  <w:style w:type="paragraph" w:customStyle="1" w:styleId="115">
    <w:name w:val="标准文件_正文英文表标题"/>
    <w:next w:val="56"/>
    <w:qFormat/>
    <w:uiPriority w:val="0"/>
    <w:pPr>
      <w:numPr>
        <w:ilvl w:val="0"/>
        <w:numId w:val="18"/>
      </w:numPr>
      <w:jc w:val="center"/>
    </w:pPr>
    <w:rPr>
      <w:rFonts w:ascii="黑体" w:hAnsi="Times New Roman" w:eastAsia="黑体" w:cs="Times New Roman"/>
      <w:sz w:val="21"/>
      <w:lang w:val="en-US" w:eastAsia="zh-CN" w:bidi="ar-SA"/>
    </w:rPr>
  </w:style>
  <w:style w:type="paragraph" w:customStyle="1" w:styleId="116">
    <w:name w:val="标准文件_正文英文图标题"/>
    <w:next w:val="56"/>
    <w:qFormat/>
    <w:uiPriority w:val="0"/>
    <w:pPr>
      <w:numPr>
        <w:ilvl w:val="0"/>
        <w:numId w:val="19"/>
      </w:numPr>
      <w:jc w:val="center"/>
    </w:pPr>
    <w:rPr>
      <w:rFonts w:ascii="黑体" w:hAnsi="Times New Roman" w:eastAsia="黑体" w:cs="Times New Roman"/>
      <w:sz w:val="21"/>
      <w:lang w:val="en-US" w:eastAsia="zh-CN" w:bidi="ar-SA"/>
    </w:rPr>
  </w:style>
  <w:style w:type="paragraph" w:customStyle="1" w:styleId="117">
    <w:name w:val="标准文件_编号列项（三级）"/>
    <w:qFormat/>
    <w:uiPriority w:val="0"/>
    <w:pPr>
      <w:numPr>
        <w:ilvl w:val="2"/>
        <w:numId w:val="13"/>
      </w:numPr>
    </w:pPr>
    <w:rPr>
      <w:rFonts w:ascii="宋体" w:hAnsi="Times New Roman" w:eastAsia="宋体" w:cs="Times New Roman"/>
      <w:sz w:val="21"/>
      <w:lang w:val="en-US" w:eastAsia="zh-CN" w:bidi="ar-SA"/>
    </w:rPr>
  </w:style>
  <w:style w:type="paragraph" w:customStyle="1" w:styleId="118">
    <w:name w:val="二级无标题条"/>
    <w:basedOn w:val="1"/>
    <w:qFormat/>
    <w:uiPriority w:val="0"/>
    <w:pPr>
      <w:numPr>
        <w:ilvl w:val="3"/>
        <w:numId w:val="20"/>
      </w:numPr>
      <w:adjustRightInd/>
      <w:spacing w:line="240" w:lineRule="auto"/>
    </w:pPr>
    <w:rPr>
      <w:rFonts w:ascii="宋体" w:hAnsi="宋体"/>
      <w:szCs w:val="24"/>
    </w:rPr>
  </w:style>
  <w:style w:type="paragraph" w:customStyle="1" w:styleId="119">
    <w:name w:val="发布部门"/>
    <w:next w:val="56"/>
    <w:qFormat/>
    <w:uiPriority w:val="0"/>
    <w:pPr>
      <w:framePr w:w="7433" w:h="585" w:hRule="exact" w:hSpace="180" w:vSpace="180" w:wrap="around" w:vAnchor="margin" w:hAnchor="margin" w:xAlign="center" w:y="14401" w:anchorLock="1"/>
      <w:jc w:val="center"/>
    </w:pPr>
    <w:rPr>
      <w:rFonts w:ascii="宋体" w:hAnsi="Times New Roman" w:eastAsia="宋体" w:cs="Times New Roman"/>
      <w:b/>
      <w:w w:val="135"/>
      <w:sz w:val="36"/>
      <w:lang w:val="en-US" w:eastAsia="zh-CN" w:bidi="ar-SA"/>
    </w:rPr>
  </w:style>
  <w:style w:type="paragraph" w:customStyle="1" w:styleId="120">
    <w:name w:val="发布日期"/>
    <w:qFormat/>
    <w:uiPriority w:val="0"/>
    <w:pPr>
      <w:framePr w:w="4000" w:h="473" w:hRule="exact" w:hSpace="180" w:vSpace="180" w:wrap="around" w:vAnchor="margin" w:hAnchor="margin" w:y="13511" w:anchorLock="1"/>
    </w:pPr>
    <w:rPr>
      <w:rFonts w:ascii="Times New Roman" w:hAnsi="Times New Roman" w:eastAsia="黑体" w:cs="Times New Roman"/>
      <w:sz w:val="28"/>
      <w:lang w:val="en-US" w:eastAsia="zh-CN" w:bidi="ar-SA"/>
    </w:rPr>
  </w:style>
  <w:style w:type="paragraph" w:customStyle="1" w:styleId="121">
    <w:name w:val="封面标准代替信息"/>
    <w:basedOn w:val="1"/>
    <w:qFormat/>
    <w:uiPriority w:val="0"/>
    <w:pPr>
      <w:framePr w:w="9138" w:h="1244" w:hRule="exact" w:wrap="auto" w:vAnchor="page" w:hAnchor="margin" w:y="2908"/>
      <w:kinsoku w:val="0"/>
      <w:overflowPunct w:val="0"/>
      <w:autoSpaceDE w:val="0"/>
      <w:autoSpaceDN w:val="0"/>
      <w:spacing w:before="57" w:line="280" w:lineRule="exact"/>
      <w:jc w:val="right"/>
      <w:textAlignment w:val="center"/>
    </w:pPr>
    <w:rPr>
      <w:rFonts w:ascii="宋体" w:hAnsi="Times New Roman"/>
      <w:kern w:val="0"/>
      <w:szCs w:val="20"/>
    </w:rPr>
  </w:style>
  <w:style w:type="paragraph" w:customStyle="1" w:styleId="122">
    <w:name w:val="封面标准名称"/>
    <w:qFormat/>
    <w:uiPriority w:val="0"/>
    <w:pPr>
      <w:framePr w:w="9638" w:h="6917" w:hRule="exact" w:wrap="around" w:vAnchor="margin" w:hAnchor="margin" w:xAlign="center" w:y="5955" w:anchorLock="1"/>
      <w:widowControl w:val="0"/>
      <w:spacing w:line="680" w:lineRule="exact"/>
      <w:jc w:val="center"/>
      <w:textAlignment w:val="center"/>
    </w:pPr>
    <w:rPr>
      <w:rFonts w:ascii="黑体" w:hAnsi="Times New Roman" w:eastAsia="黑体" w:cs="Times New Roman"/>
      <w:sz w:val="52"/>
      <w:lang w:val="en-US" w:eastAsia="zh-CN" w:bidi="ar-SA"/>
    </w:rPr>
  </w:style>
  <w:style w:type="paragraph" w:customStyle="1" w:styleId="123">
    <w:name w:val="封面标准文稿编辑信息"/>
    <w:qFormat/>
    <w:uiPriority w:val="0"/>
    <w:pPr>
      <w:spacing w:before="180" w:line="180" w:lineRule="exact"/>
      <w:jc w:val="center"/>
    </w:pPr>
    <w:rPr>
      <w:rFonts w:ascii="宋体" w:hAnsi="Times New Roman" w:eastAsia="宋体" w:cs="Times New Roman"/>
      <w:sz w:val="21"/>
      <w:lang w:val="en-US" w:eastAsia="zh-CN" w:bidi="ar-SA"/>
    </w:rPr>
  </w:style>
  <w:style w:type="paragraph" w:customStyle="1" w:styleId="124">
    <w:name w:val="封面标准文稿类别"/>
    <w:qFormat/>
    <w:uiPriority w:val="0"/>
    <w:pPr>
      <w:spacing w:before="440" w:line="400" w:lineRule="exact"/>
      <w:jc w:val="center"/>
    </w:pPr>
    <w:rPr>
      <w:rFonts w:ascii="宋体" w:hAnsi="Times New Roman" w:eastAsia="宋体" w:cs="Times New Roman"/>
      <w:sz w:val="24"/>
      <w:lang w:val="en-US" w:eastAsia="zh-CN" w:bidi="ar-SA"/>
    </w:rPr>
  </w:style>
  <w:style w:type="paragraph" w:customStyle="1" w:styleId="125">
    <w:name w:val="封面标准英文名称"/>
    <w:qFormat/>
    <w:uiPriority w:val="0"/>
    <w:pPr>
      <w:widowControl w:val="0"/>
      <w:spacing w:line="360" w:lineRule="exact"/>
      <w:jc w:val="center"/>
    </w:pPr>
    <w:rPr>
      <w:rFonts w:ascii="Times New Roman" w:hAnsi="Times New Roman" w:eastAsia="宋体" w:cs="Times New Roman"/>
      <w:sz w:val="28"/>
      <w:lang w:val="en-US" w:eastAsia="zh-CN" w:bidi="ar-SA"/>
    </w:rPr>
  </w:style>
  <w:style w:type="paragraph" w:customStyle="1" w:styleId="126">
    <w:name w:val="封面一致性程度标识"/>
    <w:qFormat/>
    <w:uiPriority w:val="0"/>
    <w:pPr>
      <w:spacing w:before="440" w:line="440" w:lineRule="exact"/>
      <w:jc w:val="center"/>
    </w:pPr>
    <w:rPr>
      <w:rFonts w:ascii="Times New Roman" w:hAnsi="Times New Roman" w:eastAsia="宋体" w:cs="Times New Roman"/>
      <w:sz w:val="28"/>
      <w:lang w:val="en-US" w:eastAsia="zh-CN" w:bidi="ar-SA"/>
    </w:rPr>
  </w:style>
  <w:style w:type="paragraph" w:customStyle="1" w:styleId="127">
    <w:name w:val="封面正文"/>
    <w:qFormat/>
    <w:uiPriority w:val="0"/>
    <w:pPr>
      <w:jc w:val="both"/>
    </w:pPr>
    <w:rPr>
      <w:rFonts w:ascii="Times New Roman" w:hAnsi="Times New Roman" w:eastAsia="宋体" w:cs="Times New Roman"/>
      <w:lang w:val="en-US" w:eastAsia="zh-CN" w:bidi="ar-SA"/>
    </w:rPr>
  </w:style>
  <w:style w:type="paragraph" w:customStyle="1" w:styleId="128">
    <w:name w:val="附录二级无标题条"/>
    <w:basedOn w:val="1"/>
    <w:next w:val="56"/>
    <w:qFormat/>
    <w:uiPriority w:val="0"/>
    <w:pPr>
      <w:widowControl/>
      <w:wordWrap w:val="0"/>
      <w:overflowPunct w:val="0"/>
      <w:autoSpaceDE w:val="0"/>
      <w:autoSpaceDN w:val="0"/>
      <w:adjustRightInd/>
      <w:spacing w:line="240" w:lineRule="auto"/>
      <w:textAlignment w:val="baseline"/>
      <w:outlineLvl w:val="3"/>
    </w:pPr>
    <w:rPr>
      <w:rFonts w:ascii="宋体" w:hAnsi="宋体"/>
      <w:kern w:val="21"/>
    </w:rPr>
  </w:style>
  <w:style w:type="paragraph" w:customStyle="1" w:styleId="129">
    <w:name w:val="附录三级无标题条"/>
    <w:basedOn w:val="128"/>
    <w:next w:val="56"/>
    <w:qFormat/>
    <w:uiPriority w:val="0"/>
    <w:pPr>
      <w:outlineLvl w:val="4"/>
    </w:pPr>
  </w:style>
  <w:style w:type="paragraph" w:customStyle="1" w:styleId="130">
    <w:name w:val="附录四级无标题条"/>
    <w:basedOn w:val="129"/>
    <w:next w:val="56"/>
    <w:qFormat/>
    <w:uiPriority w:val="0"/>
    <w:pPr>
      <w:outlineLvl w:val="5"/>
    </w:pPr>
  </w:style>
  <w:style w:type="paragraph" w:customStyle="1" w:styleId="131">
    <w:name w:val="附录图"/>
    <w:next w:val="56"/>
    <w:qFormat/>
    <w:uiPriority w:val="0"/>
    <w:pPr>
      <w:wordWrap w:val="0"/>
      <w:overflowPunct w:val="0"/>
      <w:autoSpaceDE w:val="0"/>
      <w:spacing w:before="50" w:beforeLines="50" w:after="50" w:afterLines="50"/>
      <w:jc w:val="center"/>
      <w:textAlignment w:val="baseline"/>
      <w:outlineLvl w:val="1"/>
    </w:pPr>
    <w:rPr>
      <w:rFonts w:ascii="黑体" w:hAnsi="Times New Roman" w:eastAsia="黑体" w:cs="Times New Roman"/>
      <w:kern w:val="21"/>
      <w:sz w:val="21"/>
      <w:lang w:val="en-US" w:eastAsia="zh-CN" w:bidi="ar-SA"/>
    </w:rPr>
  </w:style>
  <w:style w:type="paragraph" w:customStyle="1" w:styleId="132">
    <w:name w:val="标准文件_一级项"/>
    <w:qFormat/>
    <w:uiPriority w:val="0"/>
    <w:pPr>
      <w:numPr>
        <w:ilvl w:val="0"/>
        <w:numId w:val="21"/>
      </w:numPr>
    </w:pPr>
    <w:rPr>
      <w:rFonts w:ascii="宋体" w:hAnsi="Times New Roman" w:eastAsia="宋体" w:cs="Times New Roman"/>
      <w:sz w:val="21"/>
      <w:lang w:val="en-US" w:eastAsia="zh-CN" w:bidi="ar-SA"/>
    </w:rPr>
  </w:style>
  <w:style w:type="paragraph" w:customStyle="1" w:styleId="133">
    <w:name w:val="附录五级无标题条"/>
    <w:basedOn w:val="130"/>
    <w:next w:val="56"/>
    <w:qFormat/>
    <w:uiPriority w:val="0"/>
    <w:pPr>
      <w:outlineLvl w:val="6"/>
    </w:pPr>
  </w:style>
  <w:style w:type="paragraph" w:customStyle="1" w:styleId="134">
    <w:name w:val="附录性质"/>
    <w:basedOn w:val="1"/>
    <w:qFormat/>
    <w:uiPriority w:val="0"/>
    <w:pPr>
      <w:widowControl/>
      <w:adjustRightInd/>
      <w:jc w:val="center"/>
    </w:pPr>
    <w:rPr>
      <w:rFonts w:ascii="黑体" w:eastAsia="黑体"/>
    </w:rPr>
  </w:style>
  <w:style w:type="paragraph" w:customStyle="1" w:styleId="135">
    <w:name w:val="附录一级无标题条"/>
    <w:basedOn w:val="87"/>
    <w:next w:val="56"/>
    <w:qFormat/>
    <w:uiPriority w:val="0"/>
    <w:pPr>
      <w:autoSpaceDN w:val="0"/>
      <w:outlineLvl w:val="2"/>
    </w:pPr>
    <w:rPr>
      <w:rFonts w:ascii="宋体" w:hAnsi="宋体" w:eastAsia="宋体"/>
    </w:rPr>
  </w:style>
  <w:style w:type="character" w:customStyle="1" w:styleId="136">
    <w:name w:val="个人答复风格"/>
    <w:qFormat/>
    <w:uiPriority w:val="0"/>
    <w:rPr>
      <w:rFonts w:ascii="Arial" w:hAnsi="Arial" w:eastAsia="宋体" w:cs="Arial"/>
      <w:color w:val="auto"/>
      <w:spacing w:val="0"/>
      <w:sz w:val="20"/>
    </w:rPr>
  </w:style>
  <w:style w:type="character" w:customStyle="1" w:styleId="137">
    <w:name w:val="个人撰写风格"/>
    <w:qFormat/>
    <w:uiPriority w:val="0"/>
    <w:rPr>
      <w:rFonts w:ascii="Arial" w:hAnsi="Arial" w:eastAsia="宋体" w:cs="Arial"/>
      <w:color w:val="auto"/>
      <w:spacing w:val="0"/>
      <w:sz w:val="20"/>
    </w:rPr>
  </w:style>
  <w:style w:type="paragraph" w:customStyle="1" w:styleId="138">
    <w:name w:val="脚注后续"/>
    <w:qFormat/>
    <w:uiPriority w:val="0"/>
    <w:pPr>
      <w:ind w:left="350" w:leftChars="350"/>
      <w:jc w:val="both"/>
    </w:pPr>
    <w:rPr>
      <w:rFonts w:ascii="宋体" w:hAnsi="Times New Roman" w:eastAsia="宋体" w:cs="Times New Roman"/>
      <w:sz w:val="18"/>
      <w:lang w:val="en-US" w:eastAsia="zh-CN" w:bidi="ar-SA"/>
    </w:rPr>
  </w:style>
  <w:style w:type="paragraph" w:customStyle="1" w:styleId="139">
    <w:name w:val="列项——"/>
    <w:qFormat/>
    <w:uiPriority w:val="0"/>
    <w:pPr>
      <w:widowControl w:val="0"/>
      <w:numPr>
        <w:ilvl w:val="0"/>
        <w:numId w:val="22"/>
      </w:numPr>
      <w:jc w:val="both"/>
    </w:pPr>
    <w:rPr>
      <w:rFonts w:ascii="宋体" w:hAnsi="宋体" w:eastAsia="宋体" w:cs="Times New Roman"/>
      <w:sz w:val="21"/>
      <w:lang w:val="en-US" w:eastAsia="zh-CN" w:bidi="ar-SA"/>
    </w:rPr>
  </w:style>
  <w:style w:type="paragraph" w:customStyle="1" w:styleId="140">
    <w:name w:val="列项·"/>
    <w:basedOn w:val="56"/>
    <w:qFormat/>
    <w:uiPriority w:val="0"/>
    <w:pPr>
      <w:tabs>
        <w:tab w:val="left" w:pos="840"/>
      </w:tabs>
    </w:pPr>
  </w:style>
  <w:style w:type="paragraph" w:customStyle="1" w:styleId="141">
    <w:name w:val="目次、索引正文"/>
    <w:qFormat/>
    <w:uiPriority w:val="0"/>
    <w:pPr>
      <w:spacing w:line="320" w:lineRule="exact"/>
      <w:jc w:val="both"/>
    </w:pPr>
    <w:rPr>
      <w:rFonts w:ascii="宋体" w:hAnsi="Times New Roman" w:eastAsia="宋体" w:cs="Times New Roman"/>
      <w:sz w:val="21"/>
      <w:lang w:val="en-US" w:eastAsia="zh-CN" w:bidi="ar-SA"/>
    </w:rPr>
  </w:style>
  <w:style w:type="paragraph" w:customStyle="1" w:styleId="142">
    <w:name w:val="目录 21"/>
    <w:basedOn w:val="1"/>
    <w:next w:val="1"/>
    <w:autoRedefine/>
    <w:semiHidden/>
    <w:qFormat/>
    <w:uiPriority w:val="0"/>
    <w:pPr>
      <w:adjustRightInd/>
      <w:spacing w:line="240" w:lineRule="auto"/>
      <w:jc w:val="left"/>
    </w:pPr>
    <w:rPr>
      <w:bCs/>
      <w:iCs/>
    </w:rPr>
  </w:style>
  <w:style w:type="paragraph" w:customStyle="1" w:styleId="143">
    <w:name w:val="目录 31"/>
    <w:basedOn w:val="1"/>
    <w:next w:val="1"/>
    <w:autoRedefine/>
    <w:semiHidden/>
    <w:qFormat/>
    <w:uiPriority w:val="0"/>
    <w:pPr>
      <w:spacing w:line="240" w:lineRule="auto"/>
    </w:pPr>
    <w:rPr>
      <w:rFonts w:ascii="宋体" w:hAnsi="宋体"/>
      <w:iCs/>
    </w:rPr>
  </w:style>
  <w:style w:type="paragraph" w:customStyle="1" w:styleId="144">
    <w:name w:val="目录 41"/>
    <w:basedOn w:val="1"/>
    <w:next w:val="1"/>
    <w:autoRedefine/>
    <w:semiHidden/>
    <w:qFormat/>
    <w:uiPriority w:val="0"/>
    <w:pPr>
      <w:adjustRightInd/>
      <w:spacing w:line="240" w:lineRule="auto"/>
      <w:jc w:val="left"/>
    </w:pPr>
  </w:style>
  <w:style w:type="paragraph" w:customStyle="1" w:styleId="145">
    <w:name w:val="目录 51"/>
    <w:basedOn w:val="1"/>
    <w:next w:val="1"/>
    <w:autoRedefine/>
    <w:semiHidden/>
    <w:qFormat/>
    <w:uiPriority w:val="0"/>
    <w:pPr>
      <w:spacing w:line="240" w:lineRule="auto"/>
    </w:pPr>
    <w:rPr>
      <w:rFonts w:ascii="宋体" w:hAnsi="宋体"/>
    </w:rPr>
  </w:style>
  <w:style w:type="paragraph" w:customStyle="1" w:styleId="146">
    <w:name w:val="目录 61"/>
    <w:basedOn w:val="1"/>
    <w:next w:val="1"/>
    <w:autoRedefine/>
    <w:semiHidden/>
    <w:qFormat/>
    <w:uiPriority w:val="0"/>
    <w:pPr>
      <w:adjustRightInd/>
      <w:spacing w:line="240" w:lineRule="auto"/>
      <w:jc w:val="left"/>
    </w:pPr>
  </w:style>
  <w:style w:type="paragraph" w:customStyle="1" w:styleId="147">
    <w:name w:val="目录 71"/>
    <w:basedOn w:val="146"/>
    <w:autoRedefine/>
    <w:semiHidden/>
    <w:qFormat/>
    <w:uiPriority w:val="0"/>
    <w:pPr>
      <w:ind w:left="1260"/>
    </w:pPr>
  </w:style>
  <w:style w:type="paragraph" w:customStyle="1" w:styleId="148">
    <w:name w:val="目录 81"/>
    <w:basedOn w:val="147"/>
    <w:autoRedefine/>
    <w:semiHidden/>
    <w:qFormat/>
    <w:uiPriority w:val="0"/>
    <w:pPr>
      <w:ind w:left="1470"/>
    </w:pPr>
  </w:style>
  <w:style w:type="paragraph" w:customStyle="1" w:styleId="149">
    <w:name w:val="目录 91"/>
    <w:basedOn w:val="148"/>
    <w:autoRedefine/>
    <w:semiHidden/>
    <w:qFormat/>
    <w:uiPriority w:val="0"/>
    <w:pPr>
      <w:ind w:left="1680"/>
    </w:pPr>
  </w:style>
  <w:style w:type="paragraph" w:customStyle="1" w:styleId="150">
    <w:name w:val="其他标准称谓"/>
    <w:qFormat/>
    <w:uiPriority w:val="0"/>
    <w:pPr>
      <w:spacing w:line="0" w:lineRule="atLeast"/>
      <w:jc w:val="distribute"/>
    </w:pPr>
    <w:rPr>
      <w:rFonts w:ascii="黑体" w:hAnsi="宋体" w:eastAsia="黑体" w:cs="Times New Roman"/>
      <w:sz w:val="52"/>
      <w:lang w:val="en-US" w:eastAsia="zh-CN" w:bidi="ar-SA"/>
    </w:rPr>
  </w:style>
  <w:style w:type="paragraph" w:customStyle="1" w:styleId="151">
    <w:name w:val="其他发布部门"/>
    <w:basedOn w:val="119"/>
    <w:qFormat/>
    <w:uiPriority w:val="0"/>
    <w:pPr>
      <w:framePr w:wrap="around"/>
      <w:spacing w:line="0" w:lineRule="atLeast"/>
    </w:pPr>
    <w:rPr>
      <w:rFonts w:ascii="黑体" w:eastAsia="黑体"/>
      <w:b w:val="0"/>
    </w:rPr>
  </w:style>
  <w:style w:type="paragraph" w:customStyle="1" w:styleId="152">
    <w:name w:val="前言标题"/>
    <w:next w:val="1"/>
    <w:qFormat/>
    <w:uiPriority w:val="0"/>
    <w:pPr>
      <w:numPr>
        <w:ilvl w:val="0"/>
        <w:numId w:val="2"/>
      </w:numPr>
      <w:shd w:val="clear" w:color="FFFFFF" w:fill="FFFFFF"/>
      <w:spacing w:before="540" w:after="600"/>
      <w:jc w:val="center"/>
      <w:outlineLvl w:val="0"/>
    </w:pPr>
    <w:rPr>
      <w:rFonts w:ascii="黑体" w:hAnsi="Times New Roman" w:eastAsia="黑体" w:cs="Times New Roman"/>
      <w:sz w:val="32"/>
      <w:lang w:val="en-US" w:eastAsia="zh-CN" w:bidi="ar-SA"/>
    </w:rPr>
  </w:style>
  <w:style w:type="paragraph" w:customStyle="1" w:styleId="153">
    <w:name w:val="三级无标题条"/>
    <w:basedOn w:val="1"/>
    <w:qFormat/>
    <w:uiPriority w:val="0"/>
    <w:pPr>
      <w:numPr>
        <w:ilvl w:val="4"/>
        <w:numId w:val="20"/>
      </w:numPr>
      <w:adjustRightInd/>
      <w:spacing w:line="240" w:lineRule="auto"/>
    </w:pPr>
    <w:rPr>
      <w:rFonts w:ascii="宋体" w:hAnsi="宋体"/>
      <w:szCs w:val="24"/>
    </w:rPr>
  </w:style>
  <w:style w:type="paragraph" w:customStyle="1" w:styleId="154">
    <w:name w:val="实施日期"/>
    <w:basedOn w:val="120"/>
    <w:qFormat/>
    <w:uiPriority w:val="0"/>
    <w:pPr>
      <w:framePr w:hSpace="0" w:wrap="around" w:xAlign="right"/>
      <w:jc w:val="right"/>
    </w:pPr>
  </w:style>
  <w:style w:type="paragraph" w:customStyle="1" w:styleId="155">
    <w:name w:val="四级无标题条"/>
    <w:basedOn w:val="1"/>
    <w:qFormat/>
    <w:uiPriority w:val="0"/>
    <w:pPr>
      <w:numPr>
        <w:ilvl w:val="5"/>
        <w:numId w:val="20"/>
      </w:numPr>
      <w:adjustRightInd/>
      <w:spacing w:line="240" w:lineRule="auto"/>
    </w:pPr>
    <w:rPr>
      <w:rFonts w:ascii="宋体" w:hAnsi="宋体"/>
      <w:szCs w:val="24"/>
    </w:rPr>
  </w:style>
  <w:style w:type="paragraph" w:customStyle="1" w:styleId="156">
    <w:name w:val="文献分类号"/>
    <w:qFormat/>
    <w:uiPriority w:val="0"/>
    <w:pPr>
      <w:framePr w:hSpace="180" w:vSpace="180" w:wrap="around" w:vAnchor="margin" w:hAnchor="margin" w:y="1" w:anchorLock="1"/>
      <w:widowControl w:val="0"/>
      <w:textAlignment w:val="center"/>
    </w:pPr>
    <w:rPr>
      <w:rFonts w:ascii="Times New Roman" w:hAnsi="Times New Roman" w:eastAsia="黑体" w:cs="Times New Roman"/>
      <w:sz w:val="21"/>
      <w:lang w:val="en-US" w:eastAsia="zh-CN" w:bidi="ar-SA"/>
    </w:rPr>
  </w:style>
  <w:style w:type="paragraph" w:customStyle="1" w:styleId="157">
    <w:name w:val="无标题条"/>
    <w:next w:val="56"/>
    <w:qFormat/>
    <w:uiPriority w:val="0"/>
    <w:pPr>
      <w:jc w:val="both"/>
    </w:pPr>
    <w:rPr>
      <w:rFonts w:ascii="宋体" w:hAnsi="宋体" w:eastAsia="宋体" w:cs="Times New Roman"/>
      <w:sz w:val="21"/>
      <w:lang w:val="en-US" w:eastAsia="zh-CN" w:bidi="ar-SA"/>
    </w:rPr>
  </w:style>
  <w:style w:type="paragraph" w:customStyle="1" w:styleId="158">
    <w:name w:val="五级无标题条"/>
    <w:basedOn w:val="1"/>
    <w:qFormat/>
    <w:uiPriority w:val="0"/>
    <w:pPr>
      <w:numPr>
        <w:ilvl w:val="6"/>
        <w:numId w:val="20"/>
      </w:numPr>
      <w:adjustRightInd/>
    </w:pPr>
    <w:rPr>
      <w:szCs w:val="24"/>
    </w:rPr>
  </w:style>
  <w:style w:type="paragraph" w:customStyle="1" w:styleId="159">
    <w:name w:val="一级无标题条"/>
    <w:basedOn w:val="1"/>
    <w:qFormat/>
    <w:uiPriority w:val="0"/>
    <w:pPr>
      <w:numPr>
        <w:ilvl w:val="2"/>
        <w:numId w:val="20"/>
      </w:numPr>
      <w:adjustRightInd/>
      <w:spacing w:before="10" w:after="10" w:line="240" w:lineRule="auto"/>
    </w:pPr>
    <w:rPr>
      <w:rFonts w:ascii="宋体" w:hAnsi="宋体"/>
      <w:szCs w:val="24"/>
    </w:rPr>
  </w:style>
  <w:style w:type="paragraph" w:customStyle="1" w:styleId="160">
    <w:name w:val="注:后续"/>
    <w:qFormat/>
    <w:uiPriority w:val="0"/>
    <w:pPr>
      <w:spacing w:line="300" w:lineRule="exact"/>
      <w:ind w:left="600" w:leftChars="400" w:hanging="200" w:hangingChars="200"/>
      <w:jc w:val="both"/>
    </w:pPr>
    <w:rPr>
      <w:rFonts w:ascii="宋体" w:hAnsi="Times New Roman" w:eastAsia="宋体" w:cs="Times New Roman"/>
      <w:sz w:val="18"/>
      <w:lang w:val="en-US" w:eastAsia="zh-CN" w:bidi="ar-SA"/>
    </w:rPr>
  </w:style>
  <w:style w:type="paragraph" w:customStyle="1" w:styleId="161">
    <w:name w:val="注×:后续"/>
    <w:basedOn w:val="160"/>
    <w:qFormat/>
    <w:uiPriority w:val="0"/>
    <w:pPr>
      <w:ind w:left="1406" w:leftChars="0" w:hanging="499" w:firstLineChars="0"/>
    </w:pPr>
  </w:style>
  <w:style w:type="paragraph" w:customStyle="1" w:styleId="162">
    <w:name w:val="标准文件_一级无标题"/>
    <w:basedOn w:val="105"/>
    <w:qFormat/>
    <w:uiPriority w:val="0"/>
    <w:pPr>
      <w:spacing w:before="0" w:beforeLines="0" w:after="0" w:afterLines="0"/>
      <w:outlineLvl w:val="9"/>
    </w:pPr>
    <w:rPr>
      <w:rFonts w:ascii="宋体" w:eastAsia="宋体"/>
    </w:rPr>
  </w:style>
  <w:style w:type="paragraph" w:customStyle="1" w:styleId="163">
    <w:name w:val="标准文件_五级无标题"/>
    <w:basedOn w:val="103"/>
    <w:qFormat/>
    <w:uiPriority w:val="0"/>
    <w:pPr>
      <w:spacing w:before="0" w:beforeLines="0" w:after="0" w:afterLines="0"/>
      <w:outlineLvl w:val="9"/>
    </w:pPr>
    <w:rPr>
      <w:rFonts w:ascii="宋体" w:eastAsia="宋体"/>
    </w:rPr>
  </w:style>
  <w:style w:type="paragraph" w:customStyle="1" w:styleId="164">
    <w:name w:val="标准文件_三级无标题"/>
    <w:basedOn w:val="94"/>
    <w:qFormat/>
    <w:uiPriority w:val="0"/>
    <w:pPr>
      <w:spacing w:before="0" w:beforeLines="0" w:after="0" w:afterLines="0"/>
      <w:outlineLvl w:val="9"/>
    </w:pPr>
    <w:rPr>
      <w:rFonts w:ascii="宋体" w:eastAsia="宋体"/>
    </w:rPr>
  </w:style>
  <w:style w:type="paragraph" w:customStyle="1" w:styleId="165">
    <w:name w:val="标准文件_二级无标题"/>
    <w:basedOn w:val="65"/>
    <w:qFormat/>
    <w:uiPriority w:val="0"/>
    <w:pPr>
      <w:spacing w:before="0" w:beforeLines="0" w:after="0" w:afterLines="0"/>
      <w:outlineLvl w:val="9"/>
    </w:pPr>
    <w:rPr>
      <w:rFonts w:ascii="宋体" w:eastAsia="宋体"/>
    </w:rPr>
  </w:style>
  <w:style w:type="paragraph" w:customStyle="1" w:styleId="166">
    <w:name w:val="标准_四级无标题"/>
    <w:basedOn w:val="98"/>
    <w:next w:val="56"/>
    <w:qFormat/>
    <w:uiPriority w:val="0"/>
    <w:rPr>
      <w:rFonts w:eastAsia="宋体"/>
    </w:rPr>
  </w:style>
  <w:style w:type="paragraph" w:customStyle="1" w:styleId="167">
    <w:name w:val="标准文件_四级无标题"/>
    <w:basedOn w:val="98"/>
    <w:qFormat/>
    <w:uiPriority w:val="0"/>
    <w:pPr>
      <w:spacing w:before="0" w:beforeLines="0" w:after="0" w:afterLines="0"/>
      <w:outlineLvl w:val="9"/>
    </w:pPr>
    <w:rPr>
      <w:rFonts w:ascii="宋体" w:hAnsi="黑体" w:eastAsia="宋体"/>
      <w:szCs w:val="52"/>
    </w:rPr>
  </w:style>
  <w:style w:type="paragraph" w:customStyle="1" w:styleId="168">
    <w:name w:val="标准文件_大写罗马数字编号列项"/>
    <w:basedOn w:val="56"/>
    <w:qFormat/>
    <w:uiPriority w:val="0"/>
    <w:pPr>
      <w:numPr>
        <w:ilvl w:val="0"/>
        <w:numId w:val="23"/>
      </w:numPr>
      <w:ind w:firstLine="0" w:firstLineChars="0"/>
    </w:pPr>
    <w:rPr>
      <w:rFonts w:cs="Arial"/>
      <w:szCs w:val="28"/>
    </w:rPr>
  </w:style>
  <w:style w:type="paragraph" w:customStyle="1" w:styleId="169">
    <w:name w:val="标准文件_小写罗马数字编号列项"/>
    <w:basedOn w:val="56"/>
    <w:qFormat/>
    <w:uiPriority w:val="0"/>
    <w:pPr>
      <w:numPr>
        <w:ilvl w:val="0"/>
        <w:numId w:val="24"/>
      </w:numPr>
      <w:ind w:firstLine="0" w:firstLineChars="0"/>
    </w:pPr>
    <w:rPr>
      <w:rFonts w:cs="Arial"/>
      <w:szCs w:val="28"/>
    </w:rPr>
  </w:style>
  <w:style w:type="paragraph" w:customStyle="1" w:styleId="170">
    <w:name w:val="标准文件_附录标题"/>
    <w:basedOn w:val="76"/>
    <w:qFormat/>
    <w:uiPriority w:val="0"/>
    <w:pPr>
      <w:numPr>
        <w:numId w:val="0"/>
      </w:numPr>
      <w:spacing w:after="280"/>
      <w:outlineLvl w:val="9"/>
    </w:pPr>
  </w:style>
  <w:style w:type="paragraph" w:customStyle="1" w:styleId="171">
    <w:name w:val="标准文件_二级项"/>
    <w:qFormat/>
    <w:uiPriority w:val="0"/>
    <w:rPr>
      <w:rFonts w:ascii="宋体" w:hAnsi="Times New Roman" w:eastAsia="宋体" w:cs="Times New Roman"/>
      <w:sz w:val="21"/>
      <w:lang w:val="en-US" w:eastAsia="zh-CN" w:bidi="ar-SA"/>
    </w:rPr>
  </w:style>
  <w:style w:type="paragraph" w:customStyle="1" w:styleId="172">
    <w:name w:val="标准文件_三级项"/>
    <w:basedOn w:val="1"/>
    <w:qFormat/>
    <w:uiPriority w:val="0"/>
    <w:pPr>
      <w:numPr>
        <w:ilvl w:val="2"/>
        <w:numId w:val="21"/>
      </w:numPr>
      <w:spacing w:line="536870612" w:lineRule="auto"/>
    </w:pPr>
    <w:rPr>
      <w:rFonts w:ascii="Times New Roman" w:hAnsi="Times New Roman"/>
    </w:rPr>
  </w:style>
  <w:style w:type="paragraph" w:customStyle="1" w:styleId="173">
    <w:name w:val="图表脚注说明"/>
    <w:basedOn w:val="1"/>
    <w:next w:val="56"/>
    <w:qFormat/>
    <w:uiPriority w:val="0"/>
    <w:pPr>
      <w:numPr>
        <w:ilvl w:val="0"/>
        <w:numId w:val="25"/>
      </w:numPr>
      <w:adjustRightInd/>
      <w:spacing w:line="240" w:lineRule="auto"/>
    </w:pPr>
    <w:rPr>
      <w:rFonts w:ascii="宋体" w:hAnsi="Times New Roman"/>
      <w:sz w:val="18"/>
      <w:szCs w:val="18"/>
    </w:rPr>
  </w:style>
  <w:style w:type="paragraph" w:customStyle="1" w:styleId="174">
    <w:name w:val="标准文件_字母编号列项（一级）"/>
    <w:qFormat/>
    <w:uiPriority w:val="0"/>
    <w:pPr>
      <w:numPr>
        <w:ilvl w:val="0"/>
        <w:numId w:val="13"/>
      </w:numPr>
      <w:jc w:val="both"/>
    </w:pPr>
    <w:rPr>
      <w:rFonts w:ascii="宋体" w:hAnsi="Times New Roman" w:eastAsia="宋体" w:cs="Times New Roman"/>
      <w:sz w:val="21"/>
      <w:lang w:val="en-US" w:eastAsia="zh-CN" w:bidi="ar-SA"/>
    </w:rPr>
  </w:style>
  <w:style w:type="paragraph" w:customStyle="1" w:styleId="175">
    <w:name w:val="标准文件_索引字母"/>
    <w:next w:val="56"/>
    <w:qFormat/>
    <w:uiPriority w:val="0"/>
    <w:pPr>
      <w:jc w:val="center"/>
    </w:pPr>
    <w:rPr>
      <w:rFonts w:ascii="宋体" w:hAnsi="宋体" w:eastAsia="Times New Roman" w:cs="Times New Roman"/>
      <w:b/>
      <w:kern w:val="2"/>
      <w:sz w:val="21"/>
      <w:lang w:val="en-US" w:eastAsia="zh-CN" w:bidi="ar-SA"/>
    </w:rPr>
  </w:style>
  <w:style w:type="paragraph" w:customStyle="1" w:styleId="176">
    <w:name w:val="标准文件_附录前"/>
    <w:next w:val="56"/>
    <w:qFormat/>
    <w:uiPriority w:val="0"/>
    <w:pPr>
      <w:spacing w:line="20" w:lineRule="atLeast"/>
      <w:ind w:firstLine="200"/>
    </w:pPr>
    <w:rPr>
      <w:rFonts w:ascii="宋体" w:hAnsi="宋体" w:eastAsia="宋体" w:cs="Times New Roman"/>
      <w:kern w:val="2"/>
      <w:sz w:val="10"/>
      <w:lang w:val="en-US" w:eastAsia="zh-CN" w:bidi="ar-SA"/>
    </w:rPr>
  </w:style>
  <w:style w:type="paragraph" w:customStyle="1" w:styleId="177">
    <w:name w:val="标准文件_正文标准名称"/>
    <w:qFormat/>
    <w:uiPriority w:val="0"/>
    <w:pPr>
      <w:spacing w:before="560" w:after="640" w:line="400" w:lineRule="exact"/>
      <w:jc w:val="center"/>
    </w:pPr>
    <w:rPr>
      <w:rFonts w:ascii="黑体" w:hAnsi="黑体" w:eastAsia="黑体" w:cs="Times New Roman"/>
      <w:kern w:val="2"/>
      <w:sz w:val="32"/>
      <w:szCs w:val="32"/>
      <w:lang w:val="en-US" w:eastAsia="zh-CN" w:bidi="ar-SA"/>
    </w:rPr>
  </w:style>
  <w:style w:type="paragraph" w:customStyle="1" w:styleId="178">
    <w:name w:val="标准文件_表格"/>
    <w:basedOn w:val="56"/>
    <w:qFormat/>
    <w:uiPriority w:val="0"/>
    <w:pPr>
      <w:ind w:firstLine="0" w:firstLineChars="0"/>
      <w:jc w:val="center"/>
    </w:pPr>
    <w:rPr>
      <w:sz w:val="18"/>
    </w:rPr>
  </w:style>
  <w:style w:type="paragraph" w:customStyle="1" w:styleId="179">
    <w:name w:val="标准文件_注："/>
    <w:next w:val="56"/>
    <w:qFormat/>
    <w:uiPriority w:val="0"/>
    <w:pPr>
      <w:widowControl w:val="0"/>
      <w:numPr>
        <w:ilvl w:val="0"/>
        <w:numId w:val="26"/>
      </w:numPr>
      <w:autoSpaceDE w:val="0"/>
      <w:autoSpaceDN w:val="0"/>
      <w:jc w:val="both"/>
    </w:pPr>
    <w:rPr>
      <w:rFonts w:ascii="宋体" w:hAnsi="Times New Roman" w:eastAsia="宋体" w:cs="Times New Roman"/>
      <w:sz w:val="18"/>
      <w:szCs w:val="18"/>
      <w:lang w:val="en-US" w:eastAsia="zh-CN" w:bidi="ar-SA"/>
    </w:rPr>
  </w:style>
  <w:style w:type="paragraph" w:customStyle="1" w:styleId="180">
    <w:name w:val="标准文件_注×："/>
    <w:qFormat/>
    <w:uiPriority w:val="0"/>
    <w:pPr>
      <w:widowControl w:val="0"/>
      <w:numPr>
        <w:ilvl w:val="0"/>
        <w:numId w:val="27"/>
      </w:numPr>
      <w:autoSpaceDE w:val="0"/>
      <w:autoSpaceDN w:val="0"/>
      <w:jc w:val="both"/>
    </w:pPr>
    <w:rPr>
      <w:rFonts w:ascii="宋体" w:hAnsi="Times New Roman" w:eastAsia="宋体" w:cs="Times New Roman"/>
      <w:sz w:val="18"/>
      <w:szCs w:val="18"/>
      <w:lang w:val="en-US" w:eastAsia="zh-CN" w:bidi="ar-SA"/>
    </w:rPr>
  </w:style>
  <w:style w:type="paragraph" w:customStyle="1" w:styleId="181">
    <w:name w:val="标准文件_示例："/>
    <w:next w:val="182"/>
    <w:qFormat/>
    <w:uiPriority w:val="0"/>
    <w:pPr>
      <w:widowControl w:val="0"/>
      <w:numPr>
        <w:ilvl w:val="0"/>
        <w:numId w:val="28"/>
      </w:numPr>
      <w:jc w:val="both"/>
    </w:pPr>
    <w:rPr>
      <w:rFonts w:ascii="宋体" w:hAnsi="Times New Roman" w:eastAsia="宋体" w:cs="Times New Roman"/>
      <w:sz w:val="18"/>
      <w:szCs w:val="18"/>
      <w:lang w:val="en-US" w:eastAsia="zh-CN" w:bidi="ar-SA"/>
    </w:rPr>
  </w:style>
  <w:style w:type="paragraph" w:customStyle="1" w:styleId="182">
    <w:name w:val="标准文件_示例内容"/>
    <w:basedOn w:val="56"/>
    <w:qFormat/>
    <w:uiPriority w:val="0"/>
    <w:pPr>
      <w:ind w:firstLine="420"/>
    </w:pPr>
    <w:rPr>
      <w:sz w:val="18"/>
    </w:rPr>
  </w:style>
  <w:style w:type="paragraph" w:customStyle="1" w:styleId="183">
    <w:name w:val="标准文件_示例×："/>
    <w:basedOn w:val="1"/>
    <w:next w:val="182"/>
    <w:qFormat/>
    <w:uiPriority w:val="0"/>
    <w:pPr>
      <w:widowControl/>
      <w:numPr>
        <w:ilvl w:val="0"/>
        <w:numId w:val="29"/>
      </w:numPr>
      <w:adjustRightInd/>
      <w:spacing w:line="240" w:lineRule="auto"/>
    </w:pPr>
    <w:rPr>
      <w:rFonts w:ascii="宋体" w:hAnsi="Times New Roman"/>
      <w:kern w:val="0"/>
      <w:sz w:val="18"/>
      <w:szCs w:val="18"/>
    </w:rPr>
  </w:style>
  <w:style w:type="character" w:customStyle="1" w:styleId="184">
    <w:name w:val="标准文件_段 Char"/>
    <w:link w:val="56"/>
    <w:qFormat/>
    <w:uiPriority w:val="0"/>
    <w:rPr>
      <w:rFonts w:ascii="Times New Roman" w:hAnsi="Times New Roman"/>
      <w:sz w:val="21"/>
    </w:rPr>
  </w:style>
  <w:style w:type="paragraph" w:customStyle="1" w:styleId="185">
    <w:name w:val="标准文件_表格续"/>
    <w:basedOn w:val="56"/>
    <w:next w:val="56"/>
    <w:qFormat/>
    <w:uiPriority w:val="0"/>
    <w:pPr>
      <w:jc w:val="center"/>
    </w:pPr>
    <w:rPr>
      <w:rFonts w:ascii="黑体" w:hAnsi="黑体" w:eastAsia="黑体"/>
    </w:rPr>
  </w:style>
  <w:style w:type="character" w:styleId="186">
    <w:name w:val="Placeholder Text"/>
    <w:basedOn w:val="28"/>
    <w:semiHidden/>
    <w:qFormat/>
    <w:uiPriority w:val="99"/>
    <w:rPr>
      <w:color w:val="808080"/>
    </w:rPr>
  </w:style>
  <w:style w:type="paragraph" w:customStyle="1" w:styleId="187">
    <w:name w:val="标准文件_二级项2"/>
    <w:basedOn w:val="56"/>
    <w:qFormat/>
    <w:uiPriority w:val="0"/>
    <w:pPr>
      <w:numPr>
        <w:ilvl w:val="1"/>
        <w:numId w:val="21"/>
      </w:numPr>
      <w:ind w:firstLine="0" w:firstLineChars="0"/>
    </w:pPr>
  </w:style>
  <w:style w:type="paragraph" w:customStyle="1" w:styleId="188">
    <w:name w:val="标准文件_三级项2"/>
    <w:basedOn w:val="56"/>
    <w:qFormat/>
    <w:uiPriority w:val="0"/>
    <w:pPr>
      <w:numPr>
        <w:ilvl w:val="0"/>
        <w:numId w:val="30"/>
      </w:numPr>
      <w:spacing w:line="300" w:lineRule="exact"/>
      <w:ind w:firstLineChars="0"/>
    </w:pPr>
  </w:style>
  <w:style w:type="paragraph" w:customStyle="1" w:styleId="189">
    <w:name w:val="标准文件_一级项2"/>
    <w:basedOn w:val="56"/>
    <w:qFormat/>
    <w:uiPriority w:val="0"/>
    <w:pPr>
      <w:numPr>
        <w:ilvl w:val="0"/>
        <w:numId w:val="31"/>
      </w:numPr>
      <w:spacing w:line="300" w:lineRule="exact"/>
      <w:ind w:firstLineChars="0"/>
    </w:pPr>
  </w:style>
  <w:style w:type="paragraph" w:customStyle="1" w:styleId="190">
    <w:name w:val="标准文件_提示"/>
    <w:basedOn w:val="56"/>
    <w:next w:val="56"/>
    <w:qFormat/>
    <w:uiPriority w:val="0"/>
    <w:pPr>
      <w:ind w:firstLine="420"/>
    </w:pPr>
    <w:rPr>
      <w:rFonts w:ascii="黑体" w:eastAsia="黑体"/>
    </w:rPr>
  </w:style>
  <w:style w:type="character" w:customStyle="1" w:styleId="191">
    <w:name w:val="标准文件_来源"/>
    <w:basedOn w:val="28"/>
    <w:qFormat/>
    <w:uiPriority w:val="1"/>
    <w:rPr>
      <w:rFonts w:eastAsia="宋体"/>
      <w:sz w:val="21"/>
    </w:rPr>
  </w:style>
  <w:style w:type="paragraph" w:customStyle="1" w:styleId="192">
    <w:name w:val="标准文件_图表说明"/>
    <w:qFormat/>
    <w:uiPriority w:val="0"/>
    <w:pPr>
      <w:spacing w:line="276" w:lineRule="auto"/>
      <w:ind w:firstLine="420"/>
    </w:pPr>
    <w:rPr>
      <w:rFonts w:ascii="宋体" w:hAnsi="宋体" w:eastAsia="宋体" w:cs="Times New Roman"/>
      <w:kern w:val="2"/>
      <w:sz w:val="18"/>
      <w:lang w:val="en-US" w:eastAsia="zh-CN" w:bidi="ar-SA"/>
    </w:rPr>
  </w:style>
  <w:style w:type="paragraph" w:customStyle="1" w:styleId="193">
    <w:name w:val="其他发布日期"/>
    <w:basedOn w:val="120"/>
    <w:qFormat/>
    <w:uiPriority w:val="0"/>
    <w:pPr>
      <w:framePr w:w="3997" w:h="471" w:hRule="exact" w:hSpace="0" w:vSpace="181" w:wrap="around" w:vAnchor="page" w:hAnchor="page" w:x="1419" w:y="14097"/>
    </w:pPr>
  </w:style>
  <w:style w:type="paragraph" w:customStyle="1" w:styleId="194">
    <w:name w:val="其他实施日期"/>
    <w:basedOn w:val="154"/>
    <w:qFormat/>
    <w:uiPriority w:val="0"/>
    <w:pPr>
      <w:framePr w:w="3997" w:h="471" w:hRule="exact" w:vSpace="181" w:wrap="around" w:vAnchor="page" w:hAnchor="page" w:x="7089" w:y="14097"/>
    </w:pPr>
  </w:style>
  <w:style w:type="paragraph" w:customStyle="1" w:styleId="195">
    <w:name w:val="标准文件_文件编号"/>
    <w:basedOn w:val="56"/>
    <w:qFormat/>
    <w:uiPriority w:val="0"/>
    <w:pPr>
      <w:framePr w:w="9356" w:h="624" w:hRule="exact" w:hSpace="181" w:vSpace="181" w:wrap="auto" w:vAnchor="page" w:hAnchor="page" w:x="1419" w:y="3284"/>
      <w:wordWrap w:val="0"/>
      <w:spacing w:line="280" w:lineRule="exact"/>
      <w:ind w:firstLine="0" w:firstLineChars="0"/>
      <w:jc w:val="right"/>
    </w:pPr>
    <w:rPr>
      <w:rFonts w:ascii="黑体" w:eastAsia="黑体"/>
      <w:bCs/>
      <w:sz w:val="28"/>
      <w:szCs w:val="28"/>
    </w:rPr>
  </w:style>
  <w:style w:type="paragraph" w:customStyle="1" w:styleId="196">
    <w:name w:val="标准文件_替换文件编号"/>
    <w:basedOn w:val="195"/>
    <w:qFormat/>
    <w:uiPriority w:val="0"/>
    <w:pPr>
      <w:spacing w:before="57"/>
    </w:pPr>
    <w:rPr>
      <w:sz w:val="21"/>
    </w:rPr>
  </w:style>
  <w:style w:type="paragraph" w:customStyle="1" w:styleId="197">
    <w:name w:val="标准文件_文件名称"/>
    <w:basedOn w:val="56"/>
    <w:next w:val="56"/>
    <w:qFormat/>
    <w:uiPriority w:val="0"/>
    <w:pPr>
      <w:framePr w:w="9639" w:h="6976" w:hRule="exact" w:wrap="auto" w:vAnchor="page" w:hAnchor="page" w:y="6408"/>
      <w:autoSpaceDE/>
      <w:autoSpaceDN/>
      <w:spacing w:line="700" w:lineRule="exact"/>
      <w:ind w:firstLine="0" w:firstLineChars="0"/>
      <w:jc w:val="center"/>
    </w:pPr>
    <w:rPr>
      <w:rFonts w:ascii="黑体" w:hAnsi="黑体" w:eastAsia="黑体"/>
      <w:bCs/>
      <w:sz w:val="52"/>
    </w:rPr>
  </w:style>
  <w:style w:type="paragraph" w:customStyle="1" w:styleId="198">
    <w:name w:val="标准文件_附录图标号"/>
    <w:basedOn w:val="56"/>
    <w:next w:val="56"/>
    <w:qFormat/>
    <w:uiPriority w:val="0"/>
    <w:pPr>
      <w:numPr>
        <w:ilvl w:val="0"/>
        <w:numId w:val="6"/>
      </w:numPr>
      <w:spacing w:line="14" w:lineRule="exact"/>
      <w:ind w:firstLine="0" w:firstLineChars="0"/>
      <w:jc w:val="center"/>
    </w:pPr>
    <w:rPr>
      <w:rFonts w:ascii="黑体" w:hAnsi="黑体" w:eastAsia="黑体"/>
      <w:vanish/>
      <w:sz w:val="2"/>
      <w:szCs w:val="21"/>
    </w:rPr>
  </w:style>
  <w:style w:type="paragraph" w:customStyle="1" w:styleId="199">
    <w:name w:val="标准文件_附录表标号"/>
    <w:basedOn w:val="56"/>
    <w:next w:val="56"/>
    <w:qFormat/>
    <w:uiPriority w:val="0"/>
    <w:pPr>
      <w:numPr>
        <w:ilvl w:val="0"/>
        <w:numId w:val="5"/>
      </w:numPr>
      <w:spacing w:line="14" w:lineRule="exact"/>
      <w:ind w:firstLine="0" w:firstLineChars="0"/>
      <w:jc w:val="center"/>
    </w:pPr>
    <w:rPr>
      <w:rFonts w:eastAsia="黑体"/>
      <w:vanish/>
      <w:sz w:val="2"/>
    </w:rPr>
  </w:style>
  <w:style w:type="paragraph" w:customStyle="1" w:styleId="200">
    <w:name w:val="标准文件_引言一级条标题"/>
    <w:basedOn w:val="56"/>
    <w:next w:val="56"/>
    <w:qFormat/>
    <w:uiPriority w:val="0"/>
    <w:pPr>
      <w:numPr>
        <w:ilvl w:val="1"/>
        <w:numId w:val="8"/>
      </w:numPr>
      <w:spacing w:before="50" w:beforeLines="50" w:after="50" w:afterLines="50"/>
      <w:ind w:firstLineChars="0"/>
    </w:pPr>
    <w:rPr>
      <w:rFonts w:ascii="黑体" w:eastAsia="黑体"/>
    </w:rPr>
  </w:style>
  <w:style w:type="paragraph" w:customStyle="1" w:styleId="201">
    <w:name w:val="标准文件_引言二级条标题"/>
    <w:basedOn w:val="56"/>
    <w:next w:val="56"/>
    <w:qFormat/>
    <w:uiPriority w:val="0"/>
    <w:pPr>
      <w:numPr>
        <w:ilvl w:val="2"/>
        <w:numId w:val="8"/>
      </w:numPr>
      <w:spacing w:before="50" w:beforeLines="50" w:after="50" w:afterLines="50"/>
      <w:ind w:firstLineChars="0"/>
    </w:pPr>
    <w:rPr>
      <w:rFonts w:ascii="黑体" w:eastAsia="黑体"/>
    </w:rPr>
  </w:style>
  <w:style w:type="paragraph" w:customStyle="1" w:styleId="202">
    <w:name w:val="标准文件_引言三级条标题"/>
    <w:basedOn w:val="56"/>
    <w:next w:val="56"/>
    <w:qFormat/>
    <w:uiPriority w:val="0"/>
    <w:pPr>
      <w:numPr>
        <w:ilvl w:val="3"/>
        <w:numId w:val="8"/>
      </w:numPr>
      <w:spacing w:before="50" w:beforeLines="50" w:after="50" w:afterLines="50"/>
      <w:ind w:firstLineChars="0"/>
    </w:pPr>
    <w:rPr>
      <w:rFonts w:ascii="黑体" w:eastAsia="黑体"/>
    </w:rPr>
  </w:style>
  <w:style w:type="paragraph" w:customStyle="1" w:styleId="203">
    <w:name w:val="标准文件_引言四级条标题"/>
    <w:basedOn w:val="56"/>
    <w:next w:val="56"/>
    <w:qFormat/>
    <w:uiPriority w:val="0"/>
    <w:pPr>
      <w:numPr>
        <w:ilvl w:val="4"/>
        <w:numId w:val="8"/>
      </w:numPr>
      <w:spacing w:before="50" w:beforeLines="50" w:after="50" w:afterLines="50"/>
      <w:ind w:firstLineChars="0"/>
    </w:pPr>
    <w:rPr>
      <w:rFonts w:ascii="黑体" w:eastAsia="黑体"/>
    </w:rPr>
  </w:style>
  <w:style w:type="paragraph" w:customStyle="1" w:styleId="204">
    <w:name w:val="标准文件_引言五级条标题"/>
    <w:basedOn w:val="56"/>
    <w:next w:val="56"/>
    <w:qFormat/>
    <w:uiPriority w:val="0"/>
    <w:pPr>
      <w:numPr>
        <w:ilvl w:val="5"/>
        <w:numId w:val="8"/>
      </w:numPr>
      <w:spacing w:before="50" w:beforeLines="50" w:after="50" w:afterLines="50"/>
      <w:ind w:firstLineChars="0"/>
    </w:pPr>
    <w:rPr>
      <w:rFonts w:ascii="黑体" w:eastAsia="黑体"/>
    </w:rPr>
  </w:style>
  <w:style w:type="paragraph" w:customStyle="1" w:styleId="205">
    <w:name w:val="标准文件_注后"/>
    <w:basedOn w:val="56"/>
    <w:qFormat/>
    <w:uiPriority w:val="0"/>
    <w:pPr>
      <w:ind w:left="811" w:firstLine="0" w:firstLineChars="0"/>
    </w:pPr>
    <w:rPr>
      <w:sz w:val="18"/>
    </w:rPr>
  </w:style>
  <w:style w:type="paragraph" w:customStyle="1" w:styleId="206">
    <w:name w:val="标准文件_注X后"/>
    <w:basedOn w:val="56"/>
    <w:qFormat/>
    <w:uiPriority w:val="0"/>
    <w:pPr>
      <w:ind w:left="811" w:firstLine="0" w:firstLineChars="0"/>
    </w:pPr>
    <w:rPr>
      <w:sz w:val="18"/>
    </w:rPr>
  </w:style>
  <w:style w:type="paragraph" w:customStyle="1" w:styleId="207">
    <w:name w:val="标准文件_示例后"/>
    <w:basedOn w:val="56"/>
    <w:qFormat/>
    <w:uiPriority w:val="0"/>
    <w:pPr>
      <w:ind w:left="964" w:firstLine="0" w:firstLineChars="0"/>
    </w:pPr>
    <w:rPr>
      <w:sz w:val="18"/>
    </w:rPr>
  </w:style>
  <w:style w:type="paragraph" w:customStyle="1" w:styleId="208">
    <w:name w:val="标准文件_示例X后"/>
    <w:basedOn w:val="56"/>
    <w:link w:val="209"/>
    <w:qFormat/>
    <w:uiPriority w:val="0"/>
    <w:pPr>
      <w:ind w:left="1049" w:firstLine="0" w:firstLineChars="0"/>
    </w:pPr>
    <w:rPr>
      <w:sz w:val="18"/>
    </w:rPr>
  </w:style>
  <w:style w:type="character" w:customStyle="1" w:styleId="209">
    <w:name w:val="标准文件_示例X后 字符"/>
    <w:basedOn w:val="184"/>
    <w:link w:val="208"/>
    <w:qFormat/>
    <w:uiPriority w:val="0"/>
    <w:rPr>
      <w:rFonts w:ascii="Times New Roman" w:hAnsi="Times New Roman"/>
      <w:sz w:val="18"/>
    </w:rPr>
  </w:style>
  <w:style w:type="paragraph" w:customStyle="1" w:styleId="210">
    <w:name w:val="标准文件_索引项"/>
    <w:basedOn w:val="56"/>
    <w:next w:val="56"/>
    <w:qFormat/>
    <w:uiPriority w:val="0"/>
    <w:pPr>
      <w:tabs>
        <w:tab w:val="right" w:leader="dot" w:pos="9356"/>
      </w:tabs>
      <w:ind w:left="210" w:hanging="210" w:firstLineChars="0"/>
      <w:jc w:val="left"/>
    </w:pPr>
  </w:style>
  <w:style w:type="paragraph" w:customStyle="1" w:styleId="211">
    <w:name w:val="标准文件_附录一级无标题"/>
    <w:basedOn w:val="78"/>
    <w:qFormat/>
    <w:uiPriority w:val="0"/>
    <w:pPr>
      <w:spacing w:before="0" w:beforeLines="0" w:after="0" w:afterLines="0" w:line="276" w:lineRule="auto"/>
      <w:outlineLvl w:val="9"/>
    </w:pPr>
    <w:rPr>
      <w:rFonts w:ascii="宋体" w:eastAsia="宋体"/>
    </w:rPr>
  </w:style>
  <w:style w:type="paragraph" w:customStyle="1" w:styleId="212">
    <w:name w:val="标准文件_附录二级无标题"/>
    <w:basedOn w:val="79"/>
    <w:qFormat/>
    <w:uiPriority w:val="0"/>
    <w:pPr>
      <w:spacing w:before="0" w:beforeLines="0" w:after="0" w:afterLines="0" w:line="276" w:lineRule="auto"/>
      <w:outlineLvl w:val="9"/>
    </w:pPr>
    <w:rPr>
      <w:rFonts w:ascii="宋体" w:eastAsia="宋体"/>
    </w:rPr>
  </w:style>
  <w:style w:type="paragraph" w:customStyle="1" w:styleId="213">
    <w:name w:val="标准文件_附录三级无标题"/>
    <w:basedOn w:val="81"/>
    <w:qFormat/>
    <w:uiPriority w:val="0"/>
    <w:pPr>
      <w:spacing w:before="0" w:beforeLines="0" w:after="0" w:afterLines="0" w:line="276" w:lineRule="auto"/>
      <w:outlineLvl w:val="9"/>
    </w:pPr>
    <w:rPr>
      <w:rFonts w:ascii="宋体" w:eastAsia="宋体"/>
    </w:rPr>
  </w:style>
  <w:style w:type="paragraph" w:customStyle="1" w:styleId="214">
    <w:name w:val="标准文件_附录四级无标题"/>
    <w:basedOn w:val="82"/>
    <w:qFormat/>
    <w:uiPriority w:val="0"/>
    <w:pPr>
      <w:spacing w:before="0" w:beforeLines="0" w:after="0" w:afterLines="0" w:line="276" w:lineRule="auto"/>
      <w:outlineLvl w:val="9"/>
    </w:pPr>
    <w:rPr>
      <w:rFonts w:ascii="宋体" w:eastAsia="宋体"/>
    </w:rPr>
  </w:style>
  <w:style w:type="paragraph" w:customStyle="1" w:styleId="215">
    <w:name w:val="标准文件_附录五级无标题"/>
    <w:basedOn w:val="84"/>
    <w:qFormat/>
    <w:uiPriority w:val="0"/>
    <w:pPr>
      <w:spacing w:before="0" w:beforeLines="0" w:after="0" w:afterLines="0" w:line="276" w:lineRule="auto"/>
      <w:outlineLvl w:val="9"/>
    </w:pPr>
    <w:rPr>
      <w:rFonts w:ascii="宋体" w:eastAsia="宋体"/>
    </w:rPr>
  </w:style>
  <w:style w:type="paragraph" w:customStyle="1" w:styleId="216">
    <w:name w:val="标准文件_引言一级无标题"/>
    <w:basedOn w:val="200"/>
    <w:next w:val="56"/>
    <w:qFormat/>
    <w:uiPriority w:val="0"/>
    <w:pPr>
      <w:spacing w:before="0" w:beforeLines="0" w:after="0" w:afterLines="0" w:line="276" w:lineRule="auto"/>
    </w:pPr>
    <w:rPr>
      <w:rFonts w:ascii="宋体" w:eastAsia="宋体"/>
    </w:rPr>
  </w:style>
  <w:style w:type="paragraph" w:customStyle="1" w:styleId="217">
    <w:name w:val="标准文件_引言二级无标题"/>
    <w:basedOn w:val="201"/>
    <w:next w:val="56"/>
    <w:qFormat/>
    <w:uiPriority w:val="0"/>
    <w:pPr>
      <w:spacing w:before="0" w:beforeLines="0" w:after="0" w:afterLines="0" w:line="276" w:lineRule="auto"/>
    </w:pPr>
    <w:rPr>
      <w:rFonts w:ascii="宋体" w:eastAsia="宋体"/>
    </w:rPr>
  </w:style>
  <w:style w:type="paragraph" w:customStyle="1" w:styleId="218">
    <w:name w:val="标准文件_引言三级无标题"/>
    <w:basedOn w:val="202"/>
    <w:qFormat/>
    <w:uiPriority w:val="0"/>
    <w:pPr>
      <w:spacing w:before="0" w:beforeLines="0" w:after="0" w:afterLines="0" w:line="276" w:lineRule="auto"/>
    </w:pPr>
    <w:rPr>
      <w:rFonts w:ascii="宋体" w:eastAsia="宋体"/>
    </w:rPr>
  </w:style>
  <w:style w:type="paragraph" w:customStyle="1" w:styleId="219">
    <w:name w:val="标准文件_引言四级无标题"/>
    <w:basedOn w:val="203"/>
    <w:next w:val="56"/>
    <w:qFormat/>
    <w:uiPriority w:val="0"/>
    <w:pPr>
      <w:spacing w:before="0" w:beforeLines="0" w:after="0" w:afterLines="0" w:line="276" w:lineRule="auto"/>
    </w:pPr>
    <w:rPr>
      <w:rFonts w:ascii="宋体" w:eastAsia="宋体"/>
    </w:rPr>
  </w:style>
  <w:style w:type="paragraph" w:customStyle="1" w:styleId="220">
    <w:name w:val="标准文件_引言五级无标题"/>
    <w:basedOn w:val="204"/>
    <w:next w:val="56"/>
    <w:qFormat/>
    <w:uiPriority w:val="0"/>
    <w:pPr>
      <w:spacing w:before="0" w:beforeLines="0" w:after="0" w:afterLines="0" w:line="276" w:lineRule="auto"/>
    </w:pPr>
    <w:rPr>
      <w:rFonts w:ascii="宋体" w:eastAsia="宋体"/>
    </w:rPr>
  </w:style>
  <w:style w:type="paragraph" w:customStyle="1" w:styleId="221">
    <w:name w:val="标准文件_索引标题"/>
    <w:basedOn w:val="63"/>
    <w:next w:val="56"/>
    <w:qFormat/>
    <w:uiPriority w:val="0"/>
    <w:rPr>
      <w:rFonts w:hAnsi="黑体"/>
    </w:rPr>
  </w:style>
  <w:style w:type="paragraph" w:customStyle="1" w:styleId="222">
    <w:name w:val="标准文件_脚注内容"/>
    <w:basedOn w:val="56"/>
    <w:qFormat/>
    <w:uiPriority w:val="0"/>
    <w:pPr>
      <w:ind w:left="400" w:leftChars="200" w:hanging="200" w:hangingChars="200"/>
    </w:pPr>
    <w:rPr>
      <w:sz w:val="15"/>
    </w:rPr>
  </w:style>
  <w:style w:type="paragraph" w:customStyle="1" w:styleId="223">
    <w:name w:val="标准文件_术语条一"/>
    <w:basedOn w:val="162"/>
    <w:next w:val="56"/>
    <w:qFormat/>
    <w:uiPriority w:val="0"/>
  </w:style>
  <w:style w:type="paragraph" w:customStyle="1" w:styleId="224">
    <w:name w:val="标准文件_术语条二"/>
    <w:basedOn w:val="165"/>
    <w:next w:val="56"/>
    <w:qFormat/>
    <w:uiPriority w:val="0"/>
  </w:style>
  <w:style w:type="paragraph" w:customStyle="1" w:styleId="225">
    <w:name w:val="标准文件_术语条三"/>
    <w:basedOn w:val="164"/>
    <w:next w:val="56"/>
    <w:qFormat/>
    <w:uiPriority w:val="0"/>
  </w:style>
  <w:style w:type="paragraph" w:customStyle="1" w:styleId="226">
    <w:name w:val="标准文件_术语条四"/>
    <w:basedOn w:val="167"/>
    <w:next w:val="56"/>
    <w:qFormat/>
    <w:uiPriority w:val="0"/>
  </w:style>
  <w:style w:type="paragraph" w:customStyle="1" w:styleId="227">
    <w:name w:val="标准文件_术语条五"/>
    <w:basedOn w:val="163"/>
    <w:next w:val="56"/>
    <w:qFormat/>
    <w:uiPriority w:val="0"/>
  </w:style>
  <w:style w:type="paragraph" w:customStyle="1" w:styleId="228">
    <w:name w:val="Default"/>
    <w:qFormat/>
    <w:uiPriority w:val="0"/>
    <w:pPr>
      <w:widowControl w:val="0"/>
      <w:autoSpaceDE w:val="0"/>
      <w:autoSpaceDN w:val="0"/>
      <w:adjustRightInd w:val="0"/>
    </w:pPr>
    <w:rPr>
      <w:rFonts w:ascii="宋体" w:hAnsi="Calibri" w:eastAsia="宋体" w:cs="宋体"/>
      <w:color w:val="000000"/>
      <w:sz w:val="24"/>
      <w:szCs w:val="24"/>
      <w:lang w:val="en-US" w:eastAsia="zh-CN" w:bidi="ar-SA"/>
    </w:rPr>
  </w:style>
  <w:style w:type="character" w:customStyle="1" w:styleId="229">
    <w:name w:val="发布"/>
    <w:basedOn w:val="28"/>
    <w:qFormat/>
    <w:uiPriority w:val="0"/>
    <w:rPr>
      <w:rFonts w:ascii="黑体" w:eastAsia="黑体"/>
      <w:spacing w:val="85"/>
      <w:w w:val="100"/>
      <w:position w:val="3"/>
      <w:sz w:val="28"/>
      <w:szCs w:val="28"/>
    </w:rPr>
  </w:style>
</w:styles>
</file>

<file path=word/_rels/document.xml.rels><?xml version="1.0" encoding="UTF-8" standalone="yes"?>
<Relationships xmlns="http://schemas.openxmlformats.org/package/2006/relationships"><Relationship Id="rId9" Type="http://schemas.openxmlformats.org/officeDocument/2006/relationships/footer" Target="footer2.xml"/><Relationship Id="rId8" Type="http://schemas.openxmlformats.org/officeDocument/2006/relationships/footer" Target="footer1.xml"/><Relationship Id="rId7" Type="http://schemas.openxmlformats.org/officeDocument/2006/relationships/header" Target="header3.xml"/><Relationship Id="rId6" Type="http://schemas.openxmlformats.org/officeDocument/2006/relationships/header" Target="header2.xml"/><Relationship Id="rId5" Type="http://schemas.openxmlformats.org/officeDocument/2006/relationships/header" Target="header1.xml"/><Relationship Id="rId4" Type="http://schemas.openxmlformats.org/officeDocument/2006/relationships/endnotes" Target="endnotes.xml"/><Relationship Id="rId3" Type="http://schemas.openxmlformats.org/officeDocument/2006/relationships/footnotes" Target="footnotes.xml"/><Relationship Id="rId28" Type="http://schemas.openxmlformats.org/officeDocument/2006/relationships/glossaryDocument" Target="glossary/document.xml"/><Relationship Id="rId27" Type="http://schemas.openxmlformats.org/officeDocument/2006/relationships/fontTable" Target="fontTable.xml"/><Relationship Id="rId26" Type="http://schemas.openxmlformats.org/officeDocument/2006/relationships/customXml" Target="../customXml/item2.xml"/><Relationship Id="rId25" Type="http://schemas.openxmlformats.org/officeDocument/2006/relationships/numbering" Target="numbering.xml"/><Relationship Id="rId24" Type="http://schemas.openxmlformats.org/officeDocument/2006/relationships/customXml" Target="../customXml/item1.xml"/><Relationship Id="rId23" Type="http://schemas.openxmlformats.org/officeDocument/2006/relationships/image" Target="media/image2.jpeg"/><Relationship Id="rId22" Type="http://schemas.openxmlformats.org/officeDocument/2006/relationships/image" Target="media/image1.jpeg"/><Relationship Id="rId21" Type="http://schemas.openxmlformats.org/officeDocument/2006/relationships/theme" Target="theme/theme1.xml"/><Relationship Id="rId20" Type="http://schemas.openxmlformats.org/officeDocument/2006/relationships/footer" Target="footer7.xml"/><Relationship Id="rId2" Type="http://schemas.openxmlformats.org/officeDocument/2006/relationships/settings" Target="settings.xml"/><Relationship Id="rId19" Type="http://schemas.openxmlformats.org/officeDocument/2006/relationships/header" Target="header9.xml"/><Relationship Id="rId18" Type="http://schemas.openxmlformats.org/officeDocument/2006/relationships/footer" Target="footer6.xml"/><Relationship Id="rId17" Type="http://schemas.openxmlformats.org/officeDocument/2006/relationships/footer" Target="footer5.xml"/><Relationship Id="rId16" Type="http://schemas.openxmlformats.org/officeDocument/2006/relationships/footer" Target="footer4.xml"/><Relationship Id="rId15" Type="http://schemas.openxmlformats.org/officeDocument/2006/relationships/header" Target="header8.xml"/><Relationship Id="rId14" Type="http://schemas.openxmlformats.org/officeDocument/2006/relationships/header" Target="header7.xml"/><Relationship Id="rId13" Type="http://schemas.openxmlformats.org/officeDocument/2006/relationships/header" Target="header6.xml"/><Relationship Id="rId12" Type="http://schemas.openxmlformats.org/officeDocument/2006/relationships/footer" Target="footer3.xml"/><Relationship Id="rId11" Type="http://schemas.openxmlformats.org/officeDocument/2006/relationships/header" Target="header5.xml"/><Relationship Id="rId10" Type="http://schemas.openxmlformats.org/officeDocument/2006/relationships/header" Target="header4.xml"/><Relationship Id="rId1" Type="http://schemas.openxmlformats.org/officeDocument/2006/relationships/styles" Target="styles.xml"/></Relationships>
</file>

<file path=word/_rels/settings.xml.rels><?xml version="1.0" encoding="UTF-8" standalone="yes"?>
<Relationships xmlns="http://schemas.openxmlformats.org/package/2006/relationships"><Relationship Id="rId1" Type="http://schemas.openxmlformats.org/officeDocument/2006/relationships/attachedTemplate" Target="file:///C:\Program%20Files%20(x86)\StandardEditor\template\&#34892;&#19994;&#26631;&#20934;.dotx" TargetMode="External"/></Relationships>
</file>

<file path=word/glossary/_rels/document.xml.rels><?xml version="1.0" encoding="UTF-8" standalone="yes"?>
<Relationships xmlns="http://schemas.openxmlformats.org/package/2006/relationships"><Relationship Id="rId3"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docParts>
    <w:docPart>
      <w:docPartPr>
        <w:name w:val="DE1BFDCFFE48487B9BE7AE65140DFDD1"/>
        <w:style w:val=""/>
        <w:category>
          <w:name w:val="常规"/>
          <w:gallery w:val="placeholder"/>
        </w:category>
        <w:types>
          <w:type w:val="bbPlcHdr"/>
        </w:types>
        <w:behaviors>
          <w:behavior w:val="content"/>
        </w:behaviors>
        <w:description w:val=""/>
        <w:guid w:val="{5CE9F32D-8AFD-4D07-B90D-4ED29DB56A2F}"/>
      </w:docPartPr>
      <w:docPartBody>
        <w:p w14:paraId="7B2CA487">
          <w:pPr>
            <w:pStyle w:val="5"/>
            <w:rPr>
              <w:rFonts w:hint="eastAsia"/>
            </w:rPr>
          </w:pPr>
          <w:r>
            <w:rPr>
              <w:rStyle w:val="4"/>
              <w:rFonts w:hint="eastAsia"/>
            </w:rPr>
            <w:t>单击或点击此处输入文字。</w:t>
          </w:r>
        </w:p>
      </w:docPartBody>
    </w:docPart>
    <w:docPart>
      <w:docPartPr>
        <w:name w:val="1DFEC00F45B54013963FD285E6A513BF"/>
        <w:style w:val=""/>
        <w:category>
          <w:name w:val="常规"/>
          <w:gallery w:val="placeholder"/>
        </w:category>
        <w:types>
          <w:type w:val="bbPlcHdr"/>
        </w:types>
        <w:behaviors>
          <w:behavior w:val="content"/>
        </w:behaviors>
        <w:description w:val=""/>
        <w:guid w:val="{8480F012-D16B-4B8A-8E0F-7CA1048D1FFD}"/>
      </w:docPartPr>
      <w:docPartBody>
        <w:p w14:paraId="12761C05">
          <w:pPr>
            <w:pStyle w:val="6"/>
            <w:rPr>
              <w:rFonts w:hint="eastAsia"/>
            </w:rPr>
          </w:pPr>
          <w:r>
            <w:rPr>
              <w:rStyle w:val="4"/>
              <w:rFonts w:hint="eastAsia"/>
            </w:rPr>
            <w:t>选择一项。</w:t>
          </w:r>
        </w:p>
      </w:docPartBody>
    </w:docPart>
    <w:docPart>
      <w:docPartPr>
        <w:name w:val="CE286D82D8D241B59903466D139FC999"/>
        <w:style w:val=""/>
        <w:category>
          <w:name w:val="常规"/>
          <w:gallery w:val="placeholder"/>
        </w:category>
        <w:types>
          <w:type w:val="bbPlcHdr"/>
        </w:types>
        <w:behaviors>
          <w:behavior w:val="content"/>
        </w:behaviors>
        <w:description w:val=""/>
        <w:guid w:val="{B292F034-6D8E-4AFA-ACB8-4E6CBDEDA792}"/>
      </w:docPartPr>
      <w:docPartBody>
        <w:p w14:paraId="12CE549A">
          <w:pPr>
            <w:pStyle w:val="7"/>
            <w:rPr>
              <w:rFonts w:hint="eastAsia"/>
            </w:rPr>
          </w:pPr>
          <w:r>
            <w:rPr>
              <w:rStyle w:val="4"/>
              <w:rFonts w:hint="eastAsia"/>
            </w:rPr>
            <w:t>选择一项。</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等线">
    <w:panose1 w:val="02010600030101010101"/>
    <w:charset w:val="86"/>
    <w:family w:val="auto"/>
    <w:pitch w:val="default"/>
    <w:sig w:usb0="A00002BF" w:usb1="38CF7CFA" w:usb2="00000016" w:usb3="00000000" w:csb0="0004000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bordersDoNotSurroundHeader w:val="1"/>
  <w:bordersDoNotSurroundFooter w:val="1"/>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F2F38"/>
    <w:rsid w:val="00000106"/>
    <w:rsid w:val="00027091"/>
    <w:rsid w:val="0004621C"/>
    <w:rsid w:val="00057A30"/>
    <w:rsid w:val="00090682"/>
    <w:rsid w:val="000B4576"/>
    <w:rsid w:val="000E5B35"/>
    <w:rsid w:val="000E7342"/>
    <w:rsid w:val="000F6B90"/>
    <w:rsid w:val="00114716"/>
    <w:rsid w:val="00147F5A"/>
    <w:rsid w:val="001733C1"/>
    <w:rsid w:val="00175CE1"/>
    <w:rsid w:val="001811CA"/>
    <w:rsid w:val="00183980"/>
    <w:rsid w:val="001E5BAD"/>
    <w:rsid w:val="00290902"/>
    <w:rsid w:val="002918AF"/>
    <w:rsid w:val="002920ED"/>
    <w:rsid w:val="002B7A9C"/>
    <w:rsid w:val="002C6036"/>
    <w:rsid w:val="002E5133"/>
    <w:rsid w:val="002F77B3"/>
    <w:rsid w:val="00304CC5"/>
    <w:rsid w:val="0033428B"/>
    <w:rsid w:val="00386A12"/>
    <w:rsid w:val="003908C4"/>
    <w:rsid w:val="003C00D1"/>
    <w:rsid w:val="00415156"/>
    <w:rsid w:val="00435D26"/>
    <w:rsid w:val="00455935"/>
    <w:rsid w:val="00455965"/>
    <w:rsid w:val="00487FAC"/>
    <w:rsid w:val="004F2F38"/>
    <w:rsid w:val="005136F4"/>
    <w:rsid w:val="005221EE"/>
    <w:rsid w:val="005236DE"/>
    <w:rsid w:val="00551C2A"/>
    <w:rsid w:val="00563E09"/>
    <w:rsid w:val="00580ADB"/>
    <w:rsid w:val="0060377F"/>
    <w:rsid w:val="006658FA"/>
    <w:rsid w:val="006E1EB8"/>
    <w:rsid w:val="006F1FF9"/>
    <w:rsid w:val="006F3DE2"/>
    <w:rsid w:val="007662D2"/>
    <w:rsid w:val="007715F9"/>
    <w:rsid w:val="007823CD"/>
    <w:rsid w:val="007B1AEE"/>
    <w:rsid w:val="007F28AB"/>
    <w:rsid w:val="008404D0"/>
    <w:rsid w:val="0087018E"/>
    <w:rsid w:val="008816E8"/>
    <w:rsid w:val="008946A9"/>
    <w:rsid w:val="008A62C7"/>
    <w:rsid w:val="00920D6D"/>
    <w:rsid w:val="00932618"/>
    <w:rsid w:val="00966A4C"/>
    <w:rsid w:val="00980EC7"/>
    <w:rsid w:val="00990537"/>
    <w:rsid w:val="009C4EAF"/>
    <w:rsid w:val="009C501E"/>
    <w:rsid w:val="009F0907"/>
    <w:rsid w:val="009F4936"/>
    <w:rsid w:val="00A06A61"/>
    <w:rsid w:val="00A10D8A"/>
    <w:rsid w:val="00A82CE0"/>
    <w:rsid w:val="00AC56FE"/>
    <w:rsid w:val="00AD767A"/>
    <w:rsid w:val="00AE1191"/>
    <w:rsid w:val="00AF68D2"/>
    <w:rsid w:val="00B002BB"/>
    <w:rsid w:val="00B666D3"/>
    <w:rsid w:val="00BD3017"/>
    <w:rsid w:val="00BE1F3E"/>
    <w:rsid w:val="00BE4409"/>
    <w:rsid w:val="00C0629F"/>
    <w:rsid w:val="00C0797D"/>
    <w:rsid w:val="00C12B1A"/>
    <w:rsid w:val="00C217C4"/>
    <w:rsid w:val="00C77B16"/>
    <w:rsid w:val="00C920D3"/>
    <w:rsid w:val="00CA4A6A"/>
    <w:rsid w:val="00CD0A40"/>
    <w:rsid w:val="00CD61EE"/>
    <w:rsid w:val="00D00B2F"/>
    <w:rsid w:val="00D11D90"/>
    <w:rsid w:val="00D356B5"/>
    <w:rsid w:val="00D37F99"/>
    <w:rsid w:val="00D460C0"/>
    <w:rsid w:val="00D464FD"/>
    <w:rsid w:val="00D90C58"/>
    <w:rsid w:val="00DA3122"/>
    <w:rsid w:val="00DE76A9"/>
    <w:rsid w:val="00E03FAA"/>
    <w:rsid w:val="00E220D1"/>
    <w:rsid w:val="00E227A8"/>
    <w:rsid w:val="00E22972"/>
    <w:rsid w:val="00E22D1F"/>
    <w:rsid w:val="00EA4643"/>
    <w:rsid w:val="00EC2CEB"/>
    <w:rsid w:val="00ED7CAF"/>
    <w:rsid w:val="00F02F13"/>
    <w:rsid w:val="00F061C7"/>
    <w:rsid w:val="00F259A9"/>
    <w:rsid w:val="00F46DCA"/>
    <w:rsid w:val="00F852B1"/>
    <w:rsid w:val="00FC7F26"/>
    <w:rsid w:val="00FD76C5"/>
    <w:rsid w:val="00FE361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glossary/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iPriority="1" w:name="Default Paragraph Font"/>
    <w:lsdException w:qFormat="1" w:uiPriority="99" w:name="Normal Table"/>
    <w:lsdException w:qFormat="1" w:unhideWhenUsed="0" w:uiPriority="99" w:name="Placeholder Text"/>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14:ligatures w14:val="standardContextual"/>
    </w:rPr>
  </w:style>
  <w:style w:type="character" w:default="1" w:styleId="2">
    <w:name w:val="Default Paragraph Font"/>
    <w:semiHidden/>
    <w:unhideWhenUsed/>
    <w:qFormat/>
    <w:uiPriority w:val="1"/>
  </w:style>
  <w:style w:type="table" w:default="1" w:styleId="3">
    <w:name w:val="Normal Table"/>
    <w:semiHidden/>
    <w:unhideWhenUsed/>
    <w:qFormat/>
    <w:uiPriority w:val="99"/>
    <w:tblPr>
      <w:tblCellMar>
        <w:top w:w="0" w:type="dxa"/>
        <w:left w:w="108" w:type="dxa"/>
        <w:bottom w:w="0" w:type="dxa"/>
        <w:right w:w="108" w:type="dxa"/>
      </w:tblCellMar>
    </w:tblPr>
  </w:style>
  <w:style w:type="character" w:styleId="4">
    <w:name w:val="Placeholder Text"/>
    <w:basedOn w:val="2"/>
    <w:semiHidden/>
    <w:qFormat/>
    <w:uiPriority w:val="99"/>
    <w:rPr>
      <w:color w:val="808080"/>
    </w:rPr>
  </w:style>
  <w:style w:type="paragraph" w:customStyle="1" w:styleId="5">
    <w:name w:val="DE1BFDCFFE48487B9BE7AE65140DFDD1"/>
    <w:qFormat/>
    <w:uiPriority w:val="0"/>
    <w:pPr>
      <w:widowControl w:val="0"/>
      <w:jc w:val="both"/>
    </w:pPr>
    <w:rPr>
      <w:rFonts w:asciiTheme="minorHAnsi" w:hAnsiTheme="minorHAnsi" w:eastAsiaTheme="minorEastAsia" w:cstheme="minorBidi"/>
      <w:kern w:val="2"/>
      <w:sz w:val="21"/>
      <w:szCs w:val="22"/>
      <w:lang w:val="en-US" w:eastAsia="zh-CN" w:bidi="ar-SA"/>
      <w14:ligatures w14:val="standardContextual"/>
    </w:rPr>
  </w:style>
  <w:style w:type="paragraph" w:customStyle="1" w:styleId="6">
    <w:name w:val="1DFEC00F45B54013963FD285E6A513BF"/>
    <w:qFormat/>
    <w:uiPriority w:val="0"/>
    <w:pPr>
      <w:widowControl w:val="0"/>
      <w:jc w:val="both"/>
    </w:pPr>
    <w:rPr>
      <w:rFonts w:asciiTheme="minorHAnsi" w:hAnsiTheme="minorHAnsi" w:eastAsiaTheme="minorEastAsia" w:cstheme="minorBidi"/>
      <w:kern w:val="2"/>
      <w:sz w:val="21"/>
      <w:szCs w:val="22"/>
      <w:lang w:val="en-US" w:eastAsia="zh-CN" w:bidi="ar-SA"/>
      <w14:ligatures w14:val="standardContextual"/>
    </w:rPr>
  </w:style>
  <w:style w:type="paragraph" w:customStyle="1" w:styleId="7">
    <w:name w:val="CE286D82D8D241B59903466D139FC999"/>
    <w:qFormat/>
    <w:uiPriority w:val="0"/>
    <w:pPr>
      <w:widowControl w:val="0"/>
      <w:jc w:val="both"/>
    </w:pPr>
    <w:rPr>
      <w:rFonts w:asciiTheme="minorHAnsi" w:hAnsiTheme="minorHAnsi" w:eastAsiaTheme="minorEastAsia" w:cstheme="minorBidi"/>
      <w:kern w:val="2"/>
      <w:sz w:val="21"/>
      <w:szCs w:val="22"/>
      <w:lang w:val="en-US" w:eastAsia="zh-CN" w:bidi="ar-SA"/>
      <w14:ligatures w14:val="standardContextual"/>
    </w:rPr>
  </w:style>
</w:style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bwMode="auto">
        <a:noFill/>
        <a:ln w="9525">
          <a:solidFill>
            <a:srgbClr val="000000"/>
          </a:solidFill>
          <a:round/>
        </a:ln>
      </a:spPr>
      <a:bodyPr/>
      <a:lstStyle/>
    </a:lnDef>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0E8FE12C-16EA-4F8F-A8A1-ED38DA65EEBC}">
  <ds:schemaRefs/>
</ds:datastoreItem>
</file>

<file path=docProps/app.xml><?xml version="1.0" encoding="utf-8"?>
<Properties xmlns="http://schemas.openxmlformats.org/officeDocument/2006/extended-properties" xmlns:vt="http://schemas.openxmlformats.org/officeDocument/2006/docPropsVTypes">
  <Template>行业标准.dotx</Template>
  <Company>PCMI</Company>
  <Pages>44</Pages>
  <Words>4649</Words>
  <Characters>5188</Characters>
  <Lines>113</Lines>
  <Paragraphs>32</Paragraphs>
  <TotalTime>0</TotalTime>
  <ScaleCrop>false</ScaleCrop>
  <LinksUpToDate>false</LinksUpToDate>
  <CharactersWithSpaces>5355</CharactersWithSpaces>
  <Application>WPS Office_12.1.0.22529_F1E327BC-269C-435d-A152-05C5408002CA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2025-07-17T23:54:00Z</dcterms:created>
  <dc:creator>86186</dc:creator>
  <cp:lastModifiedBy>zuofl</cp:lastModifiedBy>
  <cp:lastPrinted>2025-07-18T13:33:00Z</cp:lastPrinted>
  <dcterms:modified xsi:type="dcterms:W3CDTF">2025-09-04T02:11:30Z</dcterms:modified>
  <dc:title>行业标准</dc:title>
  <cp:revision>49</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doctype">
    <vt:lpwstr>SDKXY</vt:lpwstr>
  </property>
  <property fmtid="{D5CDD505-2E9C-101B-9397-08002B2CF9AE}" pid="3" name="cover">
    <vt:lpwstr>true</vt:lpwstr>
  </property>
  <property fmtid="{D5CDD505-2E9C-101B-9397-08002B2CF9AE}" pid="4" name="show_menu">
    <vt:lpwstr>true</vt:lpwstr>
  </property>
  <property fmtid="{D5CDD505-2E9C-101B-9397-08002B2CF9AE}" pid="5" name="version">
    <vt:lpwstr>1.0.0</vt:lpwstr>
  </property>
  <property fmtid="{D5CDD505-2E9C-101B-9397-08002B2CF9AE}" pid="6" name="xmlname">
    <vt:lpwstr>行业标准</vt:lpwstr>
  </property>
  <property fmtid="{D5CDD505-2E9C-101B-9397-08002B2CF9AE}" pid="7" name="NSTD_CODE">
    <vt:lpwstr>GB/T-</vt:lpwstr>
  </property>
  <property fmtid="{D5CDD505-2E9C-101B-9397-08002B2CF9AE}" pid="8" name="OSTD_CODE">
    <vt:lpwstr>代替 GB/T-</vt:lpwstr>
  </property>
  <property fmtid="{D5CDD505-2E9C-101B-9397-08002B2CF9AE}" pid="9" name="flag_zhengwen">
    <vt:lpwstr>0</vt:lpwstr>
  </property>
  <property fmtid="{D5CDD505-2E9C-101B-9397-08002B2CF9AE}" pid="10" name="flag_fulu">
    <vt:lpwstr>0</vt:lpwstr>
  </property>
  <property fmtid="{D5CDD505-2E9C-101B-9397-08002B2CF9AE}" pid="11" name="flag_pic">
    <vt:lpwstr>False</vt:lpwstr>
  </property>
  <property fmtid="{D5CDD505-2E9C-101B-9397-08002B2CF9AE}" pid="12" name="flag_tab">
    <vt:lpwstr>false</vt:lpwstr>
  </property>
  <property fmtid="{D5CDD505-2E9C-101B-9397-08002B2CF9AE}" pid="13" name="NumList">
    <vt:lpwstr>false</vt:lpwstr>
  </property>
  <property fmtid="{D5CDD505-2E9C-101B-9397-08002B2CF9AE}" pid="14" name="KSOTemplateDocerSaveRecord">
    <vt:lpwstr>eyJoZGlkIjoiY2YzYjY4NTA2ZTQyN2M4M2U3YzM0NzZhYjZhNmMwN2QiLCJ1c2VySWQiOiI5NjA3MDE3NTcifQ==</vt:lpwstr>
  </property>
  <property fmtid="{D5CDD505-2E9C-101B-9397-08002B2CF9AE}" pid="15" name="KSOProductBuildVer">
    <vt:lpwstr>2052-12.1.0.22529</vt:lpwstr>
  </property>
  <property fmtid="{D5CDD505-2E9C-101B-9397-08002B2CF9AE}" pid="16" name="ICV">
    <vt:lpwstr>E851CCA13839481389ECE3674B3129FA_13</vt:lpwstr>
  </property>
</Properties>
</file>