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7B05D">
      <w:pPr>
        <w:pStyle w:val="19"/>
        <w:framePr w:wrap="notBeside" w:vAnchor="page" w:hAnchor="page" w:x="1372" w:y="568"/>
        <w:tabs>
          <w:tab w:val="clear" w:pos="4153"/>
          <w:tab w:val="clear" w:pos="8306"/>
        </w:tabs>
        <w:spacing w:line="240" w:lineRule="auto"/>
        <w:jc w:val="left"/>
        <w:rPr>
          <w:rFonts w:ascii="Times New Roman" w:hAnsi="Times New Roman" w:eastAsia="黑体" w:cs="Times New Roman"/>
          <w:sz w:val="21"/>
          <w:szCs w:val="21"/>
        </w:rPr>
      </w:pP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14:paraId="35908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1BCD3C">
            <w:pPr>
              <w:pStyle w:val="19"/>
              <w:framePr w:wrap="notBeside" w:vAnchor="page" w:hAnchor="page" w:x="1372" w:y="568"/>
              <w:tabs>
                <w:tab w:val="clear" w:pos="4153"/>
                <w:tab w:val="clear" w:pos="8306"/>
              </w:tabs>
              <w:spacing w:before="40" w:line="240" w:lineRule="auto"/>
              <w:jc w:val="left"/>
              <w:rPr>
                <w:rFonts w:ascii="Times New Roman" w:hAnsi="Times New Roman" w:eastAsia="黑体" w:cs="Times New Roman"/>
                <w:b/>
                <w:bCs/>
                <w:sz w:val="21"/>
                <w:szCs w:val="21"/>
              </w:rPr>
            </w:pPr>
            <w:r>
              <w:rPr>
                <w:rFonts w:ascii="Times New Roman" w:hAnsi="Times New Roman" w:eastAsia="黑体" w:cs="Times New Roman"/>
                <w:b/>
                <w:bCs/>
                <w:sz w:val="21"/>
                <w:szCs w:val="21"/>
              </w:rPr>
              <w:t xml:space="preserve">ICS  </w:t>
            </w:r>
          </w:p>
        </w:tc>
        <w:tc>
          <w:tcPr>
            <w:tcW w:w="8845" w:type="dxa"/>
          </w:tcPr>
          <w:p w14:paraId="70CFF895">
            <w:pPr>
              <w:pStyle w:val="19"/>
              <w:framePr w:wrap="notBeside" w:vAnchor="page" w:hAnchor="page" w:x="1372" w:y="568"/>
              <w:tabs>
                <w:tab w:val="clear" w:pos="4153"/>
                <w:tab w:val="clear" w:pos="8306"/>
              </w:tabs>
              <w:spacing w:before="40" w:line="240" w:lineRule="auto"/>
              <w:jc w:val="left"/>
              <w:rPr>
                <w:rFonts w:hint="eastAsia" w:ascii="黑体" w:hAnsi="黑体" w:eastAsia="黑体" w:cs="黑体"/>
                <w:b/>
                <w:bCs/>
                <w:sz w:val="21"/>
                <w:szCs w:val="21"/>
              </w:rPr>
            </w:pPr>
            <w:r>
              <w:rPr>
                <w:rFonts w:hint="eastAsia" w:ascii="黑体" w:hAnsi="黑体" w:eastAsia="黑体" w:cs="黑体"/>
                <w:b/>
                <w:bCs/>
                <w:sz w:val="21"/>
                <w:szCs w:val="21"/>
              </w:rPr>
              <w:fldChar w:fldCharType="begin">
                <w:ffData>
                  <w:name w:val="ICS"/>
                  <w:enabled/>
                  <w:calcOnExit w:val="0"/>
                  <w:textInput>
                    <w:default w:val="点击此处添加ICS号"/>
                  </w:textInput>
                </w:ffData>
              </w:fldChar>
            </w:r>
            <w:bookmarkStart w:id="0" w:name="ICS"/>
            <w:r>
              <w:rPr>
                <w:rFonts w:hint="eastAsia" w:ascii="黑体" w:hAnsi="黑体" w:eastAsia="黑体" w:cs="黑体"/>
                <w:b/>
                <w:bCs/>
                <w:sz w:val="21"/>
                <w:szCs w:val="21"/>
              </w:rPr>
              <w:instrText xml:space="preserve"> FORMTEXT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13.100</w:t>
            </w:r>
            <w:r>
              <w:rPr>
                <w:rFonts w:hint="eastAsia" w:ascii="黑体" w:hAnsi="黑体" w:eastAsia="黑体" w:cs="黑体"/>
                <w:b/>
                <w:bCs/>
                <w:sz w:val="21"/>
                <w:szCs w:val="21"/>
              </w:rPr>
              <w:fldChar w:fldCharType="end"/>
            </w:r>
            <w:bookmarkEnd w:id="0"/>
          </w:p>
        </w:tc>
      </w:tr>
      <w:tr w14:paraId="7AA5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D2BE421">
            <w:pPr>
              <w:pStyle w:val="19"/>
              <w:framePr w:wrap="notBeside" w:vAnchor="page" w:hAnchor="page" w:x="1372" w:y="568"/>
              <w:tabs>
                <w:tab w:val="clear" w:pos="4153"/>
                <w:tab w:val="clear" w:pos="8306"/>
              </w:tabs>
              <w:spacing w:before="40" w:line="240" w:lineRule="auto"/>
              <w:jc w:val="left"/>
              <w:rPr>
                <w:rFonts w:ascii="Times New Roman" w:hAnsi="Times New Roman" w:eastAsia="黑体" w:cs="Times New Roman"/>
                <w:b/>
                <w:bCs/>
                <w:sz w:val="21"/>
                <w:szCs w:val="21"/>
              </w:rPr>
            </w:pPr>
            <w:r>
              <w:rPr>
                <w:rFonts w:ascii="Times New Roman" w:hAnsi="Times New Roman" w:eastAsia="黑体" w:cs="Times New Roman"/>
                <w:b/>
                <w:bCs/>
                <w:sz w:val="21"/>
                <w:szCs w:val="21"/>
              </w:rPr>
              <w:t xml:space="preserve">CCS  </w:t>
            </w:r>
          </w:p>
        </w:tc>
        <w:tc>
          <w:tcPr>
            <w:tcW w:w="8845" w:type="dxa"/>
          </w:tcPr>
          <w:p w14:paraId="49137CC4">
            <w:pPr>
              <w:pStyle w:val="19"/>
              <w:framePr w:wrap="notBeside" w:vAnchor="page" w:hAnchor="page" w:x="1372" w:y="568"/>
              <w:tabs>
                <w:tab w:val="clear" w:pos="4153"/>
                <w:tab w:val="clear" w:pos="8306"/>
              </w:tabs>
              <w:spacing w:before="40" w:line="240" w:lineRule="auto"/>
              <w:jc w:val="left"/>
              <w:rPr>
                <w:rFonts w:hint="eastAsia" w:ascii="黑体" w:hAnsi="黑体" w:eastAsia="黑体" w:cs="黑体"/>
                <w:b/>
                <w:bCs/>
                <w:sz w:val="21"/>
                <w:szCs w:val="21"/>
              </w:rPr>
            </w:pPr>
            <w:r>
              <w:rPr>
                <w:rFonts w:hint="eastAsia" w:ascii="黑体" w:hAnsi="黑体" w:eastAsia="黑体" w:cs="黑体"/>
                <w:b/>
                <w:bCs/>
                <w:sz w:val="21"/>
                <w:szCs w:val="21"/>
              </w:rPr>
              <w:t>E</w:t>
            </w:r>
            <w:r>
              <w:rPr>
                <w:rFonts w:hint="eastAsia" w:ascii="黑体" w:hAnsi="黑体" w:eastAsia="黑体" w:cs="黑体"/>
                <w:b/>
                <w:bCs/>
                <w:sz w:val="21"/>
                <w:szCs w:val="21"/>
                <w:lang w:val="en-US" w:eastAsia="zh-CN"/>
              </w:rPr>
              <w:t xml:space="preserve"> </w:t>
            </w:r>
            <w:r>
              <w:rPr>
                <w:rFonts w:hint="eastAsia" w:ascii="黑体" w:hAnsi="黑体" w:eastAsia="黑体" w:cs="黑体"/>
                <w:b/>
                <w:bCs/>
                <w:sz w:val="21"/>
                <w:szCs w:val="21"/>
              </w:rPr>
              <w:t>09</w:t>
            </w:r>
          </w:p>
        </w:tc>
      </w:tr>
    </w:tbl>
    <w:p w14:paraId="0657DCC9">
      <w:pPr>
        <w:pStyle w:val="54"/>
        <w:framePr w:w="9639" w:h="624" w:hRule="exact" w:hSpace="181" w:vSpace="181" w:wrap="around" w:hAnchor="page" w:x="1305" w:y="2269"/>
      </w:pPr>
      <w:bookmarkStart w:id="1" w:name="_Hlk26473981"/>
      <w:r>
        <w:rPr>
          <w:rFonts w:hint="eastAsia"/>
        </w:rPr>
        <w:t>中华人民共和国国家标准</w:t>
      </w:r>
    </w:p>
    <w:bookmarkEnd w:id="1"/>
    <w:p w14:paraId="3069C02F">
      <w:pPr>
        <w:pStyle w:val="199"/>
        <w:rPr>
          <w:lang w:val="fr-FR"/>
        </w:rPr>
      </w:pPr>
      <w:r>
        <w:fldChar w:fldCharType="begin">
          <w:ffData>
            <w:name w:val="文字1"/>
            <w:enabled/>
            <w:calcOnExit w:val="0"/>
            <w:textInput>
              <w:default w:val="GB/T"/>
            </w:textInput>
          </w:ffData>
        </w:fldChar>
      </w:r>
      <w:bookmarkStart w:id="2" w:name="文字1"/>
      <w:r>
        <w:rPr>
          <w:lang w:val="fr-FR"/>
        </w:rPr>
        <w:instrText xml:space="preserve"> FORMTEXT </w:instrText>
      </w:r>
      <w:r>
        <w:fldChar w:fldCharType="separate"/>
      </w:r>
      <w:r>
        <w:rPr>
          <w:lang w:val="fr-FR"/>
        </w:rPr>
        <w:t>GB</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rPr>
          <w:rFonts w:hint="eastAsia"/>
        </w:rPr>
        <w:t>XXXXXX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rFonts w:hint="eastAsia"/>
        </w:rPr>
        <w:t>XX</w:t>
      </w:r>
      <w:r>
        <w:rPr>
          <w:lang w:val="fr-FR"/>
        </w:rPr>
        <w:t>XX</w:t>
      </w:r>
      <w:r>
        <w:fldChar w:fldCharType="end"/>
      </w:r>
      <w:bookmarkEnd w:id="4"/>
    </w:p>
    <w:p w14:paraId="387C1E5F">
      <w:pPr>
        <w:pStyle w:val="200"/>
        <w:rPr>
          <w:rFonts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14:paraId="3B89DEA5">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3579BE3B">
      <w:pPr>
        <w:pStyle w:val="54"/>
        <w:framePr w:w="9639" w:h="6976" w:hRule="exact" w:hSpace="0" w:vSpace="0" w:wrap="around" w:hAnchor="page" w:y="6408"/>
        <w:jc w:val="center"/>
        <w:rPr>
          <w:rFonts w:ascii="黑体" w:hAnsi="黑体" w:eastAsia="黑体"/>
          <w:b w:val="0"/>
          <w:bCs w:val="0"/>
          <w:w w:val="100"/>
        </w:rPr>
      </w:pPr>
    </w:p>
    <w:p w14:paraId="70D54BD8">
      <w:pPr>
        <w:pStyle w:val="201"/>
        <w:framePr w:h="6974" w:hRule="exact" w:wrap="around" w:x="1419" w:anchorLock="1"/>
      </w:pPr>
      <w:bookmarkStart w:id="6" w:name="CSTD_NAME"/>
      <w:r>
        <w:fldChar w:fldCharType="begin">
          <w:ffData>
            <w:name w:val="CSTD_NAME"/>
            <w:enabled/>
            <w:calcOnExit w:val="0"/>
            <w:textInput>
              <w:default w:val="陆上油气田停产井安全规范"/>
            </w:textInput>
          </w:ffData>
        </w:fldChar>
      </w:r>
      <w:r>
        <w:instrText xml:space="preserve">FORMTEXT</w:instrText>
      </w:r>
      <w:r>
        <w:fldChar w:fldCharType="separate"/>
      </w:r>
      <w:r>
        <w:t>陆上油气田停产井安全规范</w:t>
      </w:r>
      <w:r>
        <w:fldChar w:fldCharType="end"/>
      </w:r>
      <w:bookmarkEnd w:id="6"/>
    </w:p>
    <w:p w14:paraId="7482752F">
      <w:pPr>
        <w:framePr w:w="9639" w:h="6974" w:hRule="exact" w:wrap="around" w:vAnchor="page" w:hAnchor="page" w:x="1419" w:y="6408" w:anchorLock="1"/>
        <w:ind w:left="-1418"/>
      </w:pPr>
    </w:p>
    <w:p w14:paraId="0D4076B0">
      <w:pPr>
        <w:pStyle w:val="129"/>
        <w:framePr w:w="9639" w:h="6974" w:hRule="exact" w:wrap="around" w:vAnchor="page" w:hAnchor="page" w:x="1419" w:y="6408" w:anchorLock="1"/>
        <w:textAlignment w:val="bottom"/>
        <w:rPr>
          <w:rFonts w:ascii="黑体" w:hAnsi="黑体" w:eastAsia="黑体"/>
          <w:szCs w:val="28"/>
        </w:rPr>
      </w:pPr>
      <w:bookmarkStart w:id="7" w:name="ESTD_NAME"/>
      <w:r>
        <w:rPr>
          <w:rFonts w:hint="eastAsia" w:ascii="Times New Roman" w:hAnsi="Times New Roman" w:eastAsia="宋体" w:cs="Times New Roman"/>
          <w:sz w:val="32"/>
          <w:szCs w:val="32"/>
          <w:lang w:val="fr-FR"/>
        </w:rPr>
        <w:fldChar w:fldCharType="begin">
          <w:ffData>
            <w:name w:val="ESTD_NAME"/>
            <w:enabled/>
            <w:calcOnExit w:val="0"/>
            <w:textInput>
              <w:default w:val="Safety specification for onshore oil and gas inactive wells"/>
            </w:textInput>
          </w:ffData>
        </w:fldChar>
      </w:r>
      <w:r>
        <w:rPr>
          <w:rFonts w:hint="eastAsia" w:ascii="Times New Roman" w:hAnsi="Times New Roman" w:eastAsia="宋体" w:cs="Times New Roman"/>
          <w:sz w:val="32"/>
          <w:szCs w:val="32"/>
          <w:lang w:val="fr-FR"/>
        </w:rPr>
        <w:instrText xml:space="preserve">FORMTEXT</w:instrText>
      </w:r>
      <w:r>
        <w:rPr>
          <w:rFonts w:hint="eastAsia" w:ascii="Times New Roman" w:hAnsi="Times New Roman" w:eastAsia="宋体" w:cs="Times New Roman"/>
          <w:sz w:val="32"/>
          <w:szCs w:val="32"/>
          <w:lang w:val="fr-FR"/>
        </w:rPr>
        <w:fldChar w:fldCharType="separate"/>
      </w:r>
      <w:r>
        <w:rPr>
          <w:rFonts w:hint="eastAsia" w:ascii="Times New Roman" w:hAnsi="Times New Roman" w:eastAsia="宋体" w:cs="Times New Roman"/>
          <w:sz w:val="32"/>
          <w:szCs w:val="32"/>
          <w:lang w:val="fr-FR"/>
        </w:rPr>
        <w:t>Safety specification for inactive well</w:t>
      </w:r>
      <w:r>
        <w:rPr>
          <w:rFonts w:hint="eastAsia" w:cs="Times New Roman"/>
          <w:sz w:val="32"/>
          <w:szCs w:val="32"/>
          <w:lang w:val="en-US" w:eastAsia="zh-CN"/>
        </w:rPr>
        <w:t>s</w:t>
      </w:r>
      <w:r>
        <w:rPr>
          <w:rFonts w:hint="eastAsia" w:ascii="Times New Roman" w:hAnsi="Times New Roman" w:eastAsia="宋体" w:cs="Times New Roman"/>
          <w:sz w:val="32"/>
          <w:szCs w:val="32"/>
          <w:lang w:val="en-US" w:eastAsia="zh-CN"/>
        </w:rPr>
        <w:t xml:space="preserve"> in </w:t>
      </w:r>
      <w:r>
        <w:rPr>
          <w:rFonts w:hint="eastAsia" w:ascii="Times New Roman" w:hAnsi="Times New Roman" w:eastAsia="宋体" w:cs="Times New Roman"/>
          <w:sz w:val="32"/>
          <w:szCs w:val="32"/>
          <w:lang w:val="fr-FR"/>
        </w:rPr>
        <w:t>onshore oil and gas</w:t>
      </w:r>
      <w:r>
        <w:rPr>
          <w:rFonts w:hint="eastAsia" w:ascii="Times New Roman" w:hAnsi="Times New Roman" w:eastAsia="宋体" w:cs="Times New Roman"/>
          <w:sz w:val="32"/>
          <w:szCs w:val="32"/>
          <w:lang w:val="en-US" w:eastAsia="zh-CN"/>
        </w:rPr>
        <w:t xml:space="preserve"> fields</w:t>
      </w:r>
      <w:r>
        <w:rPr>
          <w:rFonts w:hint="eastAsia" w:ascii="Times New Roman" w:hAnsi="Times New Roman" w:eastAsia="宋体" w:cs="Times New Roman"/>
          <w:sz w:val="32"/>
          <w:szCs w:val="32"/>
          <w:lang w:val="fr-FR"/>
        </w:rPr>
        <w:fldChar w:fldCharType="end"/>
      </w:r>
      <w:bookmarkEnd w:id="7"/>
    </w:p>
    <w:p w14:paraId="1FD86632">
      <w:pPr>
        <w:framePr w:w="9639" w:h="6974" w:hRule="exact" w:wrap="around" w:vAnchor="page" w:hAnchor="page" w:x="1419" w:y="6408" w:anchorLock="1"/>
        <w:spacing w:line="760" w:lineRule="exact"/>
        <w:ind w:left="-1418"/>
      </w:pPr>
    </w:p>
    <w:p w14:paraId="2BA47DCE">
      <w:pPr>
        <w:pStyle w:val="129"/>
        <w:framePr w:w="9639" w:h="6974" w:hRule="exact" w:wrap="around" w:vAnchor="page" w:hAnchor="page" w:x="1419" w:y="6408" w:anchorLock="1"/>
        <w:spacing w:before="440" w:after="160"/>
        <w:textAlignment w:val="bottom"/>
        <w:rPr>
          <w:rFonts w:hint="default" w:ascii="Times New Roman" w:hAnsi="Times New Roman" w:eastAsia="宋体" w:cs="Times New Roman"/>
          <w:szCs w:val="32"/>
          <w:lang w:val="en-US"/>
        </w:rPr>
      </w:pPr>
      <w:bookmarkStart w:id="8" w:name="下拉1"/>
      <w:r>
        <w:rPr>
          <w:rFonts w:hint="eastAsia" w:ascii="Times New Roman" w:hAnsi="Times New Roman" w:eastAsia="宋体" w:cs="Times New Roman"/>
          <w:szCs w:val="32"/>
          <w:lang w:val="en-US" w:eastAsia="zh-CN"/>
        </w:rPr>
        <w:t>（征求意见</w:t>
      </w:r>
      <w:bookmarkEnd w:id="8"/>
      <w:r>
        <w:rPr>
          <w:rFonts w:hint="eastAsia" w:ascii="Times New Roman" w:hAnsi="Times New Roman" w:eastAsia="宋体" w:cs="Times New Roman"/>
          <w:szCs w:val="32"/>
          <w:lang w:val="en-US" w:eastAsia="zh-CN"/>
        </w:rPr>
        <w:t>稿）</w:t>
      </w:r>
    </w:p>
    <w:p w14:paraId="36BECFD8">
      <w:pPr>
        <w:pStyle w:val="129"/>
        <w:framePr w:w="9639" w:h="6974" w:hRule="exact" w:wrap="around" w:vAnchor="page" w:hAnchor="page" w:x="1419" w:y="6408" w:anchorLock="1"/>
        <w:spacing w:before="180" w:line="240" w:lineRule="atLeast"/>
        <w:textAlignment w:val="bottom"/>
        <w:rPr>
          <w:sz w:val="21"/>
          <w:szCs w:val="28"/>
        </w:rPr>
      </w:pPr>
    </w:p>
    <w:p w14:paraId="42081DA7">
      <w:pPr>
        <w:pStyle w:val="129"/>
        <w:framePr w:w="9639" w:h="6974" w:hRule="exact" w:wrap="around" w:vAnchor="page" w:hAnchor="page" w:x="1419" w:y="6408" w:anchorLock="1"/>
        <w:spacing w:before="720" w:beforeLines="300" w:after="72" w:afterLines="30" w:line="240" w:lineRule="auto"/>
        <w:textAlignment w:val="bottom"/>
        <w:rPr>
          <w:b/>
          <w:sz w:val="21"/>
          <w:szCs w:val="28"/>
        </w:rPr>
      </w:pPr>
    </w:p>
    <w:p w14:paraId="134E7E87">
      <w:pPr>
        <w:pStyle w:val="197"/>
        <w:framePr w:wrap="around" w:y="14176"/>
      </w:pPr>
      <w:r>
        <w:rPr>
          <w:rFonts w:ascii="黑体"/>
        </w:rPr>
        <w:fldChar w:fldCharType="begin">
          <w:ffData>
            <w:name w:val="PLSH_DATE_Y"/>
            <w:enabled/>
            <w:calcOnExit w:val="0"/>
            <w:textInput>
              <w:default w:val="XXXX"/>
              <w:maxLength w:val="4"/>
            </w:textInput>
          </w:ffData>
        </w:fldChar>
      </w:r>
      <w:bookmarkStart w:id="9" w:name="PLSH_DATE_Y"/>
      <w:r>
        <w:rPr>
          <w:rFonts w:ascii="黑体"/>
        </w:rPr>
        <w:instrText xml:space="preserve"> FORMTEXT </w:instrText>
      </w:r>
      <w:r>
        <w:rPr>
          <w:rFonts w:ascii="黑体"/>
        </w:rPr>
        <w:fldChar w:fldCharType="separate"/>
      </w:r>
      <w:r>
        <w:rPr>
          <w:rFonts w:hint="eastAsia" w:ascii="黑体"/>
        </w:rPr>
        <w:t>XX</w:t>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0"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1"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发布</w:t>
      </w:r>
    </w:p>
    <w:p w14:paraId="5C99327C">
      <w:pPr>
        <w:pStyle w:val="198"/>
        <w:framePr w:wrap="around" w:y="14176"/>
      </w:pPr>
      <w:r>
        <w:rPr>
          <w:rFonts w:ascii="黑体"/>
        </w:rPr>
        <w:fldChar w:fldCharType="begin">
          <w:ffData>
            <w:name w:val="CROT_DATE_Y"/>
            <w:enabled/>
            <w:calcOnExit w:val="0"/>
            <w:textInput>
              <w:default w:val="XXXX"/>
              <w:maxLength w:val="4"/>
            </w:textInput>
          </w:ffData>
        </w:fldChar>
      </w:r>
      <w:bookmarkStart w:id="12" w:name="CROT_DATE_Y"/>
      <w:r>
        <w:rPr>
          <w:rFonts w:ascii="黑体"/>
        </w:rPr>
        <w:instrText xml:space="preserve"> FORMTEXT </w:instrText>
      </w:r>
      <w:r>
        <w:rPr>
          <w:rFonts w:ascii="黑体"/>
        </w:rPr>
        <w:fldChar w:fldCharType="separate"/>
      </w:r>
      <w:r>
        <w:rPr>
          <w:rFonts w:hint="eastAsia" w:ascii="黑体"/>
        </w:rPr>
        <w:t>XX</w:t>
      </w:r>
      <w:r>
        <w:rPr>
          <w:rFonts w:ascii="黑体"/>
        </w:rPr>
        <w:t>XX</w:t>
      </w:r>
      <w:r>
        <w:rPr>
          <w:rFonts w:ascii="黑体"/>
        </w:rPr>
        <w:fldChar w:fldCharType="end"/>
      </w:r>
      <w:bookmarkEnd w:id="12"/>
      <w:r>
        <w:t xml:space="preserve"> </w:t>
      </w:r>
      <w:r>
        <w:rPr>
          <w:rFonts w:ascii="黑体"/>
        </w:rPr>
        <w:t>-</w:t>
      </w:r>
      <w:r>
        <w:t xml:space="preserve"> </w:t>
      </w:r>
      <w:r>
        <w:rPr>
          <w:rFonts w:hint="eastAsia" w:ascii="黑体"/>
        </w:rPr>
        <w:drawing>
          <wp:anchor distT="0" distB="0" distL="114300" distR="114300" simplePos="0" relativeHeight="251668480" behindDoc="0" locked="0" layoutInCell="1" allowOverlap="1">
            <wp:simplePos x="0" y="0"/>
            <wp:positionH relativeFrom="column">
              <wp:posOffset>-1989455</wp:posOffset>
            </wp:positionH>
            <wp:positionV relativeFrom="paragraph">
              <wp:posOffset>593090</wp:posOffset>
            </wp:positionV>
            <wp:extent cx="2868930" cy="545465"/>
            <wp:effectExtent l="0" t="0" r="1143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68930" cy="545465"/>
                    </a:xfrm>
                    <a:prstGeom prst="rect">
                      <a:avLst/>
                    </a:prstGeom>
                  </pic:spPr>
                </pic:pic>
              </a:graphicData>
            </a:graphic>
          </wp:anchor>
        </w:drawing>
      </w:r>
      <w:r>
        <w:rPr>
          <w:rFonts w:ascii="黑体"/>
        </w:rPr>
        <w:fldChar w:fldCharType="begin">
          <w:ffData>
            <w:name w:val="CROT_DATE_M"/>
            <w:enabled/>
            <w:calcOnExit w:val="0"/>
            <w:textInput>
              <w:default w:val="XX"/>
              <w:maxLength w:val="2"/>
            </w:textInput>
          </w:ffData>
        </w:fldChar>
      </w:r>
      <w:bookmarkStart w:id="13"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4"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实施</w:t>
      </w:r>
    </w:p>
    <w:p w14:paraId="0C10C5A6">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338" w:right="1134" w:bottom="1021" w:left="1134" w:header="0" w:footer="0" w:gutter="284"/>
          <w:pgNumType w:fmt="upperRoman"/>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EA11443">
      <w:pPr>
        <w:pStyle w:val="95"/>
        <w:spacing w:after="468"/>
      </w:pPr>
      <w:bookmarkStart w:id="15" w:name="BookMark1"/>
      <w:r>
        <w:rPr>
          <w:spacing w:val="320"/>
        </w:rPr>
        <w:t>目</w:t>
      </w:r>
      <w:r>
        <w:t>次</w:t>
      </w:r>
    </w:p>
    <w:p w14:paraId="1456675C">
      <w:pPr>
        <w:pStyle w:val="20"/>
        <w:tabs>
          <w:tab w:val="right" w:leader="dot" w:pos="9344"/>
        </w:tabs>
        <w:rPr>
          <w:rFonts w:hint="default" w:eastAsia="宋体"/>
          <w:lang w:val="en-US" w:eastAsia="zh-CN"/>
        </w:rPr>
      </w:pPr>
      <w:r>
        <w:rPr>
          <w:rFonts w:hint="eastAsia"/>
          <w:sz w:val="21"/>
          <w:szCs w:val="21"/>
          <w:lang w:val="en-US" w:eastAsia="zh-CN"/>
        </w:rPr>
        <w:t>前     言</w:t>
      </w:r>
      <w:r>
        <w:rPr>
          <w:rFonts w:hint="eastAsia"/>
          <w:lang w:val="en-US" w:eastAsia="zh-CN"/>
        </w:rPr>
        <w:tab/>
      </w:r>
      <w:r>
        <w:rPr>
          <w:rFonts w:hint="eastAsia"/>
          <w:lang w:val="en-US" w:eastAsia="zh-CN"/>
        </w:rPr>
        <w:t>II</w:t>
      </w:r>
    </w:p>
    <w:p w14:paraId="60A4603A">
      <w:pPr>
        <w:pStyle w:val="20"/>
        <w:tabs>
          <w:tab w:val="right" w:leader="dot" w:pos="9344"/>
        </w:tabs>
        <w:rPr>
          <w:rStyle w:val="35"/>
          <w:rFonts w:ascii="宋体" w:hAnsi="Times New Roman" w:eastAsia="宋体" w:cs="Times New Roman"/>
        </w:rPr>
      </w:pPr>
      <w:r>
        <w:fldChar w:fldCharType="begin"/>
      </w:r>
      <w:r>
        <w:instrText xml:space="preserve"> TOC \o "1-1" \h \t "标准文件_一级条标题,2,标准文件_附录一级条标题,2," </w:instrText>
      </w:r>
      <w:r>
        <w:fldChar w:fldCharType="separate"/>
      </w: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_Toc31921 </w:instrText>
      </w:r>
      <w:r>
        <w:rPr>
          <w:rStyle w:val="35"/>
          <w:rFonts w:ascii="宋体" w:hAnsi="Times New Roman" w:eastAsia="宋体" w:cs="Times New Roman"/>
        </w:rPr>
        <w:fldChar w:fldCharType="separate"/>
      </w:r>
      <w:r>
        <w:rPr>
          <w:rStyle w:val="35"/>
          <w:rFonts w:hint="eastAsia" w:ascii="宋体" w:hAnsi="Times New Roman" w:eastAsia="宋体" w:cs="Times New Roman"/>
        </w:rPr>
        <w:t>1 范围</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_Toc31921 \h </w:instrText>
      </w:r>
      <w:r>
        <w:rPr>
          <w:rStyle w:val="35"/>
          <w:rFonts w:ascii="宋体" w:hAnsi="Times New Roman" w:eastAsia="宋体" w:cs="Times New Roman"/>
        </w:rPr>
        <w:fldChar w:fldCharType="separate"/>
      </w:r>
      <w:r>
        <w:rPr>
          <w:rStyle w:val="35"/>
          <w:rFonts w:ascii="宋体" w:hAnsi="Times New Roman" w:eastAsia="宋体" w:cs="Times New Roman"/>
        </w:rPr>
        <w:t>1</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556FE0F8">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_Toc8815 </w:instrText>
      </w:r>
      <w:r>
        <w:rPr>
          <w:rStyle w:val="35"/>
          <w:rFonts w:ascii="宋体" w:hAnsi="Times New Roman" w:eastAsia="宋体" w:cs="Times New Roman"/>
        </w:rPr>
        <w:fldChar w:fldCharType="separate"/>
      </w:r>
      <w:r>
        <w:rPr>
          <w:rStyle w:val="35"/>
          <w:rFonts w:hint="eastAsia" w:ascii="宋体" w:hAnsi="Times New Roman" w:eastAsia="宋体" w:cs="Times New Roman"/>
        </w:rPr>
        <w:t>2 规范性引用文件</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_Toc8815 \h </w:instrText>
      </w:r>
      <w:r>
        <w:rPr>
          <w:rStyle w:val="35"/>
          <w:rFonts w:ascii="宋体" w:hAnsi="Times New Roman" w:eastAsia="宋体" w:cs="Times New Roman"/>
        </w:rPr>
        <w:fldChar w:fldCharType="separate"/>
      </w:r>
      <w:r>
        <w:rPr>
          <w:rStyle w:val="35"/>
          <w:rFonts w:ascii="宋体" w:hAnsi="Times New Roman" w:eastAsia="宋体" w:cs="Times New Roman"/>
        </w:rPr>
        <w:t>1</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3BE3990F">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_Toc10745 </w:instrText>
      </w:r>
      <w:r>
        <w:rPr>
          <w:rStyle w:val="35"/>
          <w:rFonts w:ascii="宋体" w:hAnsi="Times New Roman" w:eastAsia="宋体" w:cs="Times New Roman"/>
        </w:rPr>
        <w:fldChar w:fldCharType="separate"/>
      </w:r>
      <w:r>
        <w:rPr>
          <w:rStyle w:val="35"/>
          <w:rFonts w:hint="eastAsia" w:ascii="宋体" w:hAnsi="Times New Roman" w:eastAsia="宋体" w:cs="Times New Roman"/>
        </w:rPr>
        <w:t>3 术语和定义</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_Toc10745 \h </w:instrText>
      </w:r>
      <w:r>
        <w:rPr>
          <w:rStyle w:val="35"/>
          <w:rFonts w:ascii="宋体" w:hAnsi="Times New Roman" w:eastAsia="宋体" w:cs="Times New Roman"/>
        </w:rPr>
        <w:fldChar w:fldCharType="separate"/>
      </w:r>
      <w:r>
        <w:rPr>
          <w:rStyle w:val="35"/>
          <w:rFonts w:ascii="宋体" w:hAnsi="Times New Roman" w:eastAsia="宋体" w:cs="Times New Roman"/>
        </w:rPr>
        <w:t>1</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2D077B5C">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_Toc9277 </w:instrText>
      </w:r>
      <w:r>
        <w:rPr>
          <w:rStyle w:val="35"/>
          <w:rFonts w:ascii="宋体" w:hAnsi="Times New Roman" w:eastAsia="宋体" w:cs="Times New Roman"/>
        </w:rPr>
        <w:fldChar w:fldCharType="separate"/>
      </w:r>
      <w:r>
        <w:rPr>
          <w:rStyle w:val="35"/>
          <w:rFonts w:hint="eastAsia" w:ascii="宋体" w:hAnsi="Times New Roman" w:eastAsia="宋体" w:cs="Times New Roman"/>
        </w:rPr>
        <w:t xml:space="preserve">4 </w:t>
      </w:r>
      <w:r>
        <w:rPr>
          <w:rStyle w:val="35"/>
          <w:rFonts w:hint="eastAsia" w:ascii="宋体" w:hAnsi="Times New Roman" w:eastAsia="宋体" w:cs="Times New Roman"/>
          <w:lang w:val="en-US" w:eastAsia="zh-CN"/>
        </w:rPr>
        <w:t>总体要求</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_Toc9277 \h </w:instrText>
      </w:r>
      <w:r>
        <w:rPr>
          <w:rStyle w:val="35"/>
          <w:rFonts w:ascii="宋体" w:hAnsi="Times New Roman" w:eastAsia="宋体" w:cs="Times New Roman"/>
        </w:rPr>
        <w:fldChar w:fldCharType="separate"/>
      </w:r>
      <w:r>
        <w:rPr>
          <w:rStyle w:val="35"/>
          <w:rFonts w:ascii="宋体" w:hAnsi="Times New Roman" w:eastAsia="宋体" w:cs="Times New Roman"/>
        </w:rPr>
        <w:t>1</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66556053">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_Toc20798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5 停产前准备</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_Toc20798 \h </w:instrText>
      </w:r>
      <w:r>
        <w:rPr>
          <w:rStyle w:val="35"/>
          <w:rFonts w:ascii="宋体" w:hAnsi="Times New Roman" w:eastAsia="宋体" w:cs="Times New Roman"/>
        </w:rPr>
        <w:fldChar w:fldCharType="separate"/>
      </w:r>
      <w:r>
        <w:rPr>
          <w:rStyle w:val="35"/>
          <w:rFonts w:ascii="宋体" w:hAnsi="Times New Roman" w:eastAsia="宋体" w:cs="Times New Roman"/>
        </w:rPr>
        <w:t>1</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65443A7D">
      <w:pPr>
        <w:pStyle w:val="20"/>
        <w:tabs>
          <w:tab w:val="right" w:leader="dot" w:pos="9344"/>
        </w:tabs>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_Toc19329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6 停产期管控</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_Toc19329 \h </w:instrText>
      </w:r>
      <w:r>
        <w:rPr>
          <w:rStyle w:val="35"/>
          <w:rFonts w:ascii="宋体" w:hAnsi="Times New Roman" w:eastAsia="宋体" w:cs="Times New Roman"/>
        </w:rPr>
        <w:fldChar w:fldCharType="separate"/>
      </w:r>
      <w:r>
        <w:rPr>
          <w:rStyle w:val="35"/>
          <w:rFonts w:ascii="宋体" w:hAnsi="Times New Roman" w:eastAsia="宋体" w:cs="Times New Roman"/>
        </w:rPr>
        <w:t>2</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5CBC71A7">
      <w:pPr>
        <w:pStyle w:val="25"/>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_Toc6867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6.1 一般要求</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_Toc6867 \h </w:instrText>
      </w:r>
      <w:r>
        <w:rPr>
          <w:rStyle w:val="35"/>
          <w:rFonts w:ascii="宋体" w:hAnsi="Times New Roman" w:eastAsia="宋体" w:cs="Times New Roman"/>
        </w:rPr>
        <w:fldChar w:fldCharType="separate"/>
      </w:r>
      <w:r>
        <w:rPr>
          <w:rStyle w:val="35"/>
          <w:rFonts w:ascii="宋体" w:hAnsi="Times New Roman" w:eastAsia="宋体" w:cs="Times New Roman"/>
        </w:rPr>
        <w:t>2</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4D8894EA">
      <w:pPr>
        <w:pStyle w:val="25"/>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_Toc27842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6.2 检查与维护</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_Toc27842 \h </w:instrText>
      </w:r>
      <w:r>
        <w:rPr>
          <w:rStyle w:val="35"/>
          <w:rFonts w:ascii="宋体" w:hAnsi="Times New Roman" w:eastAsia="宋体" w:cs="Times New Roman"/>
        </w:rPr>
        <w:fldChar w:fldCharType="separate"/>
      </w:r>
      <w:r>
        <w:rPr>
          <w:rStyle w:val="35"/>
          <w:rFonts w:ascii="宋体" w:hAnsi="Times New Roman" w:eastAsia="宋体" w:cs="Times New Roman"/>
        </w:rPr>
        <w:t>2</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292FF864">
      <w:pPr>
        <w:pStyle w:val="25"/>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_Toc2228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6.3 监测检测</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_Toc2228 \h </w:instrText>
      </w:r>
      <w:r>
        <w:rPr>
          <w:rStyle w:val="35"/>
          <w:rFonts w:ascii="宋体" w:hAnsi="Times New Roman" w:eastAsia="宋体" w:cs="Times New Roman"/>
        </w:rPr>
        <w:fldChar w:fldCharType="separate"/>
      </w:r>
      <w:r>
        <w:rPr>
          <w:rStyle w:val="35"/>
          <w:rFonts w:ascii="宋体" w:hAnsi="Times New Roman" w:eastAsia="宋体" w:cs="Times New Roman"/>
        </w:rPr>
        <w:t>2</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175E6F00">
      <w:pPr>
        <w:pStyle w:val="25"/>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_Toc19281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6.4 风险评估与隐患治理</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_Toc19281 \h </w:instrText>
      </w:r>
      <w:r>
        <w:rPr>
          <w:rStyle w:val="35"/>
          <w:rFonts w:ascii="宋体" w:hAnsi="Times New Roman" w:eastAsia="宋体" w:cs="Times New Roman"/>
        </w:rPr>
        <w:fldChar w:fldCharType="separate"/>
      </w:r>
      <w:r>
        <w:rPr>
          <w:rStyle w:val="35"/>
          <w:rFonts w:ascii="宋体" w:hAnsi="Times New Roman" w:eastAsia="宋体" w:cs="Times New Roman"/>
        </w:rPr>
        <w:t>2</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2384964F">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_Toc7441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7 复产</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_Toc7441 \h </w:instrText>
      </w:r>
      <w:r>
        <w:rPr>
          <w:rStyle w:val="35"/>
          <w:rFonts w:ascii="宋体" w:hAnsi="Times New Roman" w:eastAsia="宋体" w:cs="Times New Roman"/>
        </w:rPr>
        <w:fldChar w:fldCharType="separate"/>
      </w:r>
      <w:r>
        <w:rPr>
          <w:rStyle w:val="35"/>
          <w:rFonts w:ascii="宋体" w:hAnsi="Times New Roman" w:eastAsia="宋体" w:cs="Times New Roman"/>
        </w:rPr>
        <w:t>3</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62D77133">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_Toc1080 </w:instrText>
      </w:r>
      <w:r>
        <w:rPr>
          <w:rStyle w:val="35"/>
          <w:rFonts w:ascii="宋体" w:hAnsi="Times New Roman" w:eastAsia="宋体" w:cs="Times New Roman"/>
        </w:rPr>
        <w:fldChar w:fldCharType="separate"/>
      </w:r>
      <w:r>
        <w:rPr>
          <w:rStyle w:val="35"/>
          <w:rFonts w:hint="eastAsia" w:ascii="宋体" w:hAnsi="Times New Roman" w:eastAsia="宋体" w:cs="Times New Roman"/>
          <w:lang w:val="en-US" w:eastAsia="zh-CN"/>
        </w:rPr>
        <w:t>8 弃置</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_Toc1080 \h </w:instrText>
      </w:r>
      <w:r>
        <w:rPr>
          <w:rStyle w:val="35"/>
          <w:rFonts w:ascii="宋体" w:hAnsi="Times New Roman" w:eastAsia="宋体" w:cs="Times New Roman"/>
        </w:rPr>
        <w:fldChar w:fldCharType="separate"/>
      </w:r>
      <w:r>
        <w:rPr>
          <w:rStyle w:val="35"/>
          <w:rFonts w:ascii="宋体" w:hAnsi="Times New Roman" w:eastAsia="宋体" w:cs="Times New Roman"/>
        </w:rPr>
        <w:t>3</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77CEB2ED">
      <w:pPr>
        <w:pStyle w:val="20"/>
        <w:tabs>
          <w:tab w:val="right" w:leader="dot" w:pos="9344"/>
        </w:tabs>
        <w:rPr>
          <w:rStyle w:val="35"/>
          <w:rFonts w:ascii="宋体" w:hAnsi="Times New Roman" w:eastAsia="宋体" w:cs="Times New Roman"/>
        </w:rPr>
      </w:pPr>
      <w:r>
        <w:rPr>
          <w:rStyle w:val="35"/>
          <w:rFonts w:ascii="宋体" w:hAnsi="Times New Roman" w:eastAsia="宋体" w:cs="Times New Roman"/>
        </w:rPr>
        <w:fldChar w:fldCharType="begin"/>
      </w:r>
      <w:r>
        <w:rPr>
          <w:rStyle w:val="35"/>
          <w:rFonts w:ascii="宋体" w:hAnsi="Times New Roman" w:eastAsia="宋体" w:cs="Times New Roman"/>
        </w:rPr>
        <w:instrText xml:space="preserve"> HYPERLINK \l _Toc32256 </w:instrText>
      </w:r>
      <w:r>
        <w:rPr>
          <w:rStyle w:val="35"/>
          <w:rFonts w:ascii="宋体" w:hAnsi="Times New Roman" w:eastAsia="宋体" w:cs="Times New Roman"/>
        </w:rPr>
        <w:fldChar w:fldCharType="separate"/>
      </w:r>
      <w:r>
        <w:rPr>
          <w:rStyle w:val="35"/>
          <w:rFonts w:hint="eastAsia" w:ascii="宋体" w:hAnsi="Times New Roman" w:eastAsia="宋体" w:cs="Times New Roman"/>
        </w:rPr>
        <w:t xml:space="preserve">9 </w:t>
      </w:r>
      <w:r>
        <w:rPr>
          <w:rStyle w:val="35"/>
          <w:rFonts w:hint="eastAsia" w:ascii="宋体" w:hAnsi="Times New Roman" w:eastAsia="宋体" w:cs="Times New Roman"/>
          <w:lang w:val="en-US" w:eastAsia="zh-CN"/>
        </w:rPr>
        <w:t>证实方法</w:t>
      </w:r>
      <w:r>
        <w:rPr>
          <w:rStyle w:val="35"/>
          <w:rFonts w:ascii="宋体" w:hAnsi="Times New Roman" w:eastAsia="宋体" w:cs="Times New Roman"/>
        </w:rPr>
        <w:tab/>
      </w:r>
      <w:r>
        <w:rPr>
          <w:rStyle w:val="35"/>
          <w:rFonts w:ascii="宋体" w:hAnsi="Times New Roman" w:eastAsia="宋体" w:cs="Times New Roman"/>
        </w:rPr>
        <w:fldChar w:fldCharType="begin"/>
      </w:r>
      <w:r>
        <w:rPr>
          <w:rStyle w:val="35"/>
          <w:rFonts w:ascii="宋体" w:hAnsi="Times New Roman" w:eastAsia="宋体" w:cs="Times New Roman"/>
        </w:rPr>
        <w:instrText xml:space="preserve"> PAGEREF _Toc32256 \h </w:instrText>
      </w:r>
      <w:r>
        <w:rPr>
          <w:rStyle w:val="35"/>
          <w:rFonts w:ascii="宋体" w:hAnsi="Times New Roman" w:eastAsia="宋体" w:cs="Times New Roman"/>
        </w:rPr>
        <w:fldChar w:fldCharType="separate"/>
      </w:r>
      <w:r>
        <w:rPr>
          <w:rStyle w:val="35"/>
          <w:rFonts w:ascii="宋体" w:hAnsi="Times New Roman" w:eastAsia="宋体" w:cs="Times New Roman"/>
        </w:rPr>
        <w:t>4</w:t>
      </w:r>
      <w:r>
        <w:rPr>
          <w:rStyle w:val="35"/>
          <w:rFonts w:ascii="宋体" w:hAnsi="Times New Roman" w:eastAsia="宋体" w:cs="Times New Roman"/>
        </w:rPr>
        <w:fldChar w:fldCharType="end"/>
      </w:r>
      <w:r>
        <w:rPr>
          <w:rStyle w:val="35"/>
          <w:rFonts w:ascii="宋体" w:hAnsi="Times New Roman" w:eastAsia="宋体" w:cs="Times New Roman"/>
        </w:rPr>
        <w:fldChar w:fldCharType="end"/>
      </w:r>
    </w:p>
    <w:p w14:paraId="5966966D">
      <w:pPr>
        <w:pStyle w:val="25"/>
        <w:tabs>
          <w:tab w:val="right" w:leader="dot" w:pos="9354"/>
          <w:tab w:val="clear" w:pos="9344"/>
        </w:tabs>
      </w:pPr>
    </w:p>
    <w:p w14:paraId="1FB108EE">
      <w:pPr>
        <w:pStyle w:val="95"/>
        <w:keepNext w:val="0"/>
        <w:keepLines w:val="0"/>
        <w:pageBreakBefore w:val="0"/>
        <w:widowControl w:val="0"/>
        <w:kinsoku/>
        <w:wordWrap/>
        <w:overflowPunct/>
        <w:topLinePunct w:val="0"/>
        <w:autoSpaceDE/>
        <w:autoSpaceDN/>
        <w:bidi w:val="0"/>
        <w:adjustRightInd w:val="0"/>
        <w:snapToGrid/>
        <w:spacing w:after="468" w:line="400" w:lineRule="exact"/>
        <w:textAlignment w:val="auto"/>
        <w:sectPr>
          <w:headerReference r:id="rId10" w:type="default"/>
          <w:footerReference r:id="rId11" w:type="default"/>
          <w:pgSz w:w="11906" w:h="16838"/>
          <w:pgMar w:top="1928" w:right="1134" w:bottom="1134" w:left="1134" w:header="1418" w:footer="1134" w:gutter="284"/>
          <w:pgNumType w:fmt="upperRoman" w:start="1"/>
          <w:cols w:space="425" w:num="1"/>
          <w:formProt w:val="0"/>
          <w:docGrid w:type="lines" w:linePitch="312" w:charSpace="0"/>
        </w:sectPr>
      </w:pPr>
      <w:r>
        <w:fldChar w:fldCharType="end"/>
      </w:r>
      <w:bookmarkEnd w:id="15"/>
      <w:bookmarkStart w:id="16" w:name="BookMark2"/>
    </w:p>
    <w:p w14:paraId="33465699">
      <w:pPr>
        <w:pStyle w:val="95"/>
        <w:keepNext w:val="0"/>
        <w:keepLines w:val="0"/>
        <w:pageBreakBefore w:val="0"/>
        <w:widowControl w:val="0"/>
        <w:kinsoku/>
        <w:wordWrap/>
        <w:overflowPunct/>
        <w:topLinePunct w:val="0"/>
        <w:autoSpaceDE/>
        <w:autoSpaceDN/>
        <w:bidi w:val="0"/>
        <w:adjustRightInd w:val="0"/>
        <w:snapToGrid/>
        <w:spacing w:after="468" w:line="400" w:lineRule="exact"/>
        <w:textAlignment w:val="auto"/>
        <w:outlineLvl w:val="0"/>
      </w:pPr>
      <w:r>
        <w:rPr>
          <w:rFonts w:hint="eastAsia"/>
          <w:sz w:val="32"/>
          <w:szCs w:val="28"/>
        </w:rPr>
        <w:t xml:space="preserve">前    </w:t>
      </w:r>
      <w:r>
        <w:rPr>
          <w:sz w:val="32"/>
          <w:szCs w:val="28"/>
        </w:rPr>
        <w:t>言</w:t>
      </w:r>
    </w:p>
    <w:p w14:paraId="0892E877">
      <w:pPr>
        <w:pStyle w:val="60"/>
        <w:ind w:firstLine="420"/>
        <w:rPr>
          <w:rFonts w:hint="eastAsia" w:ascii="宋体" w:hAnsi="Times New Roman" w:eastAsia="宋体" w:cs="Times New Roman"/>
        </w:rPr>
      </w:pPr>
      <w:r>
        <w:rPr>
          <w:rFonts w:hint="eastAsia" w:ascii="宋体" w:hAnsi="Times New Roman" w:eastAsia="宋体" w:cs="Times New Roman"/>
        </w:rPr>
        <w:t>本文件按照GB/T 1.1—2020《标准化工作导则  第1部分：标准化文件的结构和起草规则》的规定起草。</w:t>
      </w:r>
    </w:p>
    <w:p w14:paraId="3FCE2A54">
      <w:pPr>
        <w:pStyle w:val="60"/>
        <w:ind w:firstLine="420"/>
        <w:rPr>
          <w:rFonts w:hint="eastAsia" w:ascii="宋体" w:hAnsi="Times New Roman" w:eastAsia="宋体" w:cs="Times New Roman"/>
        </w:rPr>
      </w:pPr>
      <w:r>
        <w:rPr>
          <w:rFonts w:hint="eastAsia" w:ascii="宋体" w:hAnsi="Times New Roman" w:eastAsia="宋体" w:cs="Times New Roman"/>
        </w:rPr>
        <w:t>请注意本文件的某些内容可能涉及专利。本文件的发布机构不承担识别专利的责任。</w:t>
      </w:r>
    </w:p>
    <w:p w14:paraId="4E72F8E0">
      <w:pPr>
        <w:pStyle w:val="60"/>
        <w:ind w:firstLine="420"/>
        <w:rPr>
          <w:rFonts w:hint="eastAsia" w:ascii="宋体" w:hAnsi="Times New Roman" w:eastAsia="宋体" w:cs="Times New Roman"/>
        </w:rPr>
      </w:pPr>
      <w:r>
        <w:rPr>
          <w:rFonts w:hint="eastAsia" w:ascii="宋体" w:hAnsi="Times New Roman" w:eastAsia="宋体" w:cs="Times New Roman"/>
        </w:rPr>
        <w:t>本文件由中华人民共和国应急管理部提出。</w:t>
      </w:r>
    </w:p>
    <w:p w14:paraId="7D77D4BA">
      <w:pPr>
        <w:pStyle w:val="60"/>
        <w:ind w:left="0" w:leftChars="0" w:firstLine="0" w:firstLineChars="0"/>
      </w:pPr>
    </w:p>
    <w:p w14:paraId="567FC979">
      <w:pPr>
        <w:pStyle w:val="60"/>
        <w:ind w:firstLine="420"/>
        <w:sectPr>
          <w:headerReference r:id="rId12" w:type="default"/>
          <w:footerReference r:id="rId14" w:type="default"/>
          <w:headerReference r:id="rId13" w:type="even"/>
          <w:footerReference r:id="rId15" w:type="even"/>
          <w:pgSz w:w="11906" w:h="16838"/>
          <w:pgMar w:top="1928" w:right="1134" w:bottom="1134" w:left="1134" w:header="1418" w:footer="1134" w:gutter="284"/>
          <w:pgNumType w:fmt="upperRoman"/>
          <w:cols w:space="425" w:num="1"/>
          <w:formProt w:val="0"/>
          <w:docGrid w:type="lines" w:linePitch="312" w:charSpace="0"/>
        </w:sectPr>
      </w:pPr>
    </w:p>
    <w:bookmarkEnd w:id="16"/>
    <w:p w14:paraId="09644F89">
      <w:pPr>
        <w:spacing w:line="20" w:lineRule="exact"/>
        <w:jc w:val="center"/>
        <w:rPr>
          <w:rFonts w:ascii="黑体" w:hAnsi="黑体" w:eastAsia="黑体"/>
          <w:sz w:val="32"/>
          <w:szCs w:val="32"/>
        </w:rPr>
      </w:pPr>
      <w:bookmarkStart w:id="17" w:name="BookMark4"/>
    </w:p>
    <w:p w14:paraId="30560962">
      <w:pPr>
        <w:spacing w:line="20" w:lineRule="exact"/>
        <w:jc w:val="center"/>
        <w:rPr>
          <w:rFonts w:ascii="黑体" w:hAnsi="黑体" w:eastAsia="黑体"/>
          <w:sz w:val="32"/>
          <w:szCs w:val="32"/>
        </w:rPr>
      </w:pPr>
    </w:p>
    <w:sdt>
      <w:sdtPr>
        <w:tag w:val="NEW_STAND_NAME"/>
        <w:id w:val="595910757"/>
        <w:lock w:val="sdtLocked"/>
        <w:placeholder>
          <w:docPart w:val="4DE19386A81943F99B3DBAD5B181E559"/>
        </w:placeholder>
      </w:sdtPr>
      <w:sdtContent>
        <w:p w14:paraId="4C2F64D0">
          <w:pPr>
            <w:pStyle w:val="181"/>
            <w:spacing w:before="3" w:beforeLines="1" w:after="680"/>
            <w:outlineLvl w:val="0"/>
          </w:pPr>
          <w:bookmarkStart w:id="18" w:name="NEW_STAND_NAME"/>
          <w:r>
            <w:rPr>
              <w:rFonts w:hint="eastAsia"/>
            </w:rPr>
            <w:t>陆上油气田停产井安全规范</w:t>
          </w:r>
        </w:p>
      </w:sdtContent>
    </w:sdt>
    <w:bookmarkEnd w:id="18"/>
    <w:p w14:paraId="299F3095">
      <w:pPr>
        <w:pStyle w:val="108"/>
        <w:spacing w:before="312" w:after="312"/>
        <w:rPr>
          <w:rFonts w:hint="eastAsia" w:hAnsi="Times New Roman" w:cs="Times New Roman"/>
          <w:lang w:val="en-US" w:eastAsia="zh-CN"/>
        </w:rPr>
      </w:pPr>
      <w:bookmarkStart w:id="19" w:name="_Toc26718930"/>
      <w:bookmarkStart w:id="20" w:name="_Toc26986530"/>
      <w:bookmarkStart w:id="21" w:name="_Toc17233333"/>
      <w:bookmarkStart w:id="22" w:name="_Toc24884218"/>
      <w:bookmarkStart w:id="23" w:name="_Toc31921"/>
      <w:bookmarkStart w:id="24" w:name="_Toc97190718"/>
      <w:bookmarkStart w:id="25" w:name="_Toc24884211"/>
      <w:bookmarkStart w:id="26" w:name="_Toc26986771"/>
      <w:bookmarkStart w:id="27" w:name="_Toc17233325"/>
      <w:bookmarkStart w:id="28" w:name="_Toc26648465"/>
      <w:r>
        <w:rPr>
          <w:rFonts w:hint="eastAsia" w:hAnsi="Times New Roman" w:cs="Times New Roman"/>
          <w:lang w:val="en-US" w:eastAsia="zh-CN"/>
        </w:rPr>
        <w:t>范围</w:t>
      </w:r>
      <w:bookmarkEnd w:id="19"/>
      <w:bookmarkEnd w:id="20"/>
      <w:bookmarkEnd w:id="21"/>
      <w:bookmarkEnd w:id="22"/>
      <w:bookmarkEnd w:id="23"/>
      <w:bookmarkEnd w:id="24"/>
      <w:bookmarkEnd w:id="25"/>
      <w:bookmarkEnd w:id="26"/>
      <w:bookmarkEnd w:id="27"/>
      <w:bookmarkEnd w:id="28"/>
    </w:p>
    <w:p w14:paraId="42D62751">
      <w:pPr>
        <w:pStyle w:val="60"/>
        <w:ind w:firstLine="420"/>
        <w:rPr>
          <w:rFonts w:hint="eastAsia" w:ascii="宋体" w:hAnsi="Times New Roman" w:eastAsia="宋体" w:cs="Times New Roman"/>
        </w:rPr>
      </w:pPr>
      <w:bookmarkStart w:id="29" w:name="_Toc17233326"/>
      <w:bookmarkStart w:id="30" w:name="_Toc24884219"/>
      <w:bookmarkStart w:id="31" w:name="_Toc17233334"/>
      <w:bookmarkStart w:id="32" w:name="_Toc24884212"/>
      <w:bookmarkStart w:id="33" w:name="_Toc26648466"/>
      <w:r>
        <w:rPr>
          <w:rFonts w:hint="eastAsia" w:ascii="宋体" w:hAnsi="Times New Roman" w:eastAsia="宋体" w:cs="Times New Roman"/>
        </w:rPr>
        <w:t>本文件</w:t>
      </w:r>
      <w:r>
        <w:rPr>
          <w:rFonts w:hint="eastAsia" w:ascii="宋体" w:hAnsi="Times New Roman" w:eastAsia="宋体" w:cs="Times New Roman"/>
          <w:lang w:val="en-US" w:eastAsia="zh-CN"/>
        </w:rPr>
        <w:t>界定</w:t>
      </w:r>
      <w:r>
        <w:rPr>
          <w:rFonts w:hint="eastAsia" w:ascii="宋体" w:hAnsi="Times New Roman" w:eastAsia="宋体" w:cs="Times New Roman"/>
        </w:rPr>
        <w:t>了陆上油气田停产井</w:t>
      </w:r>
      <w:r>
        <w:rPr>
          <w:rFonts w:hint="eastAsia" w:cs="Times New Roman"/>
          <w:lang w:eastAsia="zh-CN"/>
        </w:rPr>
        <w:t>有关</w:t>
      </w:r>
      <w:r>
        <w:rPr>
          <w:rFonts w:hint="eastAsia" w:ascii="宋体" w:hAnsi="Times New Roman" w:eastAsia="宋体" w:cs="Times New Roman"/>
        </w:rPr>
        <w:t>术语和定义</w:t>
      </w:r>
      <w:r>
        <w:rPr>
          <w:rFonts w:hint="eastAsia" w:ascii="宋体" w:hAnsi="Times New Roman" w:eastAsia="宋体" w:cs="Times New Roman"/>
          <w:lang w:eastAsia="zh-CN"/>
        </w:rPr>
        <w:t>，</w:t>
      </w:r>
      <w:r>
        <w:rPr>
          <w:rFonts w:hint="eastAsia" w:ascii="宋体" w:hAnsi="Times New Roman" w:eastAsia="宋体" w:cs="Times New Roman"/>
          <w:lang w:val="en-US" w:eastAsia="zh-CN"/>
        </w:rPr>
        <w:t>规定了停产井的</w:t>
      </w:r>
      <w:r>
        <w:rPr>
          <w:rFonts w:hint="eastAsia" w:ascii="宋体" w:hAnsi="Times New Roman" w:eastAsia="宋体" w:cs="Times New Roman"/>
          <w:lang w:eastAsia="zh-CN"/>
        </w:rPr>
        <w:t>总体要求</w:t>
      </w:r>
      <w:r>
        <w:rPr>
          <w:rFonts w:hint="eastAsia" w:cs="Times New Roman"/>
          <w:lang w:eastAsia="zh-CN"/>
        </w:rPr>
        <w:t>、</w:t>
      </w:r>
      <w:r>
        <w:rPr>
          <w:rFonts w:hint="eastAsia" w:ascii="宋体" w:hAnsi="Times New Roman" w:eastAsia="宋体" w:cs="Times New Roman"/>
          <w:lang w:eastAsia="zh-CN"/>
        </w:rPr>
        <w:t>停产前准备、</w:t>
      </w:r>
      <w:r>
        <w:rPr>
          <w:rFonts w:hint="eastAsia" w:ascii="宋体" w:hAnsi="Times New Roman" w:eastAsia="宋体" w:cs="Times New Roman"/>
          <w:lang w:val="en-US" w:eastAsia="zh-CN"/>
        </w:rPr>
        <w:t>停产期</w:t>
      </w:r>
      <w:r>
        <w:rPr>
          <w:rFonts w:hint="eastAsia" w:ascii="宋体" w:hAnsi="Times New Roman" w:eastAsia="宋体" w:cs="Times New Roman"/>
          <w:lang w:eastAsia="zh-CN"/>
        </w:rPr>
        <w:t>管控、复产和弃置</w:t>
      </w:r>
      <w:r>
        <w:rPr>
          <w:rFonts w:hint="eastAsia" w:ascii="宋体" w:hAnsi="Times New Roman" w:eastAsia="宋体" w:cs="Times New Roman"/>
          <w:lang w:val="en-US" w:eastAsia="zh-CN"/>
        </w:rPr>
        <w:t>要求，描述了对应的证实方法</w:t>
      </w:r>
      <w:r>
        <w:rPr>
          <w:rFonts w:hint="eastAsia" w:ascii="宋体" w:hAnsi="Times New Roman" w:eastAsia="宋体" w:cs="Times New Roman"/>
        </w:rPr>
        <w:t>。</w:t>
      </w:r>
    </w:p>
    <w:p w14:paraId="1CB96EA8">
      <w:pPr>
        <w:pStyle w:val="60"/>
        <w:ind w:firstLine="420"/>
        <w:rPr>
          <w:rFonts w:hint="eastAsia" w:ascii="宋体" w:hAnsi="Times New Roman" w:eastAsia="宋体" w:cs="Times New Roman"/>
        </w:rPr>
      </w:pPr>
      <w:r>
        <w:rPr>
          <w:rFonts w:hint="eastAsia" w:ascii="宋体" w:hAnsi="Times New Roman" w:eastAsia="宋体" w:cs="Times New Roman"/>
        </w:rPr>
        <w:t>本文件适用于</w:t>
      </w:r>
      <w:r>
        <w:rPr>
          <w:rFonts w:hint="eastAsia" w:ascii="宋体" w:hAnsi="Times New Roman" w:eastAsia="宋体" w:cs="Times New Roman"/>
          <w:lang w:val="en-US" w:eastAsia="zh-CN"/>
        </w:rPr>
        <w:t>对陆上油气田</w:t>
      </w:r>
      <w:r>
        <w:rPr>
          <w:rFonts w:hint="eastAsia" w:ascii="宋体" w:hAnsi="Times New Roman" w:eastAsia="宋体" w:cs="Times New Roman"/>
        </w:rPr>
        <w:t>停产井的安全风险管控。</w:t>
      </w:r>
    </w:p>
    <w:p w14:paraId="5BCBB2B3">
      <w:pPr>
        <w:pStyle w:val="108"/>
        <w:spacing w:before="312" w:after="312"/>
        <w:rPr>
          <w:rFonts w:hint="eastAsia" w:hAnsi="Times New Roman" w:cs="Times New Roman"/>
          <w:lang w:val="en-US" w:eastAsia="zh-CN"/>
        </w:rPr>
      </w:pPr>
      <w:bookmarkStart w:id="34" w:name="_Toc26718931"/>
      <w:bookmarkStart w:id="35" w:name="_Toc97190719"/>
      <w:bookmarkStart w:id="36" w:name="_Toc26986772"/>
      <w:bookmarkStart w:id="37" w:name="_Toc26986531"/>
      <w:bookmarkStart w:id="38" w:name="_Toc8815"/>
      <w:r>
        <w:rPr>
          <w:rFonts w:hint="eastAsia" w:hAnsi="Times New Roman" w:cs="Times New Roman"/>
          <w:lang w:val="en-US" w:eastAsia="zh-CN"/>
        </w:rPr>
        <w:t>规范性引用文件</w:t>
      </w:r>
      <w:bookmarkEnd w:id="29"/>
      <w:bookmarkEnd w:id="30"/>
      <w:bookmarkEnd w:id="31"/>
      <w:bookmarkEnd w:id="32"/>
      <w:bookmarkEnd w:id="33"/>
      <w:bookmarkEnd w:id="34"/>
      <w:bookmarkEnd w:id="35"/>
      <w:bookmarkEnd w:id="36"/>
      <w:bookmarkEnd w:id="37"/>
      <w:bookmarkEnd w:id="38"/>
    </w:p>
    <w:sdt>
      <w:sdtPr>
        <w:rPr>
          <w:rFonts w:hint="eastAsia" w:ascii="宋体" w:hAnsi="Times New Roman" w:eastAsia="宋体" w:cs="Times New Roman"/>
        </w:rPr>
        <w:id w:val="715848253"/>
        <w:placeholder>
          <w:docPart w:val="7E2731A522614A42B10067A25C1599C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ascii="宋体" w:hAnsi="Times New Roman" w:eastAsia="宋体" w:cs="Times New Roman"/>
        </w:rPr>
      </w:sdtEndPr>
      <w:sdtContent>
        <w:p w14:paraId="175D163C">
          <w:pPr>
            <w:pStyle w:val="60"/>
            <w:ind w:firstLine="420"/>
            <w:rPr>
              <w:rFonts w:hint="eastAsia" w:ascii="宋体" w:hAnsi="Times New Roman" w:eastAsia="宋体" w:cs="Times New Roman"/>
            </w:rPr>
          </w:pPr>
          <w:r>
            <w:rPr>
              <w:rFonts w:hint="eastAsia" w:ascii="宋体" w:hAnsi="Times New Roman" w:eastAsia="宋体"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3FD80AE">
      <w:pPr>
        <w:pStyle w:val="60"/>
        <w:ind w:firstLine="420"/>
        <w:rPr>
          <w:rFonts w:hint="eastAsia" w:ascii="宋体" w:hAnsi="Times New Roman" w:eastAsia="宋体" w:cs="Times New Roman"/>
        </w:rPr>
      </w:pPr>
      <w:r>
        <w:rPr>
          <w:rFonts w:hint="eastAsia" w:ascii="宋体" w:hAnsi="Times New Roman" w:eastAsia="宋体" w:cs="Times New Roman"/>
        </w:rPr>
        <w:t xml:space="preserve">GB 42294 </w:t>
      </w:r>
      <w:r>
        <w:rPr>
          <w:rFonts w:hint="default" w:ascii="宋体" w:hAnsi="Times New Roman" w:eastAsia="宋体" w:cs="Times New Roman"/>
        </w:rPr>
        <w:t xml:space="preserve"> </w:t>
      </w:r>
      <w:r>
        <w:rPr>
          <w:rFonts w:hint="eastAsia" w:ascii="宋体" w:hAnsi="Times New Roman" w:eastAsia="宋体" w:cs="Times New Roman"/>
        </w:rPr>
        <w:t>陆上石油天然气开采安全规程</w:t>
      </w:r>
    </w:p>
    <w:p w14:paraId="5DB882B1">
      <w:pPr>
        <w:pStyle w:val="108"/>
        <w:spacing w:before="312" w:after="312"/>
        <w:rPr>
          <w:rFonts w:hint="eastAsia" w:hAnsi="Times New Roman" w:cs="Times New Roman"/>
          <w:lang w:val="en-US" w:eastAsia="zh-CN"/>
        </w:rPr>
      </w:pPr>
      <w:bookmarkStart w:id="39" w:name="_Toc10745"/>
      <w:bookmarkStart w:id="40" w:name="_Toc97190720"/>
      <w:r>
        <w:rPr>
          <w:rFonts w:hint="eastAsia" w:hAnsi="Times New Roman" w:cs="Times New Roman"/>
          <w:lang w:val="en-US" w:eastAsia="zh-CN"/>
        </w:rPr>
        <w:t>术语和定义</w:t>
      </w:r>
      <w:bookmarkEnd w:id="39"/>
      <w:bookmarkEnd w:id="40"/>
    </w:p>
    <w:sdt>
      <w:sdtPr>
        <w:rPr>
          <w:color w:val="000000" w:themeColor="text1"/>
          <w14:textFill>
            <w14:solidFill>
              <w14:schemeClr w14:val="tx1"/>
            </w14:solidFill>
          </w14:textFill>
        </w:rPr>
        <w:id w:val="-1"/>
        <w:placeholder>
          <w:docPart w:val="7E2731A522614A42B10067A25C1599C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000000" w:themeColor="text1"/>
          <w14:textFill>
            <w14:solidFill>
              <w14:schemeClr w14:val="tx1"/>
            </w14:solidFill>
          </w14:textFill>
        </w:rPr>
      </w:sdtEndPr>
      <w:sdtContent>
        <w:p w14:paraId="0A2B6991">
          <w:pPr>
            <w:pStyle w:val="60"/>
            <w:ind w:firstLine="420"/>
            <w:rPr>
              <w:color w:val="000000" w:themeColor="text1"/>
              <w14:textFill>
                <w14:solidFill>
                  <w14:schemeClr w14:val="tx1"/>
                </w14:solidFill>
              </w14:textFill>
            </w:rPr>
          </w:pPr>
          <w:bookmarkStart w:id="41" w:name="_Toc26986532"/>
          <w:bookmarkEnd w:id="41"/>
          <w:r>
            <w:rPr>
              <w:color w:val="000000" w:themeColor="text1"/>
              <w14:textFill>
                <w14:solidFill>
                  <w14:schemeClr w14:val="tx1"/>
                </w14:solidFill>
              </w14:textFill>
            </w:rPr>
            <w:t>下列术语和定义适用于本文件。</w:t>
          </w:r>
        </w:p>
      </w:sdtContent>
    </w:sdt>
    <w:p w14:paraId="739CD17A">
      <w:pPr>
        <w:pStyle w:val="227"/>
        <w:ind w:left="420" w:hanging="420" w:hangingChars="200"/>
        <w:rPr>
          <w:rFonts w:ascii="黑体" w:hAnsi="黑体" w:eastAsia="黑体"/>
          <w:color w:val="000000" w:themeColor="text1"/>
          <w14:textFill>
            <w14:solidFill>
              <w14:schemeClr w14:val="tx1"/>
            </w14:solidFill>
          </w14:textFill>
        </w:rPr>
      </w:pPr>
    </w:p>
    <w:p w14:paraId="2721D463">
      <w:pPr>
        <w:pStyle w:val="227"/>
        <w:keepNext w:val="0"/>
        <w:keepLines w:val="0"/>
        <w:pageBreakBefore w:val="0"/>
        <w:widowControl/>
        <w:numPr>
          <w:ilvl w:val="255"/>
          <w:numId w:val="0"/>
        </w:numPr>
        <w:kinsoku/>
        <w:wordWrap/>
        <w:overflowPunct/>
        <w:topLinePunct w:val="0"/>
        <w:bidi w:val="0"/>
        <w:adjustRightInd w:val="0"/>
        <w:snapToGrid w:val="0"/>
        <w:spacing w:before="0" w:beforeLines="0" w:after="0" w:afterLines="0"/>
        <w:ind w:left="0" w:leftChars="0" w:firstLine="420" w:firstLineChars="200"/>
        <w:textAlignment w:val="auto"/>
        <w:outlineLvl w:val="1"/>
        <w:rPr>
          <w:rFonts w:ascii="Times New Roman"/>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停产井</w:t>
      </w:r>
      <w:bookmarkStart w:id="42" w:name="OLE_LINK1"/>
      <w:r>
        <w:rPr>
          <w:rFonts w:hint="eastAsia"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lang w:val="en-US" w:eastAsia="zh-CN"/>
          <w14:textFill>
            <w14:solidFill>
              <w14:schemeClr w14:val="tx1"/>
            </w14:solidFill>
          </w14:textFill>
        </w:rPr>
        <w:t xml:space="preserve"> </w:t>
      </w:r>
      <w:r>
        <w:rPr>
          <w:rFonts w:ascii="Times New Roman" w:hAnsi="Times New Roman" w:eastAsia="黑体" w:cs="Times New Roman"/>
          <w:b/>
          <w:bCs/>
          <w:kern w:val="0"/>
          <w:sz w:val="21"/>
          <w:szCs w:val="20"/>
          <w:lang w:val="en-US" w:eastAsia="zh-CN" w:bidi="ar-SA"/>
        </w:rPr>
        <w:t>inactive well</w:t>
      </w:r>
      <w:bookmarkEnd w:id="42"/>
    </w:p>
    <w:p w14:paraId="4337ABFA">
      <w:pPr>
        <w:pStyle w:val="60"/>
        <w:keepNext w:val="0"/>
        <w:keepLines w:val="0"/>
        <w:pageBreakBefore w:val="0"/>
        <w:widowControl/>
        <w:kinsoku/>
        <w:wordWrap/>
        <w:overflowPunct/>
        <w:topLinePunct w:val="0"/>
        <w:bidi w:val="0"/>
        <w:adjustRightInd w:val="0"/>
        <w:snapToGrid w:val="0"/>
        <w:ind w:left="0" w:leftChars="0" w:firstLine="420" w:firstLineChars="200"/>
        <w:textAlignment w:val="auto"/>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停产</w:t>
      </w:r>
      <w:r>
        <w:rPr>
          <w:rFonts w:hint="eastAsia"/>
          <w:color w:val="000000" w:themeColor="text1"/>
          <w14:textFill>
            <w14:solidFill>
              <w14:schemeClr w14:val="tx1"/>
            </w14:solidFill>
          </w14:textFill>
        </w:rPr>
        <w:t>时间超过</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个月</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且</w:t>
      </w:r>
      <w:r>
        <w:rPr>
          <w:rFonts w:hint="eastAsia"/>
          <w:color w:val="000000" w:themeColor="text1"/>
          <w14:textFill>
            <w14:solidFill>
              <w14:schemeClr w14:val="tx1"/>
            </w14:solidFill>
          </w14:textFill>
        </w:rPr>
        <w:t>未完成永久封井处置的</w:t>
      </w:r>
      <w:r>
        <w:rPr>
          <w:rFonts w:hint="eastAsia"/>
          <w:color w:val="000000" w:themeColor="text1"/>
          <w:lang w:val="en-US" w:eastAsia="zh-CN"/>
          <w14:textFill>
            <w14:solidFill>
              <w14:schemeClr w14:val="tx1"/>
            </w14:solidFill>
          </w14:textFill>
        </w:rPr>
        <w:t>油气水</w:t>
      </w:r>
      <w:r>
        <w:rPr>
          <w:rFonts w:hint="eastAsia"/>
          <w:color w:val="000000" w:themeColor="text1"/>
          <w14:textFill>
            <w14:solidFill>
              <w14:schemeClr w14:val="tx1"/>
            </w14:solidFill>
          </w14:textFill>
        </w:rPr>
        <w:t>井</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注入类井</w:t>
      </w:r>
      <w:r>
        <w:rPr>
          <w:rFonts w:hint="eastAsia"/>
          <w:color w:val="000000" w:themeColor="text1"/>
          <w:lang w:eastAsia="zh-CN"/>
          <w14:textFill>
            <w14:solidFill>
              <w14:schemeClr w14:val="tx1"/>
            </w14:solidFill>
          </w14:textFill>
        </w:rPr>
        <w:t>。</w:t>
      </w:r>
    </w:p>
    <w:p w14:paraId="4296360D">
      <w:pPr>
        <w:pStyle w:val="227"/>
        <w:ind w:left="420" w:hanging="420" w:hangingChars="200"/>
        <w:rPr>
          <w:rFonts w:ascii="黑体" w:hAnsi="黑体" w:eastAsia="黑体"/>
          <w:color w:val="000000" w:themeColor="text1"/>
          <w14:textFill>
            <w14:solidFill>
              <w14:schemeClr w14:val="tx1"/>
            </w14:solidFill>
          </w14:textFill>
        </w:rPr>
      </w:pPr>
    </w:p>
    <w:p w14:paraId="1B85AEB4">
      <w:pPr>
        <w:pStyle w:val="227"/>
        <w:keepNext w:val="0"/>
        <w:keepLines w:val="0"/>
        <w:pageBreakBefore w:val="0"/>
        <w:widowControl/>
        <w:numPr>
          <w:ilvl w:val="255"/>
          <w:numId w:val="0"/>
        </w:numPr>
        <w:kinsoku/>
        <w:wordWrap/>
        <w:overflowPunct/>
        <w:topLinePunct w:val="0"/>
        <w:bidi w:val="0"/>
        <w:adjustRightInd w:val="0"/>
        <w:snapToGrid w:val="0"/>
        <w:spacing w:before="0" w:beforeLines="0" w:after="0" w:afterLines="0"/>
        <w:ind w:left="0" w:leftChars="0" w:firstLine="420" w:firstLineChars="200"/>
        <w:textAlignment w:val="auto"/>
        <w:outlineLvl w:val="1"/>
        <w:rPr>
          <w:rFonts w:hint="default" w:ascii="Times New Roman" w:hAnsi="Times New Roman" w:eastAsia="宋体"/>
          <w:strike w:val="0"/>
          <w:dstrike w:val="0"/>
          <w:color w:val="000000" w:themeColor="text1"/>
          <w:lang w:val="en-US" w:eastAsia="zh-CN"/>
          <w14:textFill>
            <w14:solidFill>
              <w14:schemeClr w14:val="tx1"/>
            </w14:solidFill>
          </w14:textFill>
        </w:rPr>
      </w:pPr>
      <w:r>
        <w:rPr>
          <w:rFonts w:hint="eastAsia" w:ascii="黑体" w:hAnsi="黑体" w:eastAsia="黑体"/>
          <w:strike w:val="0"/>
          <w:dstrike w:val="0"/>
          <w:color w:val="000000" w:themeColor="text1"/>
          <w:lang w:val="en-US" w:eastAsia="zh-CN"/>
          <w14:textFill>
            <w14:solidFill>
              <w14:schemeClr w14:val="tx1"/>
            </w14:solidFill>
          </w14:textFill>
        </w:rPr>
        <w:t xml:space="preserve">弃置井  </w:t>
      </w:r>
      <w:r>
        <w:rPr>
          <w:rFonts w:hint="eastAsia" w:ascii="Times New Roman" w:hAnsi="Times New Roman" w:eastAsia="黑体" w:cs="Times New Roman"/>
          <w:b/>
          <w:bCs/>
          <w:kern w:val="0"/>
          <w:sz w:val="21"/>
          <w:szCs w:val="20"/>
          <w:lang w:val="en-US" w:eastAsia="zh-CN" w:bidi="ar-SA"/>
        </w:rPr>
        <w:t>abandoned</w:t>
      </w:r>
      <w:r>
        <w:rPr>
          <w:rFonts w:hint="default" w:ascii="Times New Roman" w:hAnsi="Times New Roman" w:eastAsia="黑体" w:cs="Times New Roman"/>
          <w:b/>
          <w:bCs/>
          <w:kern w:val="0"/>
          <w:sz w:val="21"/>
          <w:szCs w:val="20"/>
          <w:lang w:val="en-US" w:eastAsia="zh-CN" w:bidi="ar-SA"/>
        </w:rPr>
        <w:t xml:space="preserve"> well</w:t>
      </w:r>
    </w:p>
    <w:p w14:paraId="5397446D">
      <w:pPr>
        <w:pStyle w:val="60"/>
        <w:keepNext w:val="0"/>
        <w:keepLines w:val="0"/>
        <w:pageBreakBefore w:val="0"/>
        <w:widowControl/>
        <w:kinsoku/>
        <w:wordWrap/>
        <w:overflowPunct/>
        <w:topLinePunct w:val="0"/>
        <w:bidi w:val="0"/>
        <w:adjustRightInd w:val="0"/>
        <w:snapToGrid w:val="0"/>
        <w:ind w:left="0" w:leftChars="0" w:firstLine="420" w:firstLineChars="200"/>
        <w:textAlignment w:val="auto"/>
        <w:rPr>
          <w:rFonts w:hint="eastAsia"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已完成永久封井处置且评估合格的井。</w:t>
      </w:r>
    </w:p>
    <w:p w14:paraId="359F1064">
      <w:pPr>
        <w:pStyle w:val="227"/>
        <w:ind w:left="420" w:hanging="420" w:hangingChars="200"/>
        <w:rPr>
          <w:rFonts w:hint="default" w:ascii="黑体" w:hAnsi="黑体" w:eastAsia="黑体" w:cs="Times New Roman"/>
          <w:color w:val="000000" w:themeColor="text1"/>
          <w:sz w:val="21"/>
          <w:lang w:val="en-US" w:eastAsia="zh-CN" w:bidi="ar-SA"/>
          <w14:textFill>
            <w14:solidFill>
              <w14:schemeClr w14:val="tx1"/>
            </w14:solidFill>
          </w14:textFill>
        </w:rPr>
      </w:pPr>
    </w:p>
    <w:p w14:paraId="4F25EF57">
      <w:pPr>
        <w:keepNext w:val="0"/>
        <w:keepLines w:val="0"/>
        <w:pageBreakBefore w:val="0"/>
        <w:widowControl w:val="0"/>
        <w:numPr>
          <w:ilvl w:val="255"/>
          <w:numId w:val="0"/>
        </w:numPr>
        <w:kinsoku/>
        <w:wordWrap/>
        <w:overflowPunct/>
        <w:topLinePunct w:val="0"/>
        <w:bidi w:val="0"/>
        <w:adjustRightInd w:val="0"/>
        <w:snapToGrid w:val="0"/>
        <w:spacing w:before="0" w:after="0" w:line="240" w:lineRule="auto"/>
        <w:ind w:left="0" w:leftChars="0" w:firstLine="420" w:firstLineChars="200"/>
        <w:jc w:val="both"/>
        <w:textAlignment w:val="auto"/>
        <w:outlineLvl w:val="1"/>
        <w:rPr>
          <w:rFonts w:ascii="Times New Roman" w:hAnsi="Times New Roman" w:eastAsia="宋体" w:cs="Times New Roman"/>
          <w:sz w:val="21"/>
          <w:lang w:val="en-US" w:eastAsia="zh-CN" w:bidi="ar-SA"/>
        </w:rPr>
      </w:pPr>
      <w:r>
        <w:rPr>
          <w:rFonts w:hint="eastAsia" w:ascii="黑体" w:hAnsi="黑体" w:eastAsia="黑体" w:cs="Times New Roman"/>
          <w:sz w:val="21"/>
          <w:lang w:val="en-US" w:eastAsia="zh-CN" w:bidi="ar-SA"/>
        </w:rPr>
        <w:t xml:space="preserve">停产井井屏障  </w:t>
      </w:r>
      <w:r>
        <w:rPr>
          <w:rFonts w:hint="eastAsia" w:ascii="Times New Roman" w:hAnsi="Times New Roman" w:eastAsia="黑体" w:cs="Times New Roman"/>
          <w:b/>
          <w:bCs/>
          <w:kern w:val="0"/>
          <w:sz w:val="21"/>
          <w:szCs w:val="20"/>
          <w:lang w:val="en-US" w:eastAsia="zh-CN" w:bidi="ar-SA"/>
        </w:rPr>
        <w:t>inactive well barrier</w:t>
      </w:r>
    </w:p>
    <w:p w14:paraId="15B2298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420" w:firstLineChars="200"/>
        <w:jc w:val="both"/>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阻止停产井地层流体非预期泄漏至井眼、其他地层或外部环境的隔离系统。</w:t>
      </w:r>
    </w:p>
    <w:p w14:paraId="3061C264">
      <w:pPr>
        <w:keepNext w:val="0"/>
        <w:keepLines w:val="0"/>
        <w:pageBreakBefore w:val="0"/>
        <w:widowControl w:val="0"/>
        <w:kinsoku/>
        <w:wordWrap/>
        <w:overflowPunct/>
        <w:topLinePunct w:val="0"/>
        <w:bidi w:val="0"/>
        <w:adjustRightInd w:val="0"/>
        <w:snapToGrid/>
        <w:spacing w:line="240" w:lineRule="auto"/>
        <w:ind w:firstLine="360" w:firstLineChars="200"/>
        <w:textAlignment w:val="auto"/>
        <w:rPr>
          <w:rFonts w:hint="eastAsia" w:ascii="黑体" w:hAnsi="黑体" w:eastAsia="黑体" w:cs="黑体"/>
          <w:kern w:val="2"/>
          <w:sz w:val="18"/>
          <w:szCs w:val="18"/>
          <w:lang w:val="en-US" w:eastAsia="zh-CN" w:bidi="ar-SA"/>
        </w:rPr>
      </w:pPr>
      <w:r>
        <w:rPr>
          <w:rFonts w:hint="eastAsia" w:ascii="黑体" w:hAnsi="黑体" w:eastAsia="黑体" w:cs="黑体"/>
          <w:sz w:val="18"/>
          <w:szCs w:val="18"/>
        </w:rPr>
        <w:t>注：</w:t>
      </w:r>
      <w:r>
        <w:rPr>
          <w:rFonts w:hint="eastAsia" w:ascii="Times New Roman" w:hAnsi="Times New Roman"/>
          <w:sz w:val="18"/>
          <w:szCs w:val="18"/>
          <w:lang w:val="en-US" w:eastAsia="zh-CN"/>
        </w:rPr>
        <w:t>停产井井屏障包括井口装置、井下各级套管柱、固井水泥环</w:t>
      </w:r>
      <w:r>
        <w:rPr>
          <w:rFonts w:hint="eastAsia" w:ascii="Times New Roman" w:hAnsi="Times New Roman"/>
          <w:sz w:val="18"/>
          <w:szCs w:val="18"/>
        </w:rPr>
        <w:t>。</w:t>
      </w:r>
    </w:p>
    <w:p w14:paraId="02ADD03B">
      <w:pPr>
        <w:pStyle w:val="108"/>
        <w:spacing w:before="312" w:after="312"/>
        <w:rPr>
          <w:rFonts w:hint="eastAsia" w:hAnsi="Times New Roman" w:cs="Times New Roman"/>
          <w:lang w:val="en-US" w:eastAsia="zh-CN"/>
        </w:rPr>
      </w:pPr>
      <w:bookmarkStart w:id="43" w:name="_Toc9277"/>
      <w:r>
        <w:rPr>
          <w:rFonts w:hint="eastAsia" w:hAnsi="Times New Roman" w:cs="Times New Roman"/>
          <w:lang w:val="en-US" w:eastAsia="zh-CN"/>
        </w:rPr>
        <w:t>总体要求</w:t>
      </w:r>
      <w:bookmarkEnd w:id="43"/>
    </w:p>
    <w:p w14:paraId="309F0A90">
      <w:pPr>
        <w:pStyle w:val="109"/>
        <w:spacing w:before="0" w:beforeLines="0" w:after="0" w:afterLines="0"/>
        <w:outlineLvl w:val="2"/>
        <w:rPr>
          <w:rFonts w:hint="default" w:ascii="宋体" w:hAnsi="宋体" w:eastAsia="宋体" w:cs="宋体"/>
          <w:lang w:val="en-US" w:eastAsia="zh-CN"/>
        </w:rPr>
      </w:pPr>
      <w:bookmarkStart w:id="44" w:name="_Toc25830"/>
      <w:bookmarkStart w:id="45" w:name="_Toc24777"/>
      <w:bookmarkStart w:id="46" w:name="_Toc20591"/>
      <w:r>
        <w:rPr>
          <w:rFonts w:hint="eastAsia" w:ascii="宋体" w:hAnsi="宋体" w:eastAsia="宋体" w:cs="宋体"/>
          <w:lang w:val="en-US" w:eastAsia="zh-CN"/>
        </w:rPr>
        <w:t>企业应明确停产井管理责任部门和单位。</w:t>
      </w:r>
    </w:p>
    <w:p w14:paraId="03DE1540">
      <w:pPr>
        <w:pStyle w:val="109"/>
        <w:spacing w:before="0" w:beforeLines="0" w:after="0" w:afterLines="0"/>
        <w:outlineLvl w:val="2"/>
        <w:rPr>
          <w:rFonts w:hint="default" w:ascii="宋体" w:hAnsi="宋体" w:eastAsia="宋体" w:cs="宋体"/>
          <w:lang w:val="en-US" w:eastAsia="zh-CN"/>
        </w:rPr>
      </w:pPr>
      <w:r>
        <w:rPr>
          <w:rFonts w:hint="eastAsia" w:ascii="宋体" w:hAnsi="宋体" w:eastAsia="宋体" w:cs="宋体"/>
          <w:lang w:val="en-US" w:eastAsia="zh-CN"/>
        </w:rPr>
        <w:t>企业应建立停产井安全风险分级管控和隐患排查治理制度，每年对停产井安全风险管控和隐患治理情况进行自评。</w:t>
      </w:r>
      <w:bookmarkEnd w:id="44"/>
      <w:bookmarkStart w:id="47" w:name="_Toc12947"/>
      <w:bookmarkStart w:id="48" w:name="_Toc19752"/>
    </w:p>
    <w:p w14:paraId="5ADDF6C1">
      <w:pPr>
        <w:pStyle w:val="109"/>
        <w:spacing w:before="0" w:beforeLines="0" w:after="0" w:afterLines="0"/>
        <w:outlineLvl w:val="2"/>
        <w:rPr>
          <w:rFonts w:hint="default" w:ascii="宋体" w:hAnsi="宋体" w:eastAsia="宋体" w:cs="宋体"/>
          <w:lang w:val="en-US" w:eastAsia="zh-CN"/>
        </w:rPr>
      </w:pPr>
      <w:r>
        <w:rPr>
          <w:rFonts w:hint="eastAsia" w:ascii="宋体" w:hAnsi="宋体" w:eastAsia="宋体" w:cs="宋体"/>
          <w:lang w:val="en-US" w:eastAsia="zh-CN"/>
        </w:rPr>
        <w:t>企业应对井的停产、复产和弃置进行方案审批和完工验收。</w:t>
      </w:r>
    </w:p>
    <w:p w14:paraId="4A7ADDDF">
      <w:pPr>
        <w:pStyle w:val="109"/>
        <w:spacing w:before="0" w:beforeLines="0" w:after="0" w:afterLines="0"/>
        <w:outlineLvl w:val="2"/>
        <w:rPr>
          <w:rFonts w:hint="default" w:ascii="宋体" w:hAnsi="宋体" w:eastAsia="宋体" w:cs="宋体"/>
          <w:lang w:val="en-US" w:eastAsia="zh-CN"/>
        </w:rPr>
      </w:pPr>
      <w:r>
        <w:rPr>
          <w:rFonts w:hint="eastAsia" w:ascii="宋体" w:hAnsi="宋体" w:eastAsia="宋体" w:cs="宋体"/>
          <w:lang w:val="en-US" w:eastAsia="zh-CN"/>
        </w:rPr>
        <w:t>企业</w:t>
      </w:r>
      <w:r>
        <w:rPr>
          <w:rFonts w:hint="default" w:ascii="宋体" w:hAnsi="宋体" w:eastAsia="宋体" w:cs="宋体"/>
          <w:lang w:val="en-US" w:eastAsia="zh-CN"/>
        </w:rPr>
        <w:t>应</w:t>
      </w:r>
      <w:r>
        <w:rPr>
          <w:rFonts w:hint="eastAsia" w:ascii="宋体" w:hAnsi="宋体" w:eastAsia="宋体" w:cs="宋体"/>
          <w:lang w:val="en-US" w:eastAsia="zh-CN"/>
        </w:rPr>
        <w:t>将停产井</w:t>
      </w:r>
      <w:r>
        <w:rPr>
          <w:rFonts w:hint="default" w:ascii="宋体" w:hAnsi="宋体" w:eastAsia="宋体" w:cs="宋体"/>
          <w:lang w:val="en-US" w:eastAsia="zh-CN"/>
        </w:rPr>
        <w:t>井喷失控、火灾爆炸、硫化氢泄漏等</w:t>
      </w:r>
      <w:r>
        <w:rPr>
          <w:rFonts w:hint="eastAsia" w:ascii="宋体" w:hAnsi="宋体" w:eastAsia="宋体" w:cs="宋体"/>
          <w:lang w:val="en-US" w:eastAsia="zh-CN"/>
        </w:rPr>
        <w:t>风险纳入应急预案</w:t>
      </w:r>
      <w:r>
        <w:rPr>
          <w:rFonts w:hint="default" w:ascii="宋体" w:hAnsi="宋体" w:eastAsia="宋体" w:cs="宋体"/>
          <w:lang w:val="en-US" w:eastAsia="zh-CN"/>
        </w:rPr>
        <w:t>，每年</w:t>
      </w:r>
      <w:r>
        <w:rPr>
          <w:rFonts w:hint="eastAsia" w:ascii="宋体" w:hAnsi="宋体" w:eastAsia="宋体" w:cs="宋体"/>
          <w:lang w:val="en-US" w:eastAsia="zh-CN"/>
        </w:rPr>
        <w:t>至少</w:t>
      </w:r>
      <w:r>
        <w:rPr>
          <w:rFonts w:hint="default" w:ascii="宋体" w:hAnsi="宋体" w:eastAsia="宋体" w:cs="宋体"/>
          <w:lang w:val="en-US" w:eastAsia="zh-CN"/>
        </w:rPr>
        <w:t>组织</w:t>
      </w:r>
      <w:r>
        <w:rPr>
          <w:rFonts w:hint="eastAsia" w:ascii="宋体" w:hAnsi="宋体" w:eastAsia="宋体" w:cs="宋体"/>
          <w:lang w:val="en-US" w:eastAsia="zh-CN"/>
        </w:rPr>
        <w:t>一次</w:t>
      </w:r>
      <w:r>
        <w:rPr>
          <w:rFonts w:hint="default" w:ascii="宋体" w:hAnsi="宋体" w:eastAsia="宋体" w:cs="宋体"/>
          <w:lang w:val="en-US" w:eastAsia="zh-CN"/>
        </w:rPr>
        <w:t>应急演练。</w:t>
      </w:r>
    </w:p>
    <w:p w14:paraId="1DD6D9FC">
      <w:pPr>
        <w:pStyle w:val="109"/>
        <w:spacing w:before="0" w:beforeLines="0" w:after="0" w:afterLines="0"/>
        <w:outlineLvl w:val="2"/>
        <w:rPr>
          <w:rFonts w:hint="default" w:ascii="宋体" w:hAnsi="宋体" w:eastAsia="宋体" w:cs="宋体"/>
          <w:lang w:val="en-US" w:eastAsia="zh-CN"/>
        </w:rPr>
      </w:pPr>
      <w:r>
        <w:rPr>
          <w:rFonts w:hint="eastAsia" w:ascii="宋体" w:hAnsi="宋体" w:eastAsia="宋体" w:cs="宋体"/>
          <w:lang w:val="en-US" w:eastAsia="zh-CN"/>
        </w:rPr>
        <w:t>停产井</w:t>
      </w:r>
      <w:r>
        <w:rPr>
          <w:rFonts w:hint="default" w:ascii="宋体" w:hAnsi="宋体" w:eastAsia="宋体" w:cs="宋体"/>
          <w:lang w:val="en-US" w:eastAsia="zh-CN"/>
        </w:rPr>
        <w:t>事故事件管理</w:t>
      </w:r>
      <w:r>
        <w:rPr>
          <w:rFonts w:hint="eastAsia" w:ascii="宋体" w:hAnsi="宋体" w:eastAsia="宋体" w:cs="宋体"/>
          <w:lang w:val="en-US" w:eastAsia="zh-CN"/>
        </w:rPr>
        <w:t>应</w:t>
      </w:r>
      <w:r>
        <w:rPr>
          <w:rFonts w:hint="default" w:ascii="宋体" w:hAnsi="宋体" w:eastAsia="宋体" w:cs="宋体"/>
          <w:lang w:val="en-US" w:eastAsia="zh-CN"/>
        </w:rPr>
        <w:t>按照GB 42294执行。</w:t>
      </w:r>
    </w:p>
    <w:bookmarkEnd w:id="45"/>
    <w:bookmarkEnd w:id="46"/>
    <w:bookmarkEnd w:id="47"/>
    <w:bookmarkEnd w:id="48"/>
    <w:p w14:paraId="1273D48A">
      <w:pPr>
        <w:pStyle w:val="108"/>
        <w:spacing w:before="312" w:after="312"/>
        <w:rPr>
          <w:rFonts w:hint="default" w:hAnsi="Times New Roman" w:cs="Times New Roman"/>
          <w:lang w:val="en-US" w:eastAsia="zh-CN"/>
        </w:rPr>
      </w:pPr>
      <w:bookmarkStart w:id="49" w:name="_Toc20798"/>
      <w:bookmarkStart w:id="50" w:name="_Toc140737741"/>
      <w:bookmarkStart w:id="51" w:name="_Toc113258548"/>
      <w:r>
        <w:rPr>
          <w:rFonts w:hint="eastAsia" w:hAnsi="Times New Roman" w:cs="Times New Roman"/>
          <w:lang w:val="en-US" w:eastAsia="zh-CN"/>
        </w:rPr>
        <w:t>停产前准备</w:t>
      </w:r>
      <w:bookmarkEnd w:id="49"/>
    </w:p>
    <w:p w14:paraId="145DCE78">
      <w:pPr>
        <w:pStyle w:val="109"/>
        <w:spacing w:before="0" w:beforeLines="0" w:after="0" w:afterLines="0"/>
        <w:outlineLvl w:val="2"/>
        <w:rPr>
          <w:rFonts w:hint="eastAsia" w:ascii="宋体" w:hAnsi="宋体" w:eastAsia="宋体" w:cs="宋体"/>
          <w:lang w:val="en-US" w:eastAsia="zh-CN"/>
        </w:rPr>
      </w:pPr>
      <w:bookmarkStart w:id="52" w:name="_Toc31263"/>
      <w:r>
        <w:rPr>
          <w:rFonts w:hint="eastAsia" w:ascii="宋体" w:hAnsi="宋体" w:eastAsia="宋体" w:cs="宋体"/>
          <w:lang w:val="en-US" w:eastAsia="zh-CN"/>
        </w:rPr>
        <w:t>应制定停产方案，内容包括但不限于风险辨识、安全技术措施。</w:t>
      </w:r>
    </w:p>
    <w:p w14:paraId="04C9D489">
      <w:pPr>
        <w:pStyle w:val="109"/>
        <w:spacing w:before="0" w:beforeLines="0" w:after="0" w:afterLines="0"/>
        <w:outlineLvl w:val="2"/>
        <w:rPr>
          <w:rFonts w:hint="default" w:ascii="宋体" w:hAnsi="宋体" w:eastAsia="宋体" w:cs="宋体"/>
          <w:lang w:val="en-US" w:eastAsia="zh-CN"/>
        </w:rPr>
      </w:pPr>
      <w:r>
        <w:rPr>
          <w:rFonts w:hint="eastAsia" w:ascii="宋体" w:hAnsi="宋体" w:eastAsia="宋体" w:cs="宋体"/>
          <w:lang w:val="en-US" w:eastAsia="zh-CN"/>
        </w:rPr>
        <w:t>应确认</w:t>
      </w:r>
      <w:r>
        <w:rPr>
          <w:rFonts w:hint="default" w:ascii="宋体" w:hAnsi="宋体" w:eastAsia="宋体" w:cs="宋体"/>
          <w:lang w:val="en-US" w:eastAsia="zh-CN"/>
        </w:rPr>
        <w:t>井口装置</w:t>
      </w:r>
      <w:r>
        <w:rPr>
          <w:rFonts w:hint="eastAsia" w:ascii="宋体" w:hAnsi="宋体" w:eastAsia="宋体" w:cs="宋体"/>
          <w:lang w:val="en-US" w:eastAsia="zh-CN"/>
        </w:rPr>
        <w:t>完整，具备取压条件。</w:t>
      </w:r>
    </w:p>
    <w:p w14:paraId="3A4C37A6">
      <w:pPr>
        <w:pStyle w:val="109"/>
        <w:spacing w:before="0" w:beforeLines="0" w:after="0" w:afterLines="0"/>
        <w:outlineLvl w:val="2"/>
        <w:rPr>
          <w:rFonts w:hint="default" w:ascii="宋体" w:hAnsi="宋体" w:eastAsia="宋体" w:cs="宋体"/>
          <w:lang w:val="en-US" w:eastAsia="zh-CN"/>
        </w:rPr>
      </w:pPr>
      <w:r>
        <w:rPr>
          <w:rFonts w:hint="eastAsia" w:ascii="宋体" w:hAnsi="宋体" w:eastAsia="宋体" w:cs="宋体"/>
          <w:lang w:val="en-US" w:eastAsia="zh-CN"/>
        </w:rPr>
        <w:t>应对井口</w:t>
      </w:r>
      <w:r>
        <w:rPr>
          <w:rFonts w:hint="default" w:ascii="宋体" w:hAnsi="宋体" w:eastAsia="宋体" w:cs="宋体"/>
          <w:lang w:val="en-US" w:eastAsia="zh-CN"/>
        </w:rPr>
        <w:t>与地面</w:t>
      </w:r>
      <w:r>
        <w:rPr>
          <w:rFonts w:hint="eastAsia" w:ascii="宋体" w:hAnsi="宋体" w:eastAsia="宋体" w:cs="宋体"/>
          <w:lang w:val="en-US" w:eastAsia="zh-CN"/>
        </w:rPr>
        <w:t>生产流程采取能量隔离措施。</w:t>
      </w:r>
    </w:p>
    <w:p w14:paraId="298D4BC9">
      <w:pPr>
        <w:pStyle w:val="109"/>
        <w:spacing w:before="0" w:beforeLines="0" w:after="0" w:afterLines="0"/>
        <w:outlineLvl w:val="2"/>
        <w:rPr>
          <w:rFonts w:hint="default" w:ascii="宋体" w:hAnsi="宋体" w:eastAsia="宋体" w:cs="宋体"/>
          <w:lang w:val="en-US" w:eastAsia="zh-CN"/>
        </w:rPr>
      </w:pPr>
      <w:bookmarkStart w:id="53" w:name="OLE_LINK3"/>
      <w:r>
        <w:rPr>
          <w:rFonts w:hint="default" w:ascii="宋体" w:hAnsi="宋体" w:eastAsia="宋体" w:cs="宋体"/>
          <w:lang w:val="en-US" w:eastAsia="zh-CN"/>
        </w:rPr>
        <w:t>停产</w:t>
      </w:r>
      <w:r>
        <w:rPr>
          <w:rFonts w:hint="eastAsia" w:ascii="宋体" w:hAnsi="宋体" w:eastAsia="宋体" w:cs="宋体"/>
          <w:lang w:val="en-US" w:eastAsia="zh-CN"/>
        </w:rPr>
        <w:t>前应对储气库注采井</w:t>
      </w:r>
      <w:r>
        <w:rPr>
          <w:rFonts w:hint="default" w:ascii="宋体" w:hAnsi="宋体" w:eastAsia="宋体" w:cs="宋体"/>
          <w:lang w:val="en-US" w:eastAsia="zh-CN"/>
        </w:rPr>
        <w:t>实施</w:t>
      </w:r>
      <w:r>
        <w:rPr>
          <w:rFonts w:hint="eastAsia" w:ascii="宋体" w:hAnsi="宋体" w:eastAsia="宋体" w:cs="宋体"/>
          <w:lang w:val="en-US" w:eastAsia="zh-CN"/>
        </w:rPr>
        <w:t>井筒</w:t>
      </w:r>
      <w:r>
        <w:rPr>
          <w:rFonts w:hint="default" w:ascii="宋体" w:hAnsi="宋体" w:eastAsia="宋体" w:cs="宋体"/>
          <w:lang w:val="en-US" w:eastAsia="zh-CN"/>
        </w:rPr>
        <w:t>暂闭，</w:t>
      </w:r>
      <w:r>
        <w:rPr>
          <w:rFonts w:hint="eastAsia" w:ascii="宋体" w:hAnsi="宋体" w:eastAsia="宋体" w:cs="宋体"/>
          <w:lang w:val="en-US" w:eastAsia="zh-CN"/>
        </w:rPr>
        <w:t>或在</w:t>
      </w:r>
      <w:r>
        <w:rPr>
          <w:rFonts w:hint="default" w:ascii="宋体" w:hAnsi="宋体" w:eastAsia="宋体" w:cs="宋体"/>
          <w:lang w:val="en-US" w:eastAsia="zh-CN"/>
        </w:rPr>
        <w:t>井筒内预留</w:t>
      </w:r>
      <w:r>
        <w:rPr>
          <w:rFonts w:hint="eastAsia" w:ascii="宋体" w:hAnsi="宋体" w:eastAsia="宋体" w:cs="宋体"/>
          <w:lang w:val="en-US" w:eastAsia="zh-CN"/>
        </w:rPr>
        <w:t>满足</w:t>
      </w:r>
      <w:r>
        <w:rPr>
          <w:rFonts w:hint="default" w:ascii="宋体" w:hAnsi="宋体" w:eastAsia="宋体" w:cs="宋体"/>
          <w:lang w:val="en-US" w:eastAsia="zh-CN"/>
        </w:rPr>
        <w:t>应急循环洗压井</w:t>
      </w:r>
      <w:r>
        <w:rPr>
          <w:rFonts w:hint="eastAsia" w:ascii="宋体" w:hAnsi="宋体" w:eastAsia="宋体" w:cs="宋体"/>
          <w:lang w:val="en-US" w:eastAsia="zh-CN"/>
        </w:rPr>
        <w:t>作业需求的</w:t>
      </w:r>
      <w:r>
        <w:rPr>
          <w:rFonts w:hint="default" w:ascii="宋体" w:hAnsi="宋体" w:eastAsia="宋体" w:cs="宋体"/>
          <w:lang w:val="en-US" w:eastAsia="zh-CN"/>
        </w:rPr>
        <w:t>管柱。</w:t>
      </w:r>
    </w:p>
    <w:bookmarkEnd w:id="52"/>
    <w:bookmarkEnd w:id="53"/>
    <w:p w14:paraId="13EE848A">
      <w:pPr>
        <w:pStyle w:val="108"/>
        <w:spacing w:before="312" w:after="312"/>
        <w:rPr>
          <w:rFonts w:hint="default"/>
          <w:color w:val="000000" w:themeColor="text1"/>
          <w:lang w:val="en-US" w:eastAsia="zh-CN"/>
          <w14:textFill>
            <w14:solidFill>
              <w14:schemeClr w14:val="tx1"/>
            </w14:solidFill>
          </w14:textFill>
        </w:rPr>
      </w:pPr>
      <w:bookmarkStart w:id="54" w:name="_Toc19329"/>
      <w:r>
        <w:rPr>
          <w:rFonts w:hint="eastAsia"/>
          <w:color w:val="000000" w:themeColor="text1"/>
          <w:lang w:val="en-US" w:eastAsia="zh-CN"/>
          <w14:textFill>
            <w14:solidFill>
              <w14:schemeClr w14:val="tx1"/>
            </w14:solidFill>
          </w14:textFill>
        </w:rPr>
        <w:t>停产期管控</w:t>
      </w:r>
      <w:bookmarkEnd w:id="54"/>
    </w:p>
    <w:p w14:paraId="22128B58">
      <w:pPr>
        <w:pStyle w:val="109"/>
        <w:spacing w:before="156" w:after="156"/>
        <w:ind w:left="0" w:firstLine="0"/>
        <w:outlineLvl w:val="1"/>
        <w:rPr>
          <w:rFonts w:hint="default"/>
          <w:lang w:val="en-US" w:eastAsia="zh-CN"/>
        </w:rPr>
      </w:pPr>
      <w:bookmarkStart w:id="55" w:name="_Toc6867"/>
      <w:bookmarkStart w:id="56" w:name="_Toc6211"/>
      <w:r>
        <w:rPr>
          <w:rFonts w:hint="eastAsia"/>
          <w:lang w:val="en-US" w:eastAsia="zh-CN"/>
        </w:rPr>
        <w:t>一般要求</w:t>
      </w:r>
      <w:bookmarkEnd w:id="55"/>
      <w:bookmarkEnd w:id="56"/>
    </w:p>
    <w:p w14:paraId="0F74F8D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outlineLvl w:val="9"/>
        <w:rPr>
          <w:rFonts w:hint="eastAsia" w:ascii="宋体" w:eastAsia="宋体"/>
          <w:lang w:val="en-US" w:eastAsia="zh-CN"/>
        </w:rPr>
      </w:pPr>
      <w:bookmarkStart w:id="57" w:name="_Toc7980"/>
      <w:r>
        <w:rPr>
          <w:rFonts w:hint="eastAsia" w:ascii="宋体" w:eastAsia="宋体"/>
          <w:lang w:val="en-US" w:eastAsia="zh-CN"/>
        </w:rPr>
        <w:t>企业应建立停产井基础台账，内容包括但不限于：</w:t>
      </w:r>
      <w:bookmarkEnd w:id="57"/>
    </w:p>
    <w:p w14:paraId="7C3B43A1">
      <w:pPr>
        <w:numPr>
          <w:ilvl w:val="0"/>
          <w:numId w:val="21"/>
        </w:numPr>
        <w:spacing w:line="240" w:lineRule="auto"/>
        <w:ind w:left="845" w:hanging="425"/>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井</w:t>
      </w:r>
      <w:r>
        <w:rPr>
          <w:rFonts w:hint="eastAsia" w:ascii="Times New Roman" w:hAnsi="Times New Roman" w:cs="Times New Roman"/>
          <w:color w:val="000000" w:themeColor="text1"/>
          <w:sz w:val="21"/>
          <w:lang w:val="en-US" w:eastAsia="zh-CN" w:bidi="ar-SA"/>
          <w14:textFill>
            <w14:solidFill>
              <w14:schemeClr w14:val="tx1"/>
            </w14:solidFill>
          </w14:textFill>
        </w:rPr>
        <w:t>坐标、井口装置、井筒结构、地质条件</w:t>
      </w:r>
      <w:r>
        <w:rPr>
          <w:rFonts w:hint="eastAsia" w:ascii="Times New Roman" w:hAnsi="Times New Roman" w:eastAsia="宋体" w:cs="Times New Roman"/>
          <w:color w:val="000000" w:themeColor="text1"/>
          <w:sz w:val="21"/>
          <w:lang w:val="en-US" w:eastAsia="zh-CN" w:bidi="ar-SA"/>
          <w14:textFill>
            <w14:solidFill>
              <w14:schemeClr w14:val="tx1"/>
            </w14:solidFill>
          </w14:textFill>
        </w:rPr>
        <w:t>、</w:t>
      </w:r>
      <w:r>
        <w:rPr>
          <w:rFonts w:hint="eastAsia" w:ascii="Times New Roman" w:hAnsi="Times New Roman" w:cs="Times New Roman"/>
          <w:color w:val="000000" w:themeColor="text1"/>
          <w:sz w:val="21"/>
          <w:lang w:val="en-US" w:eastAsia="zh-CN" w:bidi="ar-SA"/>
          <w14:textFill>
            <w14:solidFill>
              <w14:schemeClr w14:val="tx1"/>
            </w14:solidFill>
          </w14:textFill>
        </w:rPr>
        <w:t>停产时间；</w:t>
      </w:r>
    </w:p>
    <w:p w14:paraId="1B4E6104">
      <w:pPr>
        <w:numPr>
          <w:ilvl w:val="0"/>
          <w:numId w:val="21"/>
        </w:numPr>
        <w:spacing w:line="240" w:lineRule="auto"/>
        <w:ind w:left="845" w:hanging="425"/>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bidi="ar-SA"/>
          <w14:textFill>
            <w14:solidFill>
              <w14:schemeClr w14:val="tx1"/>
            </w14:solidFill>
          </w14:textFill>
        </w:rPr>
        <w:t>历史生产记录</w:t>
      </w:r>
      <w:r>
        <w:rPr>
          <w:rFonts w:hint="eastAsia" w:ascii="Times New Roman" w:hAnsi="Times New Roman" w:eastAsia="宋体" w:cs="Times New Roman"/>
          <w:color w:val="000000" w:themeColor="text1"/>
          <w:sz w:val="21"/>
          <w:lang w:val="en-US" w:eastAsia="zh-CN" w:bidi="ar-SA"/>
          <w14:textFill>
            <w14:solidFill>
              <w14:schemeClr w14:val="tx1"/>
            </w14:solidFill>
          </w14:textFill>
        </w:rPr>
        <w:t>、井场周围人居环境及井场道路情况</w:t>
      </w:r>
      <w:r>
        <w:rPr>
          <w:rFonts w:hint="eastAsia" w:ascii="Times New Roman" w:hAnsi="Times New Roman" w:cs="Times New Roman"/>
          <w:color w:val="000000" w:themeColor="text1"/>
          <w:sz w:val="21"/>
          <w:lang w:val="en-US" w:eastAsia="zh-CN" w:bidi="ar-SA"/>
          <w14:textFill>
            <w14:solidFill>
              <w14:schemeClr w14:val="tx1"/>
            </w14:solidFill>
          </w14:textFill>
        </w:rPr>
        <w:t>。</w:t>
      </w:r>
    </w:p>
    <w:p w14:paraId="0C2FD34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outlineLvl w:val="9"/>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宋体" w:eastAsia="宋体"/>
          <w:lang w:val="en-US" w:eastAsia="zh-CN"/>
        </w:rPr>
        <w:t>应设置风险告知标识，告知信息包括但不限于井号、管理单位、联系电话、风险提示。</w:t>
      </w:r>
    </w:p>
    <w:p w14:paraId="29B8190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outlineLvl w:val="9"/>
        <w:rPr>
          <w:rFonts w:hint="eastAsia"/>
          <w:lang w:val="en-US" w:eastAsia="zh-CN"/>
        </w:rPr>
      </w:pPr>
      <w:bookmarkStart w:id="58" w:name="_Toc185930739"/>
      <w:bookmarkStart w:id="59" w:name="_Toc21454"/>
      <w:bookmarkStart w:id="60" w:name="_Toc23639"/>
      <w:r>
        <w:rPr>
          <w:rFonts w:hint="eastAsia" w:ascii="宋体" w:eastAsia="宋体"/>
          <w:lang w:val="en-US" w:eastAsia="zh-CN"/>
        </w:rPr>
        <w:t>距井口100 m范围内存在人员居住或聚集场所的，应设置物理隔离。</w:t>
      </w:r>
      <w:bookmarkEnd w:id="58"/>
      <w:bookmarkEnd w:id="59"/>
    </w:p>
    <w:p w14:paraId="3D8385C0">
      <w:pPr>
        <w:pStyle w:val="109"/>
        <w:spacing w:before="156" w:after="156"/>
        <w:outlineLvl w:val="1"/>
        <w:rPr>
          <w:rFonts w:hint="eastAsia"/>
          <w:lang w:val="en-US" w:eastAsia="zh-CN"/>
        </w:rPr>
      </w:pPr>
      <w:bookmarkStart w:id="61" w:name="_Toc16949"/>
      <w:bookmarkStart w:id="62" w:name="_Toc27842"/>
      <w:r>
        <w:rPr>
          <w:rFonts w:hint="eastAsia"/>
          <w:lang w:val="en-US" w:eastAsia="zh-CN"/>
        </w:rPr>
        <w:t>检查与维护</w:t>
      </w:r>
      <w:bookmarkEnd w:id="61"/>
      <w:bookmarkEnd w:id="62"/>
    </w:p>
    <w:p w14:paraId="5E9D54E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lang w:val="en-US" w:eastAsia="zh-CN"/>
        </w:rPr>
      </w:pPr>
      <w:bookmarkStart w:id="63" w:name="_Toc4931"/>
      <w:r>
        <w:rPr>
          <w:rFonts w:hint="eastAsia" w:ascii="宋体" w:eastAsia="宋体"/>
          <w:lang w:val="en-US" w:eastAsia="zh-CN"/>
        </w:rPr>
        <w:t>企业应对停产井开展现场</w:t>
      </w:r>
      <w:bookmarkStart w:id="64" w:name="OLE_LINK2"/>
      <w:r>
        <w:rPr>
          <w:rFonts w:hint="eastAsia" w:ascii="宋体" w:eastAsia="宋体"/>
          <w:lang w:val="en-US" w:eastAsia="zh-CN"/>
        </w:rPr>
        <w:t>检查</w:t>
      </w:r>
      <w:bookmarkEnd w:id="64"/>
      <w:r>
        <w:rPr>
          <w:rFonts w:hint="eastAsia" w:ascii="宋体" w:eastAsia="宋体"/>
          <w:lang w:val="en-US" w:eastAsia="zh-CN"/>
        </w:rPr>
        <w:t>，井口压力为零的停产井，至少每两年检查一次；井口压力不为零的停产井，至少每年检查一次。</w:t>
      </w:r>
    </w:p>
    <w:p w14:paraId="63BEBD4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lang w:val="en-US" w:eastAsia="zh-CN"/>
        </w:rPr>
      </w:pPr>
      <w:r>
        <w:rPr>
          <w:rFonts w:hint="eastAsia" w:ascii="宋体" w:eastAsia="宋体"/>
          <w:lang w:val="en-US" w:eastAsia="zh-CN"/>
        </w:rPr>
        <w:t>检查内容包括但不限于：</w:t>
      </w:r>
      <w:bookmarkEnd w:id="63"/>
    </w:p>
    <w:p w14:paraId="484410F3">
      <w:pPr>
        <w:numPr>
          <w:ilvl w:val="0"/>
          <w:numId w:val="21"/>
        </w:numPr>
        <w:spacing w:line="240" w:lineRule="auto"/>
        <w:ind w:left="845" w:hanging="425"/>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井口装置</w:t>
      </w:r>
      <w:r>
        <w:rPr>
          <w:rFonts w:hint="eastAsia" w:ascii="Times New Roman" w:hAnsi="Times New Roman" w:cs="Times New Roman"/>
          <w:color w:val="000000" w:themeColor="text1"/>
          <w:sz w:val="21"/>
          <w:lang w:val="en-US" w:eastAsia="zh-CN" w:bidi="ar-SA"/>
          <w14:textFill>
            <w14:solidFill>
              <w14:schemeClr w14:val="tx1"/>
            </w14:solidFill>
          </w14:textFill>
        </w:rPr>
        <w:t>、</w:t>
      </w:r>
      <w:r>
        <w:rPr>
          <w:rFonts w:hint="eastAsia" w:ascii="Times New Roman" w:hAnsi="Times New Roman" w:eastAsia="宋体" w:cs="Times New Roman"/>
          <w:color w:val="000000" w:themeColor="text1"/>
          <w:sz w:val="21"/>
          <w:lang w:val="en-US" w:eastAsia="zh-CN" w:bidi="ar-SA"/>
          <w14:textFill>
            <w14:solidFill>
              <w14:schemeClr w14:val="tx1"/>
            </w14:solidFill>
          </w14:textFill>
        </w:rPr>
        <w:t>升高短节外观完整性及泄漏情况；</w:t>
      </w:r>
    </w:p>
    <w:p w14:paraId="7713E2F3">
      <w:pPr>
        <w:numPr>
          <w:ilvl w:val="0"/>
          <w:numId w:val="21"/>
        </w:numPr>
        <w:spacing w:line="240" w:lineRule="auto"/>
        <w:ind w:left="845" w:hanging="425"/>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井口油压、套压、各层</w:t>
      </w:r>
      <w:r>
        <w:rPr>
          <w:rFonts w:hint="eastAsia" w:ascii="Times New Roman" w:hAnsi="Times New Roman" w:cs="Times New Roman"/>
          <w:color w:val="000000" w:themeColor="text1"/>
          <w:sz w:val="21"/>
          <w:lang w:val="en-US" w:eastAsia="zh-CN" w:bidi="ar-SA"/>
          <w14:textFill>
            <w14:solidFill>
              <w14:schemeClr w14:val="tx1"/>
            </w14:solidFill>
          </w14:textFill>
        </w:rPr>
        <w:t>套管间</w:t>
      </w:r>
      <w:r>
        <w:rPr>
          <w:rFonts w:hint="eastAsia" w:ascii="Times New Roman" w:hAnsi="Times New Roman" w:eastAsia="宋体" w:cs="Times New Roman"/>
          <w:color w:val="000000" w:themeColor="text1"/>
          <w:sz w:val="21"/>
          <w:lang w:val="en-US" w:eastAsia="zh-CN" w:bidi="ar-SA"/>
          <w14:textFill>
            <w14:solidFill>
              <w14:schemeClr w14:val="tx1"/>
            </w14:solidFill>
          </w14:textFill>
        </w:rPr>
        <w:t>环空压力；</w:t>
      </w:r>
    </w:p>
    <w:p w14:paraId="6E107A8F">
      <w:pPr>
        <w:numPr>
          <w:ilvl w:val="0"/>
          <w:numId w:val="21"/>
        </w:numPr>
        <w:spacing w:line="240" w:lineRule="auto"/>
        <w:ind w:left="845" w:hanging="425"/>
        <w:rPr>
          <w:rFonts w:hint="eastAsia"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井口隔离设施、井场及周边环境状况。</w:t>
      </w:r>
    </w:p>
    <w:p w14:paraId="56D58E2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lang w:val="en-US" w:eastAsia="zh-CN"/>
        </w:rPr>
      </w:pPr>
      <w:bookmarkStart w:id="65" w:name="_Toc3834"/>
      <w:r>
        <w:rPr>
          <w:rFonts w:hint="eastAsia" w:ascii="宋体" w:eastAsia="宋体"/>
          <w:highlight w:val="none"/>
          <w:lang w:val="en-US" w:eastAsia="zh-CN"/>
        </w:rPr>
        <w:t>检查含硫停产井时应</w:t>
      </w:r>
      <w:r>
        <w:rPr>
          <w:rFonts w:hint="eastAsia" w:ascii="宋体" w:eastAsia="宋体"/>
          <w:lang w:val="en-US" w:eastAsia="zh-CN"/>
        </w:rPr>
        <w:t>落实硫化氢防护措施。</w:t>
      </w:r>
      <w:bookmarkEnd w:id="65"/>
    </w:p>
    <w:p w14:paraId="401EA5B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lang w:val="en-US" w:eastAsia="zh-CN"/>
        </w:rPr>
      </w:pPr>
      <w:r>
        <w:rPr>
          <w:rFonts w:hint="eastAsia" w:ascii="宋体" w:eastAsia="宋体" w:cs="Times New Roman"/>
          <w:lang w:val="en-US" w:eastAsia="zh-CN"/>
        </w:rPr>
        <w:t>应对井口装置、升高短节进行除锈、防腐、清洁等维护保养，至少每三年一次。</w:t>
      </w:r>
    </w:p>
    <w:p w14:paraId="2F83C5CE">
      <w:pPr>
        <w:pStyle w:val="109"/>
        <w:spacing w:before="156" w:after="156"/>
        <w:outlineLvl w:val="1"/>
        <w:rPr>
          <w:rFonts w:hint="eastAsia"/>
          <w:lang w:val="en-US" w:eastAsia="zh-CN"/>
        </w:rPr>
      </w:pPr>
      <w:bookmarkStart w:id="66" w:name="_Toc2228"/>
      <w:bookmarkStart w:id="67" w:name="_Toc2027"/>
      <w:r>
        <w:rPr>
          <w:rFonts w:hint="eastAsia"/>
          <w:lang w:val="en-US" w:eastAsia="zh-CN"/>
        </w:rPr>
        <w:t>监测检测</w:t>
      </w:r>
      <w:bookmarkEnd w:id="66"/>
      <w:bookmarkEnd w:id="67"/>
    </w:p>
    <w:p w14:paraId="48A672F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cs="Times New Roman"/>
          <w:lang w:val="en-US" w:eastAsia="zh-CN"/>
        </w:rPr>
      </w:pPr>
      <w:bookmarkStart w:id="68" w:name="_Toc185930745"/>
      <w:bookmarkStart w:id="69" w:name="_Toc22425"/>
      <w:r>
        <w:rPr>
          <w:rFonts w:hint="eastAsia" w:ascii="宋体" w:eastAsia="宋体" w:cs="Times New Roman"/>
          <w:lang w:val="en-US" w:eastAsia="zh-CN"/>
        </w:rPr>
        <w:t>停产井首次出现套管间环空压力，或套管间环空压力出现异常变化时，应开展环空压力诊断，计算环空最大允许压力。</w:t>
      </w:r>
      <w:bookmarkEnd w:id="68"/>
      <w:bookmarkEnd w:id="69"/>
    </w:p>
    <w:p w14:paraId="7BECAFA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default" w:ascii="宋体" w:eastAsia="宋体" w:cs="Times New Roman"/>
          <w:highlight w:val="none"/>
          <w:lang w:val="en-US" w:eastAsia="zh-CN"/>
        </w:rPr>
      </w:pPr>
      <w:r>
        <w:rPr>
          <w:rFonts w:hint="eastAsia" w:ascii="宋体" w:eastAsia="宋体" w:cs="Times New Roman"/>
          <w:lang w:val="en-US" w:eastAsia="zh-CN"/>
        </w:rPr>
        <w:t>套管间环空</w:t>
      </w:r>
      <w:r>
        <w:rPr>
          <w:rFonts w:hint="eastAsia" w:ascii="宋体" w:eastAsia="宋体" w:cs="Times New Roman"/>
          <w:highlight w:val="none"/>
          <w:lang w:val="en-US" w:eastAsia="zh-CN"/>
        </w:rPr>
        <w:t>压力大于或等于环空最大允许压力的80%的停产井，应安装压力变送器监测压力，现场应具备紧急泄压条件，并制定环空压力管控措施。</w:t>
      </w:r>
    </w:p>
    <w:p w14:paraId="26C5A04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default" w:ascii="宋体" w:eastAsia="宋体" w:cs="Times New Roman"/>
          <w:highlight w:val="none"/>
          <w:lang w:val="en-US" w:eastAsia="zh-CN"/>
        </w:rPr>
      </w:pPr>
      <w:r>
        <w:rPr>
          <w:rFonts w:hint="eastAsia" w:ascii="宋体" w:eastAsia="宋体" w:cs="Times New Roman"/>
          <w:highlight w:val="none"/>
          <w:lang w:val="en-US" w:eastAsia="zh-CN"/>
        </w:rPr>
        <w:t>井筒压力不为零，且硫化氢含量大于或等于30 g/m</w:t>
      </w:r>
      <w:r>
        <w:rPr>
          <w:rFonts w:hint="eastAsia" w:ascii="宋体" w:eastAsia="宋体" w:cs="Times New Roman"/>
          <w:highlight w:val="none"/>
          <w:vertAlign w:val="superscript"/>
          <w:lang w:val="en-US" w:eastAsia="zh-CN"/>
        </w:rPr>
        <w:t>3</w:t>
      </w:r>
      <w:r>
        <w:rPr>
          <w:rFonts w:hint="eastAsia" w:ascii="宋体" w:eastAsia="宋体" w:cs="Times New Roman"/>
          <w:highlight w:val="none"/>
          <w:lang w:val="en-US" w:eastAsia="zh-CN"/>
        </w:rPr>
        <w:t>的井应安装硫化氢监测报警系统。</w:t>
      </w:r>
    </w:p>
    <w:p w14:paraId="747F753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highlight w:val="none"/>
          <w:lang w:val="en-US" w:eastAsia="zh-CN"/>
        </w:rPr>
      </w:pPr>
      <w:bookmarkStart w:id="70" w:name="_Toc29941"/>
      <w:bookmarkStart w:id="71" w:name="_Toc9941"/>
      <w:r>
        <w:rPr>
          <w:rFonts w:hint="eastAsia" w:ascii="宋体" w:eastAsia="宋体" w:cs="Times New Roman"/>
          <w:highlight w:val="none"/>
          <w:lang w:val="en-US" w:eastAsia="zh-CN"/>
        </w:rPr>
        <w:t>针对井口压力不为零的气井，存在非埋地升高短节的，应对升高短节进行腐蚀检测，至少每五年一次。</w:t>
      </w:r>
      <w:bookmarkEnd w:id="70"/>
    </w:p>
    <w:p w14:paraId="164FA85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cs="Times New Roman"/>
          <w:highlight w:val="none"/>
          <w:lang w:val="en-US" w:eastAsia="zh-CN"/>
        </w:rPr>
      </w:pPr>
      <w:r>
        <w:rPr>
          <w:rFonts w:hint="eastAsia" w:ascii="宋体" w:eastAsia="宋体" w:cs="Times New Roman"/>
          <w:highlight w:val="none"/>
          <w:lang w:val="en-US" w:eastAsia="zh-CN"/>
        </w:rPr>
        <w:t>停产井存在下列情形之一的，应对井口装置、非埋地升高短节进行腐蚀检测，至少每三年一次：</w:t>
      </w:r>
      <w:bookmarkEnd w:id="71"/>
    </w:p>
    <w:p w14:paraId="7A777BA2">
      <w:pPr>
        <w:keepNext w:val="0"/>
        <w:keepLines w:val="0"/>
        <w:pageBreakBefore w:val="0"/>
        <w:widowControl/>
        <w:numPr>
          <w:ilvl w:val="0"/>
          <w:numId w:val="21"/>
        </w:numPr>
        <w:kinsoku/>
        <w:wordWrap/>
        <w:overflowPunct/>
        <w:topLinePunct w:val="0"/>
        <w:autoSpaceDE/>
        <w:autoSpaceDN/>
        <w:bidi w:val="0"/>
        <w:adjustRightInd/>
        <w:snapToGrid/>
        <w:spacing w:line="240" w:lineRule="auto"/>
        <w:ind w:left="845" w:hanging="425"/>
        <w:textAlignment w:val="auto"/>
        <w:rPr>
          <w:rFonts w:ascii="宋体" w:hAnsi="Times New Roman"/>
          <w:color w:val="000000" w:themeColor="text1"/>
          <w:highlight w:val="none"/>
          <w14:textFill>
            <w14:solidFill>
              <w14:schemeClr w14:val="tx1"/>
            </w14:solidFill>
          </w14:textFill>
        </w:rPr>
      </w:pPr>
      <w:r>
        <w:rPr>
          <w:rFonts w:hint="eastAsia" w:ascii="宋体" w:hAnsi="Times New Roman"/>
          <w:color w:val="000000" w:themeColor="text1"/>
          <w:highlight w:val="none"/>
          <w14:textFill>
            <w14:solidFill>
              <w14:schemeClr w14:val="tx1"/>
            </w14:solidFill>
          </w14:textFill>
        </w:rPr>
        <w:t>井口压力</w:t>
      </w:r>
      <w:r>
        <w:rPr>
          <w:rFonts w:hint="eastAsia" w:ascii="宋体" w:hAnsi="Times New Roman"/>
          <w:color w:val="000000" w:themeColor="text1"/>
          <w:highlight w:val="none"/>
          <w:lang w:val="en-US" w:eastAsia="zh-CN"/>
          <w14:textFill>
            <w14:solidFill>
              <w14:schemeClr w14:val="tx1"/>
            </w14:solidFill>
          </w14:textFill>
        </w:rPr>
        <w:t>大于或等于</w:t>
      </w:r>
      <w:r>
        <w:rPr>
          <w:rFonts w:hint="eastAsia" w:ascii="宋体" w:hAnsi="Times New Roman"/>
          <w:color w:val="000000" w:themeColor="text1"/>
          <w:highlight w:val="none"/>
          <w14:textFill>
            <w14:solidFill>
              <w14:schemeClr w14:val="tx1"/>
            </w14:solidFill>
          </w14:textFill>
        </w:rPr>
        <w:t>70 MPa；</w:t>
      </w:r>
    </w:p>
    <w:p w14:paraId="1FE6F60D">
      <w:pPr>
        <w:keepNext w:val="0"/>
        <w:keepLines w:val="0"/>
        <w:pageBreakBefore w:val="0"/>
        <w:widowControl/>
        <w:numPr>
          <w:ilvl w:val="0"/>
          <w:numId w:val="21"/>
        </w:numPr>
        <w:kinsoku/>
        <w:wordWrap/>
        <w:overflowPunct/>
        <w:topLinePunct w:val="0"/>
        <w:autoSpaceDE/>
        <w:autoSpaceDN/>
        <w:bidi w:val="0"/>
        <w:adjustRightInd/>
        <w:snapToGrid/>
        <w:spacing w:line="240" w:lineRule="auto"/>
        <w:ind w:left="845" w:hanging="425"/>
        <w:textAlignment w:val="auto"/>
        <w:rPr>
          <w:rFonts w:ascii="宋体" w:hAnsi="Times New Roman"/>
          <w:color w:val="000000" w:themeColor="text1"/>
          <w:highlight w:val="none"/>
          <w14:textFill>
            <w14:solidFill>
              <w14:schemeClr w14:val="tx1"/>
            </w14:solidFill>
          </w14:textFill>
        </w:rPr>
      </w:pPr>
      <w:r>
        <w:rPr>
          <w:rFonts w:hint="eastAsia" w:ascii="宋体" w:hAnsi="Times New Roman"/>
          <w:color w:val="000000" w:themeColor="text1"/>
          <w:highlight w:val="none"/>
          <w14:textFill>
            <w14:solidFill>
              <w14:schemeClr w14:val="tx1"/>
            </w14:solidFill>
          </w14:textFill>
        </w:rPr>
        <w:t>二氧化碳含量</w:t>
      </w:r>
      <w:r>
        <w:rPr>
          <w:rFonts w:hint="eastAsia" w:ascii="宋体" w:hAnsi="Times New Roman"/>
          <w:color w:val="000000" w:themeColor="text1"/>
          <w:highlight w:val="none"/>
          <w:lang w:val="en-US" w:eastAsia="zh-CN"/>
          <w14:textFill>
            <w14:solidFill>
              <w14:schemeClr w14:val="tx1"/>
            </w14:solidFill>
          </w14:textFill>
        </w:rPr>
        <w:t>大于或等于</w:t>
      </w:r>
      <w:r>
        <w:rPr>
          <w:rFonts w:hint="eastAsia" w:ascii="宋体" w:hAnsi="Times New Roman"/>
          <w:color w:val="000000" w:themeColor="text1"/>
          <w:highlight w:val="none"/>
          <w14:textFill>
            <w14:solidFill>
              <w14:schemeClr w14:val="tx1"/>
            </w14:solidFill>
          </w14:textFill>
        </w:rPr>
        <w:t>200 g/m</w:t>
      </w:r>
      <w:r>
        <w:rPr>
          <w:rFonts w:hint="eastAsia" w:ascii="宋体" w:hAnsi="Times New Roman"/>
          <w:color w:val="000000" w:themeColor="text1"/>
          <w:highlight w:val="none"/>
          <w:vertAlign w:val="superscript"/>
          <w14:textFill>
            <w14:solidFill>
              <w14:schemeClr w14:val="tx1"/>
            </w14:solidFill>
          </w14:textFill>
        </w:rPr>
        <w:t>3</w:t>
      </w:r>
      <w:r>
        <w:rPr>
          <w:rFonts w:hint="eastAsia" w:ascii="宋体" w:hAnsi="Times New Roman"/>
          <w:color w:val="000000" w:themeColor="text1"/>
          <w:highlight w:val="none"/>
          <w14:textFill>
            <w14:solidFill>
              <w14:schemeClr w14:val="tx1"/>
            </w14:solidFill>
          </w14:textFill>
        </w:rPr>
        <w:t>；</w:t>
      </w:r>
    </w:p>
    <w:p w14:paraId="56E73F64">
      <w:pPr>
        <w:keepNext w:val="0"/>
        <w:keepLines w:val="0"/>
        <w:pageBreakBefore w:val="0"/>
        <w:widowControl/>
        <w:numPr>
          <w:ilvl w:val="0"/>
          <w:numId w:val="21"/>
        </w:numPr>
        <w:kinsoku/>
        <w:wordWrap/>
        <w:overflowPunct/>
        <w:topLinePunct w:val="0"/>
        <w:autoSpaceDE/>
        <w:autoSpaceDN/>
        <w:bidi w:val="0"/>
        <w:adjustRightInd/>
        <w:snapToGrid/>
        <w:spacing w:line="240" w:lineRule="auto"/>
        <w:ind w:left="845" w:hanging="425"/>
        <w:textAlignment w:val="auto"/>
        <w:rPr>
          <w:rFonts w:ascii="宋体" w:hAnsi="Times New Roman"/>
          <w:color w:val="000000" w:themeColor="text1"/>
          <w:highlight w:val="none"/>
          <w14:textFill>
            <w14:solidFill>
              <w14:schemeClr w14:val="tx1"/>
            </w14:solidFill>
          </w14:textFill>
        </w:rPr>
      </w:pPr>
      <w:r>
        <w:rPr>
          <w:rFonts w:hint="eastAsia" w:ascii="宋体" w:hAnsi="Times New Roman"/>
          <w:color w:val="000000" w:themeColor="text1"/>
          <w:highlight w:val="none"/>
          <w14:textFill>
            <w14:solidFill>
              <w14:schemeClr w14:val="tx1"/>
            </w14:solidFill>
          </w14:textFill>
        </w:rPr>
        <w:t>硫化氢含量</w:t>
      </w:r>
      <w:r>
        <w:rPr>
          <w:rFonts w:hint="eastAsia" w:ascii="宋体" w:hAnsi="Times New Roman"/>
          <w:color w:val="000000" w:themeColor="text1"/>
          <w:highlight w:val="none"/>
          <w:lang w:val="en-US" w:eastAsia="zh-CN"/>
          <w14:textFill>
            <w14:solidFill>
              <w14:schemeClr w14:val="tx1"/>
            </w14:solidFill>
          </w14:textFill>
        </w:rPr>
        <w:t>大于或等于</w:t>
      </w:r>
      <w:r>
        <w:rPr>
          <w:rFonts w:hint="eastAsia" w:ascii="宋体" w:hAnsi="Times New Roman"/>
          <w:color w:val="000000" w:themeColor="text1"/>
          <w:highlight w:val="none"/>
          <w14:textFill>
            <w14:solidFill>
              <w14:schemeClr w14:val="tx1"/>
            </w14:solidFill>
          </w14:textFill>
        </w:rPr>
        <w:t>30 g/m</w:t>
      </w:r>
      <w:r>
        <w:rPr>
          <w:rFonts w:hint="eastAsia" w:ascii="宋体" w:hAnsi="Times New Roman"/>
          <w:color w:val="000000" w:themeColor="text1"/>
          <w:highlight w:val="none"/>
          <w:vertAlign w:val="superscript"/>
          <w14:textFill>
            <w14:solidFill>
              <w14:schemeClr w14:val="tx1"/>
            </w14:solidFill>
          </w14:textFill>
        </w:rPr>
        <w:t>3</w:t>
      </w:r>
      <w:r>
        <w:rPr>
          <w:rFonts w:hint="eastAsia" w:ascii="宋体" w:hAnsi="Times New Roman"/>
          <w:color w:val="000000" w:themeColor="text1"/>
          <w:highlight w:val="none"/>
          <w14:textFill>
            <w14:solidFill>
              <w14:schemeClr w14:val="tx1"/>
            </w14:solidFill>
          </w14:textFill>
        </w:rPr>
        <w:t>；</w:t>
      </w:r>
    </w:p>
    <w:p w14:paraId="4E4DA050">
      <w:pPr>
        <w:keepNext w:val="0"/>
        <w:keepLines w:val="0"/>
        <w:pageBreakBefore w:val="0"/>
        <w:widowControl/>
        <w:numPr>
          <w:ilvl w:val="0"/>
          <w:numId w:val="21"/>
        </w:numPr>
        <w:kinsoku/>
        <w:wordWrap/>
        <w:overflowPunct/>
        <w:topLinePunct w:val="0"/>
        <w:autoSpaceDE/>
        <w:autoSpaceDN/>
        <w:bidi w:val="0"/>
        <w:adjustRightInd/>
        <w:snapToGrid/>
        <w:spacing w:line="240" w:lineRule="auto"/>
        <w:ind w:left="845" w:hanging="425"/>
        <w:textAlignment w:val="auto"/>
        <w:rPr>
          <w:rFonts w:ascii="宋体" w:hAnsi="Times New Roman"/>
          <w:color w:val="000000" w:themeColor="text1"/>
          <w:highlight w:val="none"/>
          <w14:textFill>
            <w14:solidFill>
              <w14:schemeClr w14:val="tx1"/>
            </w14:solidFill>
          </w14:textFill>
        </w:rPr>
      </w:pPr>
      <w:r>
        <w:rPr>
          <w:rFonts w:hint="eastAsia" w:ascii="宋体" w:hAnsi="Times New Roman"/>
          <w:color w:val="000000" w:themeColor="text1"/>
          <w:highlight w:val="none"/>
          <w14:textFill>
            <w14:solidFill>
              <w14:schemeClr w14:val="tx1"/>
            </w14:solidFill>
          </w14:textFill>
        </w:rPr>
        <w:t>井口材质等级不适应当前抗腐蚀需求。</w:t>
      </w:r>
    </w:p>
    <w:p w14:paraId="3B717F19">
      <w:pPr>
        <w:keepNext w:val="0"/>
        <w:keepLines w:val="0"/>
        <w:pageBreakBefore w:val="0"/>
        <w:widowControl/>
        <w:kinsoku/>
        <w:wordWrap/>
        <w:overflowPunct/>
        <w:topLinePunct w:val="0"/>
        <w:autoSpaceDE/>
        <w:autoSpaceDN/>
        <w:bidi w:val="0"/>
        <w:adjustRightInd/>
        <w:snapToGrid/>
        <w:spacing w:line="240" w:lineRule="auto"/>
        <w:ind w:left="420"/>
        <w:textAlignment w:val="auto"/>
        <w:rPr>
          <w:rFonts w:hint="eastAsia"/>
          <w:color w:val="000000" w:themeColor="text1"/>
          <w:sz w:val="18"/>
          <w:szCs w:val="18"/>
          <w:highlight w:val="none"/>
          <w:lang w:val="en-US" w:eastAsia="zh-CN"/>
          <w14:textFill>
            <w14:solidFill>
              <w14:schemeClr w14:val="tx1"/>
            </w14:solidFill>
          </w14:textFill>
        </w:rPr>
      </w:pPr>
      <w:r>
        <w:rPr>
          <w:rFonts w:hint="eastAsia" w:ascii="黑体" w:hAnsi="黑体" w:eastAsia="黑体" w:cs="黑体"/>
          <w:bCs/>
          <w:color w:val="000000" w:themeColor="text1"/>
          <w:sz w:val="18"/>
          <w:szCs w:val="18"/>
          <w:highlight w:val="none"/>
          <w14:textFill>
            <w14:solidFill>
              <w14:schemeClr w14:val="tx1"/>
            </w14:solidFill>
          </w14:textFill>
        </w:rPr>
        <w:t>注：</w:t>
      </w:r>
      <w:r>
        <w:rPr>
          <w:rFonts w:hint="eastAsia"/>
          <w:color w:val="000000" w:themeColor="text1"/>
          <w:sz w:val="18"/>
          <w:szCs w:val="18"/>
          <w:highlight w:val="none"/>
          <w14:textFill>
            <w14:solidFill>
              <w14:schemeClr w14:val="tx1"/>
            </w14:solidFill>
          </w14:textFill>
        </w:rPr>
        <w:t>如果停产井井屏障失效导致某过路层位含硫气体窜入井筒内，该过路层等同于本井储层</w:t>
      </w:r>
      <w:r>
        <w:rPr>
          <w:rFonts w:hint="eastAsia" w:ascii="Calibri" w:eastAsia="宋体"/>
          <w:color w:val="000000" w:themeColor="text1"/>
          <w:sz w:val="18"/>
          <w:szCs w:val="18"/>
          <w:highlight w:val="none"/>
          <w:lang w:val="en-US" w:eastAsia="zh-CN"/>
          <w14:textFill>
            <w14:solidFill>
              <w14:schemeClr w14:val="tx1"/>
            </w14:solidFill>
          </w14:textFill>
        </w:rPr>
        <w:t>。</w:t>
      </w:r>
    </w:p>
    <w:p w14:paraId="29C20F9F">
      <w:pPr>
        <w:pStyle w:val="109"/>
        <w:spacing w:before="156" w:after="156"/>
        <w:outlineLvl w:val="1"/>
        <w:rPr>
          <w:rFonts w:hint="eastAsia"/>
          <w:highlight w:val="none"/>
          <w:lang w:val="en-US" w:eastAsia="zh-CN"/>
        </w:rPr>
      </w:pPr>
      <w:bookmarkStart w:id="72" w:name="_Toc5204"/>
      <w:bookmarkStart w:id="73" w:name="_Toc19281"/>
      <w:r>
        <w:rPr>
          <w:rFonts w:hint="eastAsia"/>
          <w:highlight w:val="none"/>
          <w:lang w:val="en-US" w:eastAsia="zh-CN"/>
        </w:rPr>
        <w:t>风险评估与隐患治理</w:t>
      </w:r>
      <w:bookmarkEnd w:id="72"/>
      <w:bookmarkEnd w:id="73"/>
    </w:p>
    <w:p w14:paraId="6DA8C2F4">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cs="Times New Roman"/>
          <w:highlight w:val="none"/>
          <w:lang w:val="en-US" w:eastAsia="zh-CN"/>
        </w:rPr>
      </w:pPr>
      <w:bookmarkStart w:id="74" w:name="_Toc29675"/>
      <w:bookmarkStart w:id="75" w:name="_Toc23231"/>
      <w:bookmarkStart w:id="76" w:name="_Toc1035"/>
      <w:r>
        <w:rPr>
          <w:rFonts w:hint="eastAsia" w:ascii="宋体" w:eastAsia="宋体" w:cs="Times New Roman"/>
          <w:highlight w:val="none"/>
          <w:lang w:val="en-US" w:eastAsia="zh-CN"/>
        </w:rPr>
        <w:t>企业应对停产井进行风险评估，确定风险等级，至少每两年一次。</w:t>
      </w:r>
    </w:p>
    <w:p w14:paraId="595C62C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firstLine="0"/>
        <w:textAlignment w:val="auto"/>
        <w:outlineLvl w:val="9"/>
        <w:rPr>
          <w:rFonts w:hint="eastAsia" w:ascii="宋体" w:eastAsia="宋体" w:cs="Times New Roman"/>
          <w:lang w:val="en-US" w:eastAsia="zh-CN"/>
        </w:rPr>
      </w:pPr>
      <w:r>
        <w:rPr>
          <w:rFonts w:hint="eastAsia" w:ascii="宋体" w:eastAsia="宋体" w:cs="Times New Roman"/>
          <w:lang w:val="en-US" w:eastAsia="zh-CN"/>
        </w:rPr>
        <w:t>停产井存在下列情形之一的，应重新开展风险评估：</w:t>
      </w:r>
      <w:bookmarkEnd w:id="74"/>
      <w:bookmarkEnd w:id="75"/>
      <w:bookmarkEnd w:id="76"/>
    </w:p>
    <w:p w14:paraId="79AEF528">
      <w:pPr>
        <w:numPr>
          <w:ilvl w:val="0"/>
          <w:numId w:val="21"/>
        </w:numPr>
        <w:spacing w:line="240" w:lineRule="auto"/>
        <w:ind w:left="845" w:hanging="425"/>
        <w:rPr>
          <w:rFonts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井周边环境发生重大变化</w:t>
      </w:r>
      <w:r>
        <w:rPr>
          <w:rFonts w:hint="eastAsia" w:ascii="Times New Roman" w:hAnsi="Times New Roman" w:cs="Times New Roman"/>
          <w:color w:val="000000" w:themeColor="text1"/>
          <w:sz w:val="21"/>
          <w:lang w:val="en-US" w:eastAsia="zh-CN" w:bidi="ar-SA"/>
          <w14:textFill>
            <w14:solidFill>
              <w14:schemeClr w14:val="tx1"/>
            </w14:solidFill>
          </w14:textFill>
        </w:rPr>
        <w:t>；</w:t>
      </w:r>
    </w:p>
    <w:p w14:paraId="5EEBB116">
      <w:pPr>
        <w:numPr>
          <w:ilvl w:val="0"/>
          <w:numId w:val="21"/>
        </w:numPr>
        <w:spacing w:line="240" w:lineRule="auto"/>
        <w:ind w:left="845" w:hanging="425"/>
        <w:rPr>
          <w:rFonts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井口及环空压力出现异常变化</w:t>
      </w:r>
      <w:r>
        <w:rPr>
          <w:rFonts w:hint="eastAsia" w:ascii="Times New Roman" w:hAnsi="Times New Roman" w:cs="Times New Roman"/>
          <w:color w:val="000000" w:themeColor="text1"/>
          <w:sz w:val="21"/>
          <w:lang w:val="en-US" w:eastAsia="zh-CN" w:bidi="ar-SA"/>
          <w14:textFill>
            <w14:solidFill>
              <w14:schemeClr w14:val="tx1"/>
            </w14:solidFill>
          </w14:textFill>
        </w:rPr>
        <w:t>；</w:t>
      </w:r>
    </w:p>
    <w:p w14:paraId="69D6332B">
      <w:pPr>
        <w:numPr>
          <w:ilvl w:val="0"/>
          <w:numId w:val="21"/>
        </w:numPr>
        <w:spacing w:line="240" w:lineRule="auto"/>
        <w:ind w:left="845" w:hanging="425"/>
        <w:rPr>
          <w:rFonts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邻井作业直接影响井筒工况；</w:t>
      </w:r>
    </w:p>
    <w:p w14:paraId="570AD1F7">
      <w:pPr>
        <w:numPr>
          <w:ilvl w:val="0"/>
          <w:numId w:val="21"/>
        </w:numPr>
        <w:spacing w:line="240" w:lineRule="auto"/>
        <w:ind w:left="845" w:hanging="425"/>
        <w:rPr>
          <w:rFonts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完成隐患治理。</w:t>
      </w:r>
    </w:p>
    <w:p w14:paraId="02C9BE7A">
      <w:pPr>
        <w:pStyle w:val="69"/>
        <w:adjustRightInd/>
        <w:spacing w:beforeLines="0" w:afterLines="0" w:line="240" w:lineRule="auto"/>
        <w:ind w:left="0" w:firstLine="0"/>
        <w:outlineLvl w:val="9"/>
        <w:rPr>
          <w:rFonts w:ascii="Times New Roman" w:hAnsi="Times New Roman" w:eastAsia="宋体" w:cs="Times New Roman"/>
          <w:color w:val="000000" w:themeColor="text1"/>
          <w:sz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lang w:val="en-US" w:eastAsia="zh-CN" w:bidi="ar-SA"/>
          <w14:textFill>
            <w14:solidFill>
              <w14:schemeClr w14:val="tx1"/>
            </w14:solidFill>
          </w14:textFill>
        </w:rPr>
        <w:t>停产井风险评估应包括井完整性评估和失效后果评估。井完整性评估包括停产井井屏障的腐蚀、泄漏和承压能力等；失效后果评估包括井周人居、设施、自然环境以及有毒有害气体等。</w:t>
      </w:r>
    </w:p>
    <w:p w14:paraId="5782FD6C">
      <w:pPr>
        <w:pStyle w:val="69"/>
        <w:adjustRightInd/>
        <w:spacing w:beforeLines="0" w:afterLines="0" w:line="240" w:lineRule="auto"/>
        <w:ind w:left="0" w:firstLine="0"/>
        <w:outlineLvl w:val="9"/>
        <w:rPr>
          <w:rFonts w:hint="eastAsia" w:ascii="宋体" w:eastAsia="宋体" w:cs="Times New Roman"/>
          <w:lang w:val="en-US" w:eastAsia="zh-CN"/>
        </w:rPr>
      </w:pPr>
      <w:r>
        <w:rPr>
          <w:rFonts w:hint="eastAsia" w:ascii="宋体" w:eastAsia="宋体"/>
          <w:lang w:val="en-US" w:eastAsia="zh-CN"/>
        </w:rPr>
        <w:t>停产井</w:t>
      </w:r>
      <w:r>
        <w:rPr>
          <w:rFonts w:hint="eastAsia" w:ascii="宋体" w:eastAsia="宋体" w:cs="Times New Roman"/>
          <w:lang w:val="en-US" w:eastAsia="zh-CN"/>
        </w:rPr>
        <w:t>隐患治理应制定方案，内容包括但不限于风险控制措施、应急处置。</w:t>
      </w:r>
    </w:p>
    <w:p w14:paraId="40ABABE6">
      <w:pPr>
        <w:pStyle w:val="69"/>
        <w:adjustRightInd/>
        <w:spacing w:beforeLines="0" w:afterLines="0" w:line="240" w:lineRule="auto"/>
        <w:ind w:left="0" w:firstLine="0"/>
        <w:outlineLvl w:val="9"/>
        <w:rPr>
          <w:rFonts w:hint="eastAsia" w:ascii="宋体" w:hAnsi="宋体" w:eastAsia="宋体" w:cs="宋体"/>
          <w:highlight w:val="none"/>
          <w:lang w:val="en-US" w:eastAsia="zh-CN"/>
        </w:rPr>
      </w:pPr>
      <w:r>
        <w:rPr>
          <w:rFonts w:hint="eastAsia" w:ascii="宋体" w:hAnsi="宋体" w:eastAsia="宋体" w:cs="宋体"/>
          <w:highlight w:val="none"/>
          <w:lang w:val="en-US" w:eastAsia="zh-CN"/>
        </w:rPr>
        <w:t>停产井存在下列情形之一的，应立即落实降压处置、泄漏流体监测和隔离等现场风险控制措施，开展隐患治理：</w:t>
      </w:r>
    </w:p>
    <w:p w14:paraId="079FEE7E">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cs="宋体"/>
          <w:color w:val="000000" w:themeColor="text1"/>
          <w:sz w:val="21"/>
          <w:highlight w:val="none"/>
          <w:lang w:val="en-US" w:eastAsia="zh-CN" w:bidi="ar-SA"/>
          <w14:textFill>
            <w14:solidFill>
              <w14:schemeClr w14:val="tx1"/>
            </w14:solidFill>
          </w14:textFill>
        </w:rPr>
        <w:t>井口装置、升高短节承受内压大于或等于其实际承压能力的80%</w:t>
      </w:r>
      <w:r>
        <w:rPr>
          <w:rFonts w:hint="eastAsia" w:ascii="宋体" w:hAnsi="宋体" w:eastAsia="宋体" w:cs="宋体"/>
          <w:color w:val="000000" w:themeColor="text1"/>
          <w:sz w:val="21"/>
          <w:highlight w:val="none"/>
          <w:lang w:val="en-US" w:eastAsia="zh-CN" w:bidi="ar-SA"/>
          <w14:textFill>
            <w14:solidFill>
              <w14:schemeClr w14:val="tx1"/>
            </w14:solidFill>
          </w14:textFill>
        </w:rPr>
        <w:t>；</w:t>
      </w:r>
    </w:p>
    <w:p w14:paraId="140EDC29">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井口装置</w:t>
      </w:r>
      <w:r>
        <w:rPr>
          <w:rFonts w:hint="eastAsia" w:ascii="宋体" w:hAnsi="宋体" w:cs="宋体"/>
          <w:color w:val="000000" w:themeColor="text1"/>
          <w:sz w:val="21"/>
          <w:highlight w:val="none"/>
          <w:lang w:val="en-US" w:eastAsia="zh-CN" w:bidi="ar-SA"/>
          <w14:textFill>
            <w14:solidFill>
              <w14:schemeClr w14:val="tx1"/>
            </w14:solidFill>
          </w14:textFill>
        </w:rPr>
        <w:t>、</w:t>
      </w:r>
      <w:r>
        <w:rPr>
          <w:rFonts w:hint="eastAsia" w:ascii="宋体" w:hAnsi="宋体" w:eastAsia="宋体" w:cs="宋体"/>
          <w:color w:val="000000" w:themeColor="text1"/>
          <w:sz w:val="21"/>
          <w:highlight w:val="none"/>
          <w:lang w:val="en-US" w:eastAsia="zh-CN" w:bidi="ar-SA"/>
          <w14:textFill>
            <w14:solidFill>
              <w14:schemeClr w14:val="tx1"/>
            </w14:solidFill>
          </w14:textFill>
        </w:rPr>
        <w:t>升高短节泄漏，且距泄漏点下风1 m处</w:t>
      </w:r>
      <w:r>
        <w:rPr>
          <w:rFonts w:hint="eastAsia" w:ascii="宋体" w:hAnsi="宋体" w:cs="宋体"/>
          <w:color w:val="000000" w:themeColor="text1"/>
          <w:sz w:val="21"/>
          <w:highlight w:val="none"/>
          <w:lang w:val="en-US" w:eastAsia="zh-CN" w:bidi="ar-SA"/>
          <w14:textFill>
            <w14:solidFill>
              <w14:schemeClr w14:val="tx1"/>
            </w14:solidFill>
          </w14:textFill>
        </w:rPr>
        <w:t>持续检测到</w:t>
      </w:r>
      <w:r>
        <w:rPr>
          <w:rFonts w:hint="eastAsia" w:ascii="宋体" w:hAnsi="宋体" w:eastAsia="宋体" w:cs="宋体"/>
          <w:color w:val="000000" w:themeColor="text1"/>
          <w:sz w:val="21"/>
          <w:highlight w:val="none"/>
          <w:lang w:val="en-US" w:eastAsia="zh-CN" w:bidi="ar-SA"/>
          <w14:textFill>
            <w14:solidFill>
              <w14:schemeClr w14:val="tx1"/>
            </w14:solidFill>
          </w14:textFill>
        </w:rPr>
        <w:t>可燃气体浓度大于或等于爆炸下限的50%</w:t>
      </w:r>
      <w:r>
        <w:rPr>
          <w:rFonts w:hint="eastAsia" w:ascii="宋体" w:hAnsi="宋体" w:cs="宋体"/>
          <w:color w:val="000000" w:themeColor="text1"/>
          <w:sz w:val="21"/>
          <w:highlight w:val="none"/>
          <w:lang w:val="en-US" w:eastAsia="zh-CN" w:bidi="ar-SA"/>
          <w14:textFill>
            <w14:solidFill>
              <w14:schemeClr w14:val="tx1"/>
            </w14:solidFill>
          </w14:textFill>
        </w:rPr>
        <w:t>；</w:t>
      </w:r>
    </w:p>
    <w:p w14:paraId="57ECC595">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井口装置</w:t>
      </w:r>
      <w:r>
        <w:rPr>
          <w:rFonts w:hint="eastAsia" w:ascii="宋体" w:hAnsi="宋体" w:cs="宋体"/>
          <w:color w:val="000000" w:themeColor="text1"/>
          <w:sz w:val="21"/>
          <w:highlight w:val="none"/>
          <w:lang w:val="en-US" w:eastAsia="zh-CN" w:bidi="ar-SA"/>
          <w14:textFill>
            <w14:solidFill>
              <w14:schemeClr w14:val="tx1"/>
            </w14:solidFill>
          </w14:textFill>
        </w:rPr>
        <w:t>、</w:t>
      </w:r>
      <w:r>
        <w:rPr>
          <w:rFonts w:hint="eastAsia" w:ascii="宋体" w:hAnsi="宋体" w:eastAsia="宋体" w:cs="宋体"/>
          <w:color w:val="000000" w:themeColor="text1"/>
          <w:sz w:val="21"/>
          <w:highlight w:val="none"/>
          <w:lang w:val="en-US" w:eastAsia="zh-CN" w:bidi="ar-SA"/>
          <w14:textFill>
            <w14:solidFill>
              <w14:schemeClr w14:val="tx1"/>
            </w14:solidFill>
          </w14:textFill>
        </w:rPr>
        <w:t>升高短节泄漏，且距泄漏点下风1 m处持续检测到硫化氢浓度大于或等于0.03 g/m</w:t>
      </w:r>
      <w:r>
        <w:rPr>
          <w:rFonts w:hint="eastAsia" w:ascii="宋体" w:hAnsi="宋体" w:eastAsia="宋体" w:cs="宋体"/>
          <w:color w:val="000000" w:themeColor="text1"/>
          <w:sz w:val="21"/>
          <w:highlight w:val="none"/>
          <w:vertAlign w:val="superscript"/>
          <w:lang w:val="en-US" w:eastAsia="zh-CN" w:bidi="ar-SA"/>
          <w14:textFill>
            <w14:solidFill>
              <w14:schemeClr w14:val="tx1"/>
            </w14:solidFill>
          </w14:textFill>
        </w:rPr>
        <w:t>3</w:t>
      </w:r>
      <w:r>
        <w:rPr>
          <w:rFonts w:hint="eastAsia" w:ascii="宋体" w:hAnsi="宋体" w:cs="宋体"/>
          <w:color w:val="000000" w:themeColor="text1"/>
          <w:sz w:val="21"/>
          <w:highlight w:val="none"/>
          <w:lang w:val="en-US" w:eastAsia="zh-CN" w:bidi="ar-SA"/>
          <w14:textFill>
            <w14:solidFill>
              <w14:schemeClr w14:val="tx1"/>
            </w14:solidFill>
          </w14:textFill>
        </w:rPr>
        <w:t>。</w:t>
      </w:r>
    </w:p>
    <w:p w14:paraId="1B233EA4">
      <w:pPr>
        <w:pStyle w:val="69"/>
        <w:adjustRightInd/>
        <w:snapToGrid/>
        <w:spacing w:before="0" w:beforeLines="0" w:after="0" w:afterLines="0" w:line="240" w:lineRule="auto"/>
        <w:ind w:firstLine="0"/>
        <w:outlineLvl w:val="9"/>
        <w:rPr>
          <w:rFonts w:hint="eastAsia"/>
          <w:lang w:val="en-US" w:eastAsia="zh-CN"/>
        </w:rPr>
      </w:pPr>
      <w:r>
        <w:rPr>
          <w:rFonts w:hint="eastAsia" w:ascii="宋体" w:eastAsia="宋体" w:cs="Times New Roman"/>
          <w:lang w:val="en-US" w:eastAsia="zh-CN"/>
        </w:rPr>
        <w:t>隐患治理结束后应通过试压或泄漏测试等方式验证治理效果。</w:t>
      </w:r>
    </w:p>
    <w:bookmarkEnd w:id="60"/>
    <w:p w14:paraId="0CAD06AA">
      <w:pPr>
        <w:pStyle w:val="108"/>
        <w:spacing w:before="312" w:after="312"/>
        <w:ind w:left="0" w:firstLine="0"/>
        <w:rPr>
          <w:rFonts w:hint="eastAsia"/>
          <w:color w:val="000000" w:themeColor="text1"/>
          <w:lang w:val="en-US" w:eastAsia="zh-CN"/>
          <w14:textFill>
            <w14:solidFill>
              <w14:schemeClr w14:val="tx1"/>
            </w14:solidFill>
          </w14:textFill>
        </w:rPr>
      </w:pPr>
      <w:bookmarkStart w:id="77" w:name="_Toc7441"/>
      <w:r>
        <w:rPr>
          <w:rFonts w:hint="eastAsia"/>
          <w:color w:val="000000" w:themeColor="text1"/>
          <w:lang w:val="en-US" w:eastAsia="zh-CN"/>
          <w14:textFill>
            <w14:solidFill>
              <w14:schemeClr w14:val="tx1"/>
            </w14:solidFill>
          </w14:textFill>
        </w:rPr>
        <w:t>复产</w:t>
      </w:r>
      <w:bookmarkEnd w:id="77"/>
    </w:p>
    <w:p w14:paraId="793B9F97">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复产前应对井筒和套管间环空（环空压力不为零）取样分析。</w:t>
      </w:r>
    </w:p>
    <w:p w14:paraId="2C9369F4">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硫化氢含量大于或等于30 g/m</w:t>
      </w:r>
      <w:r>
        <w:rPr>
          <w:rFonts w:hint="eastAsia" w:ascii="宋体" w:hAnsi="宋体" w:eastAsia="宋体" w:cs="宋体"/>
          <w:vertAlign w:val="superscript"/>
          <w:lang w:val="en-US" w:eastAsia="zh-CN"/>
        </w:rPr>
        <w:t>3</w:t>
      </w:r>
      <w:r>
        <w:rPr>
          <w:rFonts w:hint="eastAsia" w:ascii="宋体" w:hAnsi="宋体" w:eastAsia="宋体" w:cs="宋体"/>
          <w:lang w:val="en-US" w:eastAsia="zh-CN"/>
        </w:rPr>
        <w:t>且停产时间超过一年的气井，复产前应进行井筒腐蚀检测。</w:t>
      </w:r>
    </w:p>
    <w:p w14:paraId="76BF7BBC">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复产前应结合投产工况开展井完整性评价</w:t>
      </w:r>
      <w:bookmarkStart w:id="78" w:name="_Toc9099"/>
      <w:r>
        <w:rPr>
          <w:rFonts w:hint="eastAsia" w:ascii="宋体" w:hAnsi="宋体" w:eastAsia="宋体" w:cs="宋体"/>
          <w:lang w:val="en-US" w:eastAsia="zh-CN"/>
        </w:rPr>
        <w:t>。</w:t>
      </w:r>
    </w:p>
    <w:p w14:paraId="17189F3A">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应制定复产方案，内容包括但不限于投产流程、风险控制措施、应急处置。</w:t>
      </w:r>
    </w:p>
    <w:p w14:paraId="7D0F1D6F">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复产前应对井口与地面生产流程的完好性、联动有效性，消防、电气和应急设备可靠性进行安全检查。</w:t>
      </w:r>
    </w:p>
    <w:p w14:paraId="1976AAD0">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复产过程中应做好压力和油、气、水量的监测，发生异常按照应急处置程序进行处置。</w:t>
      </w:r>
    </w:p>
    <w:p w14:paraId="76B96F80">
      <w:pPr>
        <w:pStyle w:val="108"/>
        <w:spacing w:before="312" w:after="312"/>
        <w:ind w:left="0" w:firstLine="0"/>
        <w:rPr>
          <w:rFonts w:hint="eastAsia"/>
          <w:color w:val="000000" w:themeColor="text1"/>
          <w:highlight w:val="none"/>
          <w:lang w:val="en-US" w:eastAsia="zh-CN"/>
          <w14:textFill>
            <w14:solidFill>
              <w14:schemeClr w14:val="tx1"/>
            </w14:solidFill>
          </w14:textFill>
        </w:rPr>
      </w:pPr>
      <w:bookmarkStart w:id="79" w:name="_Toc1080"/>
      <w:r>
        <w:rPr>
          <w:rFonts w:hint="eastAsia"/>
          <w:color w:val="000000" w:themeColor="text1"/>
          <w:highlight w:val="none"/>
          <w:lang w:val="en-US" w:eastAsia="zh-CN"/>
          <w14:textFill>
            <w14:solidFill>
              <w14:schemeClr w14:val="tx1"/>
            </w14:solidFill>
          </w14:textFill>
        </w:rPr>
        <w:t>弃置</w:t>
      </w:r>
      <w:bookmarkEnd w:id="79"/>
    </w:p>
    <w:bookmarkEnd w:id="78"/>
    <w:p w14:paraId="0B6F1168">
      <w:pPr>
        <w:pStyle w:val="166"/>
        <w:spacing w:line="240" w:lineRule="auto"/>
        <w:ind w:left="0" w:firstLine="0"/>
        <w:rPr>
          <w:rFonts w:hint="eastAsia" w:ascii="宋体" w:hAnsi="宋体" w:eastAsia="宋体" w:cs="宋体"/>
          <w:highlight w:val="none"/>
          <w:lang w:val="en-US" w:eastAsia="zh-CN"/>
        </w:rPr>
      </w:pPr>
      <w:bookmarkStart w:id="80" w:name="_Toc11151"/>
      <w:bookmarkStart w:id="81" w:name="_Toc15679"/>
      <w:bookmarkStart w:id="82" w:name="_Toc14445"/>
      <w:r>
        <w:rPr>
          <w:rFonts w:hint="eastAsia" w:cs="Times New Roman"/>
          <w:highlight w:val="none"/>
          <w:lang w:val="en-US" w:eastAsia="zh-CN"/>
        </w:rPr>
        <w:t>停</w:t>
      </w:r>
      <w:r>
        <w:rPr>
          <w:rFonts w:hint="eastAsia" w:ascii="宋体" w:hAnsi="宋体" w:eastAsia="宋体" w:cs="宋体"/>
          <w:highlight w:val="none"/>
          <w:lang w:val="en-US" w:eastAsia="zh-CN"/>
        </w:rPr>
        <w:t>产井存在下列情形之一的，应制定计划采取永久封井措施：</w:t>
      </w:r>
    </w:p>
    <w:p w14:paraId="36470256">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油层套管承受内压大于或等于其实际承压能力的80%；</w:t>
      </w:r>
    </w:p>
    <w:p w14:paraId="72B034D1">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套管间环空压力大于或等于环空最大允许压力；</w:t>
      </w:r>
    </w:p>
    <w:p w14:paraId="1F139F1E">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井周附近地表泄漏，且距泄漏点下风1 m处持续检测到可燃气体浓度大于或等于爆炸下限的50%；</w:t>
      </w:r>
    </w:p>
    <w:p w14:paraId="01DB78B6">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井周附近地表泄漏，且距泄漏点下风1 m处持续检测到硫化氢浓度大于或等于0.03 g/m</w:t>
      </w:r>
      <w:r>
        <w:rPr>
          <w:rFonts w:hint="eastAsia" w:ascii="宋体" w:hAnsi="宋体" w:eastAsia="宋体" w:cs="宋体"/>
          <w:color w:val="000000" w:themeColor="text1"/>
          <w:sz w:val="21"/>
          <w:highlight w:val="none"/>
          <w:vertAlign w:val="superscript"/>
          <w:lang w:val="en-US" w:eastAsia="zh-CN" w:bidi="ar-SA"/>
          <w14:textFill>
            <w14:solidFill>
              <w14:schemeClr w14:val="tx1"/>
            </w14:solidFill>
          </w14:textFill>
        </w:rPr>
        <w:t>3</w:t>
      </w:r>
      <w:r>
        <w:rPr>
          <w:rFonts w:hint="eastAsia" w:ascii="宋体" w:hAnsi="宋体" w:eastAsia="宋体" w:cs="宋体"/>
          <w:color w:val="000000" w:themeColor="text1"/>
          <w:sz w:val="21"/>
          <w:highlight w:val="none"/>
          <w:lang w:val="en-US" w:eastAsia="zh-CN" w:bidi="ar-SA"/>
          <w14:textFill>
            <w14:solidFill>
              <w14:schemeClr w14:val="tx1"/>
            </w14:solidFill>
          </w14:textFill>
        </w:rPr>
        <w:t>；</w:t>
      </w:r>
    </w:p>
    <w:p w14:paraId="7DC3766C">
      <w:pPr>
        <w:numPr>
          <w:ilvl w:val="0"/>
          <w:numId w:val="21"/>
        </w:numPr>
        <w:spacing w:line="240" w:lineRule="auto"/>
        <w:ind w:left="845" w:hanging="425"/>
        <w:rPr>
          <w:rFonts w:hint="eastAsia" w:ascii="宋体" w:hAnsi="宋体" w:eastAsia="宋体" w:cs="宋体"/>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停产十年及以上且评估无利用价值；</w:t>
      </w:r>
    </w:p>
    <w:p w14:paraId="1DCFC327">
      <w:pPr>
        <w:numPr>
          <w:ilvl w:val="0"/>
          <w:numId w:val="21"/>
        </w:numPr>
        <w:spacing w:line="240" w:lineRule="auto"/>
        <w:ind w:left="845" w:hanging="425"/>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eastAsia" w:ascii="宋体" w:hAnsi="宋体" w:eastAsia="宋体" w:cs="宋体"/>
          <w:color w:val="000000" w:themeColor="text1"/>
          <w:sz w:val="21"/>
          <w:highlight w:val="none"/>
          <w:lang w:val="en-US" w:eastAsia="zh-CN" w:bidi="ar-SA"/>
          <w14:textFill>
            <w14:solidFill>
              <w14:schemeClr w14:val="tx1"/>
            </w14:solidFill>
          </w14:textFill>
        </w:rPr>
        <w:t>存在6.4.5情形，且无法通过技术措施削减风险</w:t>
      </w:r>
      <w:bookmarkEnd w:id="80"/>
      <w:bookmarkEnd w:id="81"/>
      <w:bookmarkEnd w:id="82"/>
      <w:r>
        <w:rPr>
          <w:rFonts w:hint="eastAsia" w:ascii="宋体" w:hAnsi="宋体" w:eastAsia="宋体" w:cs="宋体"/>
          <w:color w:val="000000" w:themeColor="text1"/>
          <w:sz w:val="21"/>
          <w:highlight w:val="none"/>
          <w:lang w:val="en-US" w:eastAsia="zh-CN" w:bidi="ar-SA"/>
          <w14:textFill>
            <w14:solidFill>
              <w14:schemeClr w14:val="tx1"/>
            </w14:solidFill>
          </w14:textFill>
        </w:rPr>
        <w:t>。</w:t>
      </w:r>
    </w:p>
    <w:p w14:paraId="05C3E9F2">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应按照“一井一案”制定弃置作业方案，内容包括但不限于作业流程、风险控制措施、应急处置、硫化氢防护。</w:t>
      </w:r>
    </w:p>
    <w:p w14:paraId="5512BE2B">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永久封井作业应能防止地层流体从井筒内、各层套管环空和套管外水泥环运移至淡水层或地表，封堵工具、封堵材料应满足永久性封堵需要。</w:t>
      </w:r>
    </w:p>
    <w:p w14:paraId="07E6CF29">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永久封井后应确认井口和套管间环空压力为零、地表无窜漏。</w:t>
      </w:r>
    </w:p>
    <w:p w14:paraId="372B3247">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永久封井后应对封井效果进行评估和验收。</w:t>
      </w:r>
    </w:p>
    <w:p w14:paraId="3FF76D56">
      <w:pPr>
        <w:pStyle w:val="109"/>
        <w:spacing w:before="0" w:beforeLines="0" w:after="0" w:afterLines="0"/>
        <w:outlineLvl w:val="2"/>
        <w:rPr>
          <w:rFonts w:hint="eastAsia" w:ascii="宋体" w:hAnsi="宋体" w:eastAsia="宋体" w:cs="宋体"/>
          <w:lang w:val="en-US" w:eastAsia="zh-CN"/>
        </w:rPr>
      </w:pPr>
      <w:r>
        <w:rPr>
          <w:rFonts w:hint="eastAsia" w:ascii="宋体" w:hAnsi="宋体" w:eastAsia="宋体" w:cs="宋体"/>
          <w:lang w:val="en-US" w:eastAsia="zh-CN"/>
        </w:rPr>
        <w:t>企业应对保留井口装置的弃置井进行检查，至少每两年一次</w:t>
      </w:r>
      <w:bookmarkEnd w:id="17"/>
      <w:bookmarkEnd w:id="50"/>
      <w:bookmarkEnd w:id="51"/>
      <w:r>
        <w:rPr>
          <w:rFonts w:hint="eastAsia" w:ascii="宋体" w:hAnsi="宋体" w:eastAsia="宋体" w:cs="宋体"/>
          <w:lang w:val="en-US" w:eastAsia="zh-CN"/>
        </w:rPr>
        <w:t>。</w:t>
      </w:r>
    </w:p>
    <w:p w14:paraId="6AB778CA">
      <w:pPr>
        <w:pStyle w:val="108"/>
        <w:spacing w:before="312" w:after="312"/>
        <w:rPr>
          <w:rFonts w:hint="eastAsia"/>
          <w:color w:val="000000" w:themeColor="text1"/>
          <w14:textFill>
            <w14:solidFill>
              <w14:schemeClr w14:val="tx1"/>
            </w14:solidFill>
          </w14:textFill>
        </w:rPr>
      </w:pPr>
      <w:bookmarkStart w:id="83" w:name="_Toc32256"/>
      <w:r>
        <w:rPr>
          <w:rFonts w:hint="eastAsia"/>
          <w:color w:val="000000" w:themeColor="text1"/>
          <w:lang w:val="en-US" w:eastAsia="zh-CN"/>
          <w14:textFill>
            <w14:solidFill>
              <w14:schemeClr w14:val="tx1"/>
            </w14:solidFill>
          </w14:textFill>
        </w:rPr>
        <w:t>证实方法</w:t>
      </w:r>
      <w:bookmarkEnd w:id="83"/>
    </w:p>
    <w:p w14:paraId="6D6A070E">
      <w:pPr>
        <w:pStyle w:val="109"/>
        <w:spacing w:before="0" w:beforeLines="0" w:after="0" w:afterLines="0"/>
        <w:outlineLvl w:val="2"/>
        <w:rPr>
          <w:rFonts w:hint="default" w:ascii="宋体" w:hAnsi="宋体" w:eastAsia="宋体" w:cs="宋体"/>
          <w:lang w:val="en-US" w:eastAsia="zh-CN"/>
        </w:rPr>
      </w:pPr>
      <w:bookmarkStart w:id="84" w:name="_Toc14933"/>
      <w:bookmarkStart w:id="85" w:name="_Toc23127"/>
      <w:bookmarkStart w:id="86" w:name="_Toc13659"/>
      <w:bookmarkStart w:id="87" w:name="_Toc1632"/>
      <w:bookmarkStart w:id="88" w:name="_Toc10404"/>
      <w:bookmarkStart w:id="89" w:name="_Toc15388"/>
      <w:bookmarkStart w:id="90" w:name="_Toc20865"/>
      <w:bookmarkStart w:id="91" w:name="_Toc7100"/>
      <w:bookmarkStart w:id="92" w:name="_Toc23131"/>
      <w:bookmarkStart w:id="93" w:name="_Toc20325"/>
      <w:bookmarkStart w:id="94" w:name="_Toc11014"/>
      <w:bookmarkStart w:id="95" w:name="_Toc7898"/>
      <w:bookmarkStart w:id="96" w:name="_Toc13734"/>
      <w:bookmarkStart w:id="97" w:name="_Toc15442"/>
      <w:bookmarkStart w:id="98" w:name="_Toc17922"/>
      <w:bookmarkStart w:id="99" w:name="_Toc30113"/>
      <w:bookmarkStart w:id="100" w:name="_Toc16482"/>
      <w:bookmarkStart w:id="101" w:name="_Toc240"/>
      <w:bookmarkStart w:id="102" w:name="_Toc14244"/>
      <w:bookmarkStart w:id="103" w:name="_Toc13486"/>
      <w:bookmarkStart w:id="104" w:name="_Toc8132"/>
      <w:bookmarkStart w:id="105" w:name="_Toc3696"/>
      <w:bookmarkStart w:id="106" w:name="_Toc13009"/>
      <w:bookmarkStart w:id="107" w:name="_Toc13399"/>
      <w:bookmarkStart w:id="108" w:name="_Toc28526"/>
      <w:bookmarkStart w:id="109" w:name="_Toc9232"/>
      <w:bookmarkStart w:id="110" w:name="_Toc6446"/>
      <w:bookmarkStart w:id="111" w:name="_Toc10935"/>
      <w:bookmarkStart w:id="112" w:name="_Toc3594"/>
      <w:bookmarkStart w:id="113" w:name="_Toc31072"/>
      <w:bookmarkStart w:id="114" w:name="_Toc30833"/>
      <w:bookmarkStart w:id="115" w:name="_Toc403"/>
      <w:bookmarkStart w:id="116" w:name="_Toc15730"/>
      <w:bookmarkStart w:id="117" w:name="_Toc4235"/>
      <w:bookmarkStart w:id="118" w:name="_Toc17068"/>
      <w:bookmarkStart w:id="119" w:name="_Toc19249"/>
      <w:bookmarkStart w:id="120" w:name="_Toc5095"/>
      <w:bookmarkStart w:id="121" w:name="_Toc3329"/>
      <w:bookmarkStart w:id="122" w:name="_Toc20544"/>
      <w:r>
        <w:rPr>
          <w:rFonts w:hint="default" w:ascii="宋体" w:hAnsi="宋体" w:eastAsia="宋体" w:cs="宋体"/>
          <w:lang w:val="en-US" w:eastAsia="zh-CN"/>
        </w:rPr>
        <w:t>应查验管理制度文件、应急预案与演练记录、方案审批与验收记录等资料证实总体要求。</w:t>
      </w:r>
    </w:p>
    <w:p w14:paraId="3E73BC24">
      <w:pPr>
        <w:pStyle w:val="109"/>
        <w:spacing w:before="0" w:beforeLines="0" w:after="0" w:afterLines="0"/>
        <w:outlineLvl w:val="2"/>
        <w:rPr>
          <w:rFonts w:hint="default" w:ascii="宋体" w:hAnsi="宋体" w:eastAsia="宋体" w:cs="宋体"/>
          <w:lang w:val="en-US" w:eastAsia="zh-CN"/>
        </w:rPr>
      </w:pPr>
      <w:r>
        <w:rPr>
          <w:rFonts w:hint="default" w:ascii="宋体" w:hAnsi="宋体" w:eastAsia="宋体" w:cs="宋体"/>
          <w:lang w:val="en-US" w:eastAsia="zh-CN"/>
        </w:rPr>
        <w:t>应查验作业方案、作业记录等资料，并开展现场检查证实停产前准备、复产及弃置要求。</w:t>
      </w:r>
    </w:p>
    <w:p w14:paraId="755D692E">
      <w:pPr>
        <w:pStyle w:val="109"/>
        <w:spacing w:before="0" w:beforeLines="0" w:after="0" w:afterLines="0"/>
        <w:outlineLvl w:val="2"/>
        <w:rPr>
          <w:rFonts w:hint="eastAsia" w:ascii="宋体" w:hAnsi="宋体" w:eastAsia="宋体" w:cs="宋体"/>
          <w:lang w:val="en-US" w:eastAsia="zh-CN"/>
        </w:rPr>
      </w:pPr>
      <w:r>
        <w:rPr>
          <w:rFonts w:hint="default" w:ascii="宋体" w:hAnsi="宋体" w:eastAsia="宋体" w:cs="宋体"/>
          <w:lang w:val="en-US" w:eastAsia="zh-CN"/>
        </w:rPr>
        <w:t>应查验井基础台账、检查维护记录、监测检测报告、风险评估报告、隐患清单和治理记录等资料，并开展现场检查证实停产期管控要求。</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eastAsia="宋体" w:cs="宋体"/>
          <w:lang w:val="en-US" w:eastAsia="zh-CN"/>
        </w:rPr>
        <mc:AlternateContent>
          <mc:Choice Requires="wps">
            <w:drawing>
              <wp:anchor distT="0" distB="0" distL="114300" distR="114300" simplePos="0" relativeHeight="251663360" behindDoc="0" locked="0" layoutInCell="1" allowOverlap="1">
                <wp:simplePos x="0" y="0"/>
                <wp:positionH relativeFrom="column">
                  <wp:posOffset>2357755</wp:posOffset>
                </wp:positionH>
                <wp:positionV relativeFrom="paragraph">
                  <wp:posOffset>676275</wp:posOffset>
                </wp:positionV>
                <wp:extent cx="1393190" cy="0"/>
                <wp:effectExtent l="0" t="0" r="0" b="0"/>
                <wp:wrapNone/>
                <wp:docPr id="7" name="直接连接符 7"/>
                <wp:cNvGraphicFramePr/>
                <a:graphic xmlns:a="http://schemas.openxmlformats.org/drawingml/2006/main">
                  <a:graphicData uri="http://schemas.microsoft.com/office/word/2010/wordprocessingShape">
                    <wps:wsp>
                      <wps:cNvCnPr/>
                      <wps:spPr>
                        <a:xfrm>
                          <a:off x="1348105" y="4623435"/>
                          <a:ext cx="139319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85.65pt;margin-top:53.25pt;height:0pt;width:109.7pt;z-index:251663360;mso-width-relative:page;mso-height-relative:page;" filled="f" stroked="t" coordsize="21600,21600" o:gfxdata="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&#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yC/xLXAAAACwEAAA8AAAAAAAAAAQAgAAAAIgAAAGRy&#10;cy9kb3ducmV2LnhtbFBLAQIUABQAAAAIAIdO4kC7QBbnzQEAAHYDAAAOAAAAAAAAAAEAIAAAACYB&#10;AABkcnMvZTJvRG9jLnhtbFBLBQYAAAAABgAGAFkBAABlBQAAAAA=&#10;">
                <v:fill on="f" focussize="0,0"/>
                <v:stroke color="#000000" joinstyle="round"/>
                <v:imagedata o:title=""/>
                <o:lock v:ext="edit" aspectratio="f"/>
              </v:line>
            </w:pict>
          </mc:Fallback>
        </mc:AlternateConten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6748BD35">
      <w:pPr>
        <w:pStyle w:val="60"/>
        <w:rPr>
          <w:rFonts w:hint="eastAsia" w:ascii="宋体" w:hAnsi="宋体" w:eastAsia="宋体" w:cs="宋体"/>
          <w:lang w:val="en-US" w:eastAsia="zh-CN"/>
        </w:rPr>
      </w:pPr>
    </w:p>
    <w:p w14:paraId="0F190455">
      <w:pPr>
        <w:pStyle w:val="60"/>
        <w:rPr>
          <w:rFonts w:hint="eastAsia" w:ascii="宋体" w:hAnsi="宋体" w:eastAsia="宋体" w:cs="宋体"/>
          <w:lang w:val="en-US" w:eastAsia="zh-CN"/>
        </w:rPr>
      </w:pPr>
    </w:p>
    <w:p w14:paraId="1B1FD417">
      <w:pPr>
        <w:pStyle w:val="60"/>
        <w:rPr>
          <w:rFonts w:hint="eastAsia" w:ascii="宋体" w:hAnsi="宋体" w:eastAsia="宋体" w:cs="宋体"/>
          <w:lang w:val="en-US" w:eastAsia="zh-CN"/>
        </w:rPr>
      </w:pPr>
    </w:p>
    <w:p w14:paraId="7B16EB0A">
      <w:pPr>
        <w:pStyle w:val="60"/>
        <w:rPr>
          <w:rFonts w:hint="eastAsia" w:ascii="宋体" w:hAnsi="宋体" w:eastAsia="宋体" w:cs="宋体"/>
          <w:lang w:val="en-US" w:eastAsia="zh-CN"/>
        </w:rPr>
        <w:sectPr>
          <w:headerReference r:id="rId16" w:type="default"/>
          <w:footerReference r:id="rId17" w:type="default"/>
          <w:footerReference r:id="rId18" w:type="even"/>
          <w:pgSz w:w="11906" w:h="16838"/>
          <w:pgMar w:top="1928" w:right="1134" w:bottom="1134" w:left="1134" w:header="1418" w:footer="1134" w:gutter="284"/>
          <w:pgNumType w:fmt="decimal" w:start="1"/>
          <w:cols w:space="425" w:num="1"/>
          <w:formProt w:val="0"/>
          <w:docGrid w:type="lines" w:linePitch="312" w:charSpace="0"/>
        </w:sectPr>
      </w:pPr>
    </w:p>
    <w:p w14:paraId="5273F8E0">
      <w:pPr>
        <w:adjustRightInd/>
        <w:spacing w:line="240" w:lineRule="auto"/>
        <w:jc w:val="center"/>
        <w:outlineLvl w:val="0"/>
        <w:rPr>
          <w:rFonts w:hint="eastAsia" w:ascii="Times New Roman" w:hAnsi="Times New Roman" w:eastAsia="黑体"/>
          <w:b/>
          <w:color w:val="auto"/>
          <w:spacing w:val="44"/>
          <w:sz w:val="52"/>
          <w:szCs w:val="52"/>
          <w:lang w:val="en-US" w:eastAsia="zh-CN"/>
        </w:rPr>
      </w:pPr>
    </w:p>
    <w:p w14:paraId="39CE8A24">
      <w:pPr>
        <w:adjustRightInd/>
        <w:spacing w:line="240" w:lineRule="auto"/>
        <w:jc w:val="center"/>
        <w:outlineLvl w:val="0"/>
        <w:rPr>
          <w:rFonts w:hint="eastAsia" w:ascii="Times New Roman" w:hAnsi="Times New Roman" w:eastAsia="黑体"/>
          <w:b/>
          <w:color w:val="auto"/>
          <w:spacing w:val="44"/>
          <w:sz w:val="52"/>
          <w:szCs w:val="52"/>
        </w:rPr>
      </w:pPr>
    </w:p>
    <w:p w14:paraId="1399630C">
      <w:pPr>
        <w:adjustRightInd/>
        <w:spacing w:line="240" w:lineRule="auto"/>
        <w:jc w:val="center"/>
        <w:outlineLvl w:val="0"/>
        <w:rPr>
          <w:rFonts w:hint="eastAsia" w:ascii="Times New Roman" w:hAnsi="Times New Roman" w:eastAsia="黑体"/>
          <w:b/>
          <w:color w:val="auto"/>
          <w:spacing w:val="44"/>
          <w:sz w:val="52"/>
          <w:szCs w:val="52"/>
        </w:rPr>
      </w:pPr>
    </w:p>
    <w:p w14:paraId="4A3FDE07">
      <w:pPr>
        <w:adjustRightInd/>
        <w:spacing w:line="240" w:lineRule="auto"/>
        <w:jc w:val="center"/>
        <w:outlineLvl w:val="0"/>
        <w:rPr>
          <w:rFonts w:hint="eastAsia" w:ascii="Times New Roman" w:hAnsi="Times New Roman" w:eastAsia="黑体"/>
          <w:b/>
          <w:color w:val="auto"/>
          <w:spacing w:val="44"/>
          <w:sz w:val="52"/>
          <w:szCs w:val="52"/>
        </w:rPr>
      </w:pPr>
      <w:r>
        <w:rPr>
          <w:rFonts w:hint="eastAsia" w:ascii="Times New Roman" w:hAnsi="Times New Roman" w:eastAsia="黑体"/>
          <w:b/>
          <w:color w:val="auto"/>
          <w:spacing w:val="44"/>
          <w:sz w:val="52"/>
          <w:szCs w:val="52"/>
        </w:rPr>
        <w:t>《陆上油气田停产井安全规范》</w:t>
      </w:r>
    </w:p>
    <w:p w14:paraId="17253B0C">
      <w:pPr>
        <w:adjustRightInd/>
        <w:spacing w:line="240" w:lineRule="auto"/>
        <w:jc w:val="center"/>
        <w:outlineLvl w:val="0"/>
        <w:rPr>
          <w:rFonts w:hint="eastAsia" w:ascii="Times New Roman" w:hAnsi="Times New Roman" w:eastAsia="黑体"/>
          <w:b/>
          <w:color w:val="auto"/>
          <w:spacing w:val="44"/>
          <w:sz w:val="52"/>
          <w:szCs w:val="52"/>
        </w:rPr>
      </w:pPr>
      <w:r>
        <w:rPr>
          <w:rFonts w:hint="eastAsia" w:ascii="Times New Roman" w:hAnsi="Times New Roman" w:eastAsia="黑体"/>
          <w:b/>
          <w:color w:val="auto"/>
          <w:spacing w:val="44"/>
          <w:sz w:val="52"/>
          <w:szCs w:val="52"/>
        </w:rPr>
        <w:t>（征求意见稿）</w:t>
      </w:r>
    </w:p>
    <w:p w14:paraId="5624BE8A">
      <w:pPr>
        <w:adjustRightInd w:val="0"/>
        <w:spacing w:line="400" w:lineRule="exact"/>
        <w:jc w:val="center"/>
        <w:rPr>
          <w:rFonts w:hint="eastAsia" w:eastAsia="宋体"/>
          <w:color w:val="auto"/>
          <w:spacing w:val="44"/>
          <w:sz w:val="32"/>
          <w:szCs w:val="32"/>
        </w:rPr>
      </w:pPr>
    </w:p>
    <w:p w14:paraId="42492D1C">
      <w:pPr>
        <w:adjustRightInd/>
        <w:spacing w:line="240" w:lineRule="auto"/>
        <w:jc w:val="center"/>
        <w:outlineLvl w:val="0"/>
        <w:rPr>
          <w:rFonts w:hint="eastAsia" w:ascii="Times New Roman" w:hAnsi="Times New Roman" w:eastAsia="黑体"/>
          <w:b/>
          <w:color w:val="auto"/>
          <w:spacing w:val="44"/>
          <w:sz w:val="52"/>
          <w:szCs w:val="52"/>
        </w:rPr>
      </w:pPr>
      <w:r>
        <w:rPr>
          <w:rFonts w:hint="eastAsia" w:ascii="Times New Roman" w:hAnsi="Times New Roman" w:eastAsia="黑体"/>
          <w:b/>
          <w:color w:val="auto"/>
          <w:spacing w:val="44"/>
          <w:sz w:val="52"/>
          <w:szCs w:val="52"/>
        </w:rPr>
        <w:t>编制说明</w:t>
      </w:r>
    </w:p>
    <w:p w14:paraId="57F7C41A">
      <w:pPr>
        <w:jc w:val="center"/>
        <w:outlineLvl w:val="0"/>
        <w:rPr>
          <w:rFonts w:eastAsia="宋体"/>
          <w:spacing w:val="44"/>
          <w:sz w:val="32"/>
          <w:szCs w:val="32"/>
        </w:rPr>
      </w:pPr>
    </w:p>
    <w:p w14:paraId="3EB5DB4B">
      <w:pPr>
        <w:jc w:val="center"/>
        <w:rPr>
          <w:rFonts w:eastAsia="宋体"/>
          <w:spacing w:val="44"/>
          <w:sz w:val="32"/>
          <w:szCs w:val="32"/>
        </w:rPr>
      </w:pPr>
    </w:p>
    <w:p w14:paraId="12E2C6DE">
      <w:pPr>
        <w:pStyle w:val="5"/>
        <w:rPr>
          <w:rFonts w:ascii="Times New Roman" w:hAnsi="Times New Roman"/>
          <w:spacing w:val="44"/>
          <w:sz w:val="32"/>
          <w:szCs w:val="32"/>
        </w:rPr>
      </w:pPr>
    </w:p>
    <w:p w14:paraId="423E163B">
      <w:pPr>
        <w:rPr>
          <w:rFonts w:eastAsia="宋体"/>
          <w:spacing w:val="44"/>
          <w:sz w:val="32"/>
          <w:szCs w:val="32"/>
        </w:rPr>
      </w:pPr>
    </w:p>
    <w:p w14:paraId="4A55807A">
      <w:pPr>
        <w:pStyle w:val="5"/>
        <w:rPr>
          <w:rFonts w:ascii="Times New Roman" w:hAnsi="Times New Roman"/>
        </w:rPr>
      </w:pPr>
    </w:p>
    <w:p w14:paraId="3F7C3E5B">
      <w:pPr>
        <w:jc w:val="center"/>
        <w:rPr>
          <w:rFonts w:eastAsia="宋体"/>
          <w:spacing w:val="44"/>
          <w:sz w:val="32"/>
          <w:szCs w:val="32"/>
        </w:rPr>
      </w:pPr>
    </w:p>
    <w:p w14:paraId="595FEC72">
      <w:pPr>
        <w:jc w:val="center"/>
        <w:rPr>
          <w:rFonts w:eastAsia="宋体"/>
          <w:spacing w:val="44"/>
          <w:sz w:val="32"/>
          <w:szCs w:val="32"/>
        </w:rPr>
      </w:pPr>
    </w:p>
    <w:p w14:paraId="5DF15BFB">
      <w:pPr>
        <w:adjustRightInd/>
        <w:spacing w:line="240" w:lineRule="auto"/>
        <w:jc w:val="center"/>
        <w:rPr>
          <w:rFonts w:ascii="Times New Roman" w:hAnsi="Times New Roman" w:eastAsia="宋体"/>
          <w:spacing w:val="44"/>
          <w:sz w:val="32"/>
          <w:szCs w:val="32"/>
        </w:rPr>
      </w:pPr>
    </w:p>
    <w:p w14:paraId="561702A0">
      <w:pPr>
        <w:adjustRightInd/>
        <w:spacing w:line="240" w:lineRule="auto"/>
        <w:jc w:val="center"/>
        <w:outlineLvl w:val="0"/>
        <w:rPr>
          <w:rFonts w:ascii="Times New Roman" w:hAnsi="Times New Roman" w:eastAsia="宋体"/>
          <w:b/>
          <w:bCs/>
          <w:spacing w:val="44"/>
          <w:sz w:val="32"/>
          <w:szCs w:val="32"/>
        </w:rPr>
      </w:pPr>
      <w:r>
        <w:rPr>
          <w:rFonts w:hint="eastAsia" w:ascii="Times New Roman" w:hAnsi="Times New Roman" w:eastAsia="宋体"/>
          <w:b/>
          <w:bCs/>
          <w:spacing w:val="44"/>
          <w:sz w:val="32"/>
          <w:szCs w:val="32"/>
        </w:rPr>
        <w:t>标准编制工作组</w:t>
      </w:r>
    </w:p>
    <w:p w14:paraId="5B599FA0">
      <w:pPr>
        <w:adjustRightInd/>
        <w:spacing w:line="240" w:lineRule="auto"/>
        <w:jc w:val="center"/>
        <w:outlineLvl w:val="0"/>
        <w:rPr>
          <w:rFonts w:ascii="Times New Roman" w:hAnsi="Times New Roman" w:eastAsia="黑体" w:cs="Times New Roman"/>
          <w:sz w:val="32"/>
          <w:szCs w:val="32"/>
        </w:rPr>
      </w:pPr>
      <w:r>
        <w:rPr>
          <w:rFonts w:hint="eastAsia" w:ascii="Times New Roman" w:hAnsi="Times New Roman" w:eastAsia="宋体"/>
          <w:b/>
          <w:bCs/>
          <w:spacing w:val="44"/>
          <w:sz w:val="32"/>
          <w:szCs w:val="32"/>
        </w:rPr>
        <w:t>二〇二五年十二月</w:t>
      </w:r>
    </w:p>
    <w:p w14:paraId="50C50ED1">
      <w:pPr>
        <w:jc w:val="center"/>
        <w:rPr>
          <w:rFonts w:eastAsia="黑体"/>
          <w:sz w:val="32"/>
          <w:szCs w:val="32"/>
        </w:rPr>
        <w:sectPr>
          <w:headerReference r:id="rId20" w:type="first"/>
          <w:footerReference r:id="rId22" w:type="first"/>
          <w:headerReference r:id="rId19" w:type="default"/>
          <w:footerReference r:id="rId21" w:type="default"/>
          <w:pgSz w:w="11906" w:h="16838"/>
          <w:pgMar w:top="1440" w:right="1800" w:bottom="1440" w:left="1800" w:header="851" w:footer="992" w:gutter="0"/>
          <w:pgNumType w:fmt="decimal"/>
          <w:cols w:space="720" w:num="1"/>
          <w:titlePg/>
          <w:docGrid w:type="lines" w:linePitch="312" w:charSpace="0"/>
        </w:sectPr>
      </w:pPr>
    </w:p>
    <w:p w14:paraId="374CBB22">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一、标准编制情况</w:t>
      </w:r>
    </w:p>
    <w:p w14:paraId="013B6EA8">
      <w:pPr>
        <w:adjustRightInd/>
        <w:spacing w:line="360" w:lineRule="auto"/>
        <w:ind w:firstLine="643" w:firstLineChars="200"/>
        <w:jc w:val="left"/>
        <w:outlineLvl w:val="0"/>
        <w:rPr>
          <w:rFonts w:hint="eastAsia" w:ascii="Times New Roman" w:hAnsi="Times New Roman" w:eastAsia="楷体_GB2312"/>
          <w:b/>
          <w:color w:val="auto"/>
          <w:sz w:val="32"/>
          <w:szCs w:val="32"/>
        </w:rPr>
      </w:pPr>
      <w:r>
        <w:rPr>
          <w:rFonts w:hint="eastAsia" w:ascii="Times New Roman" w:hAnsi="Times New Roman" w:eastAsia="楷体_GB2312"/>
          <w:b/>
          <w:color w:val="auto"/>
          <w:sz w:val="32"/>
          <w:szCs w:val="32"/>
        </w:rPr>
        <w:t>（一）任务来源</w:t>
      </w:r>
    </w:p>
    <w:p w14:paraId="276FFC76">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国家标准化管理委员会于2024年12月31日发布的《国家标准化管理委员会关于下达强制性国家标准制修订计划及相关标准外文版计划的通知》（国标委发〔2024〕59号），强制性国家标准《陆上油气田停产井安全规范》制定计划正式下达，由应急管理部归口，计划编号为20243878-Q-450，项目周期18个月。应急管理部委托 SAC/TC288 /SC10</w:t>
      </w:r>
      <w:bookmarkStart w:id="123" w:name="_Hlk198544484"/>
      <w:r>
        <w:rPr>
          <w:rFonts w:hint="eastAsia" w:ascii="宋体" w:hAnsi="宋体" w:eastAsia="仿宋_GB2312"/>
          <w:color w:val="auto"/>
          <w:sz w:val="32"/>
          <w:szCs w:val="32"/>
          <w:lang w:val="en-US" w:eastAsia="zh-CN"/>
        </w:rPr>
        <w:t>全国安全生产标准化技术委员会</w:t>
      </w:r>
      <w:bookmarkEnd w:id="123"/>
      <w:r>
        <w:rPr>
          <w:rFonts w:hint="eastAsia" w:ascii="宋体" w:hAnsi="宋体" w:eastAsia="仿宋_GB2312"/>
          <w:color w:val="auto"/>
          <w:sz w:val="32"/>
          <w:szCs w:val="32"/>
          <w:lang w:val="en-US" w:eastAsia="zh-CN"/>
        </w:rPr>
        <w:t>石油天然气开采安全分技术委员会（以下简称“分标委”）组织起草和审查。</w:t>
      </w:r>
    </w:p>
    <w:p w14:paraId="7965AE8A">
      <w:pPr>
        <w:adjustRightInd/>
        <w:spacing w:line="360" w:lineRule="auto"/>
        <w:ind w:firstLine="643" w:firstLineChars="200"/>
        <w:jc w:val="left"/>
        <w:outlineLvl w:val="0"/>
        <w:rPr>
          <w:rFonts w:hint="eastAsia" w:ascii="Times New Roman" w:hAnsi="Times New Roman" w:eastAsia="楷体_GB2312"/>
          <w:b/>
          <w:color w:val="auto"/>
          <w:sz w:val="32"/>
          <w:szCs w:val="32"/>
        </w:rPr>
      </w:pPr>
      <w:r>
        <w:rPr>
          <w:rFonts w:hint="eastAsia" w:ascii="Times New Roman" w:hAnsi="Times New Roman" w:eastAsia="楷体_GB2312"/>
          <w:b/>
          <w:color w:val="auto"/>
          <w:sz w:val="32"/>
          <w:szCs w:val="32"/>
        </w:rPr>
        <w:t>（二）起草单位和人员</w:t>
      </w:r>
    </w:p>
    <w:p w14:paraId="30CA052B">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根据立项计划，牵头编制单位中国石油天然气股份有限公司西南油气田分公司组织成立了标准编制工作组（以下简称“工作组”）开展标准编制工作。</w:t>
      </w:r>
    </w:p>
    <w:p w14:paraId="35275F2A">
      <w:pPr>
        <w:adjustRightInd/>
        <w:spacing w:line="360" w:lineRule="auto"/>
        <w:ind w:firstLine="643" w:firstLineChars="200"/>
        <w:jc w:val="left"/>
        <w:outlineLvl w:val="0"/>
        <w:rPr>
          <w:rFonts w:hint="eastAsia" w:ascii="Times New Roman" w:hAnsi="Times New Roman" w:eastAsia="楷体_GB2312"/>
          <w:b/>
          <w:color w:val="auto"/>
          <w:sz w:val="32"/>
          <w:szCs w:val="32"/>
        </w:rPr>
      </w:pPr>
      <w:bookmarkStart w:id="124" w:name="_Toc142548013"/>
      <w:r>
        <w:rPr>
          <w:rFonts w:hint="eastAsia" w:ascii="Times New Roman" w:hAnsi="Times New Roman" w:eastAsia="楷体_GB2312"/>
          <w:b/>
          <w:color w:val="auto"/>
          <w:sz w:val="32"/>
          <w:szCs w:val="32"/>
        </w:rPr>
        <w:t>（三）标准制订的目的及意义</w:t>
      </w:r>
      <w:bookmarkEnd w:id="124"/>
    </w:p>
    <w:p w14:paraId="51DBDAA0">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通过对全国陆上停产井的初步排查发现，我国当前石油天然气停产井数量巨大，现有停产井113865口，占全部427924口油气井的26.6%，超过1/4。停产井安全管理存在的主要问题有三个方面：</w:t>
      </w:r>
    </w:p>
    <w:p w14:paraId="7A54A599">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一是停产井本质安全保障不足。停产井服役年限跨度巨大，受历史、技术局限，不同年代停产井与现行标准和安全要求差距较大，建井质量参差不齐。长期服役后部分停产井出现井口及井筒失效等问题，停产井安全隐患造成的泄漏事件呈上升趋势。停产井安全隐患对群众生命安全、国家和企业财产、生态环境的威胁日益凸显。</w:t>
      </w:r>
    </w:p>
    <w:p w14:paraId="2F36D206">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二是停产井安全风险管控仍存在短板。停产井大部分为长期关停老井，经济价值低，企业长期存在对停产井安全风险意识不到位，资源投入不足的问题，停产井安全风险管控短板尚未得到根本性扭转。</w:t>
      </w:r>
    </w:p>
    <w:p w14:paraId="7D1131BE">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三是缺乏针对停产井安全风险的防控标准。由于长期对停产井安全风险的忽视，企业和行业内均没有针对停产井安全制定相关技术标准。</w:t>
      </w:r>
    </w:p>
    <w:p w14:paraId="3B4187B3">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停产井安全管理长期缺失的现状，与日益凸显的停产井安全风险之间存在矛盾。2022年8月至2023年11月，国内某油田连续发生了3起关停老井泄漏导致的安全事件，在国内造成了较严重的负面影响。引起了行业内对停产井安全风险的关注。国家应急管理部高度重视停产井的风险，2023年4月发布了《陆上石油天然气停产井安全防控指南》，用于指导全国陆上石油天然气停产井的安全管理。指南发布后，成为了停产井管理首个全国性的指导性文件，该指南通过近一年的现场应用，不仅对促进停产井的规范管理起到了显著作用，也为后续制定停产井安全管理国家标准奠定了基础。</w:t>
      </w:r>
    </w:p>
    <w:p w14:paraId="6BD22BD4">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制定本标准是为了规范和指导停产井管理企业开展安全风险管控实践，全面消除停产井隐患，削减停产井风险。</w:t>
      </w:r>
    </w:p>
    <w:p w14:paraId="4D06AB78">
      <w:pPr>
        <w:adjustRightInd/>
        <w:spacing w:line="360" w:lineRule="auto"/>
        <w:ind w:firstLine="643" w:firstLineChars="200"/>
        <w:jc w:val="left"/>
        <w:outlineLvl w:val="0"/>
        <w:rPr>
          <w:rFonts w:hint="eastAsia" w:ascii="Times New Roman" w:hAnsi="Times New Roman" w:eastAsia="楷体_GB2312"/>
          <w:b/>
          <w:color w:val="auto"/>
          <w:sz w:val="32"/>
          <w:szCs w:val="32"/>
          <w:lang w:eastAsia="zh-CN"/>
        </w:rPr>
      </w:pPr>
      <w:r>
        <w:rPr>
          <w:rFonts w:hint="eastAsia" w:ascii="Times New Roman" w:hAnsi="Times New Roman" w:eastAsia="楷体_GB2312"/>
          <w:b/>
          <w:color w:val="auto"/>
          <w:sz w:val="32"/>
          <w:szCs w:val="32"/>
        </w:rPr>
        <w:t>（</w:t>
      </w:r>
      <w:r>
        <w:rPr>
          <w:rFonts w:hint="eastAsia" w:ascii="Times New Roman" w:hAnsi="Times New Roman" w:eastAsia="楷体_GB2312"/>
          <w:b/>
          <w:color w:val="auto"/>
          <w:sz w:val="32"/>
          <w:szCs w:val="32"/>
          <w:lang w:eastAsia="zh-CN"/>
        </w:rPr>
        <w:t>四</w:t>
      </w:r>
      <w:r>
        <w:rPr>
          <w:rFonts w:hint="eastAsia" w:ascii="Times New Roman" w:hAnsi="Times New Roman" w:eastAsia="楷体_GB2312"/>
          <w:b/>
          <w:color w:val="auto"/>
          <w:sz w:val="32"/>
          <w:szCs w:val="32"/>
        </w:rPr>
        <w:t>）</w:t>
      </w:r>
      <w:r>
        <w:rPr>
          <w:rFonts w:hint="eastAsia" w:ascii="Times New Roman" w:hAnsi="Times New Roman" w:eastAsia="楷体_GB2312"/>
          <w:b/>
          <w:color w:val="auto"/>
          <w:sz w:val="32"/>
          <w:szCs w:val="32"/>
          <w:lang w:eastAsia="zh-CN"/>
        </w:rPr>
        <w:t>起草过程</w:t>
      </w:r>
    </w:p>
    <w:p w14:paraId="096CCBCE">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2024年12月31日，根据《国家标准化管理委员会关于下达强制性国家标准制修订计划及相关标准外文版计划的通知》（国标委发〔2024〕59号），本文件项目正式立项。</w:t>
      </w:r>
    </w:p>
    <w:p w14:paraId="44C2F84C">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立项通知下达后，牵头单位中国石油天然气股份有限公司西南油气田分公司组织主要参编单位共同商讨标准编制思路，制定本文件总体框架，并成立了由不同专业、管理经验丰富的人员组成的标准</w:t>
      </w:r>
      <w:bookmarkStart w:id="125" w:name="_Hlk161663564"/>
      <w:r>
        <w:rPr>
          <w:rFonts w:hint="eastAsia" w:ascii="宋体" w:hAnsi="宋体" w:eastAsia="仿宋_GB2312"/>
          <w:color w:val="auto"/>
          <w:sz w:val="32"/>
          <w:szCs w:val="32"/>
          <w:lang w:val="en-US" w:eastAsia="zh-CN"/>
        </w:rPr>
        <w:t>工作组</w:t>
      </w:r>
      <w:bookmarkEnd w:id="125"/>
      <w:r>
        <w:rPr>
          <w:rFonts w:hint="eastAsia" w:ascii="宋体" w:hAnsi="宋体" w:eastAsia="仿宋_GB2312"/>
          <w:color w:val="auto"/>
          <w:sz w:val="32"/>
          <w:szCs w:val="32"/>
          <w:lang w:val="en-US" w:eastAsia="zh-CN"/>
        </w:rPr>
        <w:t>。标准工作组组织起草人、专家于2025年3月18日、2025年4月28日、2025年9月19日、2025年11月14日开展了4次标准研讨，最终形成征求意见稿。</w:t>
      </w:r>
    </w:p>
    <w:p w14:paraId="62924AC4">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二、编制原则、强制性国家标准主要技术要求的依据及理由</w:t>
      </w:r>
    </w:p>
    <w:p w14:paraId="553F9857">
      <w:pPr>
        <w:adjustRightInd/>
        <w:spacing w:line="360" w:lineRule="auto"/>
        <w:ind w:firstLine="643" w:firstLineChars="200"/>
        <w:jc w:val="left"/>
        <w:outlineLvl w:val="0"/>
        <w:rPr>
          <w:rFonts w:hint="eastAsia" w:ascii="Times New Roman" w:hAnsi="Times New Roman" w:eastAsia="楷体_GB2312"/>
          <w:b/>
          <w:color w:val="auto"/>
          <w:sz w:val="32"/>
          <w:szCs w:val="32"/>
        </w:rPr>
      </w:pPr>
      <w:bookmarkStart w:id="126" w:name="_Toc142548015"/>
      <w:bookmarkStart w:id="127" w:name="_Toc39385877"/>
      <w:r>
        <w:rPr>
          <w:rFonts w:hint="eastAsia" w:ascii="Times New Roman" w:hAnsi="Times New Roman" w:eastAsia="楷体_GB2312"/>
          <w:b/>
          <w:color w:val="auto"/>
          <w:sz w:val="32"/>
          <w:szCs w:val="32"/>
        </w:rPr>
        <w:t>（一）标准编制原则</w:t>
      </w:r>
      <w:bookmarkEnd w:id="126"/>
      <w:bookmarkEnd w:id="127"/>
    </w:p>
    <w:p w14:paraId="4BC27F90">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根据《中华人民共和国标准化法》《强制性国家标准管理办法》等国家标准化的有关法律、法规要求编制标准，标准内容是对法律、法规的进一步落实和细化，是指导陆上油气田停产井安全风险管控工作的重要支撑。</w:t>
      </w:r>
    </w:p>
    <w:p w14:paraId="02EC855A">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1.符合相关法律法规，满足本行业需求的原则</w:t>
      </w:r>
    </w:p>
    <w:p w14:paraId="30D7F482">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本文件制定过程中，一方面符合《中华人民共和国安全生产法》等国家有关法律法规，另一方面符合《陆上石油天然气开采安全规程》（GB 42294）所规定的相关要求，在此基础上充分结合陆上油气田停产井安全现状和安全监管需求制定标准条款。</w:t>
      </w:r>
    </w:p>
    <w:p w14:paraId="062E4F1B">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2.符合标准制定的定位，保持与其他标准衔接</w:t>
      </w:r>
    </w:p>
    <w:p w14:paraId="16232149">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本文件定位于陆上油气田停产井安全风险管控，在总结提升现有良好实践的基础上，基于以下原则编制：</w:t>
      </w:r>
    </w:p>
    <w:p w14:paraId="41F39317">
      <w:pPr>
        <w:widowControl/>
        <w:adjustRightInd w:val="0"/>
        <w:spacing w:line="240" w:lineRule="auto"/>
        <w:ind w:firstLine="640" w:firstLineChars="200"/>
        <w:rPr>
          <w:rFonts w:hint="eastAsia" w:ascii="宋体" w:hAnsi="宋体" w:eastAsia="仿宋_GB2312"/>
          <w:color w:val="auto"/>
          <w:sz w:val="32"/>
          <w:szCs w:val="32"/>
          <w:lang w:val="en-US" w:eastAsia="zh-CN"/>
        </w:rPr>
      </w:pPr>
      <w:bookmarkStart w:id="128" w:name="_Hlk150259725"/>
      <w:r>
        <w:rPr>
          <w:rFonts w:hint="eastAsia" w:ascii="宋体" w:hAnsi="宋体" w:eastAsia="仿宋_GB2312"/>
          <w:color w:val="auto"/>
          <w:sz w:val="32"/>
          <w:szCs w:val="32"/>
          <w:lang w:val="en-US" w:eastAsia="zh-CN"/>
        </w:rPr>
        <w:t>保障人员安全</w:t>
      </w:r>
      <w:bookmarkEnd w:id="128"/>
      <w:r>
        <w:rPr>
          <w:rFonts w:hint="eastAsia" w:ascii="宋体" w:hAnsi="宋体" w:eastAsia="仿宋_GB2312"/>
          <w:color w:val="auto"/>
          <w:sz w:val="32"/>
          <w:szCs w:val="32"/>
          <w:lang w:val="en-US" w:eastAsia="zh-CN"/>
        </w:rPr>
        <w:t>。停产井一旦发生泄漏，会导致燃烧爆炸和中毒伤害，对周边较大范围内的人员造成较为严重的影响。由于停产井缺乏经济价值，导致企业在日常管理中容易忽视停产井管理，但随着停产井数量日益增加，存在时间不断延长，停产井发生失效泄漏的风险不断增加，为此开展停产井风险评估，将停产井纳入规范管理，对控制停产井风险，减小安全事故发生具有重要的现实意义。</w:t>
      </w:r>
    </w:p>
    <w:p w14:paraId="2126AF1D">
      <w:pPr>
        <w:widowControl/>
        <w:adjustRightInd w:val="0"/>
        <w:spacing w:line="240" w:lineRule="auto"/>
        <w:ind w:firstLine="640" w:firstLineChars="200"/>
        <w:rPr>
          <w:rFonts w:hint="eastAsia" w:ascii="宋体" w:hAnsi="宋体" w:eastAsia="仿宋_GB2312"/>
          <w:color w:val="auto"/>
          <w:sz w:val="32"/>
          <w:szCs w:val="32"/>
          <w:lang w:val="en-US" w:eastAsia="zh-CN"/>
        </w:rPr>
      </w:pPr>
      <w:bookmarkStart w:id="129" w:name="_Hlk150259731"/>
      <w:r>
        <w:rPr>
          <w:rFonts w:hint="eastAsia" w:ascii="宋体" w:hAnsi="宋体" w:eastAsia="仿宋_GB2312"/>
          <w:color w:val="auto"/>
          <w:sz w:val="32"/>
          <w:szCs w:val="32"/>
          <w:lang w:val="en-US" w:eastAsia="zh-CN"/>
        </w:rPr>
        <w:t>借鉴国外先进经验</w:t>
      </w:r>
      <w:bookmarkEnd w:id="129"/>
      <w:r>
        <w:rPr>
          <w:rFonts w:hint="eastAsia" w:ascii="宋体" w:hAnsi="宋体" w:eastAsia="仿宋_GB2312"/>
          <w:color w:val="auto"/>
          <w:sz w:val="32"/>
          <w:szCs w:val="32"/>
          <w:lang w:val="en-US" w:eastAsia="zh-CN"/>
        </w:rPr>
        <w:t>。停产井安全风险管控涉及的井完整性概念、环空压力管理、老井封堵相关理念和做法，充分借鉴了国外成熟的技术标准。</w:t>
      </w:r>
    </w:p>
    <w:p w14:paraId="3C37D5EE">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明确停产井管控范围。对停产井作出明确定义，将停产时长超6个月、且尚未完成永久封井处置的油气水井、注入类井，统一纳入停产井规范化管理范畴。</w:t>
      </w:r>
    </w:p>
    <w:p w14:paraId="0164B20A">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实施全流程闭环管控。将停产井安全风险管控拆解为停产前准备、停产期管控、复产、弃置四个核心环节，结合各环节的风险特征与管控要点，配套编制针对性技术条款，实现安全管理流程的全覆盖、无死角。</w:t>
      </w:r>
    </w:p>
    <w:p w14:paraId="40FE2182">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本文件注重与主要石油天然气行业标准的衔接，包括《石油天然气工业 井口装置和采油树》等材质选择标准，《高温高压及高含硫井完整性技术规范》等井完整性标准，《油气田开采废弃井永久性封井处置作业规程》等隐患治理标准。</w:t>
      </w:r>
    </w:p>
    <w:p w14:paraId="3A3F0324">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3.具有普适性和可操作性，保持适度的先进性</w:t>
      </w:r>
    </w:p>
    <w:p w14:paraId="0AE9FCD2">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标准的制定充分调研了中国石油、中国石化等国内陆上石油公司停产井安全管理的现状，梳理和提炼出基础性、通用性内容，形成普遍适用于国内陆上油气田停产井安全管理的标准条款，条款的内容编写遵照简明具体、可操作性高的原则，可以较好指导从业企业和人员规范安全管理行为。同时，本文件注重总结、凝练、提升国内停产井安全风险管控的优秀实践做法，部分条款的编写保持了适度的先进性，以达到在所属领域推广安全管理优秀做法、提升安全管理水平和提高从业人员能力的目的。</w:t>
      </w:r>
    </w:p>
    <w:p w14:paraId="35E7E05F">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4.符合标准化法律法规，按规范要求编写的原则</w:t>
      </w:r>
    </w:p>
    <w:p w14:paraId="7239E708">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标准制定严格按照《中华人民共和国标准化法》《强制性国家标准管理办法》等国家标准化的有关法律、法规要求执行。在编写格式及标准用语上，按照国家标准《标准化工作导则 第1部分：标准化文件的结构和起草规则》（GB/T 1.1-2020）的要求进行编写。</w:t>
      </w:r>
    </w:p>
    <w:p w14:paraId="2DFA81E2">
      <w:pPr>
        <w:adjustRightInd/>
        <w:spacing w:line="360" w:lineRule="auto"/>
        <w:ind w:firstLine="643" w:firstLineChars="200"/>
        <w:jc w:val="left"/>
        <w:outlineLvl w:val="0"/>
        <w:rPr>
          <w:rFonts w:hint="eastAsia" w:ascii="Times New Roman" w:hAnsi="Times New Roman" w:eastAsia="楷体_GB2312"/>
          <w:b/>
          <w:color w:val="auto"/>
          <w:sz w:val="32"/>
          <w:szCs w:val="32"/>
        </w:rPr>
      </w:pPr>
      <w:r>
        <w:rPr>
          <w:rFonts w:hint="eastAsia" w:ascii="Times New Roman" w:hAnsi="Times New Roman" w:eastAsia="楷体_GB2312"/>
          <w:b/>
          <w:color w:val="auto"/>
          <w:sz w:val="32"/>
          <w:szCs w:val="32"/>
        </w:rPr>
        <w:t>（二）标准框架和主要内容</w:t>
      </w:r>
    </w:p>
    <w:p w14:paraId="62B2B9E0">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本文件内容共9章，包括：范围、规范性引用文件、术语和定义、总体要求、停产前准备、停产期管控、复产、弃置、证实方法。</w:t>
      </w:r>
    </w:p>
    <w:p w14:paraId="418CFD51">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1.范围</w:t>
      </w:r>
    </w:p>
    <w:p w14:paraId="14907024">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明确本文件适用于油气田企业对陆上油气田停产井的安全风险管控。停产井定义为停产时间超过6个月，且未完成永久性封井处置的油气水井、注入类井。</w:t>
      </w:r>
    </w:p>
    <w:p w14:paraId="316C06E2">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2.规范性引用文件</w:t>
      </w:r>
    </w:p>
    <w:p w14:paraId="6A25EEA2">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罗列了本文件引用和相衔接的相关标准《陆上石油天然气开采安全规程》。</w:t>
      </w:r>
    </w:p>
    <w:p w14:paraId="2BEB5CB2">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3.术语和定义</w:t>
      </w:r>
    </w:p>
    <w:p w14:paraId="334A21E6">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对停产井、弃置井、停产井井屏障进行定义。</w:t>
      </w:r>
    </w:p>
    <w:p w14:paraId="6735AF4F">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4.</w:t>
      </w:r>
      <w:bookmarkStart w:id="130" w:name="_Hlk150262855"/>
      <w:r>
        <w:rPr>
          <w:rFonts w:hint="eastAsia" w:ascii="宋体" w:hAnsi="宋体" w:eastAsia="仿宋_GB2312"/>
          <w:color w:val="auto"/>
          <w:sz w:val="32"/>
          <w:szCs w:val="32"/>
          <w:lang w:val="en-US" w:eastAsia="zh-CN"/>
        </w:rPr>
        <w:t>总体要求</w:t>
      </w:r>
    </w:p>
    <w:bookmarkEnd w:id="130"/>
    <w:p w14:paraId="56770FD2">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基于安全风险分级管控和隐患排查治理双重预防机制，编制了停产井安全风险管控的总体要求，包括明确停产井主体责任，建立停产井风险防控双重预防机制、应急管理等相关的总体要求。</w:t>
      </w:r>
    </w:p>
    <w:p w14:paraId="38D9472F">
      <w:pPr>
        <w:widowControl/>
        <w:adjustRightInd w:val="0"/>
        <w:spacing w:line="240" w:lineRule="auto"/>
        <w:ind w:firstLine="640" w:firstLineChars="200"/>
        <w:outlineLvl w:val="1"/>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5.停产前准备</w:t>
      </w:r>
    </w:p>
    <w:p w14:paraId="5E219161">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围绕停产前的方案编制、停产井的井口和井筒准备，能量隔离提出要求。</w:t>
      </w:r>
    </w:p>
    <w:p w14:paraId="47715729">
      <w:pPr>
        <w:widowControl/>
        <w:adjustRightInd w:val="0"/>
        <w:spacing w:line="240" w:lineRule="auto"/>
        <w:ind w:firstLine="640" w:firstLineChars="200"/>
        <w:outlineLvl w:val="1"/>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6.停产期管控</w:t>
      </w:r>
    </w:p>
    <w:p w14:paraId="44260CD9">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停产期管控章节包含：一般要求、检查与维护、监测检测、风险评估与隐患治理。其中一般要求主要规定了停产井台账、风险告知、风险隔离的要求；检查与维护主要规定了停产井最低的巡检频次，检查内容和维护保养内容；监测检测主要规定对停产井的压力、泄漏开展监测和管理的要求，对井完整性开展定期检测的相关技术要求；风险评估与隐患治理规定了应该开展风险评估的情形，风险评估应包含的基本内容，需要立即开展风险控制和隐患治理的重大隐患情形，隐患治理效果如何验证的相关要求。</w:t>
      </w:r>
    </w:p>
    <w:p w14:paraId="75FFB102">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7.复产</w:t>
      </w:r>
    </w:p>
    <w:p w14:paraId="4457CC56">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本章节规定了计划恢复生产的停产井，在复产前应该开展的相关工作及要求，包括井气质分析、井筒腐蚀检测、井完整性评价、方案编制、地面设施安全检查和复产中的监测。</w:t>
      </w:r>
    </w:p>
    <w:p w14:paraId="5640235A">
      <w:pPr>
        <w:widowControl/>
        <w:adjustRightInd w:val="0"/>
        <w:spacing w:line="240" w:lineRule="auto"/>
        <w:ind w:firstLine="640" w:firstLineChars="200"/>
        <w:outlineLvl w:val="1"/>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8.弃置</w:t>
      </w:r>
    </w:p>
    <w:p w14:paraId="73BE0FA6">
      <w:pPr>
        <w:widowControl/>
        <w:adjustRightInd w:val="0"/>
        <w:spacing w:line="240" w:lineRule="auto"/>
        <w:ind w:firstLine="640" w:firstLineChars="200"/>
        <w:rPr>
          <w:rFonts w:hint="eastAsia" w:ascii="宋体" w:hAnsi="宋体" w:eastAsia="仿宋_GB2312"/>
          <w:color w:val="auto"/>
          <w:sz w:val="32"/>
          <w:szCs w:val="32"/>
          <w:lang w:val="en-US" w:eastAsia="zh-CN"/>
        </w:rPr>
      </w:pPr>
      <w:bookmarkStart w:id="131" w:name="_Toc39385878"/>
      <w:bookmarkStart w:id="132" w:name="_Toc142548016"/>
      <w:r>
        <w:rPr>
          <w:rFonts w:hint="eastAsia" w:ascii="宋体" w:hAnsi="宋体" w:eastAsia="仿宋_GB2312"/>
          <w:color w:val="auto"/>
          <w:sz w:val="32"/>
          <w:szCs w:val="32"/>
          <w:lang w:val="en-US" w:eastAsia="zh-CN"/>
        </w:rPr>
        <w:t>本章节规定了应进行永久封井作业的情形，并对弃置应达到的技术标准、验证方法，弃置后的基本管理作出了具体的规定。</w:t>
      </w:r>
    </w:p>
    <w:p w14:paraId="2EB4D11D">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9.证实方法</w:t>
      </w:r>
    </w:p>
    <w:p w14:paraId="550B0360">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本章节针对前面提到的安全要求，归类后逐一列举需要准备的过程管控证明材料。</w:t>
      </w:r>
    </w:p>
    <w:p w14:paraId="7A454DC6">
      <w:pPr>
        <w:adjustRightInd/>
        <w:spacing w:line="360" w:lineRule="auto"/>
        <w:ind w:firstLine="643" w:firstLineChars="200"/>
        <w:jc w:val="left"/>
        <w:outlineLvl w:val="0"/>
        <w:rPr>
          <w:rFonts w:hint="eastAsia" w:ascii="Times New Roman" w:hAnsi="Times New Roman" w:eastAsia="楷体_GB2312"/>
          <w:b/>
          <w:color w:val="auto"/>
          <w:sz w:val="32"/>
          <w:szCs w:val="32"/>
        </w:rPr>
      </w:pPr>
      <w:r>
        <w:rPr>
          <w:rFonts w:hint="eastAsia" w:ascii="Times New Roman" w:hAnsi="Times New Roman" w:eastAsia="楷体_GB2312"/>
          <w:b/>
          <w:color w:val="auto"/>
          <w:sz w:val="32"/>
          <w:szCs w:val="32"/>
        </w:rPr>
        <w:t>（三）标准主要技术要求的</w:t>
      </w:r>
      <w:bookmarkEnd w:id="131"/>
      <w:r>
        <w:rPr>
          <w:rFonts w:hint="eastAsia" w:ascii="Times New Roman" w:hAnsi="Times New Roman" w:eastAsia="楷体_GB2312"/>
          <w:b/>
          <w:color w:val="auto"/>
          <w:sz w:val="32"/>
          <w:szCs w:val="32"/>
        </w:rPr>
        <w:t>依据及理由</w:t>
      </w:r>
      <w:bookmarkEnd w:id="132"/>
    </w:p>
    <w:p w14:paraId="7337381D">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1.基于已经实施运行多年的经验</w:t>
      </w:r>
    </w:p>
    <w:p w14:paraId="3FC079F6">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编制是在充分借鉴了现在国内外井完整性管理的理念和已经形成的分析、评估、日常管控相关成熟做法，充分总结并吸收了当前国内陆上油气开采企业对停产井的安全风险管控现场实践经验的基础上，形成的规范文件。</w:t>
      </w:r>
    </w:p>
    <w:p w14:paraId="4294F675">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2.业内成熟做法与专家工作</w:t>
      </w:r>
    </w:p>
    <w:p w14:paraId="381ADA66">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在本</w:t>
      </w:r>
      <w:bookmarkStart w:id="133" w:name="hmcheck_2302c9b71a594dd59a2417dfca62b8b0"/>
      <w:r>
        <w:rPr>
          <w:rFonts w:hint="eastAsia" w:ascii="宋体" w:hAnsi="宋体" w:eastAsia="仿宋_GB2312"/>
          <w:color w:val="auto"/>
          <w:sz w:val="32"/>
          <w:szCs w:val="32"/>
          <w:lang w:val="en-US" w:eastAsia="zh-CN"/>
        </w:rPr>
        <w:t>文件制定</w:t>
      </w:r>
      <w:bookmarkEnd w:id="133"/>
      <w:r>
        <w:rPr>
          <w:rFonts w:hint="eastAsia" w:ascii="宋体" w:hAnsi="宋体" w:eastAsia="仿宋_GB2312"/>
          <w:color w:val="auto"/>
          <w:sz w:val="32"/>
          <w:szCs w:val="32"/>
          <w:lang w:val="en-US" w:eastAsia="zh-CN"/>
        </w:rPr>
        <w:t>过程中，编制组邀请专家进行咨询，应急管理部危化监管二司多次组织研讨，广泛咨询了企业、高校、政府监管部门不同背景专家，充分征求了各业内专家的意见，不断完善标准结构和条款。</w:t>
      </w:r>
      <w:bookmarkStart w:id="136" w:name="_GoBack"/>
      <w:bookmarkEnd w:id="136"/>
    </w:p>
    <w:p w14:paraId="69A97E2A">
      <w:pPr>
        <w:widowControl/>
        <w:adjustRightInd w:val="0"/>
        <w:spacing w:line="240" w:lineRule="auto"/>
        <w:ind w:firstLine="640" w:firstLineChars="200"/>
        <w:outlineLvl w:val="1"/>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3.主要技术要求的依据及理由</w:t>
      </w:r>
    </w:p>
    <w:p w14:paraId="577E3AAE">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总体要求章节条款主要依据《中华人民共和国国家安全法》进行设定，明确责任主体，确立风险管控制度。</w:t>
      </w:r>
    </w:p>
    <w:p w14:paraId="48F6387B">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六章停产期的管控，吸收了应急部发布的《陆上石油天然气停产井防控指南》里面相关要求和具体做法，并结合强制国标的定位对条款进行了整合和完善。对气体泄漏监测、环空压力管理、井完整性检测等要求和采用的技术方法，参考了《石油化工可燃气体和有毒气体检测报警设计标准》（GB/T 50493）、《井完整性 第1部分：全生命周期管理》（ISO 16530-1）标准中相关技术条款。</w:t>
      </w:r>
    </w:p>
    <w:p w14:paraId="5A328512">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涉及隐患治理和弃置的内容参考了《油气田开采废弃井永久性封井处置作业规程》（GB/T 43672）和《陆上石油天然气开采安全规程》（GB 42294），并针对停产井的特殊性和具体实践情况编制设计、施工要求、技术验证等内容。</w:t>
      </w:r>
    </w:p>
    <w:p w14:paraId="753F8EB5">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应急管理主要参照《陆上石油天然气开采安全规程》（GB 42294）规定的应急管理执行，文件不要求单独编写停产井应急管理方案，但需要在现有油气井应急管理方案中加入停产井的内容。</w:t>
      </w:r>
    </w:p>
    <w:p w14:paraId="355A2903">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三、与有关法律、行政法规和其他强制性标准的关系，配套推荐性标准的制定情况 </w:t>
      </w:r>
    </w:p>
    <w:p w14:paraId="59DA21FF">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国内于2021年发布了GB 40554《海洋石油天然气开采安全规程》，主要针对海上油气开采作业活动的安全生产要求，不涉及陆上石油天然气开采。2022年12月29日发布了国家强制标准GB 42294《陆上石油天然气开采安全规程》，规定了陆上石油天然气开采作业活动过程中建井、采油采气、油气集输、弃置等各个环节的安全管理要求。该标准更多针对的是油气开采行业生产过程的安全管理，缺失了对大量已停止生产作业但未弃置的停产井的安全风险管控要求。</w:t>
      </w:r>
    </w:p>
    <w:p w14:paraId="7EEDD2C5">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国内配套的推荐性标准主要有GB/T 43672《油气田开采废弃井永久性封井处置作业规程》，该标准已经发布。</w:t>
      </w:r>
    </w:p>
    <w:p w14:paraId="2B2114E4">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四、与国际标准化组织、其他国家或者地区有关法律法规和标准的比对分析 </w:t>
      </w:r>
    </w:p>
    <w:p w14:paraId="3536CAD8">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国际标准化组织先后在2014年和2017年发布了《ISO 16530-2井完整性 第2部分：运行阶段井完整性》和《ISO 16530-1井完整性 第1部分：全生命周期管理》，标准对井全生命周期内的设计、作业、运营管理、风险评估作出了全面的规定，对停产井风险管控标准制定具有一定的借鉴意义。停产井风险管控中涉及到的井完整性理念、环空压力管理参考了上述标准，但上述标准没有专门针对停产井制定完整性管理和安全风险管控技术要求。</w:t>
      </w:r>
    </w:p>
    <w:p w14:paraId="216AAE40">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五、重大分歧意见的处理过程、处理意见及其依据 </w:t>
      </w:r>
    </w:p>
    <w:p w14:paraId="7804C862">
      <w:pPr>
        <w:widowControl/>
        <w:adjustRightInd w:val="0"/>
        <w:spacing w:line="240" w:lineRule="auto"/>
        <w:ind w:firstLine="640" w:firstLineChars="200"/>
        <w:rPr>
          <w:rFonts w:hint="eastAsia" w:ascii="宋体" w:hAnsi="宋体" w:eastAsia="仿宋_GB2312"/>
          <w:color w:val="auto"/>
          <w:sz w:val="32"/>
          <w:szCs w:val="32"/>
          <w:lang w:val="en-US" w:eastAsia="zh-CN"/>
        </w:rPr>
      </w:pPr>
      <w:bookmarkStart w:id="134" w:name="OLE_LINK5"/>
      <w:r>
        <w:rPr>
          <w:rFonts w:hint="eastAsia" w:ascii="宋体" w:hAnsi="宋体" w:eastAsia="仿宋_GB2312"/>
          <w:color w:val="auto"/>
          <w:sz w:val="32"/>
          <w:szCs w:val="32"/>
          <w:lang w:val="en-US" w:eastAsia="zh-CN"/>
        </w:rPr>
        <w:t>无。</w:t>
      </w:r>
    </w:p>
    <w:bookmarkEnd w:id="134"/>
    <w:p w14:paraId="38FF69EC">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六、对强制性国家标准自发布日期至实施日期之间的过渡期（以下简称过渡期）的建议及理由</w:t>
      </w:r>
    </w:p>
    <w:p w14:paraId="119629EB">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建议过渡期设置为半年。本文件发布后，需要对该标准进行宣贯，油气生产企业需要基于该标准完善企业内部管理规定，以适应强制国标的相关要求。该过渡期将在征求应急管理部意见后确定。</w:t>
      </w:r>
    </w:p>
    <w:p w14:paraId="0CA400D1">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七、与实施强制性国家标准有关的政策措施</w:t>
      </w:r>
    </w:p>
    <w:p w14:paraId="47BBC8D3">
      <w:pPr>
        <w:widowControl/>
        <w:adjustRightInd w:val="0"/>
        <w:spacing w:line="240" w:lineRule="auto"/>
        <w:ind w:firstLine="640" w:firstLineChars="200"/>
        <w:outlineLvl w:val="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（一）实施监督管理部门</w:t>
      </w:r>
    </w:p>
    <w:p w14:paraId="791C8F97">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标准文件的实施监督管理部门为应急管理部，以及各级应急管理部门和其他行业管理部门。</w:t>
      </w:r>
    </w:p>
    <w:p w14:paraId="2902B827">
      <w:pPr>
        <w:widowControl/>
        <w:adjustRightInd w:val="0"/>
        <w:spacing w:line="240" w:lineRule="auto"/>
        <w:ind w:firstLine="640" w:firstLineChars="200"/>
        <w:outlineLvl w:val="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（二）对违反强制性国家标准的行为进行处理的有关法律、行政法规、部门规章依据等</w:t>
      </w:r>
    </w:p>
    <w:p w14:paraId="6C18147A">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符合国家现行法律、法规、规章和强制性标准的要求，对于规范国内陆上油气田停产井安全风险管控，预防重大安全事故的发生有重要作用。本文件制定以《中华人民共和国安全生产法》作为依据。具体条款如下：</w:t>
      </w:r>
    </w:p>
    <w:p w14:paraId="6D7136B8">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三条：安全生产工作应当以人为本，坚持人民至上、生命至上，把保护人民生命安全摆在首位，树牢安全发展理念，坚持安全第一、预防为主、综合治理的方针，从源头上防范化解重大安全风险。安全生产工作实行管行业必须管安全、管业务必须管安全、管生产经营必须管安全，落实生产经营单位主体责任与政府监管责任，强化安全管理措施，建立生产经营单位负责、职工参与、政府监管、行业自律和社会监督的机制。</w:t>
      </w:r>
    </w:p>
    <w:p w14:paraId="54EAB244">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第二十七条：生产经营单位的主要负责人和安全生产管理人员必须具备与本单位所从事的生产经营活动相应的安全生产知识和管理能力。</w:t>
      </w:r>
    </w:p>
    <w:p w14:paraId="4D09E088">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三十六条：安全设备的设计、制造、安装、使用、检测、维修、改造和报废，应当符合国家标准或者行业标准。生产经营单位必须对安全设备进行经常性维护、保养，并定期检测，保证正常运转。维护、保养、检测应当做好记录，并由有关人员签字。生产经营单位不得关闭、破坏直接关系生产安全的监控、报警、防护、救生设备、设施，或者篡改、隐瞒、销毁其相关数据、信息。</w:t>
      </w:r>
    </w:p>
    <w:p w14:paraId="0EF5446A">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第四十一条：生产经营单位应当建立健全并落实生产安全事故隐患排查治理制度，采取技术、管理措施，及时发现并消除事故隐患。</w:t>
      </w:r>
    </w:p>
    <w:p w14:paraId="40D8C9EE">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第六十二条</w:t>
      </w:r>
      <w:r>
        <w:rPr>
          <w:rFonts w:hint="default" w:ascii="宋体" w:hAnsi="宋体" w:eastAsia="仿宋_GB2312"/>
          <w:color w:val="auto"/>
          <w:sz w:val="32"/>
          <w:szCs w:val="32"/>
          <w:lang w:val="en-US" w:eastAsia="zh-CN"/>
        </w:rPr>
        <w:t>:</w:t>
      </w:r>
      <w:r>
        <w:rPr>
          <w:rFonts w:hint="eastAsia" w:ascii="宋体" w:hAnsi="宋体" w:eastAsia="仿宋_GB2312"/>
          <w:color w:val="auto"/>
          <w:sz w:val="32"/>
          <w:szCs w:val="32"/>
          <w:lang w:val="en-US" w:eastAsia="zh-CN"/>
        </w:rPr>
        <w:t>县级以上地方各级人民政府应当根据本行政区域内的安全生产状况，组织有关部门按照职责分工，对本行政区域内容易发生重大生产安全事故的生产经营单位进行严格检查。</w:t>
      </w:r>
    </w:p>
    <w:p w14:paraId="778A948E">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第八十六条：事故调查处理应当按照科学严谨、依法依规、实事求是、注重实效的原则，及时、准确地查清事故原因，查明事故性质和责任，评估应急处置工作，总结事故教训，提出整改措施，并对事故责任单位和人员提出处理建议。</w:t>
      </w:r>
    </w:p>
    <w:p w14:paraId="3FB4DAC8">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八、是否需要对外通报的建议及理由</w:t>
      </w:r>
    </w:p>
    <w:p w14:paraId="083850CF">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无需对外通报，本文件主要针对国内陆上油气井的停产井安全管理，未涉及各类设施设备硬件要求，未涉及技术服务资格等对贸易有限制性的要求。</w:t>
      </w:r>
    </w:p>
    <w:p w14:paraId="67974617">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九、废止现行有关标准的建议 </w:t>
      </w:r>
    </w:p>
    <w:p w14:paraId="22F3B470">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无。</w:t>
      </w:r>
    </w:p>
    <w:p w14:paraId="5FFD40B3">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十、涉及专利的有关说明 </w:t>
      </w:r>
    </w:p>
    <w:p w14:paraId="22170473">
      <w:pPr>
        <w:widowControl/>
        <w:adjustRightInd w:val="0"/>
        <w:spacing w:line="240" w:lineRule="auto"/>
        <w:ind w:firstLine="640" w:firstLineChars="200"/>
        <w:rPr>
          <w:rFonts w:hint="eastAsia"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本文件规定了陆上油气田停产井的总体要求，停产前准备、停产期管控、复产和弃置四个环节的基础性安全风险管控要求，不涉及专利。</w:t>
      </w:r>
    </w:p>
    <w:p w14:paraId="76EC7872">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十一、强制性国家标准所涉及的产品、过程或者服务目录 </w:t>
      </w:r>
    </w:p>
    <w:p w14:paraId="374F6AC7">
      <w:pPr>
        <w:widowControl/>
        <w:adjustRightInd w:val="0"/>
        <w:spacing w:line="240" w:lineRule="auto"/>
        <w:ind w:firstLine="640" w:firstLineChars="200"/>
        <w:rPr>
          <w:rFonts w:hint="default" w:ascii="宋体" w:hAnsi="宋体" w:eastAsia="仿宋_GB2312"/>
          <w:color w:val="auto"/>
          <w:sz w:val="32"/>
          <w:szCs w:val="32"/>
          <w:lang w:val="en-US" w:eastAsia="zh-CN"/>
        </w:rPr>
      </w:pPr>
      <w:r>
        <w:rPr>
          <w:rFonts w:hint="eastAsia" w:ascii="宋体" w:hAnsi="宋体" w:eastAsia="仿宋_GB2312"/>
          <w:color w:val="auto"/>
          <w:sz w:val="32"/>
          <w:szCs w:val="32"/>
          <w:lang w:val="en-US" w:eastAsia="zh-CN"/>
        </w:rPr>
        <w:t>本文件不涉及产品与过程，服务目录涉及风险评估、隐患排查治理等内容。</w:t>
      </w:r>
    </w:p>
    <w:p w14:paraId="442912AB">
      <w:pPr>
        <w:widowControl/>
        <w:adjustRightInd/>
        <w:spacing w:line="560" w:lineRule="exact"/>
        <w:ind w:firstLine="640" w:firstLineChars="200"/>
        <w:jc w:val="left"/>
        <w:outlineLvl w:val="0"/>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 xml:space="preserve">十二、其他应当予以说明的事项 </w:t>
      </w:r>
    </w:p>
    <w:p w14:paraId="7F1C02C8">
      <w:pPr>
        <w:widowControl/>
        <w:adjustRightInd w:val="0"/>
        <w:spacing w:line="240" w:lineRule="auto"/>
        <w:ind w:firstLine="640" w:firstLineChars="200"/>
        <w:rPr>
          <w:rFonts w:hint="eastAsia" w:ascii="宋体" w:hAnsi="宋体" w:eastAsia="宋体" w:cs="宋体"/>
          <w:lang w:val="en-US" w:eastAsia="zh-CN"/>
        </w:rPr>
      </w:pPr>
      <w:bookmarkStart w:id="135" w:name="hmcheck_5635474a4e9a4c79acf4d92f4e02282a"/>
      <w:r>
        <w:rPr>
          <w:rFonts w:hint="eastAsia" w:ascii="宋体" w:hAnsi="宋体" w:eastAsia="仿宋_GB2312"/>
          <w:color w:val="auto"/>
          <w:sz w:val="32"/>
          <w:szCs w:val="32"/>
          <w:lang w:val="en-US" w:eastAsia="zh-CN"/>
        </w:rPr>
        <w:t>本</w:t>
      </w:r>
      <w:bookmarkEnd w:id="135"/>
      <w:r>
        <w:rPr>
          <w:rFonts w:hint="eastAsia" w:ascii="宋体" w:hAnsi="宋体" w:eastAsia="仿宋_GB2312"/>
          <w:color w:val="auto"/>
          <w:sz w:val="32"/>
          <w:szCs w:val="32"/>
          <w:lang w:val="en-US" w:eastAsia="zh-CN"/>
        </w:rPr>
        <w:t>标准不含影响公平竞争的有关内容。</w:t>
      </w:r>
    </w:p>
    <w:sectPr>
      <w:footerReference r:id="rId23" w:type="default"/>
      <w:pgSz w:w="11906" w:h="16838"/>
      <w:pgMar w:top="1928" w:right="1134" w:bottom="1134" w:left="1134" w:header="1418" w:footer="1134" w:gutter="284"/>
      <w:pgNumType w:fmt="decimal"/>
      <w:cols w:space="720"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3C1F4">
    <w:pPr>
      <w:pStyle w:val="18"/>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164DF">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72576" behindDoc="0" locked="0" layoutInCell="1" allowOverlap="1">
              <wp:simplePos x="0" y="0"/>
              <wp:positionH relativeFrom="margin">
                <wp:posOffset>5811520</wp:posOffset>
              </wp:positionH>
              <wp:positionV relativeFrom="paragraph">
                <wp:posOffset>0</wp:posOffset>
              </wp:positionV>
              <wp:extent cx="128270" cy="2540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28270" cy="254000"/>
                      </a:xfrm>
                      <a:prstGeom prst="rect">
                        <a:avLst/>
                      </a:prstGeom>
                      <a:noFill/>
                      <a:ln>
                        <a:noFill/>
                      </a:ln>
                      <a:effectLst/>
                    </wps:spPr>
                    <wps:txbx>
                      <w:txbxContent>
                        <w:p w14:paraId="47E3AE0F">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hint="eastAsia" w:ascii="Times New Roman" w:hAnsi="Times New Roman" w:eastAsia="宋体" w:cs="Times New Roman"/>
                              <w:sz w:val="18"/>
                              <w:szCs w:val="18"/>
                            </w:rPr>
                            <w:fldChar w:fldCharType="begin"/>
                          </w:r>
                          <w:r>
                            <w:rPr>
                              <w:rFonts w:hint="eastAsia" w:ascii="Times New Roman" w:hAnsi="Times New Roman" w:eastAsia="宋体" w:cs="Times New Roman"/>
                              <w:sz w:val="18"/>
                              <w:szCs w:val="18"/>
                            </w:rPr>
                            <w:instrText xml:space="preserve"> PAGE  \* MERGEFORMAT </w:instrText>
                          </w:r>
                          <w:r>
                            <w:rPr>
                              <w:rFonts w:hint="eastAsia" w:ascii="Times New Roman" w:hAnsi="Times New Roman" w:eastAsia="宋体" w:cs="Times New Roman"/>
                              <w:sz w:val="18"/>
                              <w:szCs w:val="18"/>
                            </w:rPr>
                            <w:fldChar w:fldCharType="separate"/>
                          </w:r>
                          <w:r>
                            <w:rPr>
                              <w:rFonts w:ascii="Times New Roman" w:hAnsi="Times New Roman" w:eastAsia="宋体" w:cs="Times New Roman"/>
                              <w:sz w:val="18"/>
                              <w:szCs w:val="18"/>
                            </w:rPr>
                            <w:t>20</w:t>
                          </w:r>
                          <w:r>
                            <w:rPr>
                              <w:rFonts w:hint="eastAsia" w:ascii="Times New Roman" w:hAnsi="Times New Roman" w:eastAsia="宋体" w:cs="Times New Roman"/>
                              <w:sz w:val="18"/>
                              <w:szCs w:val="18"/>
                            </w:rPr>
                            <w:fldChar w:fldCharType="end"/>
                          </w:r>
                        </w:p>
                      </w:txbxContent>
                    </wps:txbx>
                    <wps:bodyPr vert="horz" wrap="square" lIns="0" tIns="0" rIns="0" bIns="0" anchor="t" anchorCtr="0" upright="1">
                      <a:noAutofit/>
                    </wps:bodyPr>
                  </wps:wsp>
                </a:graphicData>
              </a:graphic>
            </wp:anchor>
          </w:drawing>
        </mc:Choice>
        <mc:Fallback>
          <w:pict>
            <v:shape id="_x0000_s1026" o:spid="_x0000_s1026" o:spt="202" type="#_x0000_t202" style="position:absolute;left:0pt;margin-left:457.6pt;margin-top:0pt;height:20pt;width:10.1pt;mso-position-horizontal-relative:margin;z-index:251672576;mso-width-relative:page;mso-height-relative:page;" filled="f" stroked="f" coordsize="21600,21600" o:gfxdata="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vnEiTW&#10;AAAABwEAAA8AAAAAAAAAAQAgAAAAIgAAAGRycy9kb3ducmV2LnhtbFBLAQIUABQAAAAIAIdO4kAp&#10;RUqe6QEAAM0DAAAOAAAAAAAAAAEAIAAAACUBAABkcnMvZTJvRG9jLnhtbFBLBQYAAAAABgAGAFkB&#10;AACABQAAAAA=&#10;">
              <v:fill on="f" focussize="0,0"/>
              <v:stroke on="f"/>
              <v:imagedata o:title=""/>
              <o:lock v:ext="edit" aspectratio="f"/>
              <v:textbox inset="0mm,0mm,0mm,0mm">
                <w:txbxContent>
                  <w:p w14:paraId="47E3AE0F">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hint="eastAsia" w:ascii="Times New Roman" w:hAnsi="Times New Roman" w:eastAsia="宋体" w:cs="Times New Roman"/>
                        <w:sz w:val="18"/>
                        <w:szCs w:val="18"/>
                      </w:rPr>
                      <w:fldChar w:fldCharType="begin"/>
                    </w:r>
                    <w:r>
                      <w:rPr>
                        <w:rFonts w:hint="eastAsia" w:ascii="Times New Roman" w:hAnsi="Times New Roman" w:eastAsia="宋体" w:cs="Times New Roman"/>
                        <w:sz w:val="18"/>
                        <w:szCs w:val="18"/>
                      </w:rPr>
                      <w:instrText xml:space="preserve"> PAGE  \* MERGEFORMAT </w:instrText>
                    </w:r>
                    <w:r>
                      <w:rPr>
                        <w:rFonts w:hint="eastAsia" w:ascii="Times New Roman" w:hAnsi="Times New Roman" w:eastAsia="宋体" w:cs="Times New Roman"/>
                        <w:sz w:val="18"/>
                        <w:szCs w:val="18"/>
                      </w:rPr>
                      <w:fldChar w:fldCharType="separate"/>
                    </w:r>
                    <w:r>
                      <w:rPr>
                        <w:rFonts w:ascii="Times New Roman" w:hAnsi="Times New Roman" w:eastAsia="宋体" w:cs="Times New Roman"/>
                        <w:sz w:val="18"/>
                        <w:szCs w:val="18"/>
                      </w:rPr>
                      <w:t>20</w:t>
                    </w:r>
                    <w:r>
                      <w:rPr>
                        <w:rFonts w:hint="eastAsia" w:ascii="Times New Roman" w:hAnsi="Times New Roman" w:eastAsia="宋体" w:cs="Times New Roman"/>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47F7E">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6C5F8">
    <w:pPr>
      <w:pStyle w:val="5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689CB">
                          <w:pPr>
                            <w:pStyle w:val="56"/>
                            <w:ind w:right="0"/>
                          </w:pPr>
                          <w:r>
                            <w:fldChar w:fldCharType="begin"/>
                          </w:r>
                          <w:r>
                            <w:instrText xml:space="preserve">PAGE   \* MERGEFORMAT</w:instrText>
                          </w:r>
                          <w:r>
                            <w:fldChar w:fldCharType="separate"/>
                          </w:r>
                          <w:r>
                            <w:rPr>
                              <w:lang w:val="zh-CN"/>
                            </w:rP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90689CB">
                    <w:pPr>
                      <w:pStyle w:val="56"/>
                      <w:ind w:right="0"/>
                    </w:pPr>
                    <w:r>
                      <w:fldChar w:fldCharType="begin"/>
                    </w:r>
                    <w:r>
                      <w:instrText xml:space="preserve">PAGE   \* MERGEFORMAT</w:instrText>
                    </w:r>
                    <w:r>
                      <w:fldChar w:fldCharType="separate"/>
                    </w:r>
                    <w:r>
                      <w:rPr>
                        <w:lang w:val="zh-CN"/>
                      </w:rP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5D513">
    <w:pPr>
      <w:pStyle w:val="56"/>
    </w:pPr>
    <w:r>
      <w:rPr>
        <w:sz w:val="18"/>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F0ACD">
                          <w:pPr>
                            <w:pStyle w:val="56"/>
                          </w:pPr>
                          <w:r>
                            <w:fldChar w:fldCharType="begin"/>
                          </w:r>
                          <w:r>
                            <w:instrText xml:space="preserve">PAGE   \* MERGEFORMAT</w:instrText>
                          </w:r>
                          <w:r>
                            <w:fldChar w:fldCharType="separate"/>
                          </w:r>
                          <w:r>
                            <w:rPr>
                              <w:lang w:val="zh-CN"/>
                            </w:rP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0F0ACD">
                    <w:pPr>
                      <w:pStyle w:val="56"/>
                    </w:pPr>
                    <w:r>
                      <w:fldChar w:fldCharType="begin"/>
                    </w:r>
                    <w:r>
                      <w:instrText xml:space="preserve">PAGE   \* MERGEFORMAT</w:instrText>
                    </w:r>
                    <w:r>
                      <w:fldChar w:fldCharType="separate"/>
                    </w:r>
                    <w:r>
                      <w:rPr>
                        <w:lang w:val="zh-CN"/>
                      </w:rP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58E5B">
    <w:pPr>
      <w:pStyle w:val="18"/>
    </w:pPr>
    <w:r>
      <w:rPr>
        <w:sz w:val="18"/>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4E2CE">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B4E2CE">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49760">
    <w:pPr>
      <w:tabs>
        <w:tab w:val="center" w:pos="4153"/>
        <w:tab w:val="right" w:pos="8306"/>
      </w:tabs>
      <w:snapToGrid w:val="0"/>
      <w:ind w:right="210" w:rightChars="100"/>
      <w:jc w:val="right"/>
      <w:rPr>
        <w:rFonts w:ascii="Times New Roman" w:hAnsi="Times New Roman"/>
        <w:sz w:val="18"/>
        <w:szCs w:val="18"/>
      </w:rPr>
    </w:pPr>
    <w:r>
      <w:rPr>
        <w:rFonts w:ascii="Times New Roman" w:hAnsi="Times New Roman"/>
        <w:sz w:val="18"/>
        <w:szCs w:val="18"/>
      </w:rPr>
      <mc:AlternateContent>
        <mc:Choice Requires="wps">
          <w:drawing>
            <wp:anchor distT="0" distB="0" distL="114300" distR="114300" simplePos="0" relativeHeight="251663360" behindDoc="0" locked="0" layoutInCell="1" allowOverlap="1">
              <wp:simplePos x="0" y="0"/>
              <wp:positionH relativeFrom="margin">
                <wp:posOffset>5863590</wp:posOffset>
              </wp:positionH>
              <wp:positionV relativeFrom="paragraph">
                <wp:posOffset>0</wp:posOffset>
              </wp:positionV>
              <wp:extent cx="76200" cy="2540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76200" cy="254000"/>
                      </a:xfrm>
                      <a:prstGeom prst="rect">
                        <a:avLst/>
                      </a:prstGeom>
                      <a:noFill/>
                      <a:ln>
                        <a:noFill/>
                      </a:ln>
                    </wps:spPr>
                    <wps:txbx>
                      <w:txbxContent>
                        <w:p w14:paraId="0625E35E">
                          <w:pPr>
                            <w:tabs>
                              <w:tab w:val="center" w:pos="4153"/>
                              <w:tab w:val="right" w:pos="8306"/>
                            </w:tabs>
                            <w:snapToGrid w:val="0"/>
                            <w:ind w:right="210" w:rightChars="100"/>
                            <w:jc w:val="right"/>
                            <w:rPr>
                              <w:rFonts w:ascii="Times New Roman" w:hAnsi="Times New Roman"/>
                              <w:sz w:val="18"/>
                              <w:szCs w:val="18"/>
                            </w:rPr>
                          </w:pPr>
                          <w:r>
                            <w:rPr>
                              <w:rFonts w:hint="eastAsia" w:ascii="Times New Roman" w:hAnsi="Times New Roman"/>
                              <w:sz w:val="18"/>
                              <w:szCs w:val="18"/>
                            </w:rPr>
                            <w:fldChar w:fldCharType="begin"/>
                          </w:r>
                          <w:r>
                            <w:rPr>
                              <w:rFonts w:hint="eastAsia" w:ascii="Times New Roman" w:hAnsi="Times New Roman"/>
                              <w:sz w:val="18"/>
                              <w:szCs w:val="18"/>
                            </w:rPr>
                            <w:instrText xml:space="preserve"> PAGE  \* MERGEFORMAT </w:instrText>
                          </w:r>
                          <w:r>
                            <w:rPr>
                              <w:rFonts w:hint="eastAsia" w:ascii="Times New Roman" w:hAnsi="Times New Roman"/>
                              <w:sz w:val="18"/>
                              <w:szCs w:val="18"/>
                            </w:rPr>
                            <w:fldChar w:fldCharType="separate"/>
                          </w:r>
                          <w:r>
                            <w:rPr>
                              <w:rFonts w:ascii="Times New Roman" w:hAnsi="Times New Roman"/>
                              <w:sz w:val="18"/>
                              <w:szCs w:val="18"/>
                            </w:rPr>
                            <w:t>20</w:t>
                          </w:r>
                          <w:r>
                            <w:rPr>
                              <w:rFonts w:hint="eastAsia" w:ascii="Times New Roman" w:hAnsi="Times New Roman"/>
                              <w:sz w:val="18"/>
                              <w:szCs w:val="18"/>
                            </w:rPr>
                            <w:fldChar w:fldCharType="end"/>
                          </w:r>
                        </w:p>
                      </w:txbxContent>
                    </wps:txbx>
                    <wps:bodyPr wrap="square" lIns="0" tIns="0" rIns="0" bIns="0" upright="1">
                      <a:noAutofit/>
                    </wps:bodyPr>
                  </wps:wsp>
                </a:graphicData>
              </a:graphic>
            </wp:anchor>
          </w:drawing>
        </mc:Choice>
        <mc:Fallback>
          <w:pict>
            <v:shape id="_x0000_s1026" o:spid="_x0000_s1026" o:spt="202" type="#_x0000_t202" style="position:absolute;left:0pt;margin-left:461.7pt;margin-top:0pt;height:20pt;width:6pt;mso-position-horizontal-relative:margin;z-index:251663360;mso-width-relative:page;mso-height-relative:page;" filled="f" stroked="f" coordsize="21600,21600" o:gfxdata="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&#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cSJNYAAAAHAQAADwAAAAAAAAABACAAAAAiAAAAZHJz&#10;L2Rvd25yZXYueG1sUEsBAhQAFAAAAAgAh07iQOK21lPNAQAAmAMAAA4AAAAAAAAAAQAgAAAAJQEA&#10;AGRycy9lMm9Eb2MueG1sUEsFBgAAAAAGAAYAWQEAAGQFAAAAAA==&#10;">
              <v:fill on="f" focussize="0,0"/>
              <v:stroke on="f"/>
              <v:imagedata o:title=""/>
              <o:lock v:ext="edit" aspectratio="f"/>
              <v:textbox inset="0mm,0mm,0mm,0mm">
                <w:txbxContent>
                  <w:p w14:paraId="0625E35E">
                    <w:pPr>
                      <w:tabs>
                        <w:tab w:val="center" w:pos="4153"/>
                        <w:tab w:val="right" w:pos="8306"/>
                      </w:tabs>
                      <w:snapToGrid w:val="0"/>
                      <w:ind w:right="210" w:rightChars="100"/>
                      <w:jc w:val="right"/>
                      <w:rPr>
                        <w:rFonts w:ascii="Times New Roman" w:hAnsi="Times New Roman"/>
                        <w:sz w:val="18"/>
                        <w:szCs w:val="18"/>
                      </w:rPr>
                    </w:pPr>
                    <w:r>
                      <w:rPr>
                        <w:rFonts w:hint="eastAsia" w:ascii="Times New Roman" w:hAnsi="Times New Roman"/>
                        <w:sz w:val="18"/>
                        <w:szCs w:val="18"/>
                      </w:rPr>
                      <w:fldChar w:fldCharType="begin"/>
                    </w:r>
                    <w:r>
                      <w:rPr>
                        <w:rFonts w:hint="eastAsia" w:ascii="Times New Roman" w:hAnsi="Times New Roman"/>
                        <w:sz w:val="18"/>
                        <w:szCs w:val="18"/>
                      </w:rPr>
                      <w:instrText xml:space="preserve"> PAGE  \* MERGEFORMAT </w:instrText>
                    </w:r>
                    <w:r>
                      <w:rPr>
                        <w:rFonts w:hint="eastAsia" w:ascii="Times New Roman" w:hAnsi="Times New Roman"/>
                        <w:sz w:val="18"/>
                        <w:szCs w:val="18"/>
                      </w:rPr>
                      <w:fldChar w:fldCharType="separate"/>
                    </w:r>
                    <w:r>
                      <w:rPr>
                        <w:rFonts w:ascii="Times New Roman" w:hAnsi="Times New Roman"/>
                        <w:sz w:val="18"/>
                        <w:szCs w:val="18"/>
                      </w:rPr>
                      <w:t>20</w:t>
                    </w:r>
                    <w:r>
                      <w:rPr>
                        <w:rFonts w:hint="eastAsia" w:ascii="Times New Roman" w:hAnsi="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9F337">
    <w:pPr>
      <w:pStyle w:val="18"/>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CFD78">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BACFD78">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FC274">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210820" cy="13144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10820" cy="131445"/>
                      </a:xfrm>
                      <a:prstGeom prst="rect">
                        <a:avLst/>
                      </a:prstGeom>
                      <a:noFill/>
                      <a:ln>
                        <a:noFill/>
                      </a:ln>
                      <a:effectLst/>
                    </wps:spPr>
                    <wps:txbx>
                      <w:txbxContent>
                        <w:p w14:paraId="4B09763E">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hint="eastAsia" w:ascii="Times New Roman" w:hAnsi="Times New Roman" w:eastAsia="宋体" w:cs="Times New Roman"/>
                              <w:sz w:val="18"/>
                              <w:szCs w:val="18"/>
                            </w:rPr>
                            <w:fldChar w:fldCharType="begin"/>
                          </w:r>
                          <w:r>
                            <w:rPr>
                              <w:rFonts w:hint="eastAsia" w:ascii="Times New Roman" w:hAnsi="Times New Roman" w:eastAsia="宋体" w:cs="Times New Roman"/>
                              <w:sz w:val="18"/>
                              <w:szCs w:val="18"/>
                            </w:rPr>
                            <w:instrText xml:space="preserve"> PAGE  \* MERGEFORMAT </w:instrText>
                          </w:r>
                          <w:r>
                            <w:rPr>
                              <w:rFonts w:hint="eastAsia" w:ascii="Times New Roman" w:hAnsi="Times New Roman" w:eastAsia="宋体" w:cs="Times New Roman"/>
                              <w:sz w:val="18"/>
                              <w:szCs w:val="18"/>
                            </w:rPr>
                            <w:fldChar w:fldCharType="separate"/>
                          </w:r>
                          <w:r>
                            <w:rPr>
                              <w:rFonts w:ascii="Times New Roman" w:hAnsi="Times New Roman" w:eastAsia="宋体" w:cs="Times New Roman"/>
                              <w:sz w:val="18"/>
                              <w:szCs w:val="18"/>
                            </w:rPr>
                            <w:t>20</w:t>
                          </w:r>
                          <w:r>
                            <w:rPr>
                              <w:rFonts w:hint="eastAsia" w:ascii="Times New Roman" w:hAnsi="Times New Roman" w:eastAsia="宋体" w:cs="Times New Roman"/>
                              <w:sz w:val="18"/>
                              <w:szCs w:val="18"/>
                            </w:rPr>
                            <w:fldChar w:fldCharType="end"/>
                          </w:r>
                        </w:p>
                      </w:txbxContent>
                    </wps:txbx>
                    <wps:bodyPr vert="horz" wrap="square" lIns="0" tIns="0" rIns="0" bIns="0" anchor="t" anchorCtr="0" upright="1">
                      <a:spAutoFit/>
                    </wps:bodyPr>
                  </wps:wsp>
                </a:graphicData>
              </a:graphic>
            </wp:anchor>
          </w:drawing>
        </mc:Choice>
        <mc:Fallback>
          <w:pict>
            <v:shape id="_x0000_s1026" o:spid="_x0000_s1026" o:spt="202" type="#_x0000_t202" style="position:absolute;left:0pt;margin-top:0pt;height:10.35pt;width:16.6pt;mso-position-horizontal:outside;mso-position-horizontal-relative:margin;z-index:251669504;mso-width-relative:page;mso-height-relative:page;" filled="f" stroked="f" coordsize="21600,21600" o:gfxdata="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FLif9IAAAAD&#10;AQAADwAAAAAAAAABACAAAAAiAAAAZHJzL2Rvd25yZXYueG1sUEsBAhQAFAAAAAgAh07iQA7D0j7p&#10;AQAAzgMAAA4AAAAAAAAAAQAgAAAAIQEAAGRycy9lMm9Eb2MueG1sUEsFBgAAAAAGAAYAWQEAAHwF&#10;AAAAAA==&#10;">
              <v:fill on="f" focussize="0,0"/>
              <v:stroke on="f"/>
              <v:imagedata o:title=""/>
              <o:lock v:ext="edit" aspectratio="f"/>
              <v:textbox inset="0mm,0mm,0mm,0mm" style="mso-fit-shape-to-text:t;">
                <w:txbxContent>
                  <w:p w14:paraId="4B09763E">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hint="eastAsia" w:ascii="Times New Roman" w:hAnsi="Times New Roman" w:eastAsia="宋体" w:cs="Times New Roman"/>
                        <w:sz w:val="18"/>
                        <w:szCs w:val="18"/>
                      </w:rPr>
                      <w:fldChar w:fldCharType="begin"/>
                    </w:r>
                    <w:r>
                      <w:rPr>
                        <w:rFonts w:hint="eastAsia" w:ascii="Times New Roman" w:hAnsi="Times New Roman" w:eastAsia="宋体" w:cs="Times New Roman"/>
                        <w:sz w:val="18"/>
                        <w:szCs w:val="18"/>
                      </w:rPr>
                      <w:instrText xml:space="preserve"> PAGE  \* MERGEFORMAT </w:instrText>
                    </w:r>
                    <w:r>
                      <w:rPr>
                        <w:rFonts w:hint="eastAsia" w:ascii="Times New Roman" w:hAnsi="Times New Roman" w:eastAsia="宋体" w:cs="Times New Roman"/>
                        <w:sz w:val="18"/>
                        <w:szCs w:val="18"/>
                      </w:rPr>
                      <w:fldChar w:fldCharType="separate"/>
                    </w:r>
                    <w:r>
                      <w:rPr>
                        <w:rFonts w:ascii="Times New Roman" w:hAnsi="Times New Roman" w:eastAsia="宋体" w:cs="Times New Roman"/>
                        <w:sz w:val="18"/>
                        <w:szCs w:val="18"/>
                      </w:rPr>
                      <w:t>20</w:t>
                    </w:r>
                    <w:r>
                      <w:rPr>
                        <w:rFonts w:hint="eastAsia" w:ascii="Times New Roman" w:hAnsi="Times New Roman"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317C9">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71552" behindDoc="0" locked="0" layoutInCell="1" allowOverlap="1">
              <wp:simplePos x="0" y="0"/>
              <wp:positionH relativeFrom="margin">
                <wp:posOffset>5198110</wp:posOffset>
              </wp:positionH>
              <wp:positionV relativeFrom="paragraph">
                <wp:posOffset>0</wp:posOffset>
              </wp:positionV>
              <wp:extent cx="76200" cy="26035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76200" cy="260350"/>
                      </a:xfrm>
                      <a:prstGeom prst="rect">
                        <a:avLst/>
                      </a:prstGeom>
                      <a:noFill/>
                      <a:ln w="6350">
                        <a:noFill/>
                      </a:ln>
                      <a:effectLst/>
                    </wps:spPr>
                    <wps:txbx>
                      <w:txbxContent>
                        <w:p w14:paraId="5ECFC7AA">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12</w:t>
                          </w:r>
                          <w:r>
                            <w:rPr>
                              <w:rFonts w:ascii="Times New Roman" w:hAnsi="Times New Roman" w:eastAsia="宋体" w:cs="Times New Roman"/>
                              <w:sz w:val="18"/>
                              <w:szCs w:val="1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09.3pt;margin-top:0pt;height:20.5pt;width:6pt;mso-position-horizontal-relative:margin;z-index:251671552;mso-width-relative:page;mso-height-relative:page;" filled="f" stroked="f" coordsize="21600,21600" o:gfxdata="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91oULUAAAABwEAAA8AAAAAAAAAAQAgAAAAIgAAAGRycy9kb3ducmV2LnhtbFBL&#10;AQIUABQAAAAIAIdO4kD5wwKrMwIAAGQEAAAOAAAAAAAAAAEAIAAAACMBAABkcnMvZTJvRG9jLnht&#10;bFBLBQYAAAAABgAGAFkBAADIBQAAAAA=&#10;">
              <v:fill on="f" focussize="0,0"/>
              <v:stroke on="f" weight="0.5pt"/>
              <v:imagedata o:title=""/>
              <o:lock v:ext="edit" aspectratio="f"/>
              <v:textbox inset="0mm,0mm,0mm,0mm">
                <w:txbxContent>
                  <w:p w14:paraId="5ECFC7AA">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 PAGE  \* MERGEFORMAT </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12</w:t>
                    </w:r>
                    <w:r>
                      <w:rPr>
                        <w:rFonts w:ascii="Times New Roman" w:hAnsi="Times New Roman" w:eastAsia="宋体" w:cs="Times New Roman"/>
                        <w:sz w:val="18"/>
                        <w:szCs w:val="18"/>
                      </w:rPr>
                      <w:fldChar w:fldCharType="end"/>
                    </w:r>
                  </w:p>
                </w:txbxContent>
              </v:textbox>
            </v:shape>
          </w:pict>
        </mc:Fallback>
      </mc:AlternateContent>
    </w:r>
    <w:r>
      <w:rPr>
        <w:rFonts w:ascii="Times New Roman" w:hAnsi="Times New Roman" w:eastAsia="宋体" w:cs="Times New Roman"/>
        <w:sz w:val="18"/>
        <w:szCs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E1191FD">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7au5s4QEAAM4DAAAOAAAA&#10;AAAAAAEAIAAAAB4BAABkcnMvZTJvRG9jLnhtbFBLBQYAAAAABgAGAFkBAABxBQAAAAA=&#10;">
              <v:fill on="f" focussize="0,0"/>
              <v:stroke on="f"/>
              <v:imagedata o:title=""/>
              <o:lock v:ext="edit" aspectratio="f"/>
              <v:textbox inset="0mm,0mm,0mm,0mm" style="mso-fit-shape-to-text:t;">
                <w:txbxContent>
                  <w:p w14:paraId="7E1191FD">
                    <w:pPr>
                      <w:tabs>
                        <w:tab w:val="center" w:pos="4153"/>
                        <w:tab w:val="right" w:pos="8306"/>
                      </w:tabs>
                      <w:adjustRightInd w:val="0"/>
                      <w:snapToGrid w:val="0"/>
                      <w:spacing w:line="400" w:lineRule="exact"/>
                      <w:ind w:right="210" w:rightChars="100"/>
                      <w:jc w:val="right"/>
                      <w:rPr>
                        <w:rFonts w:ascii="Times New Roman" w:hAnsi="Times New Roman" w:eastAsia="宋体"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0EB6B">
    <w:pPr>
      <w:pStyle w:val="19"/>
      <w:wordWrap w:val="0"/>
      <w:jc w:val="right"/>
      <w:rPr>
        <w:rFonts w:ascii="黑体" w:hAnsi="黑体" w:eastAsia="黑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50682">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6B4C3">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5E209">
    <w:pPr>
      <w:pStyle w:val="65"/>
      <w:spacing w:after="0"/>
    </w:pPr>
    <w:r>
      <w:fldChar w:fldCharType="begin"/>
    </w:r>
    <w:r>
      <w:instrText xml:space="preserve"> STYLEREF  标准文件_文件编号  \* MERGEFORMAT </w:instrText>
    </w:r>
    <w:r>
      <w:fldChar w:fldCharType="separate"/>
    </w:r>
    <w:r>
      <w:t>GB XXXXXX—XXXX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0201E">
    <w:pPr>
      <w:pStyle w:val="65"/>
      <w:pBdr>
        <w:bottom w:val="none" w:color="auto" w:sz="0" w:space="0"/>
      </w:pBdr>
      <w:spacing w:after="0"/>
    </w:pPr>
    <w:r>
      <w:fldChar w:fldCharType="begin"/>
    </w:r>
    <w:r>
      <w:instrText xml:space="preserve"> STYLEREF  标准文件_文件编号  \* MERGEFORMAT </w:instrText>
    </w:r>
    <w:r>
      <w:fldChar w:fldCharType="separate"/>
    </w:r>
    <w:r>
      <w:t>GB XXXXXX—XXXX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B0AB3">
    <w:pPr>
      <w:spacing w:after="120"/>
      <w:jc w:val="left"/>
    </w:pPr>
    <w:r>
      <w:rPr>
        <w:rFonts w:ascii="黑体" w:hAnsi="宋体" w:eastAsia="黑体" w:cs="Times New Roman"/>
        <w:sz w:val="21"/>
        <w:lang w:val="en-US" w:eastAsia="zh-CN" w:bidi="ar-SA"/>
      </w:rPr>
      <w:fldChar w:fldCharType="begin"/>
    </w:r>
    <w:r>
      <w:rPr>
        <w:rFonts w:ascii="黑体" w:hAnsi="宋体" w:eastAsia="黑体" w:cs="Times New Roman"/>
        <w:sz w:val="21"/>
        <w:lang w:val="en-US" w:eastAsia="zh-CN" w:bidi="ar-SA"/>
      </w:rPr>
      <w:instrText xml:space="preserve"> STYLEREF  标准文件_文件编号 \* MERGEFORMAT </w:instrText>
    </w:r>
    <w:r>
      <w:rPr>
        <w:rFonts w:ascii="黑体" w:hAnsi="宋体" w:eastAsia="黑体" w:cs="Times New Roman"/>
        <w:sz w:val="21"/>
        <w:lang w:val="en-US" w:eastAsia="zh-CN" w:bidi="ar-SA"/>
      </w:rPr>
      <w:fldChar w:fldCharType="separate"/>
    </w:r>
    <w:r>
      <w:rPr>
        <w:rFonts w:ascii="黑体" w:hAnsi="宋体" w:eastAsia="黑体" w:cs="Times New Roman"/>
        <w:sz w:val="21"/>
        <w:lang w:val="en-US" w:eastAsia="zh-CN" w:bidi="ar-SA"/>
      </w:rPr>
      <w:t>GB XXXXXX—XXXX</w:t>
    </w:r>
    <w:r>
      <w:rPr>
        <w:rFonts w:ascii="黑体" w:hAnsi="宋体" w:eastAsia="黑体" w:cs="Times New Roman"/>
        <w:sz w:val="21"/>
        <w:lang w:val="en-US" w:eastAsia="zh-CN" w:bidi="ar-S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5827E">
    <w:pPr>
      <w:tabs>
        <w:tab w:val="center" w:pos="4154"/>
        <w:tab w:val="right" w:pos="8306"/>
      </w:tabs>
      <w:spacing w:after="120" w:line="240" w:lineRule="auto"/>
      <w:jc w:val="right"/>
      <w:rPr>
        <w:rFonts w:ascii="黑体" w:hAnsi="Times New Roman" w:eastAsia="黑体"/>
      </w:rPr>
    </w:pPr>
    <w:r>
      <w:rPr>
        <w:rFonts w:ascii="黑体" w:hAnsi="宋体" w:eastAsia="黑体" w:cs="Times New Roman"/>
        <w:kern w:val="0"/>
        <w:sz w:val="21"/>
        <w:szCs w:val="20"/>
        <w:lang w:val="en-US" w:eastAsia="zh-CN" w:bidi="ar-SA"/>
      </w:rPr>
      <w:fldChar w:fldCharType="begin"/>
    </w:r>
    <w:r>
      <w:rPr>
        <w:rFonts w:ascii="黑体" w:hAnsi="宋体" w:eastAsia="黑体" w:cs="Times New Roman"/>
        <w:kern w:val="0"/>
        <w:sz w:val="21"/>
        <w:szCs w:val="20"/>
        <w:lang w:val="en-US" w:eastAsia="zh-CN" w:bidi="ar-SA"/>
      </w:rPr>
      <w:instrText xml:space="preserve"> STYLEREF  标准文件_文件编号  \* MERGEFORMAT </w:instrText>
    </w:r>
    <w:r>
      <w:rPr>
        <w:rFonts w:ascii="黑体" w:hAnsi="宋体" w:eastAsia="黑体" w:cs="Times New Roman"/>
        <w:kern w:val="0"/>
        <w:sz w:val="21"/>
        <w:szCs w:val="20"/>
        <w:lang w:val="en-US" w:eastAsia="zh-CN" w:bidi="ar-SA"/>
      </w:rPr>
      <w:fldChar w:fldCharType="separate"/>
    </w:r>
    <w:r>
      <w:rPr>
        <w:rFonts w:ascii="黑体" w:hAnsi="宋体" w:eastAsia="黑体" w:cs="Times New Roman"/>
        <w:kern w:val="0"/>
        <w:sz w:val="21"/>
        <w:szCs w:val="20"/>
        <w:lang w:val="en-US" w:eastAsia="zh-CN" w:bidi="ar-SA"/>
      </w:rPr>
      <w:t>GB XXXXXX—XXXX</w:t>
    </w:r>
    <w:r>
      <w:rPr>
        <w:rFonts w:ascii="黑体" w:hAnsi="宋体" w:eastAsia="黑体" w:cs="Times New Roman"/>
        <w:kern w:val="0"/>
        <w:sz w:val="21"/>
        <w:szCs w:val="20"/>
        <w:lang w:val="en-US" w:eastAsia="zh-CN" w:bidi="ar-S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0A7C5">
    <w:pPr>
      <w:tabs>
        <w:tab w:val="center" w:pos="4154"/>
        <w:tab w:val="right" w:pos="8306"/>
      </w:tabs>
      <w:adjustRightInd w:val="0"/>
      <w:spacing w:after="120" w:line="400" w:lineRule="exact"/>
      <w:jc w:val="left"/>
      <w:rPr>
        <w:rFonts w:ascii="黑体" w:hAnsi="Times New Roman" w:eastAsia="黑体" w:cs="Times New Roman"/>
        <w:szCs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9F0F5">
    <w:pPr>
      <w:tabs>
        <w:tab w:val="center" w:pos="4153"/>
        <w:tab w:val="right" w:pos="8306"/>
      </w:tabs>
      <w:adjustRightInd w:val="0"/>
      <w:snapToGrid w:val="0"/>
      <w:spacing w:line="400" w:lineRule="exact"/>
      <w:jc w:val="center"/>
      <w:rPr>
        <w:rFonts w:ascii="Times New Roman" w:hAnsi="Times New Roman"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46" w:hanging="426"/>
      </w:pPr>
      <w:rPr>
        <w:rFonts w:hint="default" w:ascii="Times New Roman" w:hAnsi="Times New Roman" w:eastAsia="宋体" w:cs="Times New Roman"/>
        <w:b w:val="0"/>
        <w:i w:val="0"/>
        <w:sz w:val="21"/>
      </w:rPr>
    </w:lvl>
    <w:lvl w:ilvl="1" w:tentative="0">
      <w:start w:val="1"/>
      <w:numFmt w:val="none"/>
      <w:pStyle w:val="191"/>
      <w:lvlText w:val=""/>
      <w:lvlJc w:val="left"/>
      <w:pPr>
        <w:ind w:left="846" w:hanging="431"/>
      </w:pPr>
      <w:rPr>
        <w:rFonts w:hint="default" w:ascii="Symbol" w:hAnsi="Symbol"/>
        <w:sz w:val="21"/>
      </w:rPr>
    </w:lvl>
    <w:lvl w:ilvl="2" w:tentative="0">
      <w:start w:val="1"/>
      <w:numFmt w:val="bullet"/>
      <w:pStyle w:val="176"/>
      <w:lvlText w:val=""/>
      <w:lvlJc w:val="left"/>
      <w:pPr>
        <w:ind w:left="846" w:hanging="426"/>
      </w:pPr>
      <w:rPr>
        <w:rFonts w:hint="default" w:ascii="Wingdings" w:hAnsi="Wingdings"/>
        <w:sz w:val="21"/>
      </w:rPr>
    </w:lvl>
    <w:lvl w:ilvl="3" w:tentative="0">
      <w:start w:val="1"/>
      <w:numFmt w:val="decimal"/>
      <w:lvlText w:val="%4."/>
      <w:lvlJc w:val="left"/>
      <w:pPr>
        <w:tabs>
          <w:tab w:val="left" w:pos="2071"/>
        </w:tabs>
        <w:ind w:left="1879" w:hanging="528"/>
      </w:pPr>
      <w:rPr>
        <w:rFonts w:hint="eastAsia"/>
      </w:rPr>
    </w:lvl>
    <w:lvl w:ilvl="4" w:tentative="0">
      <w:start w:val="1"/>
      <w:numFmt w:val="lowerLetter"/>
      <w:lvlText w:val="%5)"/>
      <w:lvlJc w:val="left"/>
      <w:pPr>
        <w:tabs>
          <w:tab w:val="left" w:pos="2383"/>
        </w:tabs>
        <w:ind w:left="2191" w:hanging="528"/>
      </w:pPr>
      <w:rPr>
        <w:rFonts w:hint="eastAsia"/>
      </w:rPr>
    </w:lvl>
    <w:lvl w:ilvl="5" w:tentative="0">
      <w:start w:val="1"/>
      <w:numFmt w:val="lowerRoman"/>
      <w:lvlText w:val="%6."/>
      <w:lvlJc w:val="right"/>
      <w:pPr>
        <w:tabs>
          <w:tab w:val="left" w:pos="2695"/>
        </w:tabs>
        <w:ind w:left="2503" w:hanging="528"/>
      </w:pPr>
      <w:rPr>
        <w:rFonts w:hint="eastAsia"/>
      </w:rPr>
    </w:lvl>
    <w:lvl w:ilvl="6" w:tentative="0">
      <w:start w:val="1"/>
      <w:numFmt w:val="decimal"/>
      <w:lvlText w:val="%7."/>
      <w:lvlJc w:val="left"/>
      <w:pPr>
        <w:tabs>
          <w:tab w:val="left" w:pos="3007"/>
        </w:tabs>
        <w:ind w:left="2815" w:hanging="528"/>
      </w:pPr>
      <w:rPr>
        <w:rFonts w:hint="eastAsia"/>
      </w:rPr>
    </w:lvl>
    <w:lvl w:ilvl="7" w:tentative="0">
      <w:start w:val="1"/>
      <w:numFmt w:val="lowerLetter"/>
      <w:lvlText w:val="%8)"/>
      <w:lvlJc w:val="left"/>
      <w:pPr>
        <w:tabs>
          <w:tab w:val="left" w:pos="3319"/>
        </w:tabs>
        <w:ind w:left="3127" w:hanging="528"/>
      </w:pPr>
      <w:rPr>
        <w:rFonts w:hint="eastAsia"/>
      </w:rPr>
    </w:lvl>
    <w:lvl w:ilvl="8" w:tentative="0">
      <w:start w:val="1"/>
      <w:numFmt w:val="lowerRoman"/>
      <w:lvlText w:val="%9."/>
      <w:lvlJc w:val="right"/>
      <w:pPr>
        <w:tabs>
          <w:tab w:val="left" w:pos="3631"/>
        </w:tabs>
        <w:ind w:left="3439"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426" w:firstLine="0"/>
      </w:pPr>
      <w:rPr>
        <w:rFonts w:hint="eastAsia" w:ascii="黑体" w:eastAsia="黑体"/>
        <w:b w:val="0"/>
        <w:i w:val="0"/>
        <w:sz w:val="21"/>
      </w:rPr>
    </w:lvl>
    <w:lvl w:ilvl="4" w:tentative="0">
      <w:start w:val="1"/>
      <w:numFmt w:val="decimal"/>
      <w:pStyle w:val="98"/>
      <w:suff w:val="nothing"/>
      <w:lvlText w:val="%1%2.%3.%4.%5　"/>
      <w:lvlJc w:val="left"/>
      <w:pPr>
        <w:ind w:left="71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zNGZkOTUwZWQ2YzAxMjAxYWRmN2M3YTgzMjk3M2EifQ=="/>
    <w:docVar w:name="KSO_WPS_MARK_KEY" w:val="8f340788-85c9-46df-854a-be5afa1c3d0d"/>
  </w:docVars>
  <w:rsids>
    <w:rsidRoot w:val="00172A27"/>
    <w:rsid w:val="0000040A"/>
    <w:rsid w:val="00000A94"/>
    <w:rsid w:val="00001972"/>
    <w:rsid w:val="00001D9A"/>
    <w:rsid w:val="0000706E"/>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2745"/>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BD1"/>
    <w:rsid w:val="00092FB0"/>
    <w:rsid w:val="000934C5"/>
    <w:rsid w:val="00093D25"/>
    <w:rsid w:val="00094D73"/>
    <w:rsid w:val="00096D63"/>
    <w:rsid w:val="000A0B60"/>
    <w:rsid w:val="000A0EB8"/>
    <w:rsid w:val="000A19FC"/>
    <w:rsid w:val="000A296B"/>
    <w:rsid w:val="000A7311"/>
    <w:rsid w:val="000B060F"/>
    <w:rsid w:val="000B1592"/>
    <w:rsid w:val="000B1FF2"/>
    <w:rsid w:val="000B3909"/>
    <w:rsid w:val="000B3CDA"/>
    <w:rsid w:val="000B6A0B"/>
    <w:rsid w:val="000C0F6C"/>
    <w:rsid w:val="000C11DB"/>
    <w:rsid w:val="000C2FBD"/>
    <w:rsid w:val="000C3E10"/>
    <w:rsid w:val="000C473D"/>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0C66"/>
    <w:rsid w:val="00124E4F"/>
    <w:rsid w:val="001260B7"/>
    <w:rsid w:val="001265CB"/>
    <w:rsid w:val="00127334"/>
    <w:rsid w:val="001321C6"/>
    <w:rsid w:val="001325C4"/>
    <w:rsid w:val="00133010"/>
    <w:rsid w:val="001337A1"/>
    <w:rsid w:val="001338EE"/>
    <w:rsid w:val="00133AAE"/>
    <w:rsid w:val="00135323"/>
    <w:rsid w:val="001356C4"/>
    <w:rsid w:val="00141114"/>
    <w:rsid w:val="00142969"/>
    <w:rsid w:val="001457E7"/>
    <w:rsid w:val="00145D9D"/>
    <w:rsid w:val="00146388"/>
    <w:rsid w:val="00151369"/>
    <w:rsid w:val="001529E5"/>
    <w:rsid w:val="00153C7E"/>
    <w:rsid w:val="00156B25"/>
    <w:rsid w:val="00156E1A"/>
    <w:rsid w:val="00157B55"/>
    <w:rsid w:val="001642FA"/>
    <w:rsid w:val="001649EB"/>
    <w:rsid w:val="00164BAF"/>
    <w:rsid w:val="00164FA8"/>
    <w:rsid w:val="00165065"/>
    <w:rsid w:val="00165434"/>
    <w:rsid w:val="0016580B"/>
    <w:rsid w:val="00165F49"/>
    <w:rsid w:val="00166312"/>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0AC8"/>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A82"/>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129B"/>
    <w:rsid w:val="00202AA4"/>
    <w:rsid w:val="002031F7"/>
    <w:rsid w:val="002040E6"/>
    <w:rsid w:val="0020527B"/>
    <w:rsid w:val="00210B15"/>
    <w:rsid w:val="00212109"/>
    <w:rsid w:val="002142EA"/>
    <w:rsid w:val="00216A27"/>
    <w:rsid w:val="0022023A"/>
    <w:rsid w:val="002204BB"/>
    <w:rsid w:val="00221B79"/>
    <w:rsid w:val="00221C6B"/>
    <w:rsid w:val="00222402"/>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0825"/>
    <w:rsid w:val="00291DED"/>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5FF7"/>
    <w:rsid w:val="002B7332"/>
    <w:rsid w:val="002B7F51"/>
    <w:rsid w:val="002C09E7"/>
    <w:rsid w:val="002C1B28"/>
    <w:rsid w:val="002C3F07"/>
    <w:rsid w:val="002C47D5"/>
    <w:rsid w:val="002C4F7C"/>
    <w:rsid w:val="002C5278"/>
    <w:rsid w:val="002C7EBB"/>
    <w:rsid w:val="002D06C1"/>
    <w:rsid w:val="002D14AB"/>
    <w:rsid w:val="002D3E4E"/>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07CEA"/>
    <w:rsid w:val="00313B85"/>
    <w:rsid w:val="00314BDF"/>
    <w:rsid w:val="00317988"/>
    <w:rsid w:val="003221B4"/>
    <w:rsid w:val="00322E62"/>
    <w:rsid w:val="00324EDD"/>
    <w:rsid w:val="00336C64"/>
    <w:rsid w:val="00337162"/>
    <w:rsid w:val="0034194F"/>
    <w:rsid w:val="00342126"/>
    <w:rsid w:val="00344605"/>
    <w:rsid w:val="003474AA"/>
    <w:rsid w:val="00350D1D"/>
    <w:rsid w:val="00352C83"/>
    <w:rsid w:val="00355C14"/>
    <w:rsid w:val="003615D2"/>
    <w:rsid w:val="0036429C"/>
    <w:rsid w:val="00364A53"/>
    <w:rsid w:val="003654CB"/>
    <w:rsid w:val="00365F86"/>
    <w:rsid w:val="00365F87"/>
    <w:rsid w:val="003705F4"/>
    <w:rsid w:val="00370D58"/>
    <w:rsid w:val="00371316"/>
    <w:rsid w:val="00375BE3"/>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E50B1"/>
    <w:rsid w:val="003E6E7B"/>
    <w:rsid w:val="003F0841"/>
    <w:rsid w:val="003F23D3"/>
    <w:rsid w:val="003F3F08"/>
    <w:rsid w:val="003F49F1"/>
    <w:rsid w:val="003F53F2"/>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47CDD"/>
    <w:rsid w:val="00452D6B"/>
    <w:rsid w:val="00454484"/>
    <w:rsid w:val="0045517B"/>
    <w:rsid w:val="00463B77"/>
    <w:rsid w:val="00463C7B"/>
    <w:rsid w:val="004644A6"/>
    <w:rsid w:val="004659BD"/>
    <w:rsid w:val="00470775"/>
    <w:rsid w:val="004719A2"/>
    <w:rsid w:val="004746B1"/>
    <w:rsid w:val="0047583F"/>
    <w:rsid w:val="004764DD"/>
    <w:rsid w:val="00484936"/>
    <w:rsid w:val="00485C89"/>
    <w:rsid w:val="00486BE3"/>
    <w:rsid w:val="004905E4"/>
    <w:rsid w:val="00490A89"/>
    <w:rsid w:val="00490AB4"/>
    <w:rsid w:val="00492F02"/>
    <w:rsid w:val="004939AE"/>
    <w:rsid w:val="0049593D"/>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2B8B"/>
    <w:rsid w:val="004F391A"/>
    <w:rsid w:val="004F3CFB"/>
    <w:rsid w:val="004F6456"/>
    <w:rsid w:val="004F696E"/>
    <w:rsid w:val="004F6C71"/>
    <w:rsid w:val="004F703D"/>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3C0D"/>
    <w:rsid w:val="00654EC0"/>
    <w:rsid w:val="0065525B"/>
    <w:rsid w:val="00655D4F"/>
    <w:rsid w:val="00663587"/>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62A"/>
    <w:rsid w:val="006D4BB1"/>
    <w:rsid w:val="006D6593"/>
    <w:rsid w:val="006E1395"/>
    <w:rsid w:val="006E5DEE"/>
    <w:rsid w:val="006E69F0"/>
    <w:rsid w:val="006F03A8"/>
    <w:rsid w:val="006F0ED7"/>
    <w:rsid w:val="006F2ACA"/>
    <w:rsid w:val="006F2ADC"/>
    <w:rsid w:val="006F2BFE"/>
    <w:rsid w:val="006F31E9"/>
    <w:rsid w:val="006F6284"/>
    <w:rsid w:val="007002C5"/>
    <w:rsid w:val="00704387"/>
    <w:rsid w:val="00706E3C"/>
    <w:rsid w:val="00707669"/>
    <w:rsid w:val="00711CBA"/>
    <w:rsid w:val="00711FB5"/>
    <w:rsid w:val="00712A01"/>
    <w:rsid w:val="00714F58"/>
    <w:rsid w:val="00722FBF"/>
    <w:rsid w:val="00722FC2"/>
    <w:rsid w:val="00725949"/>
    <w:rsid w:val="00727FA2"/>
    <w:rsid w:val="007322D9"/>
    <w:rsid w:val="00732BC0"/>
    <w:rsid w:val="00733D0D"/>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1848"/>
    <w:rsid w:val="00773C1F"/>
    <w:rsid w:val="00774DA4"/>
    <w:rsid w:val="00776599"/>
    <w:rsid w:val="00776EFB"/>
    <w:rsid w:val="00777B6D"/>
    <w:rsid w:val="0078114B"/>
    <w:rsid w:val="00781DD2"/>
    <w:rsid w:val="0078275C"/>
    <w:rsid w:val="00783ECF"/>
    <w:rsid w:val="0078413A"/>
    <w:rsid w:val="00790CA3"/>
    <w:rsid w:val="00790E01"/>
    <w:rsid w:val="007959E8"/>
    <w:rsid w:val="00795E9C"/>
    <w:rsid w:val="007A0521"/>
    <w:rsid w:val="007A061E"/>
    <w:rsid w:val="007A203D"/>
    <w:rsid w:val="007A2E12"/>
    <w:rsid w:val="007A3475"/>
    <w:rsid w:val="007A41C8"/>
    <w:rsid w:val="007A54CE"/>
    <w:rsid w:val="007A6118"/>
    <w:rsid w:val="007A7FFA"/>
    <w:rsid w:val="007B04EB"/>
    <w:rsid w:val="007B0D4F"/>
    <w:rsid w:val="007B5A3D"/>
    <w:rsid w:val="007B5B95"/>
    <w:rsid w:val="007B68EA"/>
    <w:rsid w:val="007C19E8"/>
    <w:rsid w:val="007C2D22"/>
    <w:rsid w:val="007C2D89"/>
    <w:rsid w:val="007C4593"/>
    <w:rsid w:val="007C5309"/>
    <w:rsid w:val="007C6069"/>
    <w:rsid w:val="007D06C4"/>
    <w:rsid w:val="007D1352"/>
    <w:rsid w:val="007D2508"/>
    <w:rsid w:val="007D346A"/>
    <w:rsid w:val="007D5946"/>
    <w:rsid w:val="007D6518"/>
    <w:rsid w:val="007D69EF"/>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20A"/>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4123"/>
    <w:rsid w:val="008454F8"/>
    <w:rsid w:val="008463D3"/>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1322"/>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1DB4"/>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41B5"/>
    <w:rsid w:val="00945180"/>
    <w:rsid w:val="00945428"/>
    <w:rsid w:val="0094607B"/>
    <w:rsid w:val="00952C52"/>
    <w:rsid w:val="00953604"/>
    <w:rsid w:val="00954668"/>
    <w:rsid w:val="009610DC"/>
    <w:rsid w:val="00961490"/>
    <w:rsid w:val="0096381A"/>
    <w:rsid w:val="00965E04"/>
    <w:rsid w:val="009674AD"/>
    <w:rsid w:val="0097094E"/>
    <w:rsid w:val="00970CDC"/>
    <w:rsid w:val="00977010"/>
    <w:rsid w:val="00977D02"/>
    <w:rsid w:val="009809BB"/>
    <w:rsid w:val="00982D22"/>
    <w:rsid w:val="0098364B"/>
    <w:rsid w:val="00983BF9"/>
    <w:rsid w:val="00987B56"/>
    <w:rsid w:val="0099040A"/>
    <w:rsid w:val="009911AF"/>
    <w:rsid w:val="00991875"/>
    <w:rsid w:val="00991F92"/>
    <w:rsid w:val="00992985"/>
    <w:rsid w:val="00993889"/>
    <w:rsid w:val="0099478A"/>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5111"/>
    <w:rsid w:val="009D6BCA"/>
    <w:rsid w:val="009E0F62"/>
    <w:rsid w:val="009E4A58"/>
    <w:rsid w:val="009E5A2D"/>
    <w:rsid w:val="009E5AB2"/>
    <w:rsid w:val="009E6219"/>
    <w:rsid w:val="009F03B3"/>
    <w:rsid w:val="00A01757"/>
    <w:rsid w:val="00A028C0"/>
    <w:rsid w:val="00A02BAE"/>
    <w:rsid w:val="00A06A6B"/>
    <w:rsid w:val="00A06D31"/>
    <w:rsid w:val="00A07E47"/>
    <w:rsid w:val="00A107E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3769"/>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57F5"/>
    <w:rsid w:val="00AA672E"/>
    <w:rsid w:val="00AA6EC9"/>
    <w:rsid w:val="00AB6309"/>
    <w:rsid w:val="00AB6C5F"/>
    <w:rsid w:val="00AB7129"/>
    <w:rsid w:val="00AB74A9"/>
    <w:rsid w:val="00AC27A6"/>
    <w:rsid w:val="00AC30F7"/>
    <w:rsid w:val="00AC3A5A"/>
    <w:rsid w:val="00AC4D95"/>
    <w:rsid w:val="00AC5DF4"/>
    <w:rsid w:val="00AC7090"/>
    <w:rsid w:val="00AD0AEF"/>
    <w:rsid w:val="00AD11B7"/>
    <w:rsid w:val="00AD1A94"/>
    <w:rsid w:val="00AD1C05"/>
    <w:rsid w:val="00AD2278"/>
    <w:rsid w:val="00AD3367"/>
    <w:rsid w:val="00AD3D0C"/>
    <w:rsid w:val="00AD4126"/>
    <w:rsid w:val="00AD421C"/>
    <w:rsid w:val="00AD44FA"/>
    <w:rsid w:val="00AD5FD7"/>
    <w:rsid w:val="00AE070A"/>
    <w:rsid w:val="00AE101C"/>
    <w:rsid w:val="00AF0C18"/>
    <w:rsid w:val="00AF47C5"/>
    <w:rsid w:val="00AF5398"/>
    <w:rsid w:val="00B049AF"/>
    <w:rsid w:val="00B07242"/>
    <w:rsid w:val="00B07C1A"/>
    <w:rsid w:val="00B10534"/>
    <w:rsid w:val="00B113DB"/>
    <w:rsid w:val="00B11D8A"/>
    <w:rsid w:val="00B12981"/>
    <w:rsid w:val="00B13AD4"/>
    <w:rsid w:val="00B147DD"/>
    <w:rsid w:val="00B156FD"/>
    <w:rsid w:val="00B21F61"/>
    <w:rsid w:val="00B23045"/>
    <w:rsid w:val="00B261F1"/>
    <w:rsid w:val="00B265BC"/>
    <w:rsid w:val="00B31FB1"/>
    <w:rsid w:val="00B32C4C"/>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0F0A"/>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49EE"/>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16081"/>
    <w:rsid w:val="00C21540"/>
    <w:rsid w:val="00C21906"/>
    <w:rsid w:val="00C21BFA"/>
    <w:rsid w:val="00C24C8D"/>
    <w:rsid w:val="00C25FE2"/>
    <w:rsid w:val="00C26A35"/>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655FD"/>
    <w:rsid w:val="00C71372"/>
    <w:rsid w:val="00C7193B"/>
    <w:rsid w:val="00C72410"/>
    <w:rsid w:val="00C7287F"/>
    <w:rsid w:val="00C72F0E"/>
    <w:rsid w:val="00C73BAE"/>
    <w:rsid w:val="00C80CB8"/>
    <w:rsid w:val="00C819F8"/>
    <w:rsid w:val="00C8248C"/>
    <w:rsid w:val="00C8479F"/>
    <w:rsid w:val="00C84E33"/>
    <w:rsid w:val="00C86D6F"/>
    <w:rsid w:val="00C905FC"/>
    <w:rsid w:val="00C92D03"/>
    <w:rsid w:val="00C9319C"/>
    <w:rsid w:val="00C9435D"/>
    <w:rsid w:val="00C9517F"/>
    <w:rsid w:val="00C96741"/>
    <w:rsid w:val="00CA2D1B"/>
    <w:rsid w:val="00CA482B"/>
    <w:rsid w:val="00CA662A"/>
    <w:rsid w:val="00CA681E"/>
    <w:rsid w:val="00CA7AFD"/>
    <w:rsid w:val="00CA7C3C"/>
    <w:rsid w:val="00CB0189"/>
    <w:rsid w:val="00CB0BA2"/>
    <w:rsid w:val="00CB1A42"/>
    <w:rsid w:val="00CB1B0C"/>
    <w:rsid w:val="00CB283F"/>
    <w:rsid w:val="00CB2C0B"/>
    <w:rsid w:val="00CB517D"/>
    <w:rsid w:val="00CC038D"/>
    <w:rsid w:val="00CC39FF"/>
    <w:rsid w:val="00CC3C2F"/>
    <w:rsid w:val="00CC4AC8"/>
    <w:rsid w:val="00CC5233"/>
    <w:rsid w:val="00CC5DE6"/>
    <w:rsid w:val="00CC6E4E"/>
    <w:rsid w:val="00CC6FE8"/>
    <w:rsid w:val="00CC7202"/>
    <w:rsid w:val="00CD2808"/>
    <w:rsid w:val="00CD28BF"/>
    <w:rsid w:val="00CD3E67"/>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27F"/>
    <w:rsid w:val="00D126F5"/>
    <w:rsid w:val="00D1489E"/>
    <w:rsid w:val="00D14D0B"/>
    <w:rsid w:val="00D20737"/>
    <w:rsid w:val="00D212D7"/>
    <w:rsid w:val="00D21E81"/>
    <w:rsid w:val="00D223DE"/>
    <w:rsid w:val="00D234A7"/>
    <w:rsid w:val="00D25E37"/>
    <w:rsid w:val="00D2661A"/>
    <w:rsid w:val="00D27547"/>
    <w:rsid w:val="00D27582"/>
    <w:rsid w:val="00D32719"/>
    <w:rsid w:val="00D33333"/>
    <w:rsid w:val="00D337E8"/>
    <w:rsid w:val="00D352A2"/>
    <w:rsid w:val="00D40A83"/>
    <w:rsid w:val="00D4162B"/>
    <w:rsid w:val="00D4514F"/>
    <w:rsid w:val="00D451E2"/>
    <w:rsid w:val="00D4545E"/>
    <w:rsid w:val="00D45CEC"/>
    <w:rsid w:val="00D45E89"/>
    <w:rsid w:val="00D45E8D"/>
    <w:rsid w:val="00D466AE"/>
    <w:rsid w:val="00D4734F"/>
    <w:rsid w:val="00D47435"/>
    <w:rsid w:val="00D51BF3"/>
    <w:rsid w:val="00D51E54"/>
    <w:rsid w:val="00D54925"/>
    <w:rsid w:val="00D5579C"/>
    <w:rsid w:val="00D559AE"/>
    <w:rsid w:val="00D62178"/>
    <w:rsid w:val="00D63276"/>
    <w:rsid w:val="00D66846"/>
    <w:rsid w:val="00D675FB"/>
    <w:rsid w:val="00D71F25"/>
    <w:rsid w:val="00D76614"/>
    <w:rsid w:val="00D77031"/>
    <w:rsid w:val="00D84941"/>
    <w:rsid w:val="00D84FA1"/>
    <w:rsid w:val="00D851F0"/>
    <w:rsid w:val="00D86DB7"/>
    <w:rsid w:val="00D9187A"/>
    <w:rsid w:val="00D926D0"/>
    <w:rsid w:val="00D93030"/>
    <w:rsid w:val="00D950E1"/>
    <w:rsid w:val="00D952A6"/>
    <w:rsid w:val="00D970F5"/>
    <w:rsid w:val="00D97F99"/>
    <w:rsid w:val="00DA19E7"/>
    <w:rsid w:val="00DA1E08"/>
    <w:rsid w:val="00DA24F8"/>
    <w:rsid w:val="00DA28E8"/>
    <w:rsid w:val="00DA38D3"/>
    <w:rsid w:val="00DA3932"/>
    <w:rsid w:val="00DA513E"/>
    <w:rsid w:val="00DA64F8"/>
    <w:rsid w:val="00DA6C15"/>
    <w:rsid w:val="00DA7370"/>
    <w:rsid w:val="00DB38EE"/>
    <w:rsid w:val="00DB498B"/>
    <w:rsid w:val="00DB66CA"/>
    <w:rsid w:val="00DB6BCA"/>
    <w:rsid w:val="00DC0321"/>
    <w:rsid w:val="00DC0823"/>
    <w:rsid w:val="00DC3067"/>
    <w:rsid w:val="00DC370B"/>
    <w:rsid w:val="00DC5B90"/>
    <w:rsid w:val="00DD00F2"/>
    <w:rsid w:val="00DD00FF"/>
    <w:rsid w:val="00DD0619"/>
    <w:rsid w:val="00DD07FB"/>
    <w:rsid w:val="00DD1060"/>
    <w:rsid w:val="00DD25C6"/>
    <w:rsid w:val="00DD54B0"/>
    <w:rsid w:val="00DD57EE"/>
    <w:rsid w:val="00DD6BCC"/>
    <w:rsid w:val="00DE0A4B"/>
    <w:rsid w:val="00DE2410"/>
    <w:rsid w:val="00DE2939"/>
    <w:rsid w:val="00DE51F0"/>
    <w:rsid w:val="00DE5DE6"/>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26EE9"/>
    <w:rsid w:val="00E3137A"/>
    <w:rsid w:val="00E32CCF"/>
    <w:rsid w:val="00E34A98"/>
    <w:rsid w:val="00E35D1E"/>
    <w:rsid w:val="00E364F9"/>
    <w:rsid w:val="00E365FA"/>
    <w:rsid w:val="00E40C94"/>
    <w:rsid w:val="00E43C00"/>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77D84"/>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58D1"/>
    <w:rsid w:val="00EA61BC"/>
    <w:rsid w:val="00EA681A"/>
    <w:rsid w:val="00EA735B"/>
    <w:rsid w:val="00EB1E69"/>
    <w:rsid w:val="00EB2086"/>
    <w:rsid w:val="00EB35F1"/>
    <w:rsid w:val="00EB5EDF"/>
    <w:rsid w:val="00EB60FE"/>
    <w:rsid w:val="00EB74DB"/>
    <w:rsid w:val="00EC5359"/>
    <w:rsid w:val="00EC562A"/>
    <w:rsid w:val="00ED067A"/>
    <w:rsid w:val="00ED2B50"/>
    <w:rsid w:val="00ED66CB"/>
    <w:rsid w:val="00EE0350"/>
    <w:rsid w:val="00EE0719"/>
    <w:rsid w:val="00EE0E80"/>
    <w:rsid w:val="00EE110D"/>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4867"/>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19C6"/>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3E7D"/>
    <w:rsid w:val="00FF5B99"/>
    <w:rsid w:val="00FF730C"/>
    <w:rsid w:val="00FF73F4"/>
    <w:rsid w:val="00FF7CE4"/>
    <w:rsid w:val="00FF7E39"/>
    <w:rsid w:val="01127984"/>
    <w:rsid w:val="019610BB"/>
    <w:rsid w:val="019E33CF"/>
    <w:rsid w:val="01E34401"/>
    <w:rsid w:val="01F8313A"/>
    <w:rsid w:val="022C1BDC"/>
    <w:rsid w:val="02A06D62"/>
    <w:rsid w:val="03A5173D"/>
    <w:rsid w:val="03BE36D6"/>
    <w:rsid w:val="03E52CA1"/>
    <w:rsid w:val="04660415"/>
    <w:rsid w:val="04BD1B14"/>
    <w:rsid w:val="04D34972"/>
    <w:rsid w:val="05297E71"/>
    <w:rsid w:val="053416F2"/>
    <w:rsid w:val="053718C6"/>
    <w:rsid w:val="05ED2558"/>
    <w:rsid w:val="060C38E2"/>
    <w:rsid w:val="06DF3FC3"/>
    <w:rsid w:val="06F6507F"/>
    <w:rsid w:val="07002308"/>
    <w:rsid w:val="071C0074"/>
    <w:rsid w:val="0751733E"/>
    <w:rsid w:val="075C4836"/>
    <w:rsid w:val="076247AC"/>
    <w:rsid w:val="077F047D"/>
    <w:rsid w:val="07D3714A"/>
    <w:rsid w:val="08374B34"/>
    <w:rsid w:val="084E1FB1"/>
    <w:rsid w:val="090156FA"/>
    <w:rsid w:val="09380685"/>
    <w:rsid w:val="09CA2D09"/>
    <w:rsid w:val="0A01205E"/>
    <w:rsid w:val="0A42447A"/>
    <w:rsid w:val="0A812A70"/>
    <w:rsid w:val="0A875C85"/>
    <w:rsid w:val="0ADD5171"/>
    <w:rsid w:val="0B076D75"/>
    <w:rsid w:val="0B100D93"/>
    <w:rsid w:val="0B205BA9"/>
    <w:rsid w:val="0B2C3FCE"/>
    <w:rsid w:val="0BB4426E"/>
    <w:rsid w:val="0BDE352D"/>
    <w:rsid w:val="0CF76258"/>
    <w:rsid w:val="0D6521FA"/>
    <w:rsid w:val="0DC146CC"/>
    <w:rsid w:val="0DD71456"/>
    <w:rsid w:val="0E813653"/>
    <w:rsid w:val="0EDF1F87"/>
    <w:rsid w:val="0FC278BB"/>
    <w:rsid w:val="103F6E1C"/>
    <w:rsid w:val="117B32BD"/>
    <w:rsid w:val="1261638A"/>
    <w:rsid w:val="12C559C2"/>
    <w:rsid w:val="13346C9E"/>
    <w:rsid w:val="13544367"/>
    <w:rsid w:val="136C2CDA"/>
    <w:rsid w:val="13EF23AA"/>
    <w:rsid w:val="141554C8"/>
    <w:rsid w:val="144A4B50"/>
    <w:rsid w:val="148C6FEE"/>
    <w:rsid w:val="14CD3756"/>
    <w:rsid w:val="14DB633C"/>
    <w:rsid w:val="14EF686A"/>
    <w:rsid w:val="1610454C"/>
    <w:rsid w:val="162621B0"/>
    <w:rsid w:val="163F05DA"/>
    <w:rsid w:val="167E3AF3"/>
    <w:rsid w:val="16C37ECF"/>
    <w:rsid w:val="16DB6C0C"/>
    <w:rsid w:val="17167936"/>
    <w:rsid w:val="18270706"/>
    <w:rsid w:val="193177F2"/>
    <w:rsid w:val="194C6FD1"/>
    <w:rsid w:val="195E1B89"/>
    <w:rsid w:val="1993093C"/>
    <w:rsid w:val="19BB266E"/>
    <w:rsid w:val="19F4551C"/>
    <w:rsid w:val="19FD5A6A"/>
    <w:rsid w:val="1A2C16E8"/>
    <w:rsid w:val="1A3C7026"/>
    <w:rsid w:val="1A8B7F7B"/>
    <w:rsid w:val="1B341516"/>
    <w:rsid w:val="1BBC7945"/>
    <w:rsid w:val="1BCD0942"/>
    <w:rsid w:val="1C384E5A"/>
    <w:rsid w:val="1C6925E5"/>
    <w:rsid w:val="1D07642C"/>
    <w:rsid w:val="1D5509C7"/>
    <w:rsid w:val="1DB14116"/>
    <w:rsid w:val="1DDB72E5"/>
    <w:rsid w:val="1F4E4F35"/>
    <w:rsid w:val="1FD63058"/>
    <w:rsid w:val="20747930"/>
    <w:rsid w:val="20BB1D5A"/>
    <w:rsid w:val="213C4729"/>
    <w:rsid w:val="214B62D0"/>
    <w:rsid w:val="223460F7"/>
    <w:rsid w:val="225D3206"/>
    <w:rsid w:val="226A1460"/>
    <w:rsid w:val="236B6113"/>
    <w:rsid w:val="236F10DF"/>
    <w:rsid w:val="23AF082B"/>
    <w:rsid w:val="23B32CBD"/>
    <w:rsid w:val="23EC5788"/>
    <w:rsid w:val="2485295F"/>
    <w:rsid w:val="25AF0EE9"/>
    <w:rsid w:val="25DE63CA"/>
    <w:rsid w:val="265D7534"/>
    <w:rsid w:val="2675654F"/>
    <w:rsid w:val="26B76351"/>
    <w:rsid w:val="26C80E2E"/>
    <w:rsid w:val="26E90667"/>
    <w:rsid w:val="27045A17"/>
    <w:rsid w:val="27FB24BF"/>
    <w:rsid w:val="28772780"/>
    <w:rsid w:val="28C6117C"/>
    <w:rsid w:val="28F138C5"/>
    <w:rsid w:val="290F389D"/>
    <w:rsid w:val="295D0B42"/>
    <w:rsid w:val="29DF3ED7"/>
    <w:rsid w:val="29E87CCF"/>
    <w:rsid w:val="2A7677CA"/>
    <w:rsid w:val="2B9B4883"/>
    <w:rsid w:val="2BF209E1"/>
    <w:rsid w:val="2BF51A0F"/>
    <w:rsid w:val="2C1963F0"/>
    <w:rsid w:val="2C3940EA"/>
    <w:rsid w:val="2C450BB9"/>
    <w:rsid w:val="2C672533"/>
    <w:rsid w:val="2C762FF8"/>
    <w:rsid w:val="2C8350B5"/>
    <w:rsid w:val="2CB0317B"/>
    <w:rsid w:val="2CB74F17"/>
    <w:rsid w:val="2D386CD4"/>
    <w:rsid w:val="2D60110A"/>
    <w:rsid w:val="2DCD3E58"/>
    <w:rsid w:val="2F4316DF"/>
    <w:rsid w:val="2F446E57"/>
    <w:rsid w:val="30045E2B"/>
    <w:rsid w:val="301B15DC"/>
    <w:rsid w:val="302D66D6"/>
    <w:rsid w:val="303F75AD"/>
    <w:rsid w:val="30DE7C13"/>
    <w:rsid w:val="310E4EE9"/>
    <w:rsid w:val="311A10DE"/>
    <w:rsid w:val="31453AA8"/>
    <w:rsid w:val="31953D09"/>
    <w:rsid w:val="31A86072"/>
    <w:rsid w:val="32155788"/>
    <w:rsid w:val="32182F86"/>
    <w:rsid w:val="324341C4"/>
    <w:rsid w:val="32986A52"/>
    <w:rsid w:val="32D9533C"/>
    <w:rsid w:val="331D6E39"/>
    <w:rsid w:val="338C52B3"/>
    <w:rsid w:val="34154143"/>
    <w:rsid w:val="34B860AA"/>
    <w:rsid w:val="34D7505B"/>
    <w:rsid w:val="34F9590F"/>
    <w:rsid w:val="35297F28"/>
    <w:rsid w:val="355B550F"/>
    <w:rsid w:val="35EF7163"/>
    <w:rsid w:val="361B0A3F"/>
    <w:rsid w:val="36383C3E"/>
    <w:rsid w:val="36C20CA0"/>
    <w:rsid w:val="3710594F"/>
    <w:rsid w:val="379A3EBB"/>
    <w:rsid w:val="37B34D67"/>
    <w:rsid w:val="38897ECE"/>
    <w:rsid w:val="38E77D03"/>
    <w:rsid w:val="391074C0"/>
    <w:rsid w:val="393052E8"/>
    <w:rsid w:val="3948564D"/>
    <w:rsid w:val="39544D24"/>
    <w:rsid w:val="397D6B0A"/>
    <w:rsid w:val="39CA198C"/>
    <w:rsid w:val="3A062564"/>
    <w:rsid w:val="3A341219"/>
    <w:rsid w:val="3B7A6C20"/>
    <w:rsid w:val="3BA84B34"/>
    <w:rsid w:val="3BBB74E8"/>
    <w:rsid w:val="3BC55D2F"/>
    <w:rsid w:val="3BD66C64"/>
    <w:rsid w:val="3C4806DB"/>
    <w:rsid w:val="3C7A6219"/>
    <w:rsid w:val="3CD83E99"/>
    <w:rsid w:val="3D544A0B"/>
    <w:rsid w:val="3DB92C0E"/>
    <w:rsid w:val="3E225F42"/>
    <w:rsid w:val="3E511E8B"/>
    <w:rsid w:val="3E9E5F37"/>
    <w:rsid w:val="3EB86B0B"/>
    <w:rsid w:val="3F263277"/>
    <w:rsid w:val="3F6F97F4"/>
    <w:rsid w:val="3FF9422C"/>
    <w:rsid w:val="40350F4C"/>
    <w:rsid w:val="40533CA9"/>
    <w:rsid w:val="405E3B7A"/>
    <w:rsid w:val="406B15FE"/>
    <w:rsid w:val="41262A03"/>
    <w:rsid w:val="41B13BD3"/>
    <w:rsid w:val="41B148B5"/>
    <w:rsid w:val="41C47028"/>
    <w:rsid w:val="427779C2"/>
    <w:rsid w:val="44245EF4"/>
    <w:rsid w:val="44485489"/>
    <w:rsid w:val="446B6817"/>
    <w:rsid w:val="446E5E32"/>
    <w:rsid w:val="44913F71"/>
    <w:rsid w:val="44F52B31"/>
    <w:rsid w:val="44F66985"/>
    <w:rsid w:val="45637592"/>
    <w:rsid w:val="45810851"/>
    <w:rsid w:val="45A11DF8"/>
    <w:rsid w:val="45A502CE"/>
    <w:rsid w:val="45DB5038"/>
    <w:rsid w:val="462B1966"/>
    <w:rsid w:val="46367D6E"/>
    <w:rsid w:val="4664081C"/>
    <w:rsid w:val="466659DA"/>
    <w:rsid w:val="46BB0256"/>
    <w:rsid w:val="46D220B1"/>
    <w:rsid w:val="46EB783F"/>
    <w:rsid w:val="47D300E7"/>
    <w:rsid w:val="481B7DD0"/>
    <w:rsid w:val="48BD1215"/>
    <w:rsid w:val="48EC287E"/>
    <w:rsid w:val="49F50EC8"/>
    <w:rsid w:val="4A642A5C"/>
    <w:rsid w:val="4A653021"/>
    <w:rsid w:val="4A9F3BA8"/>
    <w:rsid w:val="4AB27AA3"/>
    <w:rsid w:val="4B12322A"/>
    <w:rsid w:val="4B486DBB"/>
    <w:rsid w:val="4C3961B7"/>
    <w:rsid w:val="4C3D2D07"/>
    <w:rsid w:val="4CBE667C"/>
    <w:rsid w:val="4CF01A59"/>
    <w:rsid w:val="4CF341B4"/>
    <w:rsid w:val="4D1E37AC"/>
    <w:rsid w:val="4D620D77"/>
    <w:rsid w:val="4D723A59"/>
    <w:rsid w:val="4D9D007F"/>
    <w:rsid w:val="4DEA6AA2"/>
    <w:rsid w:val="4E317386"/>
    <w:rsid w:val="4E9D223E"/>
    <w:rsid w:val="4F0335FA"/>
    <w:rsid w:val="4F3A1591"/>
    <w:rsid w:val="4FB82C5E"/>
    <w:rsid w:val="4FEC3D71"/>
    <w:rsid w:val="5031770B"/>
    <w:rsid w:val="50E44D77"/>
    <w:rsid w:val="51251D87"/>
    <w:rsid w:val="53245FAD"/>
    <w:rsid w:val="5365460B"/>
    <w:rsid w:val="536C61AC"/>
    <w:rsid w:val="53722A75"/>
    <w:rsid w:val="538B1B13"/>
    <w:rsid w:val="54636168"/>
    <w:rsid w:val="547802B3"/>
    <w:rsid w:val="54A371EE"/>
    <w:rsid w:val="54B60840"/>
    <w:rsid w:val="55591990"/>
    <w:rsid w:val="557971D4"/>
    <w:rsid w:val="55F20BD4"/>
    <w:rsid w:val="566C371D"/>
    <w:rsid w:val="567E5831"/>
    <w:rsid w:val="56CF2CEC"/>
    <w:rsid w:val="574128AE"/>
    <w:rsid w:val="57772005"/>
    <w:rsid w:val="588A2314"/>
    <w:rsid w:val="58A817DC"/>
    <w:rsid w:val="59AD41FB"/>
    <w:rsid w:val="59C06909"/>
    <w:rsid w:val="59E968AE"/>
    <w:rsid w:val="5A194229"/>
    <w:rsid w:val="5A581F9F"/>
    <w:rsid w:val="5A7D0C9E"/>
    <w:rsid w:val="5AE96DB5"/>
    <w:rsid w:val="5B130F4B"/>
    <w:rsid w:val="5BD31C19"/>
    <w:rsid w:val="5BEA2268"/>
    <w:rsid w:val="5BF46A73"/>
    <w:rsid w:val="5C1318BA"/>
    <w:rsid w:val="5C3736CE"/>
    <w:rsid w:val="5C3951AC"/>
    <w:rsid w:val="5C5B526D"/>
    <w:rsid w:val="5C5D69D7"/>
    <w:rsid w:val="5CEB5280"/>
    <w:rsid w:val="5D1D6BA5"/>
    <w:rsid w:val="5D436993"/>
    <w:rsid w:val="5DF61D90"/>
    <w:rsid w:val="5DFF690E"/>
    <w:rsid w:val="5F8062EF"/>
    <w:rsid w:val="60412F86"/>
    <w:rsid w:val="606E03D0"/>
    <w:rsid w:val="60F674DA"/>
    <w:rsid w:val="61456FFC"/>
    <w:rsid w:val="61596ED4"/>
    <w:rsid w:val="61795D9C"/>
    <w:rsid w:val="61DD4337"/>
    <w:rsid w:val="61DE7ECA"/>
    <w:rsid w:val="624537DA"/>
    <w:rsid w:val="62E61205"/>
    <w:rsid w:val="638E1826"/>
    <w:rsid w:val="638E1A11"/>
    <w:rsid w:val="63A2408C"/>
    <w:rsid w:val="63C274B8"/>
    <w:rsid w:val="6460583C"/>
    <w:rsid w:val="646906E8"/>
    <w:rsid w:val="64DB5214"/>
    <w:rsid w:val="650F4275"/>
    <w:rsid w:val="65312B36"/>
    <w:rsid w:val="662B1184"/>
    <w:rsid w:val="663D5D28"/>
    <w:rsid w:val="665925BF"/>
    <w:rsid w:val="68656789"/>
    <w:rsid w:val="68787F8E"/>
    <w:rsid w:val="68793217"/>
    <w:rsid w:val="687F107F"/>
    <w:rsid w:val="68C66398"/>
    <w:rsid w:val="691B1A32"/>
    <w:rsid w:val="692759A6"/>
    <w:rsid w:val="694B1F2E"/>
    <w:rsid w:val="699C0478"/>
    <w:rsid w:val="69EA4002"/>
    <w:rsid w:val="6A267F0A"/>
    <w:rsid w:val="6A3C65C4"/>
    <w:rsid w:val="6A4E746E"/>
    <w:rsid w:val="6AB87F6E"/>
    <w:rsid w:val="6AED1528"/>
    <w:rsid w:val="6B1122D9"/>
    <w:rsid w:val="6C0D5D7F"/>
    <w:rsid w:val="6C6A5AEC"/>
    <w:rsid w:val="6CA00FA1"/>
    <w:rsid w:val="6D1D0A9E"/>
    <w:rsid w:val="6D4F4769"/>
    <w:rsid w:val="6D5C484C"/>
    <w:rsid w:val="6DB64E51"/>
    <w:rsid w:val="6DD67D2A"/>
    <w:rsid w:val="6DE10E15"/>
    <w:rsid w:val="6DEC1AE6"/>
    <w:rsid w:val="6E035113"/>
    <w:rsid w:val="6EBE59ED"/>
    <w:rsid w:val="6EE4377E"/>
    <w:rsid w:val="6F27163F"/>
    <w:rsid w:val="6F841B7D"/>
    <w:rsid w:val="6FF254B2"/>
    <w:rsid w:val="70686D29"/>
    <w:rsid w:val="70CD5E73"/>
    <w:rsid w:val="70F64F61"/>
    <w:rsid w:val="70F865FB"/>
    <w:rsid w:val="711527C1"/>
    <w:rsid w:val="711B7724"/>
    <w:rsid w:val="717057C5"/>
    <w:rsid w:val="71B55E7C"/>
    <w:rsid w:val="71B769FB"/>
    <w:rsid w:val="71C17100"/>
    <w:rsid w:val="71C57F1C"/>
    <w:rsid w:val="71FF64E6"/>
    <w:rsid w:val="7223030B"/>
    <w:rsid w:val="72284242"/>
    <w:rsid w:val="723148A2"/>
    <w:rsid w:val="73886B65"/>
    <w:rsid w:val="739D60C0"/>
    <w:rsid w:val="73B91618"/>
    <w:rsid w:val="74252A5F"/>
    <w:rsid w:val="74292A90"/>
    <w:rsid w:val="743C5B9F"/>
    <w:rsid w:val="744511D5"/>
    <w:rsid w:val="746048B8"/>
    <w:rsid w:val="74893073"/>
    <w:rsid w:val="74A5603B"/>
    <w:rsid w:val="74A7099A"/>
    <w:rsid w:val="74B63929"/>
    <w:rsid w:val="7525799C"/>
    <w:rsid w:val="752B059C"/>
    <w:rsid w:val="7571629D"/>
    <w:rsid w:val="75866801"/>
    <w:rsid w:val="75CF1666"/>
    <w:rsid w:val="76096C3C"/>
    <w:rsid w:val="768A7D4C"/>
    <w:rsid w:val="76A764C2"/>
    <w:rsid w:val="76D637B8"/>
    <w:rsid w:val="76DA126B"/>
    <w:rsid w:val="78896779"/>
    <w:rsid w:val="7C2034DC"/>
    <w:rsid w:val="7C3C40BE"/>
    <w:rsid w:val="7C7942D1"/>
    <w:rsid w:val="7D1639D6"/>
    <w:rsid w:val="7D282DA2"/>
    <w:rsid w:val="7D770E4B"/>
    <w:rsid w:val="7E8F212D"/>
    <w:rsid w:val="7F15790D"/>
    <w:rsid w:val="7F7C6BDD"/>
    <w:rsid w:val="B3FDD81D"/>
    <w:rsid w:val="F9BFC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5"/>
    <w:semiHidden/>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rPr>
      <w:sz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Char"/>
    <w:link w:val="2"/>
    <w:qFormat/>
    <w:uiPriority w:val="0"/>
    <w:rPr>
      <w:rFonts w:ascii="Times New Roman" w:hAnsi="Times New Roman" w:eastAsia="宋体" w:cs="Times New Roman"/>
      <w:b/>
      <w:bCs/>
      <w:kern w:val="44"/>
      <w:sz w:val="44"/>
      <w:szCs w:val="44"/>
    </w:rPr>
  </w:style>
  <w:style w:type="character" w:customStyle="1" w:styleId="39">
    <w:name w:val="标题 2 Char"/>
    <w:link w:val="3"/>
    <w:qFormat/>
    <w:uiPriority w:val="0"/>
    <w:rPr>
      <w:rFonts w:ascii="Arial" w:hAnsi="Arial" w:eastAsia="黑体" w:cs="Times New Roman"/>
      <w:b/>
      <w:bCs/>
      <w:sz w:val="32"/>
      <w:szCs w:val="32"/>
    </w:rPr>
  </w:style>
  <w:style w:type="character" w:customStyle="1" w:styleId="40">
    <w:name w:val="标题 3 Char"/>
    <w:link w:val="4"/>
    <w:qFormat/>
    <w:uiPriority w:val="0"/>
    <w:rPr>
      <w:rFonts w:ascii="Times New Roman" w:hAnsi="Times New Roman" w:eastAsia="宋体" w:cs="Times New Roman"/>
      <w:b/>
      <w:bCs/>
      <w:sz w:val="32"/>
      <w:szCs w:val="32"/>
    </w:rPr>
  </w:style>
  <w:style w:type="character" w:customStyle="1" w:styleId="41">
    <w:name w:val="标题 4 Char"/>
    <w:link w:val="5"/>
    <w:qFormat/>
    <w:uiPriority w:val="0"/>
    <w:rPr>
      <w:rFonts w:ascii="Arial" w:hAnsi="Arial" w:eastAsia="黑体" w:cs="Times New Roman"/>
      <w:b/>
      <w:bCs/>
      <w:sz w:val="28"/>
      <w:szCs w:val="28"/>
    </w:rPr>
  </w:style>
  <w:style w:type="character" w:customStyle="1" w:styleId="42">
    <w:name w:val="标题 5 Char"/>
    <w:link w:val="6"/>
    <w:qFormat/>
    <w:uiPriority w:val="0"/>
    <w:rPr>
      <w:rFonts w:ascii="Times New Roman" w:hAnsi="Times New Roman" w:eastAsia="宋体"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宋体"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Cs w:val="21"/>
    </w:rPr>
  </w:style>
  <w:style w:type="character" w:customStyle="1" w:styleId="47">
    <w:name w:val="页眉 Char"/>
    <w:link w:val="19"/>
    <w:qFormat/>
    <w:uiPriority w:val="99"/>
    <w:rPr>
      <w:rFonts w:ascii="Times New Roman" w:hAnsi="Times New Roman" w:eastAsia="宋体" w:cs="Times New Roman"/>
      <w:sz w:val="18"/>
      <w:szCs w:val="18"/>
    </w:rPr>
  </w:style>
  <w:style w:type="character" w:customStyle="1" w:styleId="48">
    <w:name w:val="页脚 Char"/>
    <w:link w:val="18"/>
    <w:qFormat/>
    <w:uiPriority w:val="99"/>
    <w:rPr>
      <w:rFonts w:ascii="宋体" w:hAnsi="Times New Roman" w:eastAsia="宋体" w:cs="Times New Roman"/>
      <w:sz w:val="18"/>
      <w:szCs w:val="18"/>
    </w:rPr>
  </w:style>
  <w:style w:type="character" w:customStyle="1" w:styleId="49">
    <w:name w:val="批注框文本 Char"/>
    <w:link w:val="17"/>
    <w:semiHidden/>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Char"/>
    <w:link w:val="50"/>
    <w:qFormat/>
    <w:uiPriority w:val="29"/>
    <w:rPr>
      <w:i/>
      <w:iCs/>
      <w:color w:val="000000"/>
    </w:rPr>
  </w:style>
  <w:style w:type="character" w:customStyle="1" w:styleId="52">
    <w:name w:val="标题 Char"/>
    <w:link w:val="27"/>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ind w:left="0"/>
      <w:jc w:val="both"/>
      <w:outlineLvl w:val="2"/>
    </w:pPr>
    <w:rPr>
      <w:rFonts w:ascii="黑体" w:hAnsi="黑体"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Char"/>
    <w:link w:val="14"/>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Pr>
      <w:ind w:left="0"/>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Char"/>
    <w:link w:val="22"/>
    <w:semiHidden/>
    <w:qFormat/>
    <w:uiPriority w:val="0"/>
    <w:rPr>
      <w:rFonts w:ascii="宋体" w:hAnsi="Times New Roman" w:eastAsia="宋体" w:cs="Times New Roman"/>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3">
    <w:name w:val="段"/>
    <w:link w:val="23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4">
    <w:name w:val="段 Char"/>
    <w:link w:val="233"/>
    <w:qFormat/>
    <w:uiPriority w:val="0"/>
    <w:rPr>
      <w:rFonts w:ascii="宋体" w:hAnsi="Times New Roman"/>
      <w:sz w:val="21"/>
    </w:rPr>
  </w:style>
  <w:style w:type="character" w:customStyle="1" w:styleId="235">
    <w:name w:val="批注文字 Char"/>
    <w:basedOn w:val="31"/>
    <w:link w:val="13"/>
    <w:semiHidden/>
    <w:qFormat/>
    <w:uiPriority w:val="99"/>
    <w:rPr>
      <w:rFonts w:ascii="Calibri" w:hAnsi="Calibri"/>
      <w:kern w:val="2"/>
      <w:sz w:val="21"/>
      <w:szCs w:val="21"/>
    </w:rPr>
  </w:style>
  <w:style w:type="character" w:customStyle="1" w:styleId="236">
    <w:name w:val="批注主题 Char"/>
    <w:basedOn w:val="235"/>
    <w:link w:val="28"/>
    <w:semiHidden/>
    <w:qFormat/>
    <w:uiPriority w:val="99"/>
    <w:rPr>
      <w:rFonts w:ascii="Calibri" w:hAnsi="Calibri"/>
      <w:b/>
      <w:bCs/>
      <w:kern w:val="2"/>
      <w:sz w:val="21"/>
      <w:szCs w:val="21"/>
    </w:rPr>
  </w:style>
  <w:style w:type="paragraph" w:customStyle="1" w:styleId="237">
    <w:name w:val="标准书脚_偶数页"/>
    <w:qFormat/>
    <w:uiPriority w:val="0"/>
    <w:pPr>
      <w:spacing w:before="120"/>
      <w:ind w:left="221"/>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glossaryDocument" Target="glossary/document.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tiff"/><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DE19386A81943F99B3DBAD5B181E559"/>
        <w:style w:val=""/>
        <w:category>
          <w:name w:val="常规"/>
          <w:gallery w:val="placeholder"/>
        </w:category>
        <w:types>
          <w:type w:val="bbPlcHdr"/>
        </w:types>
        <w:behaviors>
          <w:behavior w:val="content"/>
        </w:behaviors>
        <w:description w:val=""/>
        <w:guid w:val="{9789F70B-2093-4BAC-8E8C-23E0DEA22F5D}"/>
      </w:docPartPr>
      <w:docPartBody>
        <w:p w14:paraId="60C2860D">
          <w:pPr>
            <w:pStyle w:val="5"/>
          </w:pPr>
          <w:r>
            <w:rPr>
              <w:rStyle w:val="4"/>
              <w:rFonts w:hint="eastAsia"/>
            </w:rPr>
            <w:t>单击或点击此处输入文字。</w:t>
          </w:r>
        </w:p>
      </w:docPartBody>
    </w:docPart>
    <w:docPart>
      <w:docPartPr>
        <w:name w:val="7E2731A522614A42B10067A25C1599C1"/>
        <w:style w:val=""/>
        <w:category>
          <w:name w:val="常规"/>
          <w:gallery w:val="placeholder"/>
        </w:category>
        <w:types>
          <w:type w:val="bbPlcHdr"/>
        </w:types>
        <w:behaviors>
          <w:behavior w:val="content"/>
        </w:behaviors>
        <w:description w:val=""/>
        <w:guid w:val="{5B5B8BEE-30CC-4E56-B63B-B52FA703225F}"/>
      </w:docPartPr>
      <w:docPartBody>
        <w:p w14:paraId="2B2213CB">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E61"/>
    <w:rsid w:val="00160D78"/>
    <w:rsid w:val="002B53DA"/>
    <w:rsid w:val="002F5FC2"/>
    <w:rsid w:val="00432714"/>
    <w:rsid w:val="0065197C"/>
    <w:rsid w:val="00677089"/>
    <w:rsid w:val="00735CE5"/>
    <w:rsid w:val="00896746"/>
    <w:rsid w:val="00961EC0"/>
    <w:rsid w:val="00973034"/>
    <w:rsid w:val="00B51FAC"/>
    <w:rsid w:val="00BD0971"/>
    <w:rsid w:val="00CB0966"/>
    <w:rsid w:val="00D27A63"/>
    <w:rsid w:val="00D60E61"/>
    <w:rsid w:val="00EB7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DE19386A81943F99B3DBAD5B181E55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E2731A522614A42B10067A25C1599C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DF1CF232E4045F59CB63A82BE83FA9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Company>PCMI</Company>
  <Pages>21</Pages>
  <Words>8242</Words>
  <Characters>8632</Characters>
  <Lines>100</Lines>
  <Paragraphs>28</Paragraphs>
  <TotalTime>16</TotalTime>
  <ScaleCrop>false</ScaleCrop>
  <LinksUpToDate>false</LinksUpToDate>
  <CharactersWithSpaces>8903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2025-10-09T22:51:00Z</dcterms:created>
  <dc:creator>lenovo</dc:creator>
  <dc:description>&lt;config cover="true" show_menu="true" version="1.0.0" doctype="SDKXY"&gt;_x000d_
&lt;/config&gt;</dc:description>
  <cp:lastModifiedBy>yj</cp:lastModifiedBy>
  <cp:lastPrinted>2026-01-08T17:23:00Z</cp:lastPrinted>
  <dcterms:modified xsi:type="dcterms:W3CDTF">2026-02-04T15:55:30Z</dcterms:modified>
  <dc:title>国家标准</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2052-12.1.2.23578</vt:lpwstr>
  </property>
  <property fmtid="{D5CDD505-2E9C-101B-9397-08002B2CF9AE}" pid="15" name="ICV">
    <vt:lpwstr>1E3BDE71C2D041B28AFBF82313FEE699_13</vt:lpwstr>
  </property>
  <property fmtid="{D5CDD505-2E9C-101B-9397-08002B2CF9AE}" pid="16" name="KSOTemplateDocerSaveRecord">
    <vt:lpwstr>eyJoZGlkIjoiNjEwNmIwNTk0NmU1OGRkODFlNzhhOTA5N2JhZjE3ZDciLCJ1c2VySWQiOiIzMTQxNTE0NzkifQ==</vt:lpwstr>
  </property>
</Properties>
</file>